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89"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 xml:space="preserve">x </w:t>
      </w:r>
      <w:r>
        <w:rPr>
          <w:rFonts w:ascii="Arial" w:cs="Arial" w:eastAsia="Arial" w:hAnsi="Arial"/>
          <w:sz w:val="13"/>
          <w:szCs w:val="13"/>
          <w:b w:val="1"/>
          <w:bCs w:val="1"/>
          <w:color w:val="auto"/>
        </w:rPr>
        <w:t>ANNUAL REPORT 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2008</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jc w:val="center"/>
        <w:ind w:right="-19"/>
        <w:spacing w:after="0" w:line="173" w:lineRule="exact"/>
        <w:rPr>
          <w:sz w:val="20"/>
          <w:szCs w:val="20"/>
          <w:color w:val="auto"/>
        </w:rPr>
      </w:pPr>
      <w:r>
        <w:rPr>
          <w:rFonts w:ascii="MS PGothic" w:cs="MS PGothic" w:eastAsia="MS PGothic" w:hAnsi="MS PGothic"/>
          <w:sz w:val="15"/>
          <w:szCs w:val="15"/>
          <w:color w:val="auto"/>
          <w:highlight w:val="black"/>
        </w:rPr>
        <w:t>☐</w:t>
      </w:r>
      <w:r>
        <w:rPr>
          <w:rFonts w:ascii="Arial" w:cs="Arial" w:eastAsia="Arial" w:hAnsi="Arial"/>
          <w:sz w:val="13"/>
          <w:szCs w:val="13"/>
          <w:b w:val="1"/>
          <w:bCs w:val="1"/>
          <w:color w:val="auto"/>
        </w:rPr>
        <w:t xml:space="preserve"> TRANSITION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No. 1-10686</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MANPOWER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(Exact name of registrant as specified in its charter)</w:t>
      </w:r>
    </w:p>
    <w:p>
      <w:pPr>
        <w:sectPr>
          <w:pgSz w:w="11900" w:h="16838" w:orient="portrait"/>
          <w:cols w:equalWidth="0" w:num="1">
            <w:col w:w="11460"/>
          </w:cols>
          <w:pgMar w:left="220" w:top="465" w:right="219" w:bottom="1440" w:gutter="0" w:footer="0" w:header="0"/>
        </w:sectPr>
      </w:pPr>
    </w:p>
    <w:p>
      <w:pPr>
        <w:spacing w:after="0" w:line="306" w:lineRule="exact"/>
        <w:rPr>
          <w:sz w:val="24"/>
          <w:szCs w:val="24"/>
          <w:color w:val="auto"/>
        </w:rPr>
      </w:pPr>
    </w:p>
    <w:p>
      <w:pPr>
        <w:ind w:left="2460"/>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39-1672779</w:t>
      </w:r>
    </w:p>
    <w:p>
      <w:pPr>
        <w:spacing w:after="0" w:line="35" w:lineRule="exact"/>
        <w:rPr>
          <w:sz w:val="24"/>
          <w:szCs w:val="24"/>
          <w:color w:val="auto"/>
        </w:rPr>
      </w:pPr>
    </w:p>
    <w:p>
      <w:pPr>
        <w:sectPr>
          <w:pgSz w:w="11900" w:h="16838" w:orient="portrait"/>
          <w:cols w:equalWidth="0" w:num="2">
            <w:col w:w="7540" w:space="720"/>
            <w:col w:w="3200"/>
          </w:cols>
          <w:pgMar w:left="220" w:top="465" w:right="219" w:bottom="1440" w:gutter="0" w:footer="0" w:header="0"/>
          <w:type w:val="continuous"/>
        </w:sectPr>
      </w:pPr>
    </w:p>
    <w:p>
      <w:pPr>
        <w:ind w:left="2180"/>
        <w:spacing w:after="0"/>
        <w:rPr>
          <w:sz w:val="20"/>
          <w:szCs w:val="20"/>
          <w:color w:val="auto"/>
        </w:rPr>
      </w:pPr>
      <w:r>
        <w:rPr>
          <w:rFonts w:ascii="Arial" w:cs="Arial" w:eastAsia="Arial" w:hAnsi="Arial"/>
          <w:sz w:val="10"/>
          <w:szCs w:val="10"/>
          <w:b w:val="1"/>
          <w:bCs w:val="1"/>
          <w:color w:val="auto"/>
        </w:rPr>
        <w:t>(State or other jurisdiction of</w:t>
      </w:r>
    </w:p>
    <w:p>
      <w:pPr>
        <w:ind w:left="216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0"/>
          <w:szCs w:val="10"/>
          <w:b w:val="1"/>
          <w:bCs w:val="1"/>
          <w:color w:val="auto"/>
        </w:rPr>
        <w:t>(I.R.S. Employer</w:t>
      </w:r>
    </w:p>
    <w:p>
      <w:pPr>
        <w:spacing w:after="0"/>
        <w:rPr>
          <w:sz w:val="20"/>
          <w:szCs w:val="20"/>
          <w:color w:val="auto"/>
        </w:rPr>
      </w:pPr>
      <w:r>
        <w:rPr>
          <w:rFonts w:ascii="Arial" w:cs="Arial" w:eastAsia="Arial" w:hAnsi="Arial"/>
          <w:sz w:val="9"/>
          <w:szCs w:val="9"/>
          <w:b w:val="1"/>
          <w:bCs w:val="1"/>
          <w:color w:val="auto"/>
        </w:rPr>
        <w:t>Identification No.)</w:t>
      </w:r>
    </w:p>
    <w:p>
      <w:pPr>
        <w:spacing w:after="0" w:line="164" w:lineRule="exact"/>
        <w:rPr>
          <w:sz w:val="24"/>
          <w:szCs w:val="24"/>
          <w:color w:val="auto"/>
        </w:rPr>
      </w:pPr>
    </w:p>
    <w:p>
      <w:pPr>
        <w:sectPr>
          <w:pgSz w:w="11900" w:h="16838" w:orient="portrait"/>
          <w:cols w:equalWidth="0" w:num="2">
            <w:col w:w="7460" w:space="720"/>
            <w:col w:w="3280"/>
          </w:cols>
          <w:pgMar w:left="220" w:top="465" w:right="219" w:bottom="1440" w:gutter="0" w:footer="0" w:header="0"/>
          <w:type w:val="continuous"/>
        </w:sectPr>
      </w:pPr>
    </w:p>
    <w:p>
      <w:pPr>
        <w:jc w:val="center"/>
        <w:ind w:right="1960"/>
        <w:spacing w:after="0"/>
        <w:rPr>
          <w:sz w:val="20"/>
          <w:szCs w:val="20"/>
          <w:color w:val="auto"/>
        </w:rPr>
      </w:pPr>
      <w:r>
        <w:rPr>
          <w:rFonts w:ascii="Arial" w:cs="Arial" w:eastAsia="Arial" w:hAnsi="Arial"/>
          <w:sz w:val="14"/>
          <w:szCs w:val="14"/>
          <w:b w:val="1"/>
          <w:bCs w:val="1"/>
          <w:color w:val="auto"/>
        </w:rPr>
        <w:t>100 MANPOWER PLACE</w:t>
      </w:r>
    </w:p>
    <w:p>
      <w:pPr>
        <w:spacing w:after="0" w:line="9" w:lineRule="exact"/>
        <w:rPr>
          <w:sz w:val="24"/>
          <w:szCs w:val="24"/>
          <w:color w:val="auto"/>
        </w:rPr>
      </w:pPr>
    </w:p>
    <w:p>
      <w:pPr>
        <w:jc w:val="center"/>
        <w:ind w:right="1960"/>
        <w:spacing w:after="0"/>
        <w:rPr>
          <w:sz w:val="20"/>
          <w:szCs w:val="20"/>
          <w:color w:val="auto"/>
        </w:rPr>
      </w:pPr>
      <w:r>
        <w:rPr>
          <w:rFonts w:ascii="Arial" w:cs="Arial" w:eastAsia="Arial" w:hAnsi="Arial"/>
          <w:sz w:val="13"/>
          <w:szCs w:val="13"/>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53212</w:t>
      </w:r>
    </w:p>
    <w:p>
      <w:pPr>
        <w:spacing w:after="0" w:line="52" w:lineRule="exact"/>
        <w:rPr>
          <w:sz w:val="24"/>
          <w:szCs w:val="24"/>
          <w:color w:val="auto"/>
        </w:rPr>
      </w:pPr>
    </w:p>
    <w:p>
      <w:pPr>
        <w:sectPr>
          <w:pgSz w:w="11900" w:h="16838" w:orient="portrait"/>
          <w:cols w:equalWidth="0" w:num="2">
            <w:col w:w="7700" w:space="720"/>
            <w:col w:w="3040"/>
          </w:cols>
          <w:pgMar w:left="220" w:top="465" w:right="219" w:bottom="1440" w:gutter="0" w:footer="0" w:header="0"/>
          <w:type w:val="continuous"/>
        </w:sectPr>
      </w:pPr>
    </w:p>
    <w:p>
      <w:pPr>
        <w:ind w:left="1960"/>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28" w:lineRule="exact"/>
        <w:rPr>
          <w:sz w:val="24"/>
          <w:szCs w:val="24"/>
          <w:color w:val="auto"/>
        </w:rPr>
      </w:pPr>
    </w:p>
    <w:p>
      <w:pPr>
        <w:sectPr>
          <w:pgSz w:w="11900" w:h="16838" w:orient="portrait"/>
          <w:cols w:equalWidth="0" w:num="2">
            <w:col w:w="7620" w:space="720"/>
            <w:col w:w="3120"/>
          </w:cols>
          <w:pgMar w:left="220" w:top="465" w:right="219" w:bottom="1440" w:gutter="0" w:footer="0" w:header="0"/>
          <w:type w:val="continuous"/>
        </w:sectPr>
      </w:pPr>
    </w:p>
    <w:p>
      <w:pPr>
        <w:jc w:val="center"/>
        <w:spacing w:after="0"/>
        <w:rPr>
          <w:sz w:val="20"/>
          <w:szCs w:val="20"/>
          <w:color w:val="auto"/>
        </w:rPr>
      </w:pPr>
      <w:r>
        <w:rPr>
          <w:rFonts w:ascii="Arial" w:cs="Arial" w:eastAsia="Arial" w:hAnsi="Arial"/>
          <w:sz w:val="11"/>
          <w:szCs w:val="11"/>
          <w:b w:val="1"/>
          <w:bCs w:val="1"/>
          <w:color w:val="auto"/>
        </w:rPr>
        <w:t>Registrant’s telephone number, including area code: (414) 961-1000</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60"/>
          </w:cols>
          <w:pgMar w:left="220" w:top="465" w:right="219" w:bottom="1440" w:gutter="0" w:footer="0" w:header="0"/>
          <w:type w:val="continuous"/>
        </w:sectPr>
      </w:pPr>
    </w:p>
    <w:p>
      <w:pPr>
        <w:spacing w:after="0" w:line="217" w:lineRule="exact"/>
        <w:rPr>
          <w:sz w:val="24"/>
          <w:szCs w:val="24"/>
          <w:color w:val="auto"/>
        </w:rPr>
      </w:pPr>
    </w:p>
    <w:p>
      <w:pPr>
        <w:ind w:left="2460"/>
        <w:spacing w:after="0"/>
        <w:rPr>
          <w:sz w:val="20"/>
          <w:szCs w:val="20"/>
          <w:color w:val="auto"/>
        </w:rPr>
      </w:pPr>
      <w:r>
        <w:rPr>
          <w:rFonts w:ascii="Arial" w:cs="Arial" w:eastAsia="Arial" w:hAnsi="Arial"/>
          <w:sz w:val="9"/>
          <w:szCs w:val="9"/>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Name of Exchange on which registered</w:t>
      </w:r>
    </w:p>
    <w:p>
      <w:pPr>
        <w:spacing w:after="0" w:line="38" w:lineRule="exact"/>
        <w:rPr>
          <w:sz w:val="24"/>
          <w:szCs w:val="24"/>
          <w:color w:val="auto"/>
        </w:rPr>
      </w:pPr>
    </w:p>
    <w:p>
      <w:pPr>
        <w:sectPr>
          <w:pgSz w:w="11900" w:h="16838" w:orient="portrait"/>
          <w:cols w:equalWidth="0" w:num="2">
            <w:col w:w="6980" w:space="720"/>
            <w:col w:w="3760"/>
          </w:cols>
          <w:pgMar w:left="220" w:top="465" w:right="219" w:bottom="1440" w:gutter="0" w:footer="0" w:header="0"/>
          <w:type w:val="continuous"/>
        </w:sectPr>
      </w:pPr>
    </w:p>
    <w:p>
      <w:pPr>
        <w:ind w:left="1980"/>
        <w:spacing w:after="0"/>
        <w:rPr>
          <w:sz w:val="20"/>
          <w:szCs w:val="20"/>
          <w:color w:val="auto"/>
        </w:rPr>
      </w:pPr>
      <w:r>
        <w:rPr>
          <w:rFonts w:ascii="Arial" w:cs="Arial" w:eastAsia="Arial" w:hAnsi="Arial"/>
          <w:sz w:val="11"/>
          <w:szCs w:val="11"/>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New York Stock Exchange</w:t>
      </w:r>
    </w:p>
    <w:p>
      <w:pPr>
        <w:spacing w:after="0" w:line="166" w:lineRule="exact"/>
        <w:rPr>
          <w:sz w:val="24"/>
          <w:szCs w:val="24"/>
          <w:color w:val="auto"/>
        </w:rPr>
      </w:pPr>
    </w:p>
    <w:p>
      <w:pPr>
        <w:sectPr>
          <w:pgSz w:w="11900" w:h="16838" w:orient="portrait"/>
          <w:cols w:equalWidth="0" w:num="2">
            <w:col w:w="7100" w:space="720"/>
            <w:col w:w="3640"/>
          </w:cols>
          <w:pgMar w:left="220" w:top="465" w:right="219" w:bottom="1440" w:gutter="0" w:footer="0" w:header="0"/>
          <w:type w:val="continuous"/>
        </w:sectPr>
      </w:pPr>
    </w:p>
    <w:p>
      <w:pPr>
        <w:jc w:val="center"/>
        <w:ind w:right="-19"/>
        <w:spacing w:after="0"/>
        <w:rPr>
          <w:sz w:val="20"/>
          <w:szCs w:val="20"/>
          <w:color w:val="auto"/>
        </w:rPr>
      </w:pPr>
      <w:r>
        <w:rPr>
          <w:rFonts w:ascii="Arial" w:cs="Arial" w:eastAsia="Arial" w:hAnsi="Arial"/>
          <w:sz w:val="11"/>
          <w:szCs w:val="11"/>
          <w:b w:val="1"/>
          <w:bCs w:val="1"/>
          <w:color w:val="auto"/>
        </w:rPr>
        <w:t>Securities registered pursuant to Section 12(g) of the Act: None</w:t>
      </w:r>
    </w:p>
    <w:p>
      <w:pPr>
        <w:sectPr>
          <w:pgSz w:w="11900" w:h="16838" w:orient="portrait"/>
          <w:cols w:equalWidth="0" w:num="1">
            <w:col w:w="11460"/>
          </w:cols>
          <w:pgMar w:left="220" w:top="465" w:right="219" w:bottom="1440" w:gutter="0" w:footer="0" w:header="0"/>
          <w:type w:val="continuous"/>
        </w:sectPr>
      </w:pPr>
    </w:p>
    <w:p>
      <w:pPr>
        <w:spacing w:after="0" w:line="134" w:lineRule="exact"/>
        <w:rPr>
          <w:sz w:val="24"/>
          <w:szCs w:val="24"/>
          <w:color w:val="auto"/>
        </w:rPr>
      </w:pPr>
    </w:p>
    <w:p>
      <w:pPr>
        <w:ind w:left="38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color w:val="auto"/>
        </w:rPr>
        <w:t>Yes x</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No</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98" w:lineRule="exact"/>
        <w:rPr>
          <w:sz w:val="24"/>
          <w:szCs w:val="24"/>
          <w:color w:val="auto"/>
        </w:rPr>
      </w:pPr>
    </w:p>
    <w:p>
      <w:pPr>
        <w:sectPr>
          <w:pgSz w:w="11900" w:h="16838" w:orient="portrait"/>
          <w:cols w:equalWidth="0" w:num="4">
            <w:col w:w="6800" w:space="160"/>
            <w:col w:w="340" w:space="140"/>
            <w:col w:w="160" w:space="140"/>
            <w:col w:w="3720"/>
          </w:cols>
          <w:pgMar w:left="220" w:top="465" w:right="219" w:bottom="1440" w:gutter="0" w:footer="0" w:header="0"/>
          <w:type w:val="continuous"/>
        </w:sectPr>
      </w:pPr>
    </w:p>
    <w:p>
      <w:pPr>
        <w:spacing w:after="0" w:line="25" w:lineRule="exact"/>
        <w:rPr>
          <w:sz w:val="24"/>
          <w:szCs w:val="24"/>
          <w:color w:val="auto"/>
        </w:rPr>
      </w:pPr>
    </w:p>
    <w:p>
      <w:pPr>
        <w:ind w:left="38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9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147" w:lineRule="exact"/>
        <w:rPr>
          <w:sz w:val="24"/>
          <w:szCs w:val="24"/>
          <w:color w:val="auto"/>
        </w:rPr>
      </w:pPr>
    </w:p>
    <w:p>
      <w:pPr>
        <w:sectPr>
          <w:pgSz w:w="11900" w:h="16838" w:orient="portrait"/>
          <w:cols w:equalWidth="0" w:num="4">
            <w:col w:w="6920" w:space="120"/>
            <w:col w:w="200" w:space="80"/>
            <w:col w:w="120" w:space="140"/>
            <w:col w:w="3880"/>
          </w:cols>
          <w:pgMar w:left="220" w:top="465" w:right="219" w:bottom="1440" w:gutter="0" w:footer="0" w:header="0"/>
          <w:type w:val="continuous"/>
        </w:sectPr>
      </w:pPr>
    </w:p>
    <w:p>
      <w:pPr>
        <w:ind w:right="320" w:firstLine="370"/>
        <w:spacing w:after="0" w:line="17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19" w:lineRule="exact"/>
        <w:rPr>
          <w:sz w:val="24"/>
          <w:szCs w:val="24"/>
          <w:color w:val="auto"/>
        </w:rPr>
      </w:pPr>
    </w:p>
    <w:p>
      <w:pPr>
        <w:ind w:right="300" w:firstLine="370"/>
        <w:spacing w:after="0" w:line="172"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19" w:lineRule="exact"/>
        <w:rPr>
          <w:sz w:val="24"/>
          <w:szCs w:val="24"/>
          <w:color w:val="auto"/>
        </w:rPr>
      </w:pPr>
    </w:p>
    <w:p>
      <w:pPr>
        <w:ind w:right="620" w:firstLine="370"/>
        <w:spacing w:after="0" w:line="24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60"/>
          </w:cols>
          <w:pgMar w:left="220" w:top="465" w:right="219" w:bottom="1440" w:gutter="0" w:footer="0" w:header="0"/>
          <w:type w:val="continuous"/>
        </w:sectPr>
      </w:pPr>
    </w:p>
    <w:p>
      <w:pPr>
        <w:ind w:left="2780"/>
        <w:spacing w:after="0" w:line="162" w:lineRule="exact"/>
        <w:tabs>
          <w:tab w:leader="none" w:pos="4260" w:val="left"/>
          <w:tab w:leader="none" w:pos="5500" w:val="left"/>
        </w:tabs>
        <w:rPr>
          <w:sz w:val="20"/>
          <w:szCs w:val="20"/>
          <w:color w:val="auto"/>
        </w:rPr>
      </w:pPr>
      <w:r>
        <w:rPr>
          <w:rFonts w:ascii="Arial" w:cs="Arial" w:eastAsia="Arial" w:hAnsi="Arial"/>
          <w:sz w:val="14"/>
          <w:szCs w:val="14"/>
          <w:color w:val="auto"/>
        </w:rPr>
        <w:t>Large accelerated filer x</w:t>
        <w:tab/>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92"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4">
            <w:col w:w="6680" w:space="60"/>
            <w:col w:w="120" w:space="140"/>
            <w:col w:w="1500" w:space="60"/>
            <w:col w:w="2900"/>
          </w:cols>
          <w:pgMar w:left="220" w:top="465" w:right="219" w:bottom="1440" w:gutter="0" w:footer="0" w:header="0"/>
          <w:type w:val="continuous"/>
        </w:sectPr>
      </w:pPr>
    </w:p>
    <w:p>
      <w:pPr>
        <w:spacing w:after="0" w:line="25" w:lineRule="exact"/>
        <w:rPr>
          <w:sz w:val="24"/>
          <w:szCs w:val="24"/>
          <w:color w:val="auto"/>
        </w:rPr>
      </w:pPr>
    </w:p>
    <w:p>
      <w:pPr>
        <w:ind w:left="38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9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147" w:lineRule="exact"/>
        <w:rPr>
          <w:sz w:val="24"/>
          <w:szCs w:val="24"/>
          <w:color w:val="auto"/>
        </w:rPr>
      </w:pPr>
    </w:p>
    <w:p>
      <w:pPr>
        <w:sectPr>
          <w:pgSz w:w="11900" w:h="16838" w:orient="portrait"/>
          <w:cols w:equalWidth="0" w:num="4">
            <w:col w:w="6640" w:space="120"/>
            <w:col w:w="200" w:space="80"/>
            <w:col w:w="120" w:space="140"/>
            <w:col w:w="4160"/>
          </w:cols>
          <w:pgMar w:left="220" w:top="465" w:right="219" w:bottom="1440" w:gutter="0" w:footer="0" w:header="0"/>
          <w:type w:val="continuous"/>
        </w:sectPr>
      </w:pPr>
    </w:p>
    <w:p>
      <w:pPr>
        <w:ind w:firstLine="370"/>
        <w:spacing w:after="0" w:line="249" w:lineRule="auto"/>
        <w:rPr>
          <w:sz w:val="20"/>
          <w:szCs w:val="20"/>
          <w:color w:val="auto"/>
        </w:rPr>
      </w:pPr>
      <w:r>
        <w:rPr>
          <w:rFonts w:ascii="Arial" w:cs="Arial" w:eastAsia="Arial" w:hAnsi="Arial"/>
          <w:sz w:val="14"/>
          <w:szCs w:val="14"/>
          <w:color w:val="auto"/>
        </w:rPr>
        <w:t>The aggregate market value of the voting stock held by nonaffiliates of the registrant was $4,623,783,615 as of June 30, 2008. As of February 17, 2009, there were 78,353,899 of the registrant’s shares of common stock outstanding.</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1" w:lineRule="exact"/>
        <w:rPr>
          <w:sz w:val="24"/>
          <w:szCs w:val="24"/>
          <w:color w:val="auto"/>
        </w:rPr>
      </w:pPr>
    </w:p>
    <w:p>
      <w:pPr>
        <w:ind w:right="160" w:firstLine="370"/>
        <w:spacing w:after="0" w:line="249" w:lineRule="auto"/>
        <w:rPr>
          <w:sz w:val="20"/>
          <w:szCs w:val="20"/>
          <w:color w:val="auto"/>
        </w:rPr>
      </w:pPr>
      <w:r>
        <w:rPr>
          <w:rFonts w:ascii="Arial" w:cs="Arial" w:eastAsia="Arial" w:hAnsi="Arial"/>
          <w:sz w:val="14"/>
          <w:szCs w:val="14"/>
          <w:color w:val="auto"/>
        </w:rPr>
        <w:t>Parts I and II incorporate information by reference from the Annual Report to Shareholders for the fiscal year ended December 31, 2008. Part III is incorporated by reference from the Proxy Statement for the Annual Meeting of Shareholders to be held on April 28,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7285355"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65" w:right="21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4"/>
          <w:szCs w:val="14"/>
          <w:b w:val="1"/>
          <w:bCs w:val="1"/>
          <w:color w:val="auto"/>
        </w:rPr>
        <w:t>PART I</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terms “Manpower,” “we,” “our,” “us,” or “the Company” refer to Manpower Inc. or Manpower Inc. and its consolidated subsidiaries, as appropriate in the context.</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Introduction and History</w:t>
      </w:r>
    </w:p>
    <w:p>
      <w:pPr>
        <w:spacing w:after="0" w:line="147" w:lineRule="exact"/>
        <w:rPr>
          <w:sz w:val="20"/>
          <w:szCs w:val="20"/>
          <w:color w:val="auto"/>
        </w:rPr>
      </w:pPr>
    </w:p>
    <w:p>
      <w:pPr>
        <w:ind w:right="180" w:firstLine="370"/>
        <w:spacing w:after="0" w:line="239" w:lineRule="auto"/>
        <w:rPr>
          <w:sz w:val="20"/>
          <w:szCs w:val="20"/>
          <w:color w:val="auto"/>
        </w:rPr>
      </w:pPr>
      <w:r>
        <w:rPr>
          <w:rFonts w:ascii="Arial" w:cs="Arial" w:eastAsia="Arial" w:hAnsi="Arial"/>
          <w:sz w:val="14"/>
          <w:szCs w:val="14"/>
          <w:color w:val="auto"/>
        </w:rPr>
        <w:t>Manpower Inc. is a world leader in the employment services industry. Our global network of over 4,400 offices in 82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35" w:lineRule="exact"/>
        <w:rPr>
          <w:sz w:val="20"/>
          <w:szCs w:val="20"/>
          <w:color w:val="auto"/>
        </w:rPr>
      </w:pPr>
    </w:p>
    <w:p>
      <w:pPr>
        <w:ind w:right="280" w:firstLine="370"/>
        <w:spacing w:after="0" w:line="249" w:lineRule="auto"/>
        <w:rPr>
          <w:sz w:val="20"/>
          <w:szCs w:val="20"/>
          <w:color w:val="auto"/>
        </w:rPr>
      </w:pPr>
      <w:r>
        <w:rPr>
          <w:rFonts w:ascii="Arial" w:cs="Arial" w:eastAsia="Arial" w:hAnsi="Arial"/>
          <w:sz w:val="14"/>
          <w:szCs w:val="14"/>
          <w:color w:val="auto"/>
        </w:rPr>
        <w:t>Manpower Inc.’s five major brands – Manpower, Manpower Professional, Elan, Jefferson Wells and Right Management – provide a comprehensive range of services for the entire employment and business cycle including:</w:t>
      </w:r>
    </w:p>
    <w:p>
      <w:pPr>
        <w:spacing w:after="0" w:line="124" w:lineRule="exact"/>
        <w:rPr>
          <w:sz w:val="20"/>
          <w:szCs w:val="20"/>
          <w:color w:val="auto"/>
        </w:rPr>
      </w:pPr>
    </w:p>
    <w:p>
      <w:pPr>
        <w:ind w:left="660" w:right="540" w:hanging="247"/>
        <w:spacing w:after="0" w:line="255"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 xml:space="preserve">Permanent, temporary and contract recruitment </w:t>
      </w:r>
      <w:r>
        <w:rPr>
          <w:rFonts w:ascii="Arial" w:cs="Arial" w:eastAsia="Arial" w:hAnsi="Arial"/>
          <w:sz w:val="14"/>
          <w:szCs w:val="14"/>
          <w:color w:val="auto"/>
        </w:rPr>
        <w:t>– We find the best people for all types of jobs and industries at both the staff and professional levels under the Manpower, Manpower</w:t>
      </w:r>
      <w:r>
        <w:rPr>
          <w:rFonts w:ascii="Arial" w:cs="Arial" w:eastAsia="Arial" w:hAnsi="Arial"/>
          <w:sz w:val="14"/>
          <w:szCs w:val="14"/>
          <w:b w:val="1"/>
          <w:bCs w:val="1"/>
          <w:color w:val="auto"/>
        </w:rPr>
        <w:t xml:space="preserve"> </w:t>
      </w:r>
      <w:r>
        <w:rPr>
          <w:rFonts w:ascii="Arial" w:cs="Arial" w:eastAsia="Arial" w:hAnsi="Arial"/>
          <w:sz w:val="14"/>
          <w:szCs w:val="14"/>
          <w:color w:val="auto"/>
        </w:rPr>
        <w:t>Professional and Elan brands.</w:t>
      </w:r>
    </w:p>
    <w:p>
      <w:pPr>
        <w:spacing w:after="0" w:line="120" w:lineRule="exact"/>
        <w:rPr>
          <w:rFonts w:ascii="Arial" w:cs="Arial" w:eastAsia="Arial" w:hAnsi="Arial"/>
          <w:sz w:val="14"/>
          <w:szCs w:val="14"/>
          <w:color w:val="auto"/>
        </w:rPr>
      </w:pPr>
    </w:p>
    <w:p>
      <w:pPr>
        <w:ind w:left="660" w:right="400" w:hanging="247"/>
        <w:spacing w:after="0" w:line="255"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 xml:space="preserve">Employee assessment and selection </w:t>
      </w:r>
      <w:r>
        <w:rPr>
          <w:rFonts w:ascii="Arial" w:cs="Arial" w:eastAsia="Arial" w:hAnsi="Arial"/>
          <w:sz w:val="14"/>
          <w:szCs w:val="14"/>
          <w:color w:val="auto"/>
        </w:rPr>
        <w:t>– We provide a wide array of assessments to validate candidate skills and ensure a good fit between the client and the employee, which leads to higher</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 retention rates.</w:t>
      </w:r>
    </w:p>
    <w:p>
      <w:pPr>
        <w:spacing w:after="0" w:line="120" w:lineRule="exact"/>
        <w:rPr>
          <w:rFonts w:ascii="Arial" w:cs="Arial" w:eastAsia="Arial" w:hAnsi="Arial"/>
          <w:sz w:val="14"/>
          <w:szCs w:val="14"/>
          <w:color w:val="auto"/>
        </w:rPr>
      </w:pPr>
    </w:p>
    <w:p>
      <w:pPr>
        <w:ind w:left="660" w:right="100" w:hanging="247"/>
        <w:spacing w:after="0" w:line="255"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 xml:space="preserve">Training </w:t>
      </w:r>
      <w:r>
        <w:rPr>
          <w:rFonts w:ascii="Arial" w:cs="Arial" w:eastAsia="Arial" w:hAnsi="Arial"/>
          <w:sz w:val="14"/>
          <w:szCs w:val="14"/>
          <w:color w:val="auto"/>
        </w:rPr>
        <w:t>– We offer an extensive choice of training and development solutions that help our employees, associates and clients’ workforces to improve their skills and gain qualifications that will</w:t>
      </w:r>
      <w:r>
        <w:rPr>
          <w:rFonts w:ascii="Arial" w:cs="Arial" w:eastAsia="Arial" w:hAnsi="Arial"/>
          <w:sz w:val="14"/>
          <w:szCs w:val="14"/>
          <w:b w:val="1"/>
          <w:bCs w:val="1"/>
          <w:color w:val="auto"/>
        </w:rPr>
        <w:t xml:space="preserve"> </w:t>
      </w:r>
      <w:r>
        <w:rPr>
          <w:rFonts w:ascii="Arial" w:cs="Arial" w:eastAsia="Arial" w:hAnsi="Arial"/>
          <w:sz w:val="14"/>
          <w:szCs w:val="14"/>
          <w:color w:val="auto"/>
        </w:rPr>
        <w:t>help them to succeed in the ever-changing world of work.</w:t>
      </w:r>
    </w:p>
    <w:p>
      <w:pPr>
        <w:spacing w:after="0" w:line="120" w:lineRule="exact"/>
        <w:rPr>
          <w:rFonts w:ascii="Arial" w:cs="Arial" w:eastAsia="Arial" w:hAnsi="Arial"/>
          <w:sz w:val="14"/>
          <w:szCs w:val="14"/>
          <w:color w:val="auto"/>
        </w:rPr>
      </w:pPr>
    </w:p>
    <w:p>
      <w:pPr>
        <w:ind w:left="660" w:right="140" w:hanging="247"/>
        <w:spacing w:after="0" w:line="242"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 xml:space="preserve">Outplacement </w:t>
      </w:r>
      <w:r>
        <w:rPr>
          <w:rFonts w:ascii="Arial" w:cs="Arial" w:eastAsia="Arial" w:hAnsi="Arial"/>
          <w:sz w:val="14"/>
          <w:szCs w:val="14"/>
          <w:color w:val="auto"/>
        </w:rPr>
        <w:t>– Our Right Management brand is the world’s leading outplacement provider, helping our clients to better manage the human side of change by providing a positive way for</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employees who are transitioning out to make the right choice for the next step in their career. The countercyclical nature of the outplacement industry helps strengthen our portfolio during down economic cycles.</w:t>
      </w:r>
    </w:p>
    <w:p>
      <w:pPr>
        <w:spacing w:after="0" w:line="129" w:lineRule="exact"/>
        <w:rPr>
          <w:rFonts w:ascii="Arial" w:cs="Arial" w:eastAsia="Arial" w:hAnsi="Arial"/>
          <w:sz w:val="14"/>
          <w:szCs w:val="14"/>
          <w:color w:val="auto"/>
        </w:rPr>
      </w:pPr>
    </w:p>
    <w:p>
      <w:pPr>
        <w:ind w:left="660" w:hanging="247"/>
        <w:spacing w:after="0" w:line="270" w:lineRule="auto"/>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 xml:space="preserve">Outsourcing </w:t>
      </w:r>
      <w:r>
        <w:rPr>
          <w:rFonts w:ascii="Arial" w:cs="Arial" w:eastAsia="Arial" w:hAnsi="Arial"/>
          <w:sz w:val="13"/>
          <w:szCs w:val="13"/>
          <w:color w:val="auto"/>
        </w:rPr>
        <w:t>– Under Manpower Business Solutions (MBS), we provide clients with outsourcing services related to human resources functions primarily in the areas of large-scale recruiting and</w:t>
      </w:r>
      <w:r>
        <w:rPr>
          <w:rFonts w:ascii="Arial" w:cs="Arial" w:eastAsia="Arial" w:hAnsi="Arial"/>
          <w:sz w:val="13"/>
          <w:szCs w:val="13"/>
          <w:b w:val="1"/>
          <w:bCs w:val="1"/>
          <w:color w:val="auto"/>
        </w:rPr>
        <w:t xml:space="preserve"> </w:t>
      </w:r>
      <w:r>
        <w:rPr>
          <w:rFonts w:ascii="Arial" w:cs="Arial" w:eastAsia="Arial" w:hAnsi="Arial"/>
          <w:sz w:val="13"/>
          <w:szCs w:val="13"/>
          <w:color w:val="auto"/>
        </w:rPr>
        <w:t>workforce-intensive initiatives that are outcome based, thereby sharing in the risk and reward with our clients. Our solutions include: task outsourcing, vendor management, onsite HR services and Recruitment Process Outsourcing (RPO), where we are one of the largest providers of permanent and contingent recruitment in the world.</w:t>
      </w:r>
    </w:p>
    <w:p>
      <w:pPr>
        <w:spacing w:after="0" w:line="111" w:lineRule="exact"/>
        <w:rPr>
          <w:rFonts w:ascii="Arial" w:cs="Arial" w:eastAsia="Arial" w:hAnsi="Arial"/>
          <w:sz w:val="13"/>
          <w:szCs w:val="13"/>
          <w:color w:val="auto"/>
        </w:rPr>
      </w:pPr>
    </w:p>
    <w:p>
      <w:pPr>
        <w:jc w:val="both"/>
        <w:ind w:left="660" w:right="160" w:hanging="247"/>
        <w:spacing w:after="0" w:line="390" w:lineRule="auto"/>
        <w:tabs>
          <w:tab w:leader="none" w:pos="660" w:val="left"/>
        </w:tabs>
        <w:numPr>
          <w:ilvl w:val="0"/>
          <w:numId w:val="1"/>
        </w:numPr>
        <w:rPr>
          <w:rFonts w:ascii="Arial" w:cs="Arial" w:eastAsia="Arial" w:hAnsi="Arial"/>
          <w:sz w:val="11"/>
          <w:szCs w:val="11"/>
          <w:color w:val="auto"/>
        </w:rPr>
      </w:pPr>
      <w:r>
        <w:rPr>
          <w:rFonts w:ascii="Arial" w:cs="Arial" w:eastAsia="Arial" w:hAnsi="Arial"/>
          <w:sz w:val="11"/>
          <w:szCs w:val="11"/>
          <w:b w:val="1"/>
          <w:bCs w:val="1"/>
          <w:color w:val="auto"/>
        </w:rPr>
        <w:t xml:space="preserve">Consulting </w:t>
      </w:r>
      <w:r>
        <w:rPr>
          <w:rFonts w:ascii="Arial" w:cs="Arial" w:eastAsia="Arial" w:hAnsi="Arial"/>
          <w:sz w:val="11"/>
          <w:szCs w:val="11"/>
          <w:color w:val="auto"/>
        </w:rPr>
        <w:t>– We are a leading global provider of integrated consulting solutions across the employment lifecycle. We help clients maximize the return on their human capital investments while</w:t>
      </w:r>
      <w:r>
        <w:rPr>
          <w:rFonts w:ascii="Arial" w:cs="Arial" w:eastAsia="Arial" w:hAnsi="Arial"/>
          <w:sz w:val="11"/>
          <w:szCs w:val="11"/>
          <w:b w:val="1"/>
          <w:bCs w:val="1"/>
          <w:color w:val="auto"/>
        </w:rPr>
        <w:t xml:space="preserve"> </w:t>
      </w:r>
      <w:r>
        <w:rPr>
          <w:rFonts w:ascii="Arial" w:cs="Arial" w:eastAsia="Arial" w:hAnsi="Arial"/>
          <w:sz w:val="11"/>
          <w:szCs w:val="11"/>
          <w:color w:val="auto"/>
        </w:rPr>
        <w:t>assisting individuals to achieve their full potential. Our Right Management brand helps clients attract and assess top talent; develop and grow leaders; and engage and align people with strategy.</w:t>
      </w:r>
    </w:p>
    <w:p>
      <w:pPr>
        <w:spacing w:after="0" w:line="51" w:lineRule="exact"/>
        <w:rPr>
          <w:rFonts w:ascii="Arial" w:cs="Arial" w:eastAsia="Arial" w:hAnsi="Arial"/>
          <w:sz w:val="11"/>
          <w:szCs w:val="11"/>
          <w:color w:val="auto"/>
        </w:rPr>
      </w:pPr>
    </w:p>
    <w:p>
      <w:pPr>
        <w:ind w:left="660" w:right="380" w:hanging="247"/>
        <w:spacing w:after="0" w:line="255"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 xml:space="preserve">Professional Services </w:t>
      </w:r>
      <w:r>
        <w:rPr>
          <w:rFonts w:ascii="Arial" w:cs="Arial" w:eastAsia="Arial" w:hAnsi="Arial"/>
          <w:sz w:val="14"/>
          <w:szCs w:val="14"/>
          <w:color w:val="auto"/>
        </w:rPr>
        <w:t>– Our Jefferson Wells brand is a high-value alternative to public accounting firms and other consulting groups, delivering professional services in the areas of internal</w:t>
      </w:r>
      <w:r>
        <w:rPr>
          <w:rFonts w:ascii="Arial" w:cs="Arial" w:eastAsia="Arial" w:hAnsi="Arial"/>
          <w:sz w:val="14"/>
          <w:szCs w:val="14"/>
          <w:b w:val="1"/>
          <w:bCs w:val="1"/>
          <w:color w:val="auto"/>
        </w:rPr>
        <w:t xml:space="preserve"> </w:t>
      </w:r>
      <w:r>
        <w:rPr>
          <w:rFonts w:ascii="Arial" w:cs="Arial" w:eastAsia="Arial" w:hAnsi="Arial"/>
          <w:sz w:val="14"/>
          <w:szCs w:val="14"/>
          <w:color w:val="auto"/>
        </w:rPr>
        <w:t>controls, tax, technology risk management, and finance and accounting.</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This comprehensive and diverse business mix allows us to mitigate the cyclical effects of the national economies in which we operate.</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380"/>
          </w:cols>
          <w:pgMar w:left="220" w:top="423" w:right="299" w:bottom="1440" w:gutter="0" w:footer="0" w:header="0"/>
        </w:sectPr>
      </w:pPr>
    </w:p>
    <w:bookmarkStart w:id="2" w:name="page3"/>
    <w:bookmarkEnd w:id="2"/>
    <w:p>
      <w:pPr>
        <w:ind w:right="60" w:firstLine="370"/>
        <w:spacing w:after="0" w:line="260" w:lineRule="auto"/>
        <w:rPr>
          <w:sz w:val="20"/>
          <w:szCs w:val="20"/>
          <w:color w:val="auto"/>
        </w:rPr>
      </w:pPr>
      <w:r>
        <w:rPr>
          <w:rFonts w:ascii="Arial" w:cs="Arial" w:eastAsia="Arial" w:hAnsi="Arial"/>
          <w:sz w:val="13"/>
          <w:szCs w:val="13"/>
          <w:color w:val="auto"/>
        </w:rPr>
        <w:t>Our leadership position also allows us to be a center for quality employment opportunities for people at all points in their career paths. In 2008, we found permanent and temporary jobs for four million people who work to help our more than 400,000 clients meet their business objectives. Seasoned professionals, skilled laborers, mothers returning to work, elderly persons wanting to supplement pensions and disabled individuals – all turn to the Manpower group of companies for employment. Similarly, governments of the nations in which we operate look to us to help reduce unemployment and train the unemployed with skills they need to enter the workforce. In this way, our company is a bridge to permanent employment for those who desire it.</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and our predecessors, have been in business since 1948, with shares listed on the New York Stock Exchange since 1967.</w:t>
      </w:r>
    </w:p>
    <w:p>
      <w:pPr>
        <w:spacing w:after="0" w:line="127" w:lineRule="exact"/>
        <w:rPr>
          <w:sz w:val="20"/>
          <w:szCs w:val="20"/>
          <w:color w:val="auto"/>
        </w:rPr>
      </w:pPr>
    </w:p>
    <w:p>
      <w:pPr>
        <w:ind w:right="20" w:firstLine="370"/>
        <w:spacing w:after="0" w:line="239" w:lineRule="auto"/>
        <w:rPr>
          <w:sz w:val="20"/>
          <w:szCs w:val="20"/>
          <w:color w:val="auto"/>
        </w:rPr>
      </w:pPr>
      <w:r>
        <w:rPr>
          <w:rFonts w:ascii="Arial" w:cs="Arial" w:eastAsia="Arial" w:hAnsi="Arial"/>
          <w:sz w:val="14"/>
          <w:szCs w:val="14"/>
          <w:color w:val="auto"/>
        </w:rPr>
        <w:t>Our Internet address is www.manpower.com.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35" w:lineRule="exact"/>
        <w:rPr>
          <w:sz w:val="20"/>
          <w:szCs w:val="20"/>
          <w:color w:val="auto"/>
        </w:rPr>
      </w:pPr>
    </w:p>
    <w:p>
      <w:pPr>
        <w:ind w:left="660" w:hanging="247"/>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articles of incorporation and bylaws</w:t>
      </w:r>
    </w:p>
    <w:p>
      <w:pPr>
        <w:spacing w:after="0" w:line="147" w:lineRule="exact"/>
        <w:rPr>
          <w:rFonts w:ascii="Arial" w:cs="Arial" w:eastAsia="Arial" w:hAnsi="Arial"/>
          <w:sz w:val="14"/>
          <w:szCs w:val="14"/>
          <w:color w:val="auto"/>
        </w:rPr>
      </w:pPr>
    </w:p>
    <w:p>
      <w:pPr>
        <w:ind w:left="660" w:hanging="247"/>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Manpower Code of Business Conduct and Ethics</w:t>
      </w:r>
    </w:p>
    <w:p>
      <w:pPr>
        <w:spacing w:after="0" w:line="147" w:lineRule="exact"/>
        <w:rPr>
          <w:rFonts w:ascii="Arial" w:cs="Arial" w:eastAsia="Arial" w:hAnsi="Arial"/>
          <w:sz w:val="14"/>
          <w:szCs w:val="14"/>
          <w:color w:val="auto"/>
        </w:rPr>
      </w:pPr>
    </w:p>
    <w:p>
      <w:pPr>
        <w:ind w:left="660" w:hanging="247"/>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Corporate Governance Guidelines</w:t>
      </w:r>
    </w:p>
    <w:p>
      <w:pPr>
        <w:spacing w:after="0" w:line="147" w:lineRule="exact"/>
        <w:rPr>
          <w:rFonts w:ascii="Arial" w:cs="Arial" w:eastAsia="Arial" w:hAnsi="Arial"/>
          <w:sz w:val="14"/>
          <w:szCs w:val="14"/>
          <w:color w:val="auto"/>
        </w:rPr>
      </w:pPr>
    </w:p>
    <w:p>
      <w:pPr>
        <w:ind w:left="660" w:hanging="247"/>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charters of the Audit, Executive Compensation and Nominating and Governance Committees of the Board of Directors</w:t>
      </w:r>
    </w:p>
    <w:p>
      <w:pPr>
        <w:spacing w:after="0" w:line="147" w:lineRule="exact"/>
        <w:rPr>
          <w:rFonts w:ascii="Arial" w:cs="Arial" w:eastAsia="Arial" w:hAnsi="Arial"/>
          <w:sz w:val="14"/>
          <w:szCs w:val="14"/>
          <w:color w:val="auto"/>
        </w:rPr>
      </w:pPr>
    </w:p>
    <w:p>
      <w:pPr>
        <w:ind w:left="660" w:hanging="247"/>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guidelines for selecting board candidates</w:t>
      </w:r>
    </w:p>
    <w:p>
      <w:pPr>
        <w:spacing w:after="0" w:line="147" w:lineRule="exact"/>
        <w:rPr>
          <w:rFonts w:ascii="Arial" w:cs="Arial" w:eastAsia="Arial" w:hAnsi="Arial"/>
          <w:sz w:val="14"/>
          <w:szCs w:val="14"/>
          <w:color w:val="auto"/>
        </w:rPr>
      </w:pPr>
    </w:p>
    <w:p>
      <w:pPr>
        <w:ind w:left="660" w:hanging="247"/>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categorical standards for relationships deemed not to impair independence of non-employee directors</w:t>
      </w:r>
    </w:p>
    <w:p>
      <w:pPr>
        <w:spacing w:after="0" w:line="147" w:lineRule="exact"/>
        <w:rPr>
          <w:rFonts w:ascii="Arial" w:cs="Arial" w:eastAsia="Arial" w:hAnsi="Arial"/>
          <w:sz w:val="14"/>
          <w:szCs w:val="14"/>
          <w:color w:val="auto"/>
        </w:rPr>
      </w:pPr>
    </w:p>
    <w:p>
      <w:pPr>
        <w:ind w:left="660" w:hanging="247"/>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policy on services provided by independent auditors, and</w:t>
      </w:r>
    </w:p>
    <w:p>
      <w:pPr>
        <w:spacing w:after="0" w:line="147" w:lineRule="exact"/>
        <w:rPr>
          <w:rFonts w:ascii="Arial" w:cs="Arial" w:eastAsia="Arial" w:hAnsi="Arial"/>
          <w:sz w:val="14"/>
          <w:szCs w:val="14"/>
          <w:color w:val="auto"/>
        </w:rPr>
      </w:pPr>
    </w:p>
    <w:p>
      <w:pPr>
        <w:ind w:left="660" w:hanging="247"/>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regular update on corporate social responsibility.</w:t>
      </w:r>
    </w:p>
    <w:p>
      <w:pPr>
        <w:spacing w:after="0" w:line="147"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Documents available on the website are also available in print for any shareholder who requests them. Requests may be made by writing to Mr. Kenneth C. Hunt, Secretary, Manpower Inc., 100 Manpower Place, Milwaukee, Wisconsin 53212. We are not including the information contained on or available through our website as a part of, or incorporating such information by reference into, this Annual Report on Form 10-K.</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auto"/>
        </w:rPr>
        <w:t>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States</w:t>
      </w:r>
    </w:p>
    <w:p>
      <w:pPr>
        <w:spacing w:after="0" w:line="147" w:lineRule="exact"/>
        <w:rPr>
          <w:sz w:val="20"/>
          <w:szCs w:val="20"/>
          <w:color w:val="auto"/>
        </w:rPr>
      </w:pPr>
    </w:p>
    <w:p>
      <w:pPr>
        <w:jc w:val="both"/>
        <w:ind w:firstLine="370"/>
        <w:spacing w:after="0" w:line="260" w:lineRule="auto"/>
        <w:rPr>
          <w:sz w:val="20"/>
          <w:szCs w:val="20"/>
          <w:color w:val="auto"/>
        </w:rPr>
      </w:pPr>
      <w:r>
        <w:rPr>
          <w:rFonts w:ascii="Arial" w:cs="Arial" w:eastAsia="Arial" w:hAnsi="Arial"/>
          <w:sz w:val="13"/>
          <w:szCs w:val="13"/>
          <w:color w:val="auto"/>
        </w:rPr>
        <w:t>In the United States, our operations under the Manpower and Manpower Professional brands are carried out through both branch and franchise offices. We had 547 branch and 240 stand-alone franchise offices in the United States as of December 31, 2008, as well as on-site locations at clients with significant permanent, temporary and contract recruitment requirements. We provide a number of central support services to our branches and franchises, which enable us to maintain consistent service quality throughout the United States regardless of whether an office is a branch or franchise. We provide client invoicing and payroll processing of our contingent workers for all branch offices and some of our franchise offices through our Milwaukee headquarters.</w:t>
      </w:r>
    </w:p>
    <w:p>
      <w:pPr>
        <w:spacing w:after="0" w:line="112" w:lineRule="exact"/>
        <w:rPr>
          <w:sz w:val="20"/>
          <w:szCs w:val="20"/>
          <w:color w:val="auto"/>
        </w:rPr>
      </w:pPr>
    </w:p>
    <w:p>
      <w:pPr>
        <w:ind w:right="160" w:firstLine="370"/>
        <w:spacing w:after="0" w:line="270" w:lineRule="auto"/>
        <w:rPr>
          <w:sz w:val="20"/>
          <w:szCs w:val="20"/>
          <w:color w:val="auto"/>
        </w:rPr>
      </w:pPr>
      <w:r>
        <w:rPr>
          <w:rFonts w:ascii="Arial" w:cs="Arial" w:eastAsia="Arial" w:hAnsi="Arial"/>
          <w:sz w:val="12"/>
          <w:szCs w:val="12"/>
          <w:color w:val="auto"/>
        </w:rPr>
        <w:t>Our franchise agreements provide the franchisee with the right to use the Manpower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or Manpower Professional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service mark and associated marks in a specifically defined exclusive territory. In the United States, franchise fees range from 2-3% of franchise sales. Our franchise agreements provide that in the event of a proposed sale of a franchise to a third party, we have the right to repurchase the franchise at the same price and on the same terms as proposed by the third party. We exercise this right and intend to continue to do so in the future if opportunities arise with appropriate prices and terms.</w:t>
      </w:r>
    </w:p>
    <w:p>
      <w:pPr>
        <w:spacing w:after="0" w:line="128" w:lineRule="exact"/>
        <w:rPr>
          <w:sz w:val="20"/>
          <w:szCs w:val="20"/>
          <w:color w:val="auto"/>
        </w:rPr>
      </w:pPr>
    </w:p>
    <w:p>
      <w:pPr>
        <w:jc w:val="both"/>
        <w:ind w:right="120" w:firstLine="370"/>
        <w:spacing w:after="0" w:line="239" w:lineRule="auto"/>
        <w:rPr>
          <w:sz w:val="20"/>
          <w:szCs w:val="20"/>
          <w:color w:val="auto"/>
        </w:rPr>
      </w:pPr>
      <w:r>
        <w:rPr>
          <w:rFonts w:ascii="Arial" w:cs="Arial" w:eastAsia="Arial" w:hAnsi="Arial"/>
          <w:sz w:val="14"/>
          <w:szCs w:val="14"/>
          <w:color w:val="auto"/>
        </w:rPr>
        <w:t>In the United States, our Manpower operations provide a variety of employment services, including permanent, temporary and contract recruitment, assessment and selection, training and outsourcing. During 2008, approximately 27% of our United States temporary and contract recruitment revenues were derived from placing office staff, including contact center staff, 52% from placing industrial staff and 21% from placing professional and technical staff.</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conduct business in the United States under our Jefferson Wells and Right Management brands. These operations are discussed further in the following sections.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France</w:t>
      </w:r>
    </w:p>
    <w:p>
      <w:pPr>
        <w:spacing w:after="0" w:line="147" w:lineRule="exact"/>
        <w:rPr>
          <w:sz w:val="20"/>
          <w:szCs w:val="20"/>
          <w:color w:val="auto"/>
        </w:rPr>
      </w:pPr>
    </w:p>
    <w:p>
      <w:pPr>
        <w:ind w:right="20" w:firstLine="370"/>
        <w:spacing w:after="0" w:line="249" w:lineRule="auto"/>
        <w:rPr>
          <w:sz w:val="20"/>
          <w:szCs w:val="20"/>
          <w:color w:val="auto"/>
        </w:rPr>
      </w:pPr>
      <w:r>
        <w:rPr>
          <w:rFonts w:ascii="Arial" w:cs="Arial" w:eastAsia="Arial" w:hAnsi="Arial"/>
          <w:sz w:val="14"/>
          <w:szCs w:val="14"/>
          <w:color w:val="auto"/>
        </w:rPr>
        <w:t>We are a leading employment service provider in France. We conduct our operations in France and the surrounding region through 958 branch offices under the name of Manpower and 93 branch offices under the name Supplay.</w:t>
      </w:r>
    </w:p>
    <w:p>
      <w:pPr>
        <w:spacing w:after="0" w:line="128" w:lineRule="exact"/>
        <w:rPr>
          <w:sz w:val="20"/>
          <w:szCs w:val="20"/>
          <w:color w:val="auto"/>
        </w:rPr>
      </w:pPr>
    </w:p>
    <w:p>
      <w:pPr>
        <w:ind w:right="20" w:firstLine="370"/>
        <w:spacing w:after="0" w:line="239" w:lineRule="auto"/>
        <w:rPr>
          <w:sz w:val="20"/>
          <w:szCs w:val="20"/>
          <w:color w:val="auto"/>
        </w:rPr>
      </w:pPr>
      <w:r>
        <w:rPr>
          <w:rFonts w:ascii="Arial" w:cs="Arial" w:eastAsia="Arial" w:hAnsi="Arial"/>
          <w:sz w:val="14"/>
          <w:szCs w:val="14"/>
          <w:color w:val="auto"/>
        </w:rPr>
        <w:t>The employment services market in France calls for a wide range of our services including permanent, temporary and contract recruitment, assessment and selection, and training. The temporary recruitment market is predominately focused on recruitment for industrial positions. In 2008, we derived approximately 67% of our temporary recruitment revenues in France from the supply of industrial staff, 18% from the supply of construction workers and 15% from the supply of office staff.</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conduct business in France under our Jefferson Wells, Elan and Right Management brands. These operations are discussed further in the following sections.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color w:val="auto"/>
        </w:rPr>
        <w:t>Europe, Middle East and Africa (excluding France and Italy), or Other EMEA</w:t>
      </w:r>
    </w:p>
    <w:p>
      <w:pPr>
        <w:spacing w:after="0" w:line="147" w:lineRule="exact"/>
        <w:rPr>
          <w:sz w:val="20"/>
          <w:szCs w:val="20"/>
          <w:color w:val="auto"/>
        </w:rPr>
      </w:pPr>
    </w:p>
    <w:p>
      <w:pPr>
        <w:jc w:val="both"/>
        <w:ind w:right="300" w:firstLine="370"/>
        <w:spacing w:after="0" w:line="239" w:lineRule="auto"/>
        <w:rPr>
          <w:sz w:val="20"/>
          <w:szCs w:val="20"/>
          <w:color w:val="auto"/>
        </w:rPr>
      </w:pPr>
      <w:r>
        <w:rPr>
          <w:rFonts w:ascii="Arial" w:cs="Arial" w:eastAsia="Arial" w:hAnsi="Arial"/>
          <w:sz w:val="14"/>
          <w:szCs w:val="14"/>
          <w:color w:val="auto"/>
        </w:rPr>
        <w:t>We are a leading provider of permanent, temporary and contract recruitment, assessment and selection, training and outsourcing services throughout Europe, the Middle East and Africa. Our largest operations are in Germany, the Netherlands, Norway, Spain, Sweden, and the United Kingdom. Collectively, we operate through 1,233 branch offices and 52 franchise offices in this region. Our franchise offices are primarily located in Switzerland, where we own 49% of the franchise.</w:t>
      </w:r>
    </w:p>
    <w:p>
      <w:pPr>
        <w:spacing w:after="0" w:line="135" w:lineRule="exact"/>
        <w:rPr>
          <w:sz w:val="20"/>
          <w:szCs w:val="20"/>
          <w:color w:val="auto"/>
        </w:rPr>
      </w:pPr>
    </w:p>
    <w:p>
      <w:pPr>
        <w:ind w:firstLine="370"/>
        <w:spacing w:after="0" w:line="260" w:lineRule="auto"/>
        <w:rPr>
          <w:sz w:val="20"/>
          <w:szCs w:val="20"/>
          <w:color w:val="auto"/>
        </w:rPr>
      </w:pPr>
      <w:r>
        <w:rPr>
          <w:rFonts w:ascii="Arial" w:cs="Arial" w:eastAsia="Arial" w:hAnsi="Arial"/>
          <w:sz w:val="13"/>
          <w:szCs w:val="13"/>
          <w:color w:val="auto"/>
        </w:rPr>
        <w:t>Manpower U.K., the largest operation in the Other EMEA segment, comprising 13% of Other EMEA revenues, is a leading provider of employment services in the United Kingdom. As of December 31, 2008, Manpower U.K. conducted operations in the United Kingdom under the Manpower and Manpower Professional brands through a network of 116 branch offices and also provided on-site services to clients who have significant permanent, temporary and contract recruitment requirements. During 2008, approximately 68% of Manpower U.K.’s temporary recruitment revenues were derived from the supply of office staff, including contact center staff, 20% from the supply of industrial staff and 12% from the supply of technical staff.</w:t>
      </w:r>
    </w:p>
    <w:p>
      <w:pPr>
        <w:spacing w:after="0" w:line="123" w:lineRule="exact"/>
        <w:rPr>
          <w:sz w:val="20"/>
          <w:szCs w:val="20"/>
          <w:color w:val="auto"/>
        </w:rPr>
      </w:pPr>
    </w:p>
    <w:p>
      <w:pPr>
        <w:ind w:right="160" w:firstLine="370"/>
        <w:spacing w:after="0" w:line="239" w:lineRule="auto"/>
        <w:rPr>
          <w:sz w:val="20"/>
          <w:szCs w:val="20"/>
          <w:color w:val="auto"/>
        </w:rPr>
      </w:pPr>
      <w:r>
        <w:rPr>
          <w:rFonts w:ascii="Arial" w:cs="Arial" w:eastAsia="Arial" w:hAnsi="Arial"/>
          <w:sz w:val="14"/>
          <w:szCs w:val="14"/>
          <w:color w:val="auto"/>
        </w:rPr>
        <w:t>We also own Brook Street Bureau PLC, or Brook Street, which operates through a total of 115 branch offices, separate from the Manpower and Manpower Professional brands in the United Kingdom. Its core business is secretarial, office and light industrial recruitment. Brook Street operates as a local network of branches supported by a national head office and competes primarily with local or regional independents. Brook Street’s revenues are comprised of temporary and contract placements as well as permanent recruitment.</w:t>
      </w:r>
    </w:p>
    <w:p>
      <w:pPr>
        <w:spacing w:after="0" w:line="135" w:lineRule="exact"/>
        <w:rPr>
          <w:sz w:val="20"/>
          <w:szCs w:val="20"/>
          <w:color w:val="auto"/>
        </w:rPr>
      </w:pPr>
    </w:p>
    <w:p>
      <w:pPr>
        <w:ind w:firstLine="370"/>
        <w:spacing w:after="0" w:line="286" w:lineRule="auto"/>
        <w:rPr>
          <w:sz w:val="20"/>
          <w:szCs w:val="20"/>
          <w:color w:val="auto"/>
        </w:rPr>
      </w:pPr>
      <w:r>
        <w:rPr>
          <w:rFonts w:ascii="Arial" w:cs="Arial" w:eastAsia="Arial" w:hAnsi="Arial"/>
          <w:sz w:val="13"/>
          <w:szCs w:val="13"/>
          <w:color w:val="auto"/>
        </w:rPr>
        <w:t>Also included in our Other EMEA operations is Elan, which is a leading IT and technical recruitment firm. In addition to IT and technical recruitment, Elan provides managed service solutions to clients, which enable them to recruit personnel efficiently and achieve ongoing cost savings. Elan provides services in 16 countries, with the largest operations in the United Kingdom.</w:t>
      </w:r>
    </w:p>
    <w:p>
      <w:pPr>
        <w:spacing w:after="0" w:line="106" w:lineRule="exact"/>
        <w:rPr>
          <w:sz w:val="20"/>
          <w:szCs w:val="20"/>
          <w:color w:val="auto"/>
        </w:rPr>
      </w:pPr>
    </w:p>
    <w:p>
      <w:pPr>
        <w:ind w:right="20" w:firstLine="370"/>
        <w:spacing w:after="0" w:line="249" w:lineRule="auto"/>
        <w:rPr>
          <w:sz w:val="20"/>
          <w:szCs w:val="20"/>
          <w:color w:val="auto"/>
        </w:rPr>
      </w:pPr>
      <w:r>
        <w:rPr>
          <w:rFonts w:ascii="Arial" w:cs="Arial" w:eastAsia="Arial" w:hAnsi="Arial"/>
          <w:sz w:val="14"/>
          <w:szCs w:val="14"/>
          <w:color w:val="auto"/>
        </w:rPr>
        <w:t>During 2008 for our Other EMEA operations, approximately 34% of temporary and contract recruitment revenues were derived from placing office staff, 29% from placing industrial staff and 37% from placing professional and technical staff.</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conduct business in Other EMEA under our Jefferson Wells and Right Management brands. These operations are discussed further in the following sections.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Italy</w:t>
      </w:r>
    </w:p>
    <w:p>
      <w:pPr>
        <w:spacing w:after="0" w:line="147" w:lineRule="exact"/>
        <w:rPr>
          <w:sz w:val="20"/>
          <w:szCs w:val="20"/>
          <w:color w:val="auto"/>
        </w:rPr>
      </w:pPr>
    </w:p>
    <w:p>
      <w:pPr>
        <w:ind w:right="100" w:firstLine="370"/>
        <w:spacing w:after="0" w:line="237" w:lineRule="auto"/>
        <w:rPr>
          <w:sz w:val="20"/>
          <w:szCs w:val="20"/>
          <w:color w:val="auto"/>
        </w:rPr>
      </w:pPr>
      <w:r>
        <w:rPr>
          <w:rFonts w:ascii="Arial" w:cs="Arial" w:eastAsia="Arial" w:hAnsi="Arial"/>
          <w:sz w:val="14"/>
          <w:szCs w:val="14"/>
          <w:color w:val="auto"/>
        </w:rPr>
        <w:t>In Italy, we are a leading employment services provider and conduct our operations under the Manpower and Manpower Professional brands through a network of 460 branch offices. Our Manpower operations in Italy provide a comprehensive line of employment services including permanent, temporary and contract recruitment, assessment and selection, training and outsourcing. In 2008, approximately 3% of our temporary and contract recruitment revenues in Italy were derived from placing office staff, including contract center staff, 75% from placing industrial staff and 22% from placing professional and technical staff.</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conduct business in Italy under our Elan, Jefferson Wells and Right Management brands. The latter two operations are discussed further in the following sections.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color w:val="auto"/>
        </w:rPr>
        <w:t>Jefferson Wells</w:t>
      </w:r>
    </w:p>
    <w:p>
      <w:pPr>
        <w:spacing w:after="0" w:line="147" w:lineRule="exact"/>
        <w:rPr>
          <w:sz w:val="20"/>
          <w:szCs w:val="20"/>
          <w:color w:val="auto"/>
        </w:rPr>
      </w:pPr>
    </w:p>
    <w:p>
      <w:pPr>
        <w:ind w:firstLine="370"/>
        <w:spacing w:after="0" w:line="237" w:lineRule="auto"/>
        <w:rPr>
          <w:sz w:val="20"/>
          <w:szCs w:val="20"/>
          <w:color w:val="auto"/>
        </w:rPr>
      </w:pPr>
      <w:r>
        <w:rPr>
          <w:rFonts w:ascii="Arial" w:cs="Arial" w:eastAsia="Arial" w:hAnsi="Arial"/>
          <w:sz w:val="14"/>
          <w:szCs w:val="14"/>
          <w:color w:val="auto"/>
        </w:rPr>
        <w:t>Jefferson Wells delivers professional services in the areas of internal audit, technology risk management, tax, and finance and accounting. The company serves clients, including Fortune 500, FTSE 350 and Global 1000 companies, through highly experienced, salaried professionals working from offices worldwide. Jefferson Wells does not perform attestation work. Its unique business model emphasizes seasoned professionals with public accounting and industry experience. Jefferson Wells focuses on client needs and delivers independent, cost-effective results by providing solutions across a wide range of finance-related business functions.</w:t>
      </w:r>
    </w:p>
    <w:p>
      <w:pPr>
        <w:spacing w:after="0" w:line="165" w:lineRule="exact"/>
        <w:rPr>
          <w:sz w:val="20"/>
          <w:szCs w:val="20"/>
          <w:color w:val="auto"/>
        </w:rPr>
      </w:pPr>
    </w:p>
    <w:p>
      <w:pPr>
        <w:jc w:val="both"/>
        <w:ind w:right="60" w:firstLine="370"/>
        <w:spacing w:after="0" w:line="237" w:lineRule="auto"/>
        <w:rPr>
          <w:sz w:val="20"/>
          <w:szCs w:val="20"/>
          <w:color w:val="auto"/>
        </w:rPr>
      </w:pPr>
      <w:r>
        <w:rPr>
          <w:rFonts w:ascii="Arial" w:cs="Arial" w:eastAsia="Arial" w:hAnsi="Arial"/>
          <w:sz w:val="14"/>
          <w:szCs w:val="14"/>
          <w:color w:val="auto"/>
        </w:rPr>
        <w:t>Jefferson Wells employs only experienced professionals. Its mission has always been to provide exceptional service at competitive rates by putting resources into local offices, rather than a centralized, partner-based organization. This allows the company to keep their fees reasonable, with experts available locally and travel and lodging expenses nominal or non-existent. Jefferson Wells’ professionals have extensive experience in a variety of industries, including: automotive, business services, communications, construction, education, energy and utilities, financial services, government, healthcare, hospitality, insurance, retail, technology and manufacturing.</w:t>
      </w:r>
    </w:p>
    <w:p>
      <w:pPr>
        <w:spacing w:after="0" w:line="134" w:lineRule="exact"/>
        <w:rPr>
          <w:sz w:val="20"/>
          <w:szCs w:val="20"/>
          <w:color w:val="auto"/>
        </w:rPr>
      </w:pPr>
    </w:p>
    <w:p>
      <w:pPr>
        <w:ind w:right="120" w:firstLine="370"/>
        <w:spacing w:after="0" w:line="249" w:lineRule="auto"/>
        <w:rPr>
          <w:sz w:val="20"/>
          <w:szCs w:val="20"/>
          <w:color w:val="auto"/>
        </w:rPr>
      </w:pPr>
      <w:r>
        <w:rPr>
          <w:rFonts w:ascii="Arial" w:cs="Arial" w:eastAsia="Arial" w:hAnsi="Arial"/>
          <w:sz w:val="14"/>
          <w:szCs w:val="14"/>
          <w:color w:val="auto"/>
        </w:rPr>
        <w:t>Jefferson Wells has operations in the United States, Canada, England, Germany, The Netherlands, South Africa and Hong Kong through 36 offices, and delivers services in more than 30 countries and markets worldwide.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Right Management</w:t>
      </w:r>
    </w:p>
    <w:p>
      <w:pPr>
        <w:spacing w:after="0" w:line="147" w:lineRule="exact"/>
        <w:rPr>
          <w:sz w:val="20"/>
          <w:szCs w:val="20"/>
          <w:color w:val="auto"/>
        </w:rPr>
      </w:pPr>
    </w:p>
    <w:p>
      <w:pPr>
        <w:ind w:right="80" w:firstLine="370"/>
        <w:spacing w:after="0" w:line="267" w:lineRule="auto"/>
        <w:rPr>
          <w:sz w:val="20"/>
          <w:szCs w:val="20"/>
          <w:color w:val="auto"/>
        </w:rPr>
      </w:pPr>
      <w:r>
        <w:rPr>
          <w:rFonts w:ascii="Arial" w:cs="Arial" w:eastAsia="Arial" w:hAnsi="Arial"/>
          <w:sz w:val="13"/>
          <w:szCs w:val="13"/>
          <w:color w:val="auto"/>
        </w:rPr>
        <w:t>Right Management is the world’s leading provider of integrated human capital consulting services and solutions across the employment lifecycle. Right Management helps clients maximize the return on their human capital investments while assisting individuals to achieve their full potential. Right Management, operates from 283 branch offices in 51 countries across the Americas, Europe and Asia Pacific, and 12 franchise offices in the United States, serving large and medium-sized businesses in all industries, including 80% of the Fortune 500 and 50% of the Global 1000.</w:t>
      </w:r>
    </w:p>
    <w:p>
      <w:pPr>
        <w:spacing w:after="0" w:line="117" w:lineRule="exact"/>
        <w:rPr>
          <w:sz w:val="20"/>
          <w:szCs w:val="20"/>
          <w:color w:val="auto"/>
        </w:rPr>
      </w:pPr>
    </w:p>
    <w:p>
      <w:pPr>
        <w:ind w:right="60" w:firstLine="370"/>
        <w:spacing w:after="0" w:line="260" w:lineRule="auto"/>
        <w:rPr>
          <w:sz w:val="20"/>
          <w:szCs w:val="20"/>
          <w:color w:val="auto"/>
        </w:rPr>
      </w:pPr>
      <w:r>
        <w:rPr>
          <w:rFonts w:ascii="Arial" w:cs="Arial" w:eastAsia="Arial" w:hAnsi="Arial"/>
          <w:sz w:val="13"/>
          <w:szCs w:val="13"/>
          <w:color w:val="auto"/>
        </w:rPr>
        <w:t>Transition services offer assistance to individuals or groups of employees displaced from employment. Services range from advising employers on severance packages to assisting displaced employees with resume writing, networking and interviewing skills. Services to displaced employees are provided in individual or group programs. Managerial-level employees generally receive longer-term, individual services, while less-senior employees receive shorter-term, group-based services. Programs frequently begin with the displaced employee receiving counseling immediately after the layoff notification, followed by a combination of classroom training, support services and web-based tools to guide them along the remainder of the outplacement process.</w:t>
      </w:r>
    </w:p>
    <w:p>
      <w:pPr>
        <w:spacing w:after="0" w:line="123" w:lineRule="exact"/>
        <w:rPr>
          <w:sz w:val="20"/>
          <w:szCs w:val="20"/>
          <w:color w:val="auto"/>
        </w:rPr>
      </w:pPr>
    </w:p>
    <w:p>
      <w:pPr>
        <w:ind w:right="20" w:firstLine="370"/>
        <w:spacing w:after="0" w:line="255" w:lineRule="auto"/>
        <w:rPr>
          <w:sz w:val="20"/>
          <w:szCs w:val="20"/>
          <w:color w:val="auto"/>
        </w:rPr>
      </w:pPr>
      <w:r>
        <w:rPr>
          <w:rFonts w:ascii="Arial" w:cs="Arial" w:eastAsia="Arial" w:hAnsi="Arial"/>
          <w:sz w:val="13"/>
          <w:szCs w:val="13"/>
          <w:color w:val="auto"/>
        </w:rPr>
        <w:t>Organizational Consulting services help companies succeed in managing their evolving human capital needs. For most organizations around the globe, the development of current and future leaders is a top priority. Right Management’s world-class and world-wide approach to individual coaching and leadership development focuses on improving the effectiveness of both leaders and teams to achieve real business results for their employer. Right Management assists organizations to evaluate their potential and current talent base through assessment and competency modeling processes that ensure the optimal organizational design and fit of individuals. In addition to assessing and developing talent, Right Management provides regional and global clients with consulting solutions that drive organizational effectiveness, employee engagement, and alignment of the workforce through customized tools, interventions, and workshops. Right Management’s deep expertise helps organizations address the essential issues of assessing, developing, engaging and retaining the talent required to successfully drive their business strategy.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00"/>
          </w:cols>
          <w:pgMar w:left="220" w:top="129" w:right="27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color w:val="auto"/>
        </w:rPr>
        <w:t>Other Operations</w:t>
      </w:r>
    </w:p>
    <w:p>
      <w:pPr>
        <w:spacing w:after="0" w:line="147" w:lineRule="exact"/>
        <w:rPr>
          <w:sz w:val="20"/>
          <w:szCs w:val="20"/>
          <w:color w:val="auto"/>
        </w:rPr>
      </w:pPr>
    </w:p>
    <w:p>
      <w:pPr>
        <w:ind w:right="100" w:firstLine="370"/>
        <w:spacing w:after="0" w:line="237" w:lineRule="auto"/>
        <w:rPr>
          <w:sz w:val="20"/>
          <w:szCs w:val="20"/>
          <w:color w:val="auto"/>
        </w:rPr>
      </w:pPr>
      <w:r>
        <w:rPr>
          <w:rFonts w:ascii="Arial" w:cs="Arial" w:eastAsia="Arial" w:hAnsi="Arial"/>
          <w:sz w:val="14"/>
          <w:szCs w:val="14"/>
          <w:color w:val="auto"/>
        </w:rPr>
        <w:t>We operate under the Manpower and Manpower Professional brands through 564 branch offices and 15 franchise offices in the other markets of the world. The largest of these operations are located in Australia, Japan, Mexico and Argentina, all of which operate through branch offices, and Canada, which operates through branch and franchise offices. Other operations are located throughout the Americas and Asia and operate through branch and franchise offices. In most of these countries, we primarily supply contingent workers to the office, industrial, and technical markets, which were 45%, 42%, and 13% of temporary and contract recruitment revenues,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Competition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147" w:lineRule="exact"/>
        <w:rPr>
          <w:sz w:val="20"/>
          <w:szCs w:val="20"/>
          <w:color w:val="auto"/>
        </w:rPr>
      </w:pPr>
    </w:p>
    <w:p>
      <w:pPr>
        <w:ind w:right="260" w:firstLine="370"/>
        <w:spacing w:after="0" w:line="249" w:lineRule="auto"/>
        <w:rPr>
          <w:sz w:val="20"/>
          <w:szCs w:val="20"/>
          <w:color w:val="auto"/>
        </w:rPr>
      </w:pPr>
      <w:r>
        <w:rPr>
          <w:rFonts w:ascii="Arial" w:cs="Arial" w:eastAsia="Arial" w:hAnsi="Arial"/>
          <w:sz w:val="14"/>
          <w:szCs w:val="14"/>
          <w:color w:val="auto"/>
        </w:rPr>
        <w:t>We compete in the employment services industry by offering a complete range of services, including permanent, temporary and contract recruitment, assessment and selection, training, outsourcing, consulting and professional services.</w:t>
      </w:r>
    </w:p>
    <w:p>
      <w:pPr>
        <w:spacing w:after="0" w:line="108" w:lineRule="exact"/>
        <w:rPr>
          <w:sz w:val="20"/>
          <w:szCs w:val="20"/>
          <w:color w:val="auto"/>
        </w:rPr>
      </w:pPr>
    </w:p>
    <w:p>
      <w:pPr>
        <w:ind w:firstLine="370"/>
        <w:spacing w:after="0" w:line="235" w:lineRule="auto"/>
        <w:rPr>
          <w:sz w:val="20"/>
          <w:szCs w:val="20"/>
          <w:color w:val="auto"/>
        </w:rPr>
      </w:pPr>
      <w:r>
        <w:rPr>
          <w:rFonts w:ascii="Arial" w:cs="Arial" w:eastAsia="Arial" w:hAnsi="Arial"/>
          <w:sz w:val="14"/>
          <w:szCs w:val="14"/>
          <w:color w:val="auto"/>
        </w:rPr>
        <w:t>Our industry is large and fragmented, comprised of thousands of firms employing millions of people and generating billions of U.S. Dollars in annual revenues. It is also a highly competitive industry, reflecting several trends in the global marketplace such as the notably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36" w:lineRule="exact"/>
        <w:rPr>
          <w:sz w:val="20"/>
          <w:szCs w:val="20"/>
          <w:color w:val="auto"/>
        </w:rPr>
      </w:pPr>
    </w:p>
    <w:p>
      <w:pPr>
        <w:ind w:right="20" w:firstLine="370"/>
        <w:spacing w:after="0" w:line="267" w:lineRule="auto"/>
        <w:rPr>
          <w:sz w:val="20"/>
          <w:szCs w:val="20"/>
          <w:color w:val="auto"/>
        </w:rPr>
      </w:pPr>
      <w:r>
        <w:rPr>
          <w:rFonts w:ascii="Arial" w:cs="Arial" w:eastAsia="Arial" w:hAnsi="Arial"/>
          <w:sz w:val="13"/>
          <w:szCs w:val="13"/>
          <w:color w:val="auto"/>
        </w:rPr>
        <w:t>Client demand for employment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Correspondingly, during periods of weak economic growth or economic contraction, the demand for our staffing services typically declines, while demand for our outplacement services typically accelerates.</w:t>
      </w:r>
    </w:p>
    <w:p>
      <w:pPr>
        <w:spacing w:after="0" w:line="117" w:lineRule="exact"/>
        <w:rPr>
          <w:sz w:val="20"/>
          <w:szCs w:val="20"/>
          <w:color w:val="auto"/>
        </w:rPr>
      </w:pPr>
    </w:p>
    <w:p>
      <w:pPr>
        <w:ind w:right="440" w:firstLine="370"/>
        <w:spacing w:after="0" w:line="286" w:lineRule="auto"/>
        <w:rPr>
          <w:sz w:val="20"/>
          <w:szCs w:val="20"/>
          <w:color w:val="auto"/>
        </w:rPr>
      </w:pPr>
      <w:r>
        <w:rPr>
          <w:rFonts w:ascii="Arial" w:cs="Arial" w:eastAsia="Arial" w:hAnsi="Arial"/>
          <w:sz w:val="13"/>
          <w:szCs w:val="13"/>
          <w:color w:val="auto"/>
        </w:rPr>
        <w:t>During the last several years, secular trends toward greater workforce flexibility have had a favorable impact on demand for our services in several markets. As companies attempt to increase the variability of their cost base, the contemporary work solutions we provide help them to effectively address the fluctuating demand for their products or services.</w:t>
      </w:r>
    </w:p>
    <w:p>
      <w:pPr>
        <w:spacing w:after="0" w:line="106" w:lineRule="exact"/>
        <w:rPr>
          <w:sz w:val="20"/>
          <w:szCs w:val="20"/>
          <w:color w:val="auto"/>
        </w:rPr>
      </w:pPr>
    </w:p>
    <w:p>
      <w:pPr>
        <w:ind w:right="20" w:firstLine="370"/>
        <w:spacing w:after="0" w:line="235" w:lineRule="auto"/>
        <w:rPr>
          <w:sz w:val="20"/>
          <w:szCs w:val="20"/>
          <w:color w:val="auto"/>
        </w:rPr>
      </w:pPr>
      <w:r>
        <w:rPr>
          <w:rFonts w:ascii="Arial" w:cs="Arial" w:eastAsia="Arial" w:hAnsi="Arial"/>
          <w:sz w:val="14"/>
          <w:szCs w:val="14"/>
          <w:color w:val="auto"/>
        </w:rPr>
        <w:t>Our client mix consists of both small- and medium-size businesses, which are based upon a local or regional relationship with our office network in each market, and large national/multinational client relationships, which comprised approximately 42% of our revenues in 2008. These large national and multinational clients will frequently enter into non-exclusive arrangements with several firms, with the ultimate choice among them being left to the local managers. As a result, employment services firms with a large network of offices compete most effectively for this business which generally has agreed-upon pricing or mark-up on services performed. Client relationships with small- and medium-size businesses tend to rely less upon longer-term contracts, and the competitors for this business are primarily locally-owned businesses.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color w:val="auto"/>
        </w:rPr>
        <w:t>Recruitment Services Market</w:t>
      </w:r>
    </w:p>
    <w:p>
      <w:pPr>
        <w:spacing w:after="0" w:line="147" w:lineRule="exact"/>
        <w:rPr>
          <w:sz w:val="20"/>
          <w:szCs w:val="20"/>
          <w:color w:val="auto"/>
        </w:rPr>
      </w:pPr>
    </w:p>
    <w:p>
      <w:pPr>
        <w:jc w:val="both"/>
        <w:ind w:firstLine="370"/>
        <w:spacing w:after="0" w:line="239" w:lineRule="auto"/>
        <w:rPr>
          <w:sz w:val="20"/>
          <w:szCs w:val="20"/>
          <w:color w:val="auto"/>
        </w:rPr>
      </w:pPr>
      <w:r>
        <w:rPr>
          <w:rFonts w:ascii="Arial" w:cs="Arial" w:eastAsia="Arial" w:hAnsi="Arial"/>
          <w:sz w:val="14"/>
          <w:szCs w:val="14"/>
          <w:color w:val="auto"/>
        </w:rPr>
        <w:t>Our portfolio of recruitment services includes permanent, temporary and contract recruitment of professionals, as well as administrative and industrial positions. It also includes our Recruitment Process Outsourcing (RPO) offering, where we take on the management of customized, large-scale recruiting and workforce productivity initiatives for clients in an exclusive outsourcing contract. All of these services are provided under the Manpower, Manpower Professional and Elan brands.</w:t>
      </w:r>
    </w:p>
    <w:p>
      <w:pPr>
        <w:spacing w:after="0" w:line="135" w:lineRule="exact"/>
        <w:rPr>
          <w:sz w:val="20"/>
          <w:szCs w:val="20"/>
          <w:color w:val="auto"/>
        </w:rPr>
      </w:pPr>
    </w:p>
    <w:p>
      <w:pPr>
        <w:jc w:val="both"/>
        <w:ind w:right="240" w:firstLine="370"/>
        <w:spacing w:after="0" w:line="267" w:lineRule="auto"/>
        <w:rPr>
          <w:sz w:val="20"/>
          <w:szCs w:val="20"/>
          <w:color w:val="auto"/>
        </w:rPr>
      </w:pPr>
      <w:r>
        <w:rPr>
          <w:rFonts w:ascii="Arial" w:cs="Arial" w:eastAsia="Arial" w:hAnsi="Arial"/>
          <w:sz w:val="13"/>
          <w:szCs w:val="13"/>
          <w:color w:val="auto"/>
        </w:rPr>
        <w:t>The temporary recruitment market throughout the world is large and highly fragmented with more than 15,000 firms competing throughout the world. The global RPO market was approximately $4 billion in 2008 and is projected to more than double to $7 billion by 2010. RPO accounts for approximately 4-5% of the overall Human Resource Outsourcing market. In addition to us, the largest publicly owned companies specializing in recruitment services are Adecco, S.A. (Switzerland), Randstad Holding N.V. (Netherlands) and Kelly Services, Inc. (U.S.).</w:t>
      </w:r>
    </w:p>
    <w:p>
      <w:pPr>
        <w:spacing w:after="0" w:line="117" w:lineRule="exact"/>
        <w:rPr>
          <w:sz w:val="20"/>
          <w:szCs w:val="20"/>
          <w:color w:val="auto"/>
        </w:rPr>
      </w:pPr>
    </w:p>
    <w:p>
      <w:pPr>
        <w:ind w:firstLine="370"/>
        <w:spacing w:after="0" w:line="239" w:lineRule="auto"/>
        <w:rPr>
          <w:sz w:val="20"/>
          <w:szCs w:val="20"/>
          <w:color w:val="auto"/>
        </w:rPr>
      </w:pPr>
      <w:r>
        <w:rPr>
          <w:rFonts w:ascii="Arial" w:cs="Arial" w:eastAsia="Arial" w:hAnsi="Arial"/>
          <w:sz w:val="14"/>
          <w:szCs w:val="14"/>
          <w:color w:val="auto"/>
        </w:rPr>
        <w:t>Historically, in periods of economic prosperity, the number of firms providing recruitment services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1"/>
          <w:szCs w:val="11"/>
          <w:color w:val="auto"/>
        </w:rPr>
        <w:t>Due to the difficult economic environment that arose in the latter half of 2008, we believe many of our smaller, local competitors will struggle and we anticipate further consolidation in the near term.</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We view this as an opportunity to take market share in 2009.</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most areas, no single company has a dominant share of the temporary and contract recruitment market.</w:t>
      </w:r>
    </w:p>
    <w:p>
      <w:pPr>
        <w:spacing w:after="0" w:line="116" w:lineRule="exact"/>
        <w:rPr>
          <w:sz w:val="20"/>
          <w:szCs w:val="20"/>
          <w:color w:val="auto"/>
        </w:rPr>
      </w:pPr>
    </w:p>
    <w:p>
      <w:pPr>
        <w:ind w:firstLine="370"/>
        <w:spacing w:after="0" w:line="214" w:lineRule="auto"/>
        <w:rPr>
          <w:sz w:val="20"/>
          <w:szCs w:val="20"/>
          <w:color w:val="auto"/>
        </w:rPr>
      </w:pPr>
      <w:r>
        <w:rPr>
          <w:rFonts w:ascii="Arial" w:cs="Arial" w:eastAsia="Arial" w:hAnsi="Arial"/>
          <w:sz w:val="14"/>
          <w:szCs w:val="14"/>
          <w:color w:val="auto"/>
        </w:rPr>
        <w:t>Recruitment firms act as intermediaries in matching available permanent, temporary and contract workers to employer assignments. As a result, these firms compete both to recruit and retain a supply of permanent, temporary and contract workers and to attract clients to employ these workers. We recruit permanent, temporary and contract workers through a wide variety of means, including personal referrals, online resources and advertisements, and by providing an attractive compensation package in jurisdictions where such benefits are not otherwise required by law, including health insurance, vacation and holiday pay, incentive and pension plans and a recognition program.</w:t>
      </w:r>
    </w:p>
    <w:p>
      <w:pPr>
        <w:spacing w:after="0" w:line="135" w:lineRule="exact"/>
        <w:rPr>
          <w:sz w:val="20"/>
          <w:szCs w:val="20"/>
          <w:color w:val="auto"/>
        </w:rPr>
      </w:pPr>
    </w:p>
    <w:p>
      <w:pPr>
        <w:ind w:firstLine="370"/>
        <w:spacing w:after="0" w:line="234" w:lineRule="auto"/>
        <w:rPr>
          <w:sz w:val="20"/>
          <w:szCs w:val="20"/>
          <w:color w:val="auto"/>
        </w:rPr>
      </w:pPr>
      <w:r>
        <w:rPr>
          <w:rFonts w:ascii="Arial" w:cs="Arial" w:eastAsia="Arial" w:hAnsi="Arial"/>
          <w:sz w:val="14"/>
          <w:szCs w:val="14"/>
          <w:color w:val="auto"/>
        </w:rPr>
        <w:t>Methods used to market recruitment services to clients vary depending on the client’s need for permanent, temporary and RPO services, the local labor supply, the length of assignment and the number of workers required. Our full range of employment services and multiple brands enable us to cross-market to clients in order to leverage our relationships and expand our services provided, from outplacement services at Right Management to permanent recruitment services at Manpower Professional, to RPO services, etc. We compete by means of quality of service provided, scope of service offered, ability to source the right talent and price. Success in providing high quality recruitment services is a function of the ability to access a supply of available workers, select suitable individuals for a particular assignment and, in some cases, train available workers in skills required for an assignment. For RPO services, success is defined primarily by the ability to perform the recruitment function more effectively and efficiently than the client could perform those functions internally.</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20"/>
          </w:cols>
          <w:pgMar w:left="220" w:top="129" w:right="259" w:bottom="1440" w:gutter="0" w:footer="0" w:header="0"/>
        </w:sectPr>
      </w:pPr>
    </w:p>
    <w:bookmarkStart w:id="8" w:name="page9"/>
    <w:bookmarkEnd w:id="8"/>
    <w:p>
      <w:pPr>
        <w:ind w:right="60" w:firstLine="370"/>
        <w:spacing w:after="0" w:line="237" w:lineRule="auto"/>
        <w:rPr>
          <w:sz w:val="20"/>
          <w:szCs w:val="20"/>
          <w:color w:val="auto"/>
        </w:rPr>
      </w:pPr>
      <w:r>
        <w:rPr>
          <w:rFonts w:ascii="Arial" w:cs="Arial" w:eastAsia="Arial" w:hAnsi="Arial"/>
          <w:sz w:val="14"/>
          <w:szCs w:val="14"/>
          <w:color w:val="auto"/>
        </w:rPr>
        <w:t>An important aspect in the selection of temporary and contract workers for an assignment is the ability of the recruitment firm to identify the skills, knowledge, abilities, and personal characteristics of a temporary worker and match their competencies or capabilities to an employer’s requirements. We have a variety of proprietary programs for identifying and assessing the skill level of our associates, which are used in selecting a particular individual for a specific assignment. We believe that our assessment systems enable us to offer a higher quality service by increasing productivity, decreasing turnover and reducing absenteeism.</w:t>
      </w:r>
    </w:p>
    <w:p>
      <w:pPr>
        <w:spacing w:after="0" w:line="124" w:lineRule="exact"/>
        <w:rPr>
          <w:sz w:val="20"/>
          <w:szCs w:val="20"/>
          <w:color w:val="auto"/>
        </w:rPr>
      </w:pPr>
    </w:p>
    <w:p>
      <w:pPr>
        <w:ind w:right="120" w:firstLine="370"/>
        <w:spacing w:after="0" w:line="253" w:lineRule="auto"/>
        <w:rPr>
          <w:sz w:val="20"/>
          <w:szCs w:val="20"/>
          <w:color w:val="auto"/>
        </w:rPr>
      </w:pPr>
      <w:r>
        <w:rPr>
          <w:rFonts w:ascii="Arial" w:cs="Arial" w:eastAsia="Arial" w:hAnsi="Arial"/>
          <w:sz w:val="13"/>
          <w:szCs w:val="13"/>
          <w:color w:val="auto"/>
        </w:rPr>
        <w:t>It is also important to be able to access a large network of skilled workers and to be able to “create” certain hard-to-find skills by offering training to available workers. Our competitive position is enhanced by our ability to offer a wide variety of skills, in some of the most important market segments, through the use of training systems. Our Manpower Direct Training</w:t>
      </w:r>
      <w:r>
        <w:rPr>
          <w:rFonts w:ascii="Arial" w:cs="Arial" w:eastAsia="Arial" w:hAnsi="Arial"/>
          <w:sz w:val="18"/>
          <w:szCs w:val="18"/>
          <w:color w:val="auto"/>
          <w:vertAlign w:val="superscript"/>
        </w:rPr>
        <w:t>SM</w:t>
      </w:r>
      <w:r>
        <w:rPr>
          <w:rFonts w:ascii="Arial" w:cs="Arial" w:eastAsia="Arial" w:hAnsi="Arial"/>
          <w:sz w:val="13"/>
          <w:szCs w:val="13"/>
          <w:color w:val="auto"/>
        </w:rPr>
        <w:t xml:space="preserve"> online university provides over 5,000 hours of online courses that are accessible 24/7 and are free to our employees and associates to help them improve their skills. The courses cover a wide range of subjects in many languages and feature the latest information for a variety of fields, from learning the latest technology in the IT field, to brushing up on business management courses or software programs. This training can also enable students in any profession to further develop their skills, improve their employability and earn higher wages.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Outplacement and Human Resource Consulting Services Market</w:t>
      </w:r>
    </w:p>
    <w:p>
      <w:pPr>
        <w:spacing w:after="0" w:line="147" w:lineRule="exact"/>
        <w:rPr>
          <w:sz w:val="20"/>
          <w:szCs w:val="20"/>
          <w:color w:val="auto"/>
        </w:rPr>
      </w:pPr>
    </w:p>
    <w:p>
      <w:pPr>
        <w:ind w:firstLine="370"/>
        <w:spacing w:after="0" w:line="239" w:lineRule="auto"/>
        <w:rPr>
          <w:sz w:val="20"/>
          <w:szCs w:val="20"/>
          <w:color w:val="auto"/>
        </w:rPr>
      </w:pPr>
      <w:r>
        <w:rPr>
          <w:rFonts w:ascii="Arial" w:cs="Arial" w:eastAsia="Arial" w:hAnsi="Arial"/>
          <w:sz w:val="14"/>
          <w:szCs w:val="14"/>
          <w:color w:val="auto"/>
        </w:rPr>
        <w:t>Our outplacement and Human Resource consulting services are primarily provided under the Right Management brand. The market for outplacement and HR consulting services is highly competitive. In the market for services required by global clients, there are several barriers to entry, such as the global coverage, specialized local knowledge and technology required to provide outstanding services to corporations on a global scale.</w:t>
      </w:r>
    </w:p>
    <w:p>
      <w:pPr>
        <w:spacing w:after="0" w:line="135" w:lineRule="exact"/>
        <w:rPr>
          <w:sz w:val="20"/>
          <w:szCs w:val="20"/>
          <w:color w:val="auto"/>
        </w:rPr>
      </w:pPr>
    </w:p>
    <w:p>
      <w:pPr>
        <w:ind w:right="40" w:firstLine="370"/>
        <w:spacing w:after="0" w:line="234" w:lineRule="auto"/>
        <w:rPr>
          <w:sz w:val="20"/>
          <w:szCs w:val="20"/>
          <w:color w:val="auto"/>
        </w:rPr>
      </w:pPr>
      <w:r>
        <w:rPr>
          <w:rFonts w:ascii="Arial" w:cs="Arial" w:eastAsia="Arial" w:hAnsi="Arial"/>
          <w:sz w:val="14"/>
          <w:szCs w:val="14"/>
          <w:color w:val="auto"/>
        </w:rPr>
        <w:t>Our competitors in the outplacement market include outplacement services firms such as Drake Beam Morin, Lee Hecht Harrison (owned by Adecco); and career service divisions of global employment services firms. Additionally, there are regional firms and numerous smaller boutiques operating in either limited geographic markets or providing limited services. Our competitors in the HR consulting space include major firms that compete in serving the large employer worldwide, such as Mercer Delta, Towers Perrin, Watson Wyatt, DDI and Hewitt Associates; boutique firms comprised primarily of professionals formerly associated with the firms mentioned above; and newer to this market, some of the human resource IT firms that are starting to compete in the HR space (e.g. Kenexa). While public accounting and consulting firms such as PricewaterhouseCoopers and Deloitte &amp; Touche have been competitors in the past, these firms represent less direct competition due to a reduction in their consulting businesses as a result of the Sarbanes-Oxley Act legislation.</w:t>
      </w:r>
    </w:p>
    <w:p>
      <w:pPr>
        <w:spacing w:after="0" w:line="137" w:lineRule="exact"/>
        <w:rPr>
          <w:sz w:val="20"/>
          <w:szCs w:val="20"/>
          <w:color w:val="auto"/>
        </w:rPr>
      </w:pPr>
    </w:p>
    <w:p>
      <w:pPr>
        <w:ind w:right="60" w:firstLine="370"/>
        <w:spacing w:after="0" w:line="257" w:lineRule="auto"/>
        <w:rPr>
          <w:sz w:val="20"/>
          <w:szCs w:val="20"/>
          <w:color w:val="auto"/>
        </w:rPr>
      </w:pPr>
      <w:r>
        <w:rPr>
          <w:rFonts w:ascii="Arial" w:cs="Arial" w:eastAsia="Arial" w:hAnsi="Arial"/>
          <w:sz w:val="13"/>
          <w:szCs w:val="13"/>
          <w:color w:val="auto"/>
        </w:rPr>
        <w:t>Companies choose to provide outplacement services for several reasons. First, as the competition for attracting and retaining qualified employees increases, companies are increasingly attempting to distinguish themselves in the marketplace as attractive employers. Consequently, more companies are providing outplacement services as part of a comprehensive benefits package that provide for the well being of employees – not only during their period of employment, but also after their employment ceases. Additionally, when companies experience layoffs, many believe that providing outplacement services projects a positive corporate image and improves morale among the remaining employees. Finally, companies may provide outplacement services to reduce costs by preparing and assisting separated employees to find new employment, thereby diminishing employment-related litigation.</w:t>
      </w:r>
    </w:p>
    <w:p>
      <w:pPr>
        <w:spacing w:after="0" w:line="155" w:lineRule="exact"/>
        <w:rPr>
          <w:sz w:val="20"/>
          <w:szCs w:val="20"/>
          <w:color w:val="auto"/>
        </w:rPr>
      </w:pPr>
    </w:p>
    <w:p>
      <w:pPr>
        <w:jc w:val="both"/>
        <w:ind w:firstLine="508"/>
        <w:spacing w:after="0" w:line="214" w:lineRule="auto"/>
        <w:rPr>
          <w:sz w:val="20"/>
          <w:szCs w:val="20"/>
          <w:color w:val="auto"/>
        </w:rPr>
      </w:pPr>
      <w:r>
        <w:rPr>
          <w:rFonts w:ascii="Arial" w:cs="Arial" w:eastAsia="Arial" w:hAnsi="Arial"/>
          <w:sz w:val="14"/>
          <w:szCs w:val="14"/>
          <w:color w:val="auto"/>
        </w:rPr>
        <w:t xml:space="preserve">Companies choose Right Management for the high-tech, high-touch approach of our outplacement services and the flexibility of our solutions to meet specific organizational and candidate needs. Our technology solutions are integral to our outplacement services. We have made significant investments in technology to augment our core services with online, 24/7 access and support for both clients and candidates. Our solutions include: Right Navigator </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RightChoice </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RightTrack </w:t>
      </w:r>
      <w:r>
        <w:rPr>
          <w:rFonts w:ascii="Arial" w:cs="Arial" w:eastAsia="Arial" w:hAnsi="Arial"/>
          <w:sz w:val="19"/>
          <w:szCs w:val="19"/>
          <w:color w:val="auto"/>
          <w:vertAlign w:val="superscript"/>
        </w:rPr>
        <w:t>SM</w:t>
      </w:r>
      <w:r>
        <w:rPr>
          <w:rFonts w:ascii="Arial" w:cs="Arial" w:eastAsia="Arial" w:hAnsi="Arial"/>
          <w:sz w:val="14"/>
          <w:szCs w:val="14"/>
          <w:color w:val="auto"/>
        </w:rPr>
        <w:t xml:space="preserve">, Right-from-Home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Right Connection </w:t>
      </w:r>
      <w:r>
        <w:rPr>
          <w:rFonts w:ascii="Arial" w:cs="Arial" w:eastAsia="Arial" w:hAnsi="Arial"/>
          <w:sz w:val="19"/>
          <w:szCs w:val="19"/>
          <w:color w:val="auto"/>
          <w:vertAlign w:val="superscript"/>
        </w:rPr>
        <w:t>®</w:t>
      </w:r>
      <w:r>
        <w:rPr>
          <w:rFonts w:ascii="Arial" w:cs="Arial" w:eastAsia="Arial" w:hAnsi="Arial"/>
          <w:sz w:val="14"/>
          <w:szCs w:val="14"/>
          <w:color w:val="auto"/>
        </w:rPr>
        <w:t xml:space="preserve">, Right FasTrack </w:t>
      </w:r>
      <w:r>
        <w:rPr>
          <w:rFonts w:ascii="Arial" w:cs="Arial" w:eastAsia="Arial" w:hAnsi="Arial"/>
          <w:sz w:val="19"/>
          <w:szCs w:val="19"/>
          <w:color w:val="auto"/>
          <w:vertAlign w:val="superscript"/>
        </w:rPr>
        <w:t>SM</w:t>
      </w:r>
      <w:r>
        <w:rPr>
          <w:rFonts w:ascii="Arial" w:cs="Arial" w:eastAsia="Arial" w:hAnsi="Arial"/>
          <w:sz w:val="14"/>
          <w:szCs w:val="14"/>
          <w:color w:val="auto"/>
        </w:rPr>
        <w:t xml:space="preserve"> , Right Access </w:t>
      </w:r>
      <w:r>
        <w:rPr>
          <w:rFonts w:ascii="Arial" w:cs="Arial" w:eastAsia="Arial" w:hAnsi="Arial"/>
          <w:sz w:val="19"/>
          <w:szCs w:val="19"/>
          <w:color w:val="auto"/>
          <w:vertAlign w:val="superscript"/>
        </w:rPr>
        <w:t>SM</w:t>
      </w:r>
      <w:r>
        <w:rPr>
          <w:rFonts w:ascii="Arial" w:cs="Arial" w:eastAsia="Arial" w:hAnsi="Arial"/>
          <w:sz w:val="14"/>
          <w:szCs w:val="14"/>
          <w:color w:val="auto"/>
        </w:rPr>
        <w:t xml:space="preserve"> iView </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Wellness and Productivity Management along with Job Banks and Resume Banks.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9" w:name="page10"/>
    <w:bookmarkEnd w:id="9"/>
    <w:p>
      <w:pPr>
        <w:ind w:right="140" w:firstLine="370"/>
        <w:spacing w:after="0" w:line="322" w:lineRule="auto"/>
        <w:rPr>
          <w:sz w:val="20"/>
          <w:szCs w:val="20"/>
          <w:color w:val="auto"/>
        </w:rPr>
      </w:pPr>
      <w:r>
        <w:rPr>
          <w:rFonts w:ascii="Arial" w:cs="Arial" w:eastAsia="Arial" w:hAnsi="Arial"/>
          <w:sz w:val="11"/>
          <w:szCs w:val="11"/>
          <w:color w:val="auto"/>
        </w:rPr>
        <w:t>Companies augment their internal human resources professional staff with external consultants for many reasons. First, the growing importance and complexity of employee issues is creating an unprecedented theoretical and technical service expectation on human resources departments. Additionally, human resources departments have continued pressure to contain costs without minimizing the resources available to managers. Finally, companies increasingly choose to outsource non-core functions that can be addressed more effectively by outside professionals. These organizations look to Right Management for thought leadership and best practices on attracting and assessing organizational talent, leadership development and engaging and aligning the workforce.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Professional Services</w:t>
      </w:r>
    </w:p>
    <w:p>
      <w:pPr>
        <w:spacing w:after="0" w:line="147" w:lineRule="exact"/>
        <w:rPr>
          <w:sz w:val="20"/>
          <w:szCs w:val="20"/>
          <w:color w:val="auto"/>
        </w:rPr>
      </w:pPr>
    </w:p>
    <w:p>
      <w:pPr>
        <w:ind w:right="120" w:firstLine="370"/>
        <w:spacing w:after="0" w:line="249" w:lineRule="auto"/>
        <w:rPr>
          <w:sz w:val="20"/>
          <w:szCs w:val="20"/>
          <w:color w:val="auto"/>
        </w:rPr>
      </w:pPr>
      <w:r>
        <w:rPr>
          <w:rFonts w:ascii="Arial" w:cs="Arial" w:eastAsia="Arial" w:hAnsi="Arial"/>
          <w:sz w:val="14"/>
          <w:szCs w:val="14"/>
          <w:color w:val="auto"/>
        </w:rPr>
        <w:t>Jefferson Wells competes in the professional services industry as a high-value alternative to public accounting firms and other consulting groups, serving clients through highly experienced, salaried professionals working from offices worldwide.</w:t>
      </w:r>
    </w:p>
    <w:p>
      <w:pPr>
        <w:spacing w:after="0" w:line="128" w:lineRule="exact"/>
        <w:rPr>
          <w:sz w:val="20"/>
          <w:szCs w:val="20"/>
          <w:color w:val="auto"/>
        </w:rPr>
      </w:pPr>
    </w:p>
    <w:p>
      <w:pPr>
        <w:ind w:firstLine="370"/>
        <w:spacing w:after="0" w:line="257" w:lineRule="auto"/>
        <w:rPr>
          <w:sz w:val="20"/>
          <w:szCs w:val="20"/>
          <w:color w:val="auto"/>
        </w:rPr>
      </w:pPr>
      <w:r>
        <w:rPr>
          <w:rFonts w:ascii="Arial" w:cs="Arial" w:eastAsia="Arial" w:hAnsi="Arial"/>
          <w:sz w:val="13"/>
          <w:szCs w:val="13"/>
          <w:color w:val="auto"/>
        </w:rPr>
        <w:t>The professional services industry is highly competitive and comprised of public accounting firms, mid-level consulting firms and specialty consulting houses. The “Big Four” public accounting firms are Deloitte &amp; Touche, Ernst &amp; Young, PricewaterhouseCoopers and KPMG. Competitors in the professional services market include Protiviti, Grant Thornton, Parson Consulting, Robert Half International and Resources Global Professionals. Additionally, numerous smaller boutiques either operate in limited geographic markets or provide limited services. While public accounting and consulting firms can be primary competitors, these firms also frequently refer Jefferson Wells to assist clients with engagements where there are conflict-of-interest concerns. Jefferson Wells does not perform attestation work, enabling the firm to provide an objective review of a client’s business processes, and avoiding potential conflicts of interest.</w:t>
      </w:r>
    </w:p>
    <w:p>
      <w:pPr>
        <w:spacing w:after="0" w:line="124" w:lineRule="exact"/>
        <w:rPr>
          <w:sz w:val="20"/>
          <w:szCs w:val="20"/>
          <w:color w:val="auto"/>
        </w:rPr>
      </w:pPr>
    </w:p>
    <w:p>
      <w:pPr>
        <w:jc w:val="both"/>
        <w:ind w:right="280" w:firstLine="370"/>
        <w:spacing w:after="0" w:line="249" w:lineRule="auto"/>
        <w:rPr>
          <w:sz w:val="20"/>
          <w:szCs w:val="20"/>
          <w:color w:val="auto"/>
        </w:rPr>
      </w:pPr>
      <w:r>
        <w:rPr>
          <w:rFonts w:ascii="Arial" w:cs="Arial" w:eastAsia="Arial" w:hAnsi="Arial"/>
          <w:sz w:val="14"/>
          <w:szCs w:val="14"/>
          <w:color w:val="auto"/>
        </w:rPr>
        <w:t>In an evolving global marketplace, a variety of market trends affect the professional services industry, primary among them are: increasing demand for highly experienced people, global business expansion with a need for consistent methodology and service delivery, and the high cost of full-time professionals with specialized skills.</w:t>
      </w:r>
    </w:p>
    <w:p>
      <w:pPr>
        <w:spacing w:after="0" w:line="128" w:lineRule="exact"/>
        <w:rPr>
          <w:sz w:val="20"/>
          <w:szCs w:val="20"/>
          <w:color w:val="auto"/>
        </w:rPr>
      </w:pPr>
    </w:p>
    <w:p>
      <w:pPr>
        <w:jc w:val="both"/>
        <w:ind w:right="300" w:firstLine="370"/>
        <w:spacing w:after="0" w:line="239" w:lineRule="auto"/>
        <w:rPr>
          <w:sz w:val="20"/>
          <w:szCs w:val="20"/>
          <w:color w:val="auto"/>
        </w:rPr>
      </w:pPr>
      <w:r>
        <w:rPr>
          <w:rFonts w:ascii="Arial" w:cs="Arial" w:eastAsia="Arial" w:hAnsi="Arial"/>
          <w:sz w:val="14"/>
          <w:szCs w:val="14"/>
          <w:color w:val="auto"/>
        </w:rPr>
        <w:t>Jefferson Wells has developed a variety of proprietary methodologies and tools, including a firm-wide Service Quality Process used on every engagement. Jefferson Wells identifies and confirms business needs and then employs proven approaches to provide client solutions. The firm’s competitive advantage resides in the combination of Jefferson Wells’ methodologies and highly experienced resources, which enables the firm to offer a higher level of service delivery to clients.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Jefferson Wells serves numerous industries, with the largest concentration in financial services, manufacturing, energy and utilities, and healthcare.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Regulation</w:t>
      </w:r>
    </w:p>
    <w:p>
      <w:pPr>
        <w:spacing w:after="0" w:line="147" w:lineRule="exact"/>
        <w:rPr>
          <w:sz w:val="20"/>
          <w:szCs w:val="20"/>
          <w:color w:val="auto"/>
        </w:rPr>
      </w:pPr>
    </w:p>
    <w:p>
      <w:pPr>
        <w:ind w:firstLine="370"/>
        <w:spacing w:after="0" w:line="249" w:lineRule="auto"/>
        <w:rPr>
          <w:sz w:val="20"/>
          <w:szCs w:val="20"/>
          <w:color w:val="auto"/>
        </w:rPr>
      </w:pPr>
      <w:r>
        <w:rPr>
          <w:rFonts w:ascii="Arial" w:cs="Arial" w:eastAsia="Arial" w:hAnsi="Arial"/>
          <w:sz w:val="14"/>
          <w:szCs w:val="14"/>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128"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regulation of the employer/employee relationship between the firm and its temporary and contract employees,</w:t>
      </w:r>
    </w:p>
    <w:p>
      <w:pPr>
        <w:spacing w:after="0" w:line="147" w:lineRule="exact"/>
        <w:rPr>
          <w:rFonts w:ascii="Arial" w:cs="Arial" w:eastAsia="Arial" w:hAnsi="Arial"/>
          <w:sz w:val="14"/>
          <w:szCs w:val="14"/>
          <w:color w:val="auto"/>
        </w:rPr>
      </w:pPr>
    </w:p>
    <w:p>
      <w:pPr>
        <w:ind w:left="660" w:hanging="247"/>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registration, licensing, record keeping and reporting requirements, and</w:t>
      </w:r>
    </w:p>
    <w:p>
      <w:pPr>
        <w:spacing w:after="0" w:line="147" w:lineRule="exact"/>
        <w:rPr>
          <w:rFonts w:ascii="Arial" w:cs="Arial" w:eastAsia="Arial" w:hAnsi="Arial"/>
          <w:sz w:val="14"/>
          <w:szCs w:val="14"/>
          <w:color w:val="auto"/>
        </w:rPr>
      </w:pPr>
    </w:p>
    <w:p>
      <w:pPr>
        <w:ind w:left="660" w:hanging="247"/>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substantive limitations on the operations or the use of temporary and contract employees by clients.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300"/>
          </w:cols>
          <w:pgMar w:left="220" w:top="129" w:right="379" w:bottom="1440" w:gutter="0" w:footer="0" w:header="0"/>
        </w:sectPr>
      </w:pPr>
    </w:p>
    <w:bookmarkStart w:id="10" w:name="page11"/>
    <w:bookmarkEnd w:id="10"/>
    <w:p>
      <w:pPr>
        <w:ind w:right="20" w:firstLine="370"/>
        <w:spacing w:after="0" w:line="239" w:lineRule="auto"/>
        <w:rPr>
          <w:sz w:val="20"/>
          <w:szCs w:val="20"/>
          <w:color w:val="auto"/>
        </w:rPr>
      </w:pPr>
      <w:r>
        <w:rPr>
          <w:rFonts w:ascii="Arial" w:cs="Arial" w:eastAsia="Arial" w:hAnsi="Arial"/>
          <w:sz w:val="14"/>
          <w:szCs w:val="14"/>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35" w:lineRule="exact"/>
        <w:rPr>
          <w:sz w:val="20"/>
          <w:szCs w:val="20"/>
          <w:color w:val="auto"/>
        </w:rPr>
      </w:pPr>
    </w:p>
    <w:p>
      <w:pPr>
        <w:ind w:firstLine="370"/>
        <w:spacing w:after="0" w:line="337" w:lineRule="auto"/>
        <w:rPr>
          <w:sz w:val="20"/>
          <w:szCs w:val="20"/>
          <w:color w:val="auto"/>
        </w:rPr>
      </w:pPr>
      <w:r>
        <w:rPr>
          <w:rFonts w:ascii="Arial" w:cs="Arial" w:eastAsia="Arial" w:hAnsi="Arial"/>
          <w:sz w:val="11"/>
          <w:szCs w:val="11"/>
          <w:color w:val="auto"/>
        </w:rPr>
        <w:t>In many countries, including the United States and the United Kingdom, employment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84" w:lineRule="exact"/>
        <w:rPr>
          <w:sz w:val="20"/>
          <w:szCs w:val="20"/>
          <w:color w:val="auto"/>
        </w:rPr>
      </w:pPr>
    </w:p>
    <w:p>
      <w:pPr>
        <w:ind w:right="60" w:firstLine="370"/>
        <w:spacing w:after="0" w:line="239" w:lineRule="auto"/>
        <w:rPr>
          <w:sz w:val="20"/>
          <w:szCs w:val="20"/>
          <w:color w:val="auto"/>
        </w:rPr>
      </w:pPr>
      <w:r>
        <w:rPr>
          <w:rFonts w:ascii="Arial" w:cs="Arial" w:eastAsia="Arial" w:hAnsi="Arial"/>
          <w:sz w:val="14"/>
          <w:szCs w:val="14"/>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35" w:lineRule="exact"/>
        <w:rPr>
          <w:sz w:val="20"/>
          <w:szCs w:val="20"/>
          <w:color w:val="auto"/>
        </w:rPr>
      </w:pPr>
    </w:p>
    <w:p>
      <w:pPr>
        <w:ind w:firstLine="370"/>
        <w:spacing w:after="0" w:line="235" w:lineRule="auto"/>
        <w:rPr>
          <w:sz w:val="20"/>
          <w:szCs w:val="20"/>
          <w:color w:val="auto"/>
        </w:rPr>
      </w:pPr>
      <w:r>
        <w:rPr>
          <w:rFonts w:ascii="Arial" w:cs="Arial" w:eastAsia="Arial" w:hAnsi="Arial"/>
          <w:sz w:val="14"/>
          <w:szCs w:val="14"/>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outplacement and consulting services generally are not subjected to governmental regulation in the markets in which we operate.</w:t>
      </w:r>
    </w:p>
    <w:p>
      <w:pPr>
        <w:spacing w:after="0" w:line="147" w:lineRule="exact"/>
        <w:rPr>
          <w:sz w:val="20"/>
          <w:szCs w:val="20"/>
          <w:color w:val="auto"/>
        </w:rPr>
      </w:pPr>
    </w:p>
    <w:p>
      <w:pPr>
        <w:ind w:right="320" w:firstLine="370"/>
        <w:spacing w:after="0" w:line="382" w:lineRule="auto"/>
        <w:rPr>
          <w:sz w:val="20"/>
          <w:szCs w:val="20"/>
          <w:color w:val="auto"/>
        </w:rPr>
      </w:pPr>
      <w:r>
        <w:rPr>
          <w:rFonts w:ascii="Arial" w:cs="Arial" w:eastAsia="Arial" w:hAnsi="Arial"/>
          <w:sz w:val="11"/>
          <w:szCs w:val="11"/>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Also see Item 7. “Management’s Discussion and Analysis of Financial Condition and Results of Operations—Legal Regulations.”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auto"/>
        </w:rPr>
        <w:t>Trademarks</w:t>
      </w:r>
    </w:p>
    <w:p>
      <w:pPr>
        <w:spacing w:after="0" w:line="137" w:lineRule="exact"/>
        <w:rPr>
          <w:sz w:val="20"/>
          <w:szCs w:val="20"/>
          <w:color w:val="auto"/>
        </w:rPr>
      </w:pPr>
    </w:p>
    <w:p>
      <w:pPr>
        <w:ind w:right="300" w:firstLine="370"/>
        <w:spacing w:after="0" w:line="250" w:lineRule="auto"/>
        <w:rPr>
          <w:sz w:val="20"/>
          <w:szCs w:val="20"/>
          <w:color w:val="auto"/>
        </w:rPr>
      </w:pPr>
      <w:r>
        <w:rPr>
          <w:rFonts w:ascii="Arial" w:cs="Arial" w:eastAsia="Arial" w:hAnsi="Arial"/>
          <w:sz w:val="13"/>
          <w:szCs w:val="13"/>
          <w:color w:val="auto"/>
        </w:rPr>
        <w:t>We maintain a number of registered trademarks, trade names and service marks in the United States and various other countries. We believe that many of these marks and trade names, including Manpower</w:t>
      </w:r>
      <w:r>
        <w:rPr>
          <w:rFonts w:ascii="Arial" w:cs="Arial" w:eastAsia="Arial" w:hAnsi="Arial"/>
          <w:sz w:val="18"/>
          <w:szCs w:val="18"/>
          <w:color w:val="auto"/>
          <w:vertAlign w:val="superscript"/>
        </w:rPr>
        <w:t>®</w:t>
      </w:r>
      <w:r>
        <w:rPr>
          <w:rFonts w:ascii="Arial" w:cs="Arial" w:eastAsia="Arial" w:hAnsi="Arial"/>
          <w:sz w:val="13"/>
          <w:szCs w:val="13"/>
          <w:color w:val="auto"/>
        </w:rPr>
        <w:t>, Manpower Professional</w:t>
      </w:r>
      <w:r>
        <w:rPr>
          <w:rFonts w:ascii="Arial" w:cs="Arial" w:eastAsia="Arial" w:hAnsi="Arial"/>
          <w:sz w:val="18"/>
          <w:szCs w:val="18"/>
          <w:color w:val="auto"/>
          <w:vertAlign w:val="superscript"/>
        </w:rPr>
        <w:t>®</w:t>
      </w:r>
      <w:r>
        <w:rPr>
          <w:rFonts w:ascii="Arial" w:cs="Arial" w:eastAsia="Arial" w:hAnsi="Arial"/>
          <w:sz w:val="13"/>
          <w:szCs w:val="13"/>
          <w:color w:val="auto"/>
        </w:rPr>
        <w:t>, Right Management Consultants</w:t>
      </w:r>
      <w:r>
        <w:rPr>
          <w:rFonts w:ascii="Arial" w:cs="Arial" w:eastAsia="Arial" w:hAnsi="Arial"/>
          <w:sz w:val="18"/>
          <w:szCs w:val="18"/>
          <w:color w:val="auto"/>
          <w:vertAlign w:val="superscript"/>
        </w:rPr>
        <w:t>®</w:t>
      </w:r>
      <w:r>
        <w:rPr>
          <w:rFonts w:ascii="Arial" w:cs="Arial" w:eastAsia="Arial" w:hAnsi="Arial"/>
          <w:sz w:val="13"/>
          <w:szCs w:val="13"/>
          <w:color w:val="auto"/>
        </w:rPr>
        <w:t>, Jefferson Wells</w:t>
      </w:r>
      <w:r>
        <w:rPr>
          <w:rFonts w:ascii="Arial" w:cs="Arial" w:eastAsia="Arial" w:hAnsi="Arial"/>
          <w:sz w:val="18"/>
          <w:szCs w:val="18"/>
          <w:color w:val="auto"/>
          <w:vertAlign w:val="superscript"/>
        </w:rPr>
        <w:t>®</w:t>
      </w:r>
      <w:r>
        <w:rPr>
          <w:rFonts w:ascii="Arial" w:cs="Arial" w:eastAsia="Arial" w:hAnsi="Arial"/>
          <w:sz w:val="13"/>
          <w:szCs w:val="13"/>
          <w:color w:val="auto"/>
        </w:rPr>
        <w:t>, Brook Street</w:t>
      </w:r>
      <w:r>
        <w:rPr>
          <w:rFonts w:ascii="Arial" w:cs="Arial" w:eastAsia="Arial" w:hAnsi="Arial"/>
          <w:sz w:val="18"/>
          <w:szCs w:val="18"/>
          <w:color w:val="auto"/>
          <w:vertAlign w:val="superscript"/>
        </w:rPr>
        <w:t>®</w:t>
      </w:r>
      <w:r>
        <w:rPr>
          <w:rFonts w:ascii="Arial" w:cs="Arial" w:eastAsia="Arial" w:hAnsi="Arial"/>
          <w:sz w:val="13"/>
          <w:szCs w:val="13"/>
          <w:color w:val="auto"/>
        </w:rPr>
        <w:t>, Elan</w:t>
      </w:r>
      <w:r>
        <w:rPr>
          <w:rFonts w:ascii="Arial" w:cs="Arial" w:eastAsia="Arial" w:hAnsi="Arial"/>
          <w:sz w:val="18"/>
          <w:szCs w:val="18"/>
          <w:color w:val="auto"/>
          <w:vertAlign w:val="superscript"/>
        </w:rPr>
        <w:t>®</w:t>
      </w:r>
      <w:r>
        <w:rPr>
          <w:rFonts w:ascii="Arial" w:cs="Arial" w:eastAsia="Arial" w:hAnsi="Arial"/>
          <w:sz w:val="13"/>
          <w:szCs w:val="13"/>
          <w:color w:val="auto"/>
        </w:rPr>
        <w:t>, Ultraskill</w:t>
      </w:r>
      <w:r>
        <w:rPr>
          <w:rFonts w:ascii="Arial" w:cs="Arial" w:eastAsia="Arial" w:hAnsi="Arial"/>
          <w:sz w:val="18"/>
          <w:szCs w:val="18"/>
          <w:color w:val="auto"/>
          <w:vertAlign w:val="superscript"/>
        </w:rPr>
        <w:t>®</w:t>
      </w:r>
      <w:r>
        <w:rPr>
          <w:rFonts w:ascii="Arial" w:cs="Arial" w:eastAsia="Arial" w:hAnsi="Arial"/>
          <w:sz w:val="13"/>
          <w:szCs w:val="13"/>
          <w:color w:val="auto"/>
        </w:rPr>
        <w:t>, and Skillware</w:t>
      </w:r>
      <w:r>
        <w:rPr>
          <w:rFonts w:ascii="Arial" w:cs="Arial" w:eastAsia="Arial" w:hAnsi="Arial"/>
          <w:sz w:val="18"/>
          <w:szCs w:val="18"/>
          <w:color w:val="auto"/>
          <w:vertAlign w:val="superscript"/>
        </w:rPr>
        <w:t>®</w:t>
      </w:r>
      <w:r>
        <w:rPr>
          <w:rFonts w:ascii="Arial" w:cs="Arial" w:eastAsia="Arial" w:hAnsi="Arial"/>
          <w:sz w:val="13"/>
          <w:szCs w:val="13"/>
          <w:color w:val="auto"/>
        </w:rPr>
        <w:t>,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Employees</w:t>
      </w:r>
    </w:p>
    <w:p>
      <w:pPr>
        <w:spacing w:after="0" w:line="147" w:lineRule="exact"/>
        <w:rPr>
          <w:sz w:val="20"/>
          <w:szCs w:val="20"/>
          <w:color w:val="auto"/>
        </w:rPr>
      </w:pPr>
    </w:p>
    <w:p>
      <w:pPr>
        <w:ind w:firstLine="370"/>
        <w:spacing w:after="0" w:line="249" w:lineRule="auto"/>
        <w:rPr>
          <w:sz w:val="20"/>
          <w:szCs w:val="20"/>
          <w:color w:val="auto"/>
        </w:rPr>
      </w:pPr>
      <w:r>
        <w:rPr>
          <w:rFonts w:ascii="Arial" w:cs="Arial" w:eastAsia="Arial" w:hAnsi="Arial"/>
          <w:sz w:val="14"/>
          <w:szCs w:val="14"/>
          <w:color w:val="auto"/>
        </w:rPr>
        <w:t>We had approximately 33,000 full-time equivalent employees as of December 31, 2008. In addition, we estimate that we recruit on behalf of our clients approximately four million permanent, temporary and contract workers on a worldwide basis each year.</w:t>
      </w:r>
    </w:p>
    <w:p>
      <w:pPr>
        <w:spacing w:after="0" w:line="128" w:lineRule="exact"/>
        <w:rPr>
          <w:sz w:val="20"/>
          <w:szCs w:val="20"/>
          <w:color w:val="auto"/>
        </w:rPr>
      </w:pPr>
    </w:p>
    <w:p>
      <w:pPr>
        <w:ind w:right="220" w:firstLine="370"/>
        <w:spacing w:after="0" w:line="237" w:lineRule="auto"/>
        <w:rPr>
          <w:sz w:val="20"/>
          <w:szCs w:val="20"/>
          <w:color w:val="auto"/>
        </w:rPr>
      </w:pPr>
      <w:r>
        <w:rPr>
          <w:rFonts w:ascii="Arial" w:cs="Arial" w:eastAsia="Arial" w:hAnsi="Arial"/>
          <w:sz w:val="14"/>
          <w:szCs w:val="14"/>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Information about Foreign and Domestic Operations</w:t>
      </w:r>
    </w:p>
    <w:p>
      <w:pPr>
        <w:spacing w:after="0" w:line="147" w:lineRule="exact"/>
        <w:rPr>
          <w:sz w:val="20"/>
          <w:szCs w:val="20"/>
          <w:color w:val="auto"/>
        </w:rPr>
      </w:pPr>
    </w:p>
    <w:p>
      <w:pPr>
        <w:ind w:firstLine="370"/>
        <w:spacing w:after="0" w:line="249" w:lineRule="auto"/>
        <w:rPr>
          <w:sz w:val="20"/>
          <w:szCs w:val="20"/>
          <w:color w:val="auto"/>
        </w:rPr>
      </w:pPr>
      <w:r>
        <w:rPr>
          <w:rFonts w:ascii="Arial" w:cs="Arial" w:eastAsia="Arial" w:hAnsi="Arial"/>
          <w:sz w:val="14"/>
          <w:szCs w:val="14"/>
          <w:color w:val="auto"/>
        </w:rPr>
        <w:t>Note 15 to our consolidated financial statements sets forth the information required for each segment and geographical area for the years ended December 31, 2008, 2007 and 2006. Such note is found in our 2008 Annual Report to Shareholders and is incorporated herein by reference.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12" w:name="page13"/>
    <w:bookmarkEnd w:id="12"/>
    <w:p>
      <w:pPr>
        <w:spacing w:after="0"/>
        <w:tabs>
          <w:tab w:leader="none" w:pos="7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FORWARD-LOOKING STATEMENTS</w:t>
      </w:r>
    </w:p>
    <w:p>
      <w:pPr>
        <w:spacing w:after="0" w:line="151" w:lineRule="exact"/>
        <w:rPr>
          <w:sz w:val="20"/>
          <w:szCs w:val="20"/>
          <w:color w:val="auto"/>
        </w:rPr>
      </w:pPr>
    </w:p>
    <w:p>
      <w:pPr>
        <w:ind w:firstLine="370"/>
        <w:spacing w:after="0" w:line="235" w:lineRule="auto"/>
        <w:rPr>
          <w:sz w:val="20"/>
          <w:szCs w:val="20"/>
          <w:color w:val="auto"/>
        </w:rPr>
      </w:pPr>
      <w:r>
        <w:rPr>
          <w:rFonts w:ascii="Arial" w:cs="Arial" w:eastAsia="Arial" w:hAnsi="Arial"/>
          <w:sz w:val="14"/>
          <w:szCs w:val="14"/>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are some of the factors that could cause actual results to differ materially from estimates contained in our forward-looking statements:</w:t>
      </w:r>
    </w:p>
    <w:p>
      <w:pPr>
        <w:spacing w:after="0" w:line="157"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cost structure of subsidiaries;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management turnover;</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reorganizations;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material changes in the demand from larger clients, including clients with which we have national, multi-national, or sole-supplier arrangements;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availability of workers with the skills required by clients;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increases in the wages paid to our associates;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competitive market pressures, including pricing pressures;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inability to pass along direct cost increases to clients;</w:t>
      </w:r>
    </w:p>
    <w:p>
      <w:pPr>
        <w:spacing w:after="0" w:line="208" w:lineRule="exact"/>
        <w:rPr>
          <w:rFonts w:ascii="Arial" w:cs="Arial" w:eastAsia="Arial" w:hAnsi="Arial"/>
          <w:sz w:val="14"/>
          <w:szCs w:val="14"/>
          <w:color w:val="auto"/>
        </w:rPr>
      </w:pPr>
    </w:p>
    <w:p>
      <w:pPr>
        <w:ind w:left="5660" w:right="1900" w:hanging="5247"/>
        <w:spacing w:after="0" w:line="494" w:lineRule="auto"/>
        <w:tabs>
          <w:tab w:leader="none" w:pos="654"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in demand for our specialized services, including assisting companies in complying with the Sarbanes-Oxley Act legislation, and outplacement services;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380"/>
          </w:cols>
          <w:pgMar w:left="220" w:top="423" w:right="299" w:bottom="1440" w:gutter="0" w:footer="0" w:header="0"/>
        </w:sectPr>
      </w:pPr>
    </w:p>
    <w:bookmarkStart w:id="13" w:name="page14"/>
    <w:bookmarkEnd w:id="13"/>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successfully expand into new markets or offer new service lines;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successfully invest in and implement information systems;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unanticipated technological changes, including obsolescence or impairment of information systems;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client attitudes toward the use of staffing services;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government, tax or regulatory policies adverse to the employment services industry;</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general economic conditions in domestic and international markets;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rate and exchange rate fluctuations;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difficulties related to acquisitions, including integrating the acquired companies and achieving the expected benefits;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impairments to the carrying value of acquisitions and other investments resulting from poor financial performance or other factors;</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risk factors disclosed below; and</w:t>
      </w:r>
    </w:p>
    <w:p>
      <w:pPr>
        <w:spacing w:after="0" w:line="208" w:lineRule="exact"/>
        <w:rPr>
          <w:rFonts w:ascii="Arial" w:cs="Arial" w:eastAsia="Arial" w:hAnsi="Arial"/>
          <w:sz w:val="14"/>
          <w:szCs w:val="14"/>
          <w:color w:val="auto"/>
        </w:rPr>
      </w:pPr>
    </w:p>
    <w:p>
      <w:pPr>
        <w:ind w:left="660" w:hanging="24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factors that may be disclosed from time to time in our SEC filings or otherwise.</w:t>
      </w:r>
    </w:p>
    <w:p>
      <w:pPr>
        <w:spacing w:after="0" w:line="209" w:lineRule="exact"/>
        <w:rPr>
          <w:sz w:val="20"/>
          <w:szCs w:val="20"/>
          <w:color w:val="auto"/>
        </w:rPr>
      </w:pPr>
    </w:p>
    <w:p>
      <w:pPr>
        <w:ind w:firstLine="370"/>
        <w:spacing w:after="0" w:line="249" w:lineRule="auto"/>
        <w:rPr>
          <w:sz w:val="20"/>
          <w:szCs w:val="20"/>
          <w:color w:val="auto"/>
        </w:rPr>
      </w:pPr>
      <w:r>
        <w:rPr>
          <w:rFonts w:ascii="Arial" w:cs="Arial" w:eastAsia="Arial" w:hAnsi="Arial"/>
          <w:sz w:val="14"/>
          <w:szCs w:val="14"/>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100"/>
          </w:cols>
          <w:pgMar w:left="220" w:top="283" w:right="57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RISK FACTORS</w:t>
      </w:r>
    </w:p>
    <w:p>
      <w:pPr>
        <w:spacing w:after="0" w:line="147" w:lineRule="exact"/>
        <w:rPr>
          <w:sz w:val="20"/>
          <w:szCs w:val="20"/>
          <w:color w:val="auto"/>
        </w:rPr>
      </w:pPr>
    </w:p>
    <w:p>
      <w:pPr>
        <w:ind w:right="240" w:firstLine="370"/>
        <w:spacing w:after="0" w:line="255" w:lineRule="auto"/>
        <w:rPr>
          <w:sz w:val="20"/>
          <w:szCs w:val="20"/>
          <w:color w:val="auto"/>
        </w:rPr>
      </w:pPr>
      <w:r>
        <w:rPr>
          <w:rFonts w:ascii="Arial" w:cs="Arial" w:eastAsia="Arial" w:hAnsi="Arial"/>
          <w:sz w:val="14"/>
          <w:szCs w:val="14"/>
          <w:b w:val="1"/>
          <w:bCs w:val="1"/>
          <w:color w:val="auto"/>
        </w:rPr>
        <w:t>Any significant economic downturn could result in our clients using fewer temporary and contract workers or becoming unable to pay us for our services on a timely basis or at all, which would materially adversely affect our business.</w:t>
      </w:r>
    </w:p>
    <w:p>
      <w:pPr>
        <w:spacing w:after="0" w:line="124" w:lineRule="exact"/>
        <w:rPr>
          <w:sz w:val="20"/>
          <w:szCs w:val="20"/>
          <w:color w:val="auto"/>
        </w:rPr>
      </w:pPr>
    </w:p>
    <w:p>
      <w:pPr>
        <w:ind w:right="300" w:firstLine="370"/>
        <w:spacing w:after="0" w:line="239" w:lineRule="auto"/>
        <w:rPr>
          <w:sz w:val="20"/>
          <w:szCs w:val="20"/>
          <w:color w:val="auto"/>
        </w:rPr>
      </w:pPr>
      <w:r>
        <w:rPr>
          <w:rFonts w:ascii="Arial" w:cs="Arial" w:eastAsia="Arial" w:hAnsi="Arial"/>
          <w:sz w:val="14"/>
          <w:szCs w:val="14"/>
          <w:color w:val="auto"/>
        </w:rPr>
        <w:t>Because demand for recruitment services is sensitive to changes in the level of economic activity, our business may suffer during economic downturns. As economic activity begins to slow down, companies tend to reduce their use of temporary and contract workers before undertaking layoffs of their regular employees, resulting in decreased demand for temporary and contract workers. Significant declines in demand, and thus in revenues, can result in expense de-leveraging, which would result in lower profit levels.</w:t>
      </w:r>
    </w:p>
    <w:p>
      <w:pPr>
        <w:spacing w:after="0" w:line="135" w:lineRule="exact"/>
        <w:rPr>
          <w:sz w:val="20"/>
          <w:szCs w:val="20"/>
          <w:color w:val="auto"/>
        </w:rPr>
      </w:pPr>
    </w:p>
    <w:p>
      <w:pPr>
        <w:ind w:right="120" w:firstLine="370"/>
        <w:spacing w:after="0" w:line="382" w:lineRule="auto"/>
        <w:rPr>
          <w:sz w:val="20"/>
          <w:szCs w:val="20"/>
          <w:color w:val="auto"/>
        </w:rPr>
      </w:pPr>
      <w:r>
        <w:rPr>
          <w:rFonts w:ascii="Arial" w:cs="Arial" w:eastAsia="Arial" w:hAnsi="Arial"/>
          <w:sz w:val="11"/>
          <w:szCs w:val="11"/>
          <w:color w:val="auto"/>
        </w:rPr>
        <w:t>In addition, during economic downturns companies may slow the rate at which they pay their vendors or become unable to pay their debts as they become due. If any of our significant clients does not pay amounts owed to us in a timely manner or becomes unable to pay such amounts to us at a time when we have substantial amounts receivable from such client, our cash flow and profitability may suffer.</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1"/>
          <w:szCs w:val="11"/>
          <w:b w:val="1"/>
          <w:bCs w:val="1"/>
          <w:color w:val="auto"/>
        </w:rPr>
        <w:t>The worldwide employment services industry is highly competitive with limited barriers to entry, which could limit our ability to maintain or increase our market share or profitability.</w:t>
      </w:r>
    </w:p>
    <w:p>
      <w:pPr>
        <w:spacing w:after="0" w:line="186" w:lineRule="exact"/>
        <w:rPr>
          <w:sz w:val="20"/>
          <w:szCs w:val="20"/>
          <w:color w:val="auto"/>
        </w:rPr>
      </w:pPr>
    </w:p>
    <w:p>
      <w:pPr>
        <w:ind w:right="160" w:firstLine="370"/>
        <w:spacing w:after="0" w:line="260" w:lineRule="auto"/>
        <w:rPr>
          <w:sz w:val="20"/>
          <w:szCs w:val="20"/>
          <w:color w:val="auto"/>
        </w:rPr>
      </w:pPr>
      <w:r>
        <w:rPr>
          <w:rFonts w:ascii="Arial" w:cs="Arial" w:eastAsia="Arial" w:hAnsi="Arial"/>
          <w:sz w:val="13"/>
          <w:szCs w:val="13"/>
          <w:color w:val="auto"/>
        </w:rPr>
        <w:t>The worldwide employment services market is highly competitive with limited barriers to entry, and in recent years has been undergoing significant consolidation. We compete in markets throughout North America, South America, Europe, Australia and Asia with full-service and specialized employment services agencies. Several of our competitors, including Adecco S.A., Randstad Holding N.V. and Kelly Services, Inc., have very substantial marketing and financial resources. Price competition in the staffing industry is intense and pricing pressures from competitors and clients are increasing. We expect that the level of competition will remain high in the future, which could limit our ability to maintain or increase our market share or our profitability.</w:t>
      </w:r>
    </w:p>
    <w:p>
      <w:pPr>
        <w:spacing w:after="0" w:line="119" w:lineRule="exact"/>
        <w:rPr>
          <w:sz w:val="20"/>
          <w:szCs w:val="20"/>
          <w:color w:val="auto"/>
        </w:rPr>
      </w:pPr>
    </w:p>
    <w:p>
      <w:pPr>
        <w:ind w:right="280" w:firstLine="370"/>
        <w:spacing w:after="0" w:line="255" w:lineRule="auto"/>
        <w:rPr>
          <w:sz w:val="20"/>
          <w:szCs w:val="20"/>
          <w:color w:val="auto"/>
        </w:rPr>
      </w:pPr>
      <w:r>
        <w:rPr>
          <w:rFonts w:ascii="Arial" w:cs="Arial" w:eastAsia="Arial" w:hAnsi="Arial"/>
          <w:sz w:val="14"/>
          <w:szCs w:val="14"/>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24" w:lineRule="exact"/>
        <w:rPr>
          <w:sz w:val="20"/>
          <w:szCs w:val="20"/>
          <w:color w:val="auto"/>
        </w:rPr>
      </w:pPr>
    </w:p>
    <w:p>
      <w:pPr>
        <w:jc w:val="both"/>
        <w:ind w:right="80" w:firstLine="370"/>
        <w:spacing w:after="0" w:line="237" w:lineRule="auto"/>
        <w:rPr>
          <w:sz w:val="20"/>
          <w:szCs w:val="20"/>
          <w:color w:val="auto"/>
        </w:rPr>
      </w:pPr>
      <w:r>
        <w:rPr>
          <w:rFonts w:ascii="Arial" w:cs="Arial" w:eastAsia="Arial" w:hAnsi="Arial"/>
          <w:sz w:val="14"/>
          <w:szCs w:val="14"/>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For example, our associates in France are entitled to a 10% allowance for the uncertain duration of employment, which is eliminated if a full-time position is offered to them within three days. The countries in which we operate may, among other things:</w:t>
      </w:r>
    </w:p>
    <w:p>
      <w:pPr>
        <w:spacing w:after="0" w:line="134" w:lineRule="exact"/>
        <w:rPr>
          <w:sz w:val="20"/>
          <w:szCs w:val="20"/>
          <w:color w:val="auto"/>
        </w:rPr>
      </w:pPr>
    </w:p>
    <w:p>
      <w:pPr>
        <w:ind w:left="800" w:hanging="407"/>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create additional regulations that prohibit or restrict the types of employment services that we currently provide;</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require new or additional benefits be paid to our associates;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require us to obtain additional licensing to provide employment services; or</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increase taxes, such as sales or value-added taxes, payable by the providers of temporary and contract recruitment centers.</w:t>
      </w:r>
    </w:p>
    <w:p>
      <w:pPr>
        <w:spacing w:after="0" w:line="157" w:lineRule="exact"/>
        <w:rPr>
          <w:sz w:val="20"/>
          <w:szCs w:val="20"/>
          <w:color w:val="auto"/>
        </w:rPr>
      </w:pPr>
    </w:p>
    <w:p>
      <w:pPr>
        <w:ind w:firstLine="370"/>
        <w:spacing w:after="0" w:line="249" w:lineRule="auto"/>
        <w:rPr>
          <w:sz w:val="20"/>
          <w:szCs w:val="20"/>
          <w:color w:val="auto"/>
        </w:rPr>
      </w:pPr>
      <w:r>
        <w:rPr>
          <w:rFonts w:ascii="Arial" w:cs="Arial" w:eastAsia="Arial" w:hAnsi="Arial"/>
          <w:sz w:val="14"/>
          <w:szCs w:val="14"/>
          <w:color w:val="auto"/>
        </w:rPr>
        <w:t>Any future regulations may have a material adverse effect on our financial condition, results of operations and liquidity because they may make it more difficult or expensive for us to continue to provide employment services.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3" w:right="219" w:bottom="1440" w:gutter="0" w:footer="0" w:header="0"/>
        </w:sectPr>
      </w:pPr>
    </w:p>
    <w:bookmarkStart w:id="15" w:name="page16"/>
    <w:bookmarkEnd w:id="15"/>
    <w:p>
      <w:pPr>
        <w:ind w:left="380"/>
        <w:spacing w:after="0"/>
        <w:rPr>
          <w:sz w:val="20"/>
          <w:szCs w:val="20"/>
          <w:color w:val="auto"/>
        </w:rPr>
      </w:pPr>
      <w:r>
        <w:rPr>
          <w:rFonts w:ascii="Arial" w:cs="Arial" w:eastAsia="Arial" w:hAnsi="Arial"/>
          <w:sz w:val="14"/>
          <w:szCs w:val="14"/>
          <w:b w:val="1"/>
          <w:bCs w:val="1"/>
          <w:color w:val="auto"/>
        </w:rPr>
        <w:t>Our acquisition strategy may have a material adverse effect on our business due to unexpected or underestimated costs.</w:t>
      </w:r>
    </w:p>
    <w:p>
      <w:pPr>
        <w:spacing w:after="0" w:line="151" w:lineRule="exact"/>
        <w:rPr>
          <w:sz w:val="20"/>
          <w:szCs w:val="20"/>
          <w:color w:val="auto"/>
        </w:rPr>
      </w:pPr>
    </w:p>
    <w:p>
      <w:pPr>
        <w:ind w:right="400" w:firstLine="370"/>
        <w:spacing w:after="0" w:line="249" w:lineRule="auto"/>
        <w:rPr>
          <w:sz w:val="20"/>
          <w:szCs w:val="20"/>
          <w:color w:val="auto"/>
        </w:rPr>
      </w:pPr>
      <w:r>
        <w:rPr>
          <w:rFonts w:ascii="Arial" w:cs="Arial" w:eastAsia="Arial" w:hAnsi="Arial"/>
          <w:sz w:val="14"/>
          <w:szCs w:val="14"/>
          <w:color w:val="auto"/>
        </w:rPr>
        <w:t>From time to time, we acquire and invest in companies throughout the world, including franchises. The total cash consideration paid for acquisitions, net of cash acquired, was $242.0 million and $122.8 million in 2008 and 2007, respectively.</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may make additional acquisitions in the future. Our acquisition strategy involves significant risks, including:</w:t>
      </w:r>
    </w:p>
    <w:p>
      <w:pPr>
        <w:spacing w:after="0" w:line="147" w:lineRule="exact"/>
        <w:rPr>
          <w:sz w:val="20"/>
          <w:szCs w:val="20"/>
          <w:color w:val="auto"/>
        </w:rPr>
      </w:pPr>
    </w:p>
    <w:p>
      <w:pPr>
        <w:ind w:left="800" w:hanging="407"/>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difficulties in the assimilation of the operations, services and corporate culture of acquired companies;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over-valuation by us of acquired companies;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insufficient indemnification from the selling parties for legal liabilities incurred by the acquired companies prior to the acquisitions; and</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diversion of management’s attention from other business concerns.</w:t>
      </w:r>
    </w:p>
    <w:p>
      <w:pPr>
        <w:spacing w:after="0" w:line="157" w:lineRule="exact"/>
        <w:rPr>
          <w:sz w:val="20"/>
          <w:szCs w:val="20"/>
          <w:color w:val="auto"/>
        </w:rPr>
      </w:pPr>
    </w:p>
    <w:p>
      <w:pPr>
        <w:ind w:right="140" w:firstLine="370"/>
        <w:spacing w:after="0" w:line="260" w:lineRule="auto"/>
        <w:rPr>
          <w:sz w:val="20"/>
          <w:szCs w:val="20"/>
          <w:color w:val="auto"/>
        </w:rPr>
      </w:pPr>
      <w:r>
        <w:rPr>
          <w:rFonts w:ascii="Arial" w:cs="Arial" w:eastAsia="Arial" w:hAnsi="Arial"/>
          <w:sz w:val="13"/>
          <w:szCs w:val="13"/>
          <w:color w:val="auto"/>
        </w:rPr>
        <w:t>These risks could have a material adverse effect on our business because they may result in substantial costs to us and disrupt our business. In addition, future acquisitions could materially adversely effect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 For example, we recorded a goodwill and intangible asset impairment charge of $163.1 million in 2008 related to our acquisition of Right Management.</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Intense competition may limit our ability to attract, train and retain the qualified personnel necessary for us to meet our clients’ staffing needs.</w:t>
      </w:r>
    </w:p>
    <w:p>
      <w:pPr>
        <w:spacing w:after="0" w:line="151" w:lineRule="exact"/>
        <w:rPr>
          <w:sz w:val="20"/>
          <w:szCs w:val="20"/>
          <w:color w:val="auto"/>
        </w:rPr>
      </w:pPr>
    </w:p>
    <w:p>
      <w:pPr>
        <w:ind w:firstLine="370"/>
        <w:spacing w:after="0" w:line="255" w:lineRule="auto"/>
        <w:rPr>
          <w:sz w:val="20"/>
          <w:szCs w:val="20"/>
          <w:color w:val="auto"/>
        </w:rPr>
      </w:pPr>
      <w:r>
        <w:rPr>
          <w:rFonts w:ascii="Arial" w:cs="Arial" w:eastAsia="Arial" w:hAnsi="Arial"/>
          <w:sz w:val="13"/>
          <w:szCs w:val="13"/>
          <w:color w:val="auto"/>
        </w:rPr>
        <w:t>We depend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requires significant expenditures and may not result in the trainees developing effective or adequate skills. We may not be able to develop training programs to respond to our clients’ changing needs or retain associates who we have trained. The failure to recruit, train and retain qualified associates could materially adversely affect our business because it may result in an inability to meet our clients’ needs.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6" w:name="page17"/>
    <w:bookmarkEnd w:id="16"/>
    <w:p>
      <w:pPr>
        <w:ind w:left="380"/>
        <w:spacing w:after="0"/>
        <w:rPr>
          <w:sz w:val="20"/>
          <w:szCs w:val="20"/>
          <w:color w:val="auto"/>
        </w:rPr>
      </w:pPr>
      <w:r>
        <w:rPr>
          <w:rFonts w:ascii="Arial" w:cs="Arial" w:eastAsia="Arial" w:hAnsi="Arial"/>
          <w:sz w:val="11"/>
          <w:szCs w:val="11"/>
          <w:b w:val="1"/>
          <w:bCs w:val="1"/>
          <w:color w:val="auto"/>
        </w:rPr>
        <w:t>We may be exposed to employment-related claims and costs from clients or third parties that could materially adversely affect our business, financial condition and results of operations.</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are in the business of employing people and placing them in the workplaces of other businesses. Risks relating to these activities include:</w:t>
      </w:r>
    </w:p>
    <w:p>
      <w:pPr>
        <w:spacing w:after="0" w:line="147" w:lineRule="exact"/>
        <w:rPr>
          <w:sz w:val="20"/>
          <w:szCs w:val="20"/>
          <w:color w:val="auto"/>
        </w:rPr>
      </w:pPr>
    </w:p>
    <w:p>
      <w:pPr>
        <w:ind w:left="800" w:hanging="407"/>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claims arising out of the actions or inactions of our associates, including matters for which we may have indemnified a client;</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claims by our associates of discrimination or harassment directed at them, including claims relating to actions of our clients;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claims related to the employment of illegal aliens or unlicensed personnel;</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payment of workers’ compensation claims and other similar claims;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violations of wage and hour requirements;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retroactive entitlement to employee benefits;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errors and omissions of our associates, particularly in the case of professionals, such as accountants; and</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claims by our clients relating to our associates’ misuse of clients’ proprietary information, misappropriation of funds, other criminal activity or torts or other similar claims.</w:t>
      </w:r>
    </w:p>
    <w:p>
      <w:pPr>
        <w:spacing w:after="0" w:line="157" w:lineRule="exact"/>
        <w:rPr>
          <w:sz w:val="20"/>
          <w:szCs w:val="20"/>
          <w:color w:val="auto"/>
        </w:rPr>
      </w:pPr>
    </w:p>
    <w:p>
      <w:pPr>
        <w:ind w:right="420" w:firstLine="370"/>
        <w:spacing w:after="0" w:line="249" w:lineRule="auto"/>
        <w:rPr>
          <w:sz w:val="20"/>
          <w:szCs w:val="20"/>
          <w:color w:val="auto"/>
        </w:rPr>
      </w:pPr>
      <w:r>
        <w:rPr>
          <w:rFonts w:ascii="Arial" w:cs="Arial" w:eastAsia="Arial" w:hAnsi="Arial"/>
          <w:sz w:val="14"/>
          <w:szCs w:val="14"/>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be certain we will not experience these problems in the future.</w:t>
      </w:r>
    </w:p>
    <w:p>
      <w:pPr>
        <w:spacing w:after="0" w:line="128" w:lineRule="exact"/>
        <w:rPr>
          <w:sz w:val="20"/>
          <w:szCs w:val="20"/>
          <w:color w:val="auto"/>
        </w:rPr>
      </w:pPr>
    </w:p>
    <w:p>
      <w:pPr>
        <w:ind w:right="60" w:firstLine="370"/>
        <w:spacing w:after="0" w:line="337" w:lineRule="auto"/>
        <w:rPr>
          <w:sz w:val="20"/>
          <w:szCs w:val="20"/>
          <w:color w:val="auto"/>
        </w:rPr>
      </w:pPr>
      <w:r>
        <w:rPr>
          <w:rFonts w:ascii="Arial" w:cs="Arial" w:eastAsia="Arial" w:hAnsi="Arial"/>
          <w:sz w:val="11"/>
          <w:szCs w:val="11"/>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If we lose our key personnel, then our business may suffer.</w:t>
      </w:r>
    </w:p>
    <w:p>
      <w:pPr>
        <w:spacing w:after="0" w:line="151" w:lineRule="exact"/>
        <w:rPr>
          <w:sz w:val="20"/>
          <w:szCs w:val="20"/>
          <w:color w:val="auto"/>
        </w:rPr>
      </w:pPr>
    </w:p>
    <w:p>
      <w:pPr>
        <w:ind w:right="180" w:firstLine="370"/>
        <w:spacing w:after="0" w:line="257" w:lineRule="auto"/>
        <w:rPr>
          <w:sz w:val="20"/>
          <w:szCs w:val="20"/>
          <w:color w:val="auto"/>
        </w:rPr>
      </w:pPr>
      <w:r>
        <w:rPr>
          <w:rFonts w:ascii="Arial" w:cs="Arial" w:eastAsia="Arial" w:hAnsi="Arial"/>
          <w:sz w:val="13"/>
          <w:szCs w:val="13"/>
          <w:color w:val="auto"/>
        </w:rPr>
        <w:t>Our operations are dependent on the continued efforts of our officers and executive management and the performance and productivity of our local managers and field personnel. Our ability to attract and retain business is significantly affected by local relationships and the quality of service rendered. The loss of those key officers and members of management who have acquired significant experience in operating an employment services company on an international level may cause a significant disruption to our business. Moreover, the loss of our key managers and field personnel may jeopardize existing client relationships with businesses that continue to use our services based upon past relationships with these local managers and field personnel. The loss of such key personnel could materially adversely affect our operations, because it may result in an inability to establish and maintain client relationships and otherwise operate our business.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Foreign currency fluctuations may have a material adverse effect on our operating results.</w:t>
      </w:r>
    </w:p>
    <w:p>
      <w:pPr>
        <w:spacing w:after="0" w:line="151" w:lineRule="exact"/>
        <w:rPr>
          <w:sz w:val="20"/>
          <w:szCs w:val="20"/>
          <w:color w:val="auto"/>
        </w:rPr>
      </w:pPr>
    </w:p>
    <w:p>
      <w:pPr>
        <w:ind w:firstLine="370"/>
        <w:spacing w:after="0" w:line="255" w:lineRule="auto"/>
        <w:rPr>
          <w:sz w:val="20"/>
          <w:szCs w:val="20"/>
          <w:color w:val="auto"/>
        </w:rPr>
      </w:pPr>
      <w:r>
        <w:rPr>
          <w:rFonts w:ascii="Arial" w:cs="Arial" w:eastAsia="Arial" w:hAnsi="Arial"/>
          <w:sz w:val="13"/>
          <w:szCs w:val="13"/>
          <w:color w:val="auto"/>
        </w:rPr>
        <w:t>We conduct our operations in 82 countries and territories and the results of our local operations are reported in the applicable foreign currencies and then translated into U.S. Dollars at the applicable foreign currency exchange rates for inclusion in our consolidated financial statements. During 2008, approximately 89% of our revenues were generated outside of the United States, the majority of which were generated in Europe. Furthermore, approximately $749.0 million of our outstanding indebtedness as of December 31, 2008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7" w:name="page18"/>
    <w:bookmarkEnd w:id="17"/>
    <w:p>
      <w:pPr>
        <w:ind w:right="440" w:firstLine="370"/>
        <w:spacing w:after="0" w:line="255" w:lineRule="auto"/>
        <w:rPr>
          <w:sz w:val="20"/>
          <w:szCs w:val="20"/>
          <w:color w:val="auto"/>
        </w:rPr>
      </w:pPr>
      <w:r>
        <w:rPr>
          <w:rFonts w:ascii="Arial" w:cs="Arial" w:eastAsia="Arial" w:hAnsi="Arial"/>
          <w:sz w:val="14"/>
          <w:szCs w:val="14"/>
          <w:b w:val="1"/>
          <w:bCs w:val="1"/>
          <w:color w:val="auto"/>
        </w:rPr>
        <w:t>As of December 31, 2008 and 2007, we had $952.9 million and $914.5 million of total debt, respectively. This level of debt could adversely affect our operating flexibility and put us at a competitive disadvantage.</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level of debt and the limitations imposed on us by our credit agreements could have important consequences for investors, including the following:</w:t>
      </w:r>
    </w:p>
    <w:p>
      <w:pPr>
        <w:spacing w:after="0" w:line="147" w:lineRule="exact"/>
        <w:rPr>
          <w:sz w:val="20"/>
          <w:szCs w:val="20"/>
          <w:color w:val="auto"/>
        </w:rPr>
      </w:pPr>
    </w:p>
    <w:p>
      <w:pPr>
        <w:ind w:left="800" w:hanging="407"/>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will have to use a portion of our cash flow from operations for debt service rather than for our operations;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may not be able to obtain additional debt financing for future working capital, capital expenditures or other corporate purposes or may have to pay more for such financing;</w:t>
      </w:r>
    </w:p>
    <w:p>
      <w:pPr>
        <w:spacing w:after="0" w:line="86" w:lineRule="exact"/>
        <w:rPr>
          <w:rFonts w:ascii="Arial" w:cs="Arial" w:eastAsia="Arial" w:hAnsi="Arial"/>
          <w:sz w:val="13"/>
          <w:szCs w:val="13"/>
          <w:color w:val="auto"/>
        </w:rPr>
      </w:pPr>
    </w:p>
    <w:p>
      <w:pPr>
        <w:ind w:left="800" w:hanging="407"/>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some or all of the debt under our current or future revolving credit facilities may be at a variable interest rate, making us more vulnerable to increases in interest rates;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could be less able to take advantage of significant business opportunities, such as acquisition opportunities, and to react to changes in market or industry conditions;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will be more vulnerable to general adverse economic and industry conditions; and</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may be disadvantaged compared to competitors with less leverage.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terms of our revolving credit facility permit additional borrowings, subject to certain conditions. If new debt is added to our current debt levels, the related risks we now face could intensify.</w:t>
      </w:r>
    </w:p>
    <w:p>
      <w:pPr>
        <w:spacing w:after="0" w:line="159" w:lineRule="exact"/>
        <w:rPr>
          <w:sz w:val="20"/>
          <w:szCs w:val="20"/>
          <w:color w:val="auto"/>
        </w:rPr>
      </w:pPr>
    </w:p>
    <w:p>
      <w:pPr>
        <w:ind w:firstLine="370"/>
        <w:spacing w:after="0" w:line="314" w:lineRule="auto"/>
        <w:rPr>
          <w:sz w:val="20"/>
          <w:szCs w:val="20"/>
          <w:color w:val="auto"/>
        </w:rPr>
      </w:pPr>
      <w:r>
        <w:rPr>
          <w:rFonts w:ascii="Arial" w:cs="Arial" w:eastAsia="Arial" w:hAnsi="Arial"/>
          <w:sz w:val="11"/>
          <w:szCs w:val="11"/>
          <w:color w:val="auto"/>
        </w:rPr>
        <w:t>We expect to obtain the money to pay our expenses, to repay borrowings under our credit facility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8" w:name="page19"/>
    <w:bookmarkEnd w:id="18"/>
    <w:p>
      <w:pPr>
        <w:ind w:left="380"/>
        <w:spacing w:after="0"/>
        <w:rPr>
          <w:sz w:val="20"/>
          <w:szCs w:val="20"/>
          <w:color w:val="auto"/>
        </w:rPr>
      </w:pPr>
      <w:r>
        <w:rPr>
          <w:rFonts w:ascii="Arial" w:cs="Arial" w:eastAsia="Arial" w:hAnsi="Arial"/>
          <w:sz w:val="14"/>
          <w:szCs w:val="14"/>
          <w:b w:val="1"/>
          <w:bCs w:val="1"/>
          <w:color w:val="auto"/>
        </w:rPr>
        <w:t>Our failure to comply with restrictive covenants under our revolving credit facilities and other debt instruments could trigger prepayment obligations.</w:t>
      </w:r>
    </w:p>
    <w:p>
      <w:pPr>
        <w:spacing w:after="0" w:line="151" w:lineRule="exact"/>
        <w:rPr>
          <w:sz w:val="20"/>
          <w:szCs w:val="20"/>
          <w:color w:val="auto"/>
        </w:rPr>
      </w:pPr>
    </w:p>
    <w:p>
      <w:pPr>
        <w:ind w:right="160" w:firstLine="370"/>
        <w:spacing w:after="0" w:line="239" w:lineRule="auto"/>
        <w:rPr>
          <w:sz w:val="20"/>
          <w:szCs w:val="20"/>
          <w:color w:val="auto"/>
        </w:rPr>
      </w:pPr>
      <w:r>
        <w:rPr>
          <w:rFonts w:ascii="Arial" w:cs="Arial" w:eastAsia="Arial" w:hAnsi="Arial"/>
          <w:sz w:val="14"/>
          <w:szCs w:val="14"/>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The lenders under our and our subsidiaries’ credit facilities may be unwilling or unable to extend credit to us on acceptable terms or at all.</w:t>
      </w:r>
    </w:p>
    <w:p>
      <w:pPr>
        <w:spacing w:after="0" w:line="151" w:lineRule="exact"/>
        <w:rPr>
          <w:sz w:val="20"/>
          <w:szCs w:val="20"/>
          <w:color w:val="auto"/>
        </w:rPr>
      </w:pPr>
    </w:p>
    <w:p>
      <w:pPr>
        <w:ind w:right="160" w:firstLine="370"/>
        <w:spacing w:after="0" w:line="267" w:lineRule="auto"/>
        <w:rPr>
          <w:sz w:val="20"/>
          <w:szCs w:val="20"/>
          <w:color w:val="auto"/>
        </w:rPr>
      </w:pPr>
      <w:r>
        <w:rPr>
          <w:rFonts w:ascii="Arial" w:cs="Arial" w:eastAsia="Arial" w:hAnsi="Arial"/>
          <w:sz w:val="13"/>
          <w:szCs w:val="13"/>
          <w:color w:val="auto"/>
        </w:rPr>
        <w:t>Our liquidity is dependent in part on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adversely affected or our interest expense may increase substantially.</w:t>
      </w:r>
    </w:p>
    <w:p>
      <w:pPr>
        <w:spacing w:after="0" w:line="117" w:lineRule="exact"/>
        <w:rPr>
          <w:sz w:val="20"/>
          <w:szCs w:val="20"/>
          <w:color w:val="auto"/>
        </w:rPr>
      </w:pPr>
    </w:p>
    <w:p>
      <w:pPr>
        <w:ind w:right="60" w:firstLine="370"/>
        <w:spacing w:after="0" w:line="239" w:lineRule="auto"/>
        <w:rPr>
          <w:sz w:val="20"/>
          <w:szCs w:val="20"/>
          <w:color w:val="auto"/>
        </w:rPr>
      </w:pPr>
      <w:r>
        <w:rPr>
          <w:rFonts w:ascii="Arial" w:cs="Arial" w:eastAsia="Arial" w:hAnsi="Arial"/>
          <w:sz w:val="14"/>
          <w:szCs w:val="14"/>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adversely affected.</w:t>
      </w:r>
    </w:p>
    <w:p>
      <w:pPr>
        <w:spacing w:after="0" w:line="131" w:lineRule="exact"/>
        <w:rPr>
          <w:sz w:val="20"/>
          <w:szCs w:val="20"/>
          <w:color w:val="auto"/>
        </w:rPr>
      </w:pPr>
    </w:p>
    <w:p>
      <w:pPr>
        <w:ind w:firstLine="370"/>
        <w:spacing w:after="0" w:line="255" w:lineRule="auto"/>
        <w:rPr>
          <w:sz w:val="20"/>
          <w:szCs w:val="20"/>
          <w:color w:val="auto"/>
        </w:rPr>
      </w:pPr>
      <w:r>
        <w:rPr>
          <w:rFonts w:ascii="Arial" w:cs="Arial" w:eastAsia="Arial" w:hAnsi="Arial"/>
          <w:sz w:val="14"/>
          <w:szCs w:val="14"/>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24" w:lineRule="exact"/>
        <w:rPr>
          <w:sz w:val="20"/>
          <w:szCs w:val="20"/>
          <w:color w:val="auto"/>
        </w:rPr>
      </w:pPr>
    </w:p>
    <w:p>
      <w:pPr>
        <w:ind w:right="60" w:firstLine="370"/>
        <w:spacing w:after="0" w:line="322" w:lineRule="auto"/>
        <w:rPr>
          <w:sz w:val="20"/>
          <w:szCs w:val="20"/>
          <w:color w:val="auto"/>
        </w:rPr>
      </w:pPr>
      <w:r>
        <w:rPr>
          <w:rFonts w:ascii="Arial" w:cs="Arial" w:eastAsia="Arial" w:hAnsi="Arial"/>
          <w:sz w:val="11"/>
          <w:szCs w:val="11"/>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We are exposed to counterparty risk in our hedging arrangements.</w:t>
      </w:r>
    </w:p>
    <w:p>
      <w:pPr>
        <w:spacing w:after="0" w:line="151" w:lineRule="exact"/>
        <w:rPr>
          <w:sz w:val="20"/>
          <w:szCs w:val="20"/>
          <w:color w:val="auto"/>
        </w:rPr>
      </w:pPr>
    </w:p>
    <w:p>
      <w:pPr>
        <w:ind w:right="20" w:firstLine="370"/>
        <w:spacing w:after="0" w:line="235" w:lineRule="auto"/>
        <w:rPr>
          <w:sz w:val="20"/>
          <w:szCs w:val="20"/>
          <w:color w:val="auto"/>
        </w:rPr>
      </w:pPr>
      <w:r>
        <w:rPr>
          <w:rFonts w:ascii="Arial" w:cs="Arial" w:eastAsia="Arial" w:hAnsi="Arial"/>
          <w:sz w:val="14"/>
          <w:szCs w:val="14"/>
          <w:color w:val="auto"/>
        </w:rPr>
        <w:t>From time to time we enter into arrangements with other parties to hedge our exposure to fluctuations in currency and interest rates, including forward contracts and swap agreements. Recently, a number of financial institutions similar to those that serve as counterparties to our hedging arrangements have been adversely affected by the global credit crisis and in some cases have been unable to fulfill their debts and other obligations. If any of the counterparties to our hedging arrangements become unable to fulfill their obligations to us, we may lose the financial benefits of these arrangements. The fair value of our derivative financial instruments related to interest rate swaps and foreign currency forward exchange contracts reflected in our consolidated balance sheets as of December 31, 2008 were assets of $2.7 million and liabilities of $18.5 million.</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00"/>
          </w:cols>
          <w:pgMar w:left="220" w:top="125" w:right="279" w:bottom="1440" w:gutter="0" w:footer="0" w:header="0"/>
        </w:sectPr>
      </w:pPr>
    </w:p>
    <w:bookmarkStart w:id="19" w:name="page20"/>
    <w:bookmarkEnd w:id="19"/>
    <w:p>
      <w:pPr>
        <w:ind w:left="380"/>
        <w:spacing w:after="0"/>
        <w:rPr>
          <w:sz w:val="20"/>
          <w:szCs w:val="20"/>
          <w:color w:val="auto"/>
        </w:rPr>
      </w:pPr>
      <w:r>
        <w:rPr>
          <w:rFonts w:ascii="Arial" w:cs="Arial" w:eastAsia="Arial" w:hAnsi="Arial"/>
          <w:sz w:val="14"/>
          <w:szCs w:val="14"/>
          <w:b w:val="1"/>
          <w:bCs w:val="1"/>
          <w:color w:val="auto"/>
        </w:rPr>
        <w:t>Our inability to secure letters of credit on acceptable terms may substantially increase our cost of doing business in various countries.</w:t>
      </w:r>
    </w:p>
    <w:p>
      <w:pPr>
        <w:spacing w:after="0" w:line="151" w:lineRule="exact"/>
        <w:rPr>
          <w:sz w:val="20"/>
          <w:szCs w:val="20"/>
          <w:color w:val="auto"/>
        </w:rPr>
      </w:pPr>
    </w:p>
    <w:p>
      <w:pPr>
        <w:jc w:val="both"/>
        <w:ind w:right="220" w:firstLine="370"/>
        <w:spacing w:after="0" w:line="267" w:lineRule="auto"/>
        <w:rPr>
          <w:sz w:val="20"/>
          <w:szCs w:val="20"/>
          <w:color w:val="auto"/>
        </w:rPr>
      </w:pPr>
      <w:r>
        <w:rPr>
          <w:rFonts w:ascii="Arial" w:cs="Arial" w:eastAsia="Arial" w:hAnsi="Arial"/>
          <w:sz w:val="13"/>
          <w:szCs w:val="13"/>
          <w:color w:val="auto"/>
        </w:rPr>
        <w:t>In a number of countries in which we conduct business we are obligated to provide guarantees or letters of credit to secure licenses, lease space or for insurance coverage. We typically receive these guarantees and letters of credits from a number of financial institutions around the world. In the event that we are unable to secure these arrangements from a bank, lender or other third party on acceptable terms, our liquidity may be adversely affected, there could be a disruption to our business or there could be a substantial increase in cost for our business.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The price of our common stock may fluctuate significantly, which may result in losses for investors.</w:t>
      </w:r>
    </w:p>
    <w:p>
      <w:pPr>
        <w:spacing w:after="0" w:line="151" w:lineRule="exact"/>
        <w:rPr>
          <w:sz w:val="20"/>
          <w:szCs w:val="20"/>
          <w:color w:val="auto"/>
        </w:rPr>
      </w:pPr>
    </w:p>
    <w:p>
      <w:pPr>
        <w:ind w:firstLine="370"/>
        <w:spacing w:after="0" w:line="239" w:lineRule="auto"/>
        <w:rPr>
          <w:sz w:val="20"/>
          <w:szCs w:val="20"/>
          <w:color w:val="auto"/>
        </w:rPr>
      </w:pPr>
      <w:r>
        <w:rPr>
          <w:rFonts w:ascii="Arial" w:cs="Arial" w:eastAsia="Arial" w:hAnsi="Arial"/>
          <w:sz w:val="14"/>
          <w:szCs w:val="14"/>
          <w:color w:val="auto"/>
        </w:rPr>
        <w:t>The market price for our common stock has been and may continue to be volatile. For example, during 2008, the prices of our common stock as reported on the New York Stock Exchange ranged from a high of $70.35 to a low of $23.60. Our stock price can fluctuate as a result of a variety of factors, including factors listed in these “Risk Factors” and others, many of which are beyond our control. These factors include:</w:t>
      </w:r>
    </w:p>
    <w:p>
      <w:pPr>
        <w:spacing w:after="0" w:line="135" w:lineRule="exact"/>
        <w:rPr>
          <w:sz w:val="20"/>
          <w:szCs w:val="20"/>
          <w:color w:val="auto"/>
        </w:rPr>
      </w:pPr>
    </w:p>
    <w:p>
      <w:pPr>
        <w:ind w:left="800" w:hanging="407"/>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actual or anticipated variations in our quarterly operating results;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announcement of new services by us or our competitors;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announcements relating to strategic relationships or acquisitions;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financial estimates or other statements by securities analysts; and</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general economic conditions such as the current credit environment.</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Because of this volatility, we may fail to meet the expectations of our shareholders or of securities analysts, and our stock price could decline as a result.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0" w:name="page21"/>
    <w:bookmarkEnd w:id="20"/>
    <w:p>
      <w:pPr>
        <w:ind w:left="380"/>
        <w:spacing w:after="0"/>
        <w:rPr>
          <w:sz w:val="20"/>
          <w:szCs w:val="20"/>
          <w:color w:val="auto"/>
        </w:rPr>
      </w:pPr>
      <w:r>
        <w:rPr>
          <w:rFonts w:ascii="Arial" w:cs="Arial" w:eastAsia="Arial" w:hAnsi="Arial"/>
          <w:sz w:val="14"/>
          <w:szCs w:val="14"/>
          <w:b w:val="1"/>
          <w:bCs w:val="1"/>
          <w:color w:val="auto"/>
        </w:rPr>
        <w:t>Wisconsin law and our articles of incorporation and bylaws contain provisions that could make the takeover of our company more difficult.</w:t>
      </w:r>
    </w:p>
    <w:p>
      <w:pPr>
        <w:spacing w:after="0" w:line="151" w:lineRule="exact"/>
        <w:rPr>
          <w:sz w:val="20"/>
          <w:szCs w:val="20"/>
          <w:color w:val="auto"/>
        </w:rPr>
      </w:pPr>
    </w:p>
    <w:p>
      <w:pPr>
        <w:ind w:right="240" w:firstLine="370"/>
        <w:spacing w:after="0" w:line="249" w:lineRule="auto"/>
        <w:rPr>
          <w:sz w:val="20"/>
          <w:szCs w:val="20"/>
          <w:color w:val="auto"/>
        </w:rPr>
      </w:pPr>
      <w:r>
        <w:rPr>
          <w:rFonts w:ascii="Arial" w:cs="Arial" w:eastAsia="Arial" w:hAnsi="Arial"/>
          <w:sz w:val="14"/>
          <w:szCs w:val="14"/>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28" w:lineRule="exact"/>
        <w:rPr>
          <w:sz w:val="20"/>
          <w:szCs w:val="20"/>
          <w:color w:val="auto"/>
        </w:rPr>
      </w:pPr>
    </w:p>
    <w:p>
      <w:pPr>
        <w:ind w:left="800" w:hanging="407"/>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providing for a classified board of directors with staggered, three-year terms;</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permitting removal of directors only for cause;</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providing that vacancies on the board of directors will be filled by the remaining directors then in office; and</w:t>
      </w:r>
    </w:p>
    <w:p>
      <w:pPr>
        <w:spacing w:after="0" w:line="75" w:lineRule="exact"/>
        <w:rPr>
          <w:rFonts w:ascii="Arial" w:cs="Arial" w:eastAsia="Arial" w:hAnsi="Arial"/>
          <w:sz w:val="14"/>
          <w:szCs w:val="14"/>
          <w:color w:val="auto"/>
        </w:rPr>
      </w:pPr>
    </w:p>
    <w:p>
      <w:pPr>
        <w:ind w:left="800" w:hanging="407"/>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requiring advance notice for shareholder proposals and director nominees.</w:t>
      </w:r>
    </w:p>
    <w:p>
      <w:pPr>
        <w:spacing w:after="0" w:line="157" w:lineRule="exact"/>
        <w:rPr>
          <w:sz w:val="20"/>
          <w:szCs w:val="20"/>
          <w:color w:val="auto"/>
        </w:rPr>
      </w:pPr>
    </w:p>
    <w:p>
      <w:pPr>
        <w:ind w:right="20" w:firstLine="370"/>
        <w:spacing w:after="0" w:line="237" w:lineRule="auto"/>
        <w:rPr>
          <w:sz w:val="20"/>
          <w:szCs w:val="20"/>
          <w:color w:val="auto"/>
        </w:rPr>
      </w:pPr>
      <w:r>
        <w:rPr>
          <w:rFonts w:ascii="Arial" w:cs="Arial" w:eastAsia="Arial" w:hAnsi="Arial"/>
          <w:sz w:val="14"/>
          <w:szCs w:val="14"/>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may represent a premium over the available market price of our common stock, may be withdrawn or otherwise fail to be realized. The provisions described above could cause our stock price to decline.</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Improper disclosure of employee and client data could result in liability and harm our reputation.</w:t>
      </w:r>
    </w:p>
    <w:p>
      <w:pPr>
        <w:spacing w:after="0" w:line="151" w:lineRule="exact"/>
        <w:rPr>
          <w:sz w:val="20"/>
          <w:szCs w:val="20"/>
          <w:color w:val="auto"/>
        </w:rPr>
      </w:pPr>
    </w:p>
    <w:p>
      <w:pPr>
        <w:ind w:firstLine="370"/>
        <w:spacing w:after="0" w:line="255" w:lineRule="auto"/>
        <w:rPr>
          <w:sz w:val="20"/>
          <w:szCs w:val="20"/>
          <w:color w:val="auto"/>
        </w:rPr>
      </w:pPr>
      <w:r>
        <w:rPr>
          <w:rFonts w:ascii="Arial" w:cs="Arial" w:eastAsia="Arial" w:hAnsi="Arial"/>
          <w:sz w:val="13"/>
          <w:szCs w:val="13"/>
          <w:color w:val="auto"/>
        </w:rPr>
        <w:t>Our business involves the use, storage and transmission of information about our employees, our clients and employees of our clients. We and our third party service providers have established policies and procedures to help protect the security and privacy of this information. It is possible that our security controls over personal and other data and other practices we and our third party service providers follow may not prevent the improper access to or disclosure of personally identifiable or otherwise confidential information. Such disclosure could harm our reputation and subject us to liability under our contracts and laws that protect personal data and confidential information, resulting in increased costs or loss of revenue. Further, data privacy is subject to frequently changing rules and regulations, which sometimes conflict among the various jurisdictions and countries in which we provide services. Our failure to adhere to or successfully implement processes in response to changing regulatory requirements in this area could result in legal liability or impairment to our reputation in the marketplace.</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Outsourcing certain aspects of our business could result in disruption and increased costs.</w:t>
      </w:r>
    </w:p>
    <w:p>
      <w:pPr>
        <w:spacing w:after="0" w:line="151" w:lineRule="exact"/>
        <w:rPr>
          <w:sz w:val="20"/>
          <w:szCs w:val="20"/>
          <w:color w:val="auto"/>
        </w:rPr>
      </w:pPr>
    </w:p>
    <w:p>
      <w:pPr>
        <w:ind w:firstLine="370"/>
        <w:spacing w:after="0" w:line="234" w:lineRule="auto"/>
        <w:rPr>
          <w:sz w:val="20"/>
          <w:szCs w:val="20"/>
          <w:color w:val="auto"/>
        </w:rPr>
      </w:pPr>
      <w:r>
        <w:rPr>
          <w:rFonts w:ascii="Arial" w:cs="Arial" w:eastAsia="Arial" w:hAnsi="Arial"/>
          <w:sz w:val="14"/>
          <w:szCs w:val="14"/>
          <w:color w:val="auto"/>
        </w:rPr>
        <w:t>We have outsourced certain aspects of our business to third party vendors that subject us to risks, including disruptions in our business and increased costs. For example, we have engaged a third party to host and manage certain aspects of our data center information and technology infrastructure. Accordingly, we are subject to the risks associated with the vendor’s ability to provide information technology services to meet our needs.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hosting and managing certain aspects of our data center information technology structure is more than expected, or if the vendor or we are unable to adequately protect our data and information is lost or our ability to deliver our services is interrupted, then our business and results of operations may be negatively impacted.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1" w:name="page22"/>
    <w:bookmarkEnd w:id="21"/>
    <w:p>
      <w:pPr>
        <w:spacing w:after="0"/>
        <w:tabs>
          <w:tab w:leader="none" w:pos="76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1"/>
          <w:szCs w:val="11"/>
          <w:b w:val="1"/>
          <w:bCs w:val="1"/>
          <w:color w:val="auto"/>
        </w:rPr>
        <w:t>Unresolved Staff Comments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1"/>
          <w:szCs w:val="11"/>
          <w:b w:val="1"/>
          <w:bCs w:val="1"/>
          <w:color w:val="auto"/>
        </w:rPr>
        <w:t>Properties</w:t>
      </w:r>
    </w:p>
    <w:p>
      <w:pPr>
        <w:spacing w:after="0" w:line="151" w:lineRule="exact"/>
        <w:rPr>
          <w:sz w:val="20"/>
          <w:szCs w:val="20"/>
          <w:color w:val="auto"/>
        </w:rPr>
      </w:pPr>
    </w:p>
    <w:p>
      <w:pPr>
        <w:ind w:firstLine="370"/>
        <w:spacing w:after="0" w:line="249" w:lineRule="auto"/>
        <w:rPr>
          <w:sz w:val="20"/>
          <w:szCs w:val="20"/>
          <w:color w:val="auto"/>
        </w:rPr>
      </w:pPr>
      <w:r>
        <w:rPr>
          <w:rFonts w:ascii="Arial" w:cs="Arial" w:eastAsia="Arial" w:hAnsi="Arial"/>
          <w:sz w:val="14"/>
          <w:szCs w:val="14"/>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124"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are involved in litigation of a routine nature and various legal matters, which are being defended and handled in the ordinary course of business.</w:t>
      </w:r>
    </w:p>
    <w:p>
      <w:pPr>
        <w:spacing w:after="0" w:line="147" w:lineRule="exact"/>
        <w:rPr>
          <w:sz w:val="20"/>
          <w:szCs w:val="20"/>
          <w:color w:val="auto"/>
        </w:rPr>
      </w:pPr>
    </w:p>
    <w:p>
      <w:pPr>
        <w:ind w:right="160" w:firstLine="370"/>
        <w:spacing w:after="0" w:line="249" w:lineRule="auto"/>
        <w:rPr>
          <w:sz w:val="20"/>
          <w:szCs w:val="20"/>
          <w:color w:val="auto"/>
        </w:rPr>
      </w:pPr>
      <w:r>
        <w:rPr>
          <w:rFonts w:ascii="Arial" w:cs="Arial" w:eastAsia="Arial" w:hAnsi="Arial"/>
          <w:sz w:val="14"/>
          <w:szCs w:val="14"/>
          <w:color w:val="auto"/>
        </w:rPr>
        <w:t>The information required by this Item is set forth in our Annual Report to Shareholders for the fiscal year ended December 31, 2008, under the heading “Significant Matters Affecting Results of Operations” (pages 34 to 39), which information is hereby incorporated herein by reference.</w:t>
      </w:r>
    </w:p>
    <w:p>
      <w:pPr>
        <w:spacing w:after="0" w:line="124"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1"/>
          <w:szCs w:val="11"/>
          <w:b w:val="1"/>
          <w:bCs w:val="1"/>
          <w:color w:val="auto"/>
        </w:rPr>
        <w:t>Submission of Matters to a Vote of Security Holders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120"/>
          </w:cols>
          <w:pgMar w:left="220" w:top="125" w:right="5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60" w:type="dxa"/>
            <w:vAlign w:val="bottom"/>
          </w:tcPr>
          <w:p>
            <w:pPr>
              <w:jc w:val="center"/>
              <w:ind w:right="1412"/>
              <w:spacing w:after="0"/>
              <w:rPr>
                <w:sz w:val="20"/>
                <w:szCs w:val="20"/>
                <w:color w:val="auto"/>
              </w:rPr>
            </w:pPr>
            <w:r>
              <w:rPr>
                <w:rFonts w:ascii="Arial" w:cs="Arial" w:eastAsia="Arial" w:hAnsi="Arial"/>
                <w:sz w:val="14"/>
                <w:szCs w:val="14"/>
                <w:b w:val="1"/>
                <w:bCs w:val="1"/>
                <w:color w:val="auto"/>
                <w:w w:val="99"/>
              </w:rPr>
              <w:t>EXECUTIVE OFFICERS OF MANPOWER</w:t>
            </w:r>
          </w:p>
        </w:tc>
      </w:tr>
      <w:tr>
        <w:trPr>
          <w:trHeight w:val="178"/>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Pr>
          <w:p>
            <w:pPr>
              <w:jc w:val="center"/>
              <w:ind w:right="1432"/>
              <w:spacing w:after="0"/>
              <w:rPr>
                <w:sz w:val="20"/>
                <w:szCs w:val="20"/>
                <w:color w:val="auto"/>
              </w:rPr>
            </w:pPr>
            <w:r>
              <w:rPr>
                <w:rFonts w:ascii="Arial" w:cs="Arial" w:eastAsia="Arial" w:hAnsi="Arial"/>
                <w:sz w:val="14"/>
                <w:szCs w:val="14"/>
                <w:b w:val="1"/>
                <w:bCs w:val="1"/>
                <w:color w:val="auto"/>
                <w:w w:val="88"/>
              </w:rPr>
              <w:t>(as of February 17, 2009)</w:t>
            </w:r>
          </w:p>
        </w:tc>
      </w:tr>
      <w:tr>
        <w:trPr>
          <w:trHeight w:val="228"/>
        </w:trPr>
        <w:tc>
          <w:tcPr>
            <w:tcW w:w="1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Officer</w:t>
            </w:r>
          </w:p>
        </w:tc>
        <w:tc>
          <w:tcPr>
            <w:tcW w:w="120" w:type="dxa"/>
            <w:vAlign w:val="bottom"/>
          </w:tcPr>
          <w:p>
            <w:pPr>
              <w:spacing w:after="0"/>
              <w:rPr>
                <w:sz w:val="19"/>
                <w:szCs w:val="19"/>
                <w:color w:val="auto"/>
              </w:rPr>
            </w:pPr>
          </w:p>
        </w:tc>
        <w:tc>
          <w:tcPr>
            <w:tcW w:w="99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Office</w:t>
            </w:r>
          </w:p>
        </w:tc>
      </w:tr>
      <w:tr>
        <w:trPr>
          <w:trHeight w:val="143"/>
        </w:trPr>
        <w:tc>
          <w:tcPr>
            <w:tcW w:w="1380" w:type="dxa"/>
            <w:vAlign w:val="bottom"/>
          </w:tcPr>
          <w:p>
            <w:pPr>
              <w:spacing w:after="0" w:line="143" w:lineRule="exact"/>
              <w:rPr>
                <w:sz w:val="20"/>
                <w:szCs w:val="20"/>
                <w:color w:val="auto"/>
              </w:rPr>
            </w:pPr>
            <w:r>
              <w:rPr>
                <w:rFonts w:ascii="Arial" w:cs="Arial" w:eastAsia="Arial" w:hAnsi="Arial"/>
                <w:sz w:val="14"/>
                <w:szCs w:val="14"/>
                <w:color w:val="auto"/>
              </w:rPr>
              <w:t>Jeffrey A. Joerres</w:t>
            </w:r>
          </w:p>
        </w:tc>
        <w:tc>
          <w:tcPr>
            <w:tcW w:w="120" w:type="dxa"/>
            <w:vAlign w:val="bottom"/>
          </w:tcPr>
          <w:p>
            <w:pPr>
              <w:spacing w:after="0"/>
              <w:rPr>
                <w:sz w:val="12"/>
                <w:szCs w:val="12"/>
                <w:color w:val="auto"/>
              </w:rPr>
            </w:pPr>
          </w:p>
        </w:tc>
        <w:tc>
          <w:tcPr>
            <w:tcW w:w="9960" w:type="dxa"/>
            <w:vAlign w:val="bottom"/>
          </w:tcPr>
          <w:p>
            <w:pPr>
              <w:ind w:left="120"/>
              <w:spacing w:after="0" w:line="143" w:lineRule="exact"/>
              <w:rPr>
                <w:sz w:val="20"/>
                <w:szCs w:val="20"/>
                <w:color w:val="auto"/>
              </w:rPr>
            </w:pPr>
            <w:r>
              <w:rPr>
                <w:rFonts w:ascii="Arial" w:cs="Arial" w:eastAsia="Arial" w:hAnsi="Arial"/>
                <w:sz w:val="14"/>
                <w:szCs w:val="14"/>
                <w:color w:val="auto"/>
                <w:w w:val="90"/>
              </w:rPr>
              <w:t>Chairman of Manpower since May 2001, and President and Chief Executive Officer of Manpower since April 1999. Senior Vice President – European Operations and Marketing</w:t>
            </w:r>
          </w:p>
        </w:tc>
      </w:tr>
      <w:tr>
        <w:trPr>
          <w:trHeight w:val="154"/>
        </w:trPr>
        <w:tc>
          <w:tcPr>
            <w:tcW w:w="1380" w:type="dxa"/>
            <w:vAlign w:val="bottom"/>
          </w:tcPr>
          <w:p>
            <w:pPr>
              <w:spacing w:after="0" w:line="154" w:lineRule="exact"/>
              <w:rPr>
                <w:sz w:val="20"/>
                <w:szCs w:val="20"/>
                <w:color w:val="auto"/>
              </w:rPr>
            </w:pPr>
            <w:r>
              <w:rPr>
                <w:rFonts w:ascii="Arial" w:cs="Arial" w:eastAsia="Arial" w:hAnsi="Arial"/>
                <w:sz w:val="14"/>
                <w:szCs w:val="14"/>
                <w:color w:val="auto"/>
              </w:rPr>
              <w:t>Age 49</w:t>
            </w: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w w:val="91"/>
              </w:rPr>
              <w:t>and Major Account Development of Manpower from July 1998 to April 1999. A director of Artisan Funds, Inc. and Johnson Controls, Inc. A director of Manpower for more than</w:t>
            </w: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rPr>
              <w:t>five years. An employee of Manpower since July 1993.</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w w:val="97"/>
              </w:rPr>
              <w:t>Michael J. Van Handel</w:t>
            </w:r>
          </w:p>
        </w:tc>
        <w:tc>
          <w:tcPr>
            <w:tcW w:w="120" w:type="dxa"/>
            <w:vAlign w:val="bottom"/>
          </w:tcPr>
          <w:p>
            <w:pPr>
              <w:spacing w:after="0"/>
              <w:rPr>
                <w:sz w:val="24"/>
                <w:szCs w:val="24"/>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w w:val="92"/>
              </w:rPr>
              <w:t>Executive Vice President, Chief Financial Officer of Manpower since January 2008. Executive Vice President, Chief Financial Officer and Secretary of Manpower from April</w:t>
            </w:r>
          </w:p>
        </w:tc>
      </w:tr>
      <w:tr>
        <w:trPr>
          <w:trHeight w:val="154"/>
        </w:trPr>
        <w:tc>
          <w:tcPr>
            <w:tcW w:w="1380" w:type="dxa"/>
            <w:vAlign w:val="bottom"/>
          </w:tcPr>
          <w:p>
            <w:pPr>
              <w:spacing w:after="0" w:line="154" w:lineRule="exact"/>
              <w:rPr>
                <w:sz w:val="20"/>
                <w:szCs w:val="20"/>
                <w:color w:val="auto"/>
              </w:rPr>
            </w:pPr>
            <w:r>
              <w:rPr>
                <w:rFonts w:ascii="Arial" w:cs="Arial" w:eastAsia="Arial" w:hAnsi="Arial"/>
                <w:sz w:val="14"/>
                <w:szCs w:val="14"/>
                <w:color w:val="auto"/>
              </w:rPr>
              <w:t>Age 49</w:t>
            </w: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w w:val="90"/>
              </w:rPr>
              <w:t>2002 to January 2008. Senior Vice President, Chief Financial Officer and Secretary of Manpower from August 1999 to April 2002. Senior Vice President, Chief Financial Officer,</w:t>
            </w: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rPr>
              <w:t>Treasurer and Secretary of Manpower from July 1998 to August 1999. An employee of Manpower since May 1989.</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Barbara J. Beck</w:t>
            </w:r>
          </w:p>
        </w:tc>
        <w:tc>
          <w:tcPr>
            <w:tcW w:w="120" w:type="dxa"/>
            <w:vAlign w:val="bottom"/>
          </w:tcPr>
          <w:p>
            <w:pPr>
              <w:spacing w:after="0"/>
              <w:rPr>
                <w:sz w:val="24"/>
                <w:szCs w:val="24"/>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w w:val="90"/>
              </w:rPr>
              <w:t>Executive Vice President of Manpower, President – Europe, Middle East and Africa since January 2006. A director of Ecolab Inc. since February 2008. Executive Vice President</w:t>
            </w:r>
          </w:p>
        </w:tc>
      </w:tr>
      <w:tr>
        <w:trPr>
          <w:trHeight w:val="154"/>
        </w:trPr>
        <w:tc>
          <w:tcPr>
            <w:tcW w:w="1380" w:type="dxa"/>
            <w:vAlign w:val="bottom"/>
          </w:tcPr>
          <w:p>
            <w:pPr>
              <w:spacing w:after="0" w:line="154" w:lineRule="exact"/>
              <w:rPr>
                <w:sz w:val="20"/>
                <w:szCs w:val="20"/>
                <w:color w:val="auto"/>
              </w:rPr>
            </w:pPr>
            <w:r>
              <w:rPr>
                <w:rFonts w:ascii="Arial" w:cs="Arial" w:eastAsia="Arial" w:hAnsi="Arial"/>
                <w:sz w:val="14"/>
                <w:szCs w:val="14"/>
                <w:color w:val="auto"/>
              </w:rPr>
              <w:t>Age 48</w:t>
            </w: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w w:val="88"/>
              </w:rPr>
              <w:t>of Manpower – United States and Canadian Operations from January 2002 to December 2005. Independent consultant from August 2000 to January 2002. Area Vice President and</w:t>
            </w: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rPr>
              <w:t>General Manager of United States – West for Sprint Corporation from February 1996 to August 2000. An employee of Manpower since January 2002.</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Jonas Prising</w:t>
            </w:r>
          </w:p>
        </w:tc>
        <w:tc>
          <w:tcPr>
            <w:tcW w:w="120" w:type="dxa"/>
            <w:vAlign w:val="bottom"/>
          </w:tcPr>
          <w:p>
            <w:pPr>
              <w:spacing w:after="0"/>
              <w:rPr>
                <w:sz w:val="24"/>
                <w:szCs w:val="24"/>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w w:val="92"/>
              </w:rPr>
              <w:t>Executive Vice President of Manpower, President – The Americas of Manpower since January 2009. Executive Vice President of Manpower, President – United States and</w:t>
            </w:r>
          </w:p>
        </w:tc>
      </w:tr>
      <w:tr>
        <w:trPr>
          <w:trHeight w:val="154"/>
        </w:trPr>
        <w:tc>
          <w:tcPr>
            <w:tcW w:w="1380" w:type="dxa"/>
            <w:vAlign w:val="bottom"/>
          </w:tcPr>
          <w:p>
            <w:pPr>
              <w:spacing w:after="0" w:line="154" w:lineRule="exact"/>
              <w:rPr>
                <w:sz w:val="20"/>
                <w:szCs w:val="20"/>
                <w:color w:val="auto"/>
              </w:rPr>
            </w:pPr>
            <w:r>
              <w:rPr>
                <w:rFonts w:ascii="Arial" w:cs="Arial" w:eastAsia="Arial" w:hAnsi="Arial"/>
                <w:sz w:val="14"/>
                <w:szCs w:val="14"/>
                <w:color w:val="auto"/>
              </w:rPr>
              <w:t>Age 43</w:t>
            </w: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w w:val="90"/>
              </w:rPr>
              <w:t>Canadian Operations from January 2006 to December 2008. Managing Director of Manpower Italy from July 2002 to December 2005. Director of Manpower Global Accounts –</w:t>
            </w:r>
          </w:p>
        </w:tc>
      </w:tr>
      <w:tr>
        <w:trPr>
          <w:trHeight w:val="154"/>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w w:val="93"/>
              </w:rPr>
              <w:t>EMEA from June 1999 to June 2002. Prior to joining Manpower, held multiple international management positions with Electrolux from 1989 to May 1999. An employee of</w:t>
            </w: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rPr>
              <w:t>Manpower since June 1999.</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Owen J. Sullivan</w:t>
            </w:r>
          </w:p>
        </w:tc>
        <w:tc>
          <w:tcPr>
            <w:tcW w:w="120" w:type="dxa"/>
            <w:vAlign w:val="bottom"/>
          </w:tcPr>
          <w:p>
            <w:pPr>
              <w:spacing w:after="0"/>
              <w:rPr>
                <w:sz w:val="24"/>
                <w:szCs w:val="24"/>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w w:val="91"/>
              </w:rPr>
              <w:t>Executive Vice President of Manpower, and Chief Executive Officer of Right Management and Jefferson Wells since January 2005. Chief Executive Officer of Jefferson Wells</w:t>
            </w:r>
          </w:p>
        </w:tc>
      </w:tr>
      <w:tr>
        <w:trPr>
          <w:trHeight w:val="154"/>
        </w:trPr>
        <w:tc>
          <w:tcPr>
            <w:tcW w:w="1380" w:type="dxa"/>
            <w:vAlign w:val="bottom"/>
          </w:tcPr>
          <w:p>
            <w:pPr>
              <w:spacing w:after="0" w:line="154" w:lineRule="exact"/>
              <w:rPr>
                <w:sz w:val="20"/>
                <w:szCs w:val="20"/>
                <w:color w:val="auto"/>
              </w:rPr>
            </w:pPr>
            <w:r>
              <w:rPr>
                <w:rFonts w:ascii="Arial" w:cs="Arial" w:eastAsia="Arial" w:hAnsi="Arial"/>
                <w:sz w:val="14"/>
                <w:szCs w:val="14"/>
                <w:color w:val="auto"/>
              </w:rPr>
              <w:t>Age 51</w:t>
            </w: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w w:val="90"/>
              </w:rPr>
              <w:t>International, Inc. from April 2003 to January 2005. Independent consultant from 2002 to 2003. President of the Financial Services Group – Metavante Corporation from 1999 to</w:t>
            </w: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rPr>
              <w:t>2003. An employee of Manpower since April 2003.</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Francoise Gri</w:t>
            </w:r>
          </w:p>
        </w:tc>
        <w:tc>
          <w:tcPr>
            <w:tcW w:w="120" w:type="dxa"/>
            <w:vAlign w:val="bottom"/>
          </w:tcPr>
          <w:p>
            <w:pPr>
              <w:spacing w:after="0"/>
              <w:rPr>
                <w:sz w:val="24"/>
                <w:szCs w:val="24"/>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w w:val="90"/>
              </w:rPr>
              <w:t>Executive Vice President of Manpower, President – France since February 2007. Prior to joining Manpower, held various leadership roles with IBM from 1981 to February 2007</w:t>
            </w:r>
          </w:p>
        </w:tc>
      </w:tr>
      <w:tr>
        <w:trPr>
          <w:trHeight w:val="154"/>
        </w:trPr>
        <w:tc>
          <w:tcPr>
            <w:tcW w:w="1380" w:type="dxa"/>
            <w:vAlign w:val="bottom"/>
          </w:tcPr>
          <w:p>
            <w:pPr>
              <w:spacing w:after="0" w:line="154" w:lineRule="exact"/>
              <w:rPr>
                <w:sz w:val="20"/>
                <w:szCs w:val="20"/>
                <w:color w:val="auto"/>
              </w:rPr>
            </w:pPr>
            <w:r>
              <w:rPr>
                <w:rFonts w:ascii="Arial" w:cs="Arial" w:eastAsia="Arial" w:hAnsi="Arial"/>
                <w:sz w:val="14"/>
                <w:szCs w:val="14"/>
                <w:color w:val="auto"/>
              </w:rPr>
              <w:t>Age 51</w:t>
            </w: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rPr>
              <w:t>including: regional general manager of France, Belgium and Luxembourg; vice president of marketing and channels software for IBM EMEA; and executive of</w:t>
            </w: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rPr>
              <w:t>e-business solutions for IBM EMEA. An employee of Manpower since February 2007.</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Darryl Green</w:t>
            </w:r>
          </w:p>
        </w:tc>
        <w:tc>
          <w:tcPr>
            <w:tcW w:w="120" w:type="dxa"/>
            <w:vAlign w:val="bottom"/>
          </w:tcPr>
          <w:p>
            <w:pPr>
              <w:spacing w:after="0"/>
              <w:rPr>
                <w:sz w:val="24"/>
                <w:szCs w:val="24"/>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w w:val="89"/>
              </w:rPr>
              <w:t>Executive Vice President of Manpower, President –Asia-Pacific and Middle East Operations since January 2009. Executive Vice President of Manpower, President – Asia-Pacific</w:t>
            </w:r>
          </w:p>
        </w:tc>
      </w:tr>
      <w:tr>
        <w:trPr>
          <w:trHeight w:val="154"/>
        </w:trPr>
        <w:tc>
          <w:tcPr>
            <w:tcW w:w="1380" w:type="dxa"/>
            <w:vAlign w:val="bottom"/>
          </w:tcPr>
          <w:p>
            <w:pPr>
              <w:spacing w:after="0" w:line="154" w:lineRule="exact"/>
              <w:rPr>
                <w:sz w:val="20"/>
                <w:szCs w:val="20"/>
                <w:color w:val="auto"/>
              </w:rPr>
            </w:pPr>
            <w:r>
              <w:rPr>
                <w:rFonts w:ascii="Arial" w:cs="Arial" w:eastAsia="Arial" w:hAnsi="Arial"/>
                <w:sz w:val="14"/>
                <w:szCs w:val="14"/>
                <w:color w:val="auto"/>
              </w:rPr>
              <w:t>Age 48</w:t>
            </w: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w w:val="92"/>
              </w:rPr>
              <w:t>Operations from May 2007 to December 2008. Prior to joining Manpower, served as CEO of Tata Teleservices. Previously, CEO of Vodafone Japan, a publicly listed mobile</w:t>
            </w:r>
          </w:p>
        </w:tc>
      </w:tr>
      <w:tr>
        <w:trPr>
          <w:trHeight w:val="154"/>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w w:val="89"/>
              </w:rPr>
              <w:t>services provider. From 1989 to 1998, held various management positions within AT&amp;T, including three years as President and CEO of its Japanese operations. An employee of</w:t>
            </w: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rPr>
              <w:t>Manpower since May 2007.</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Mara E. Swan</w:t>
            </w:r>
          </w:p>
        </w:tc>
        <w:tc>
          <w:tcPr>
            <w:tcW w:w="120" w:type="dxa"/>
            <w:vAlign w:val="bottom"/>
          </w:tcPr>
          <w:p>
            <w:pPr>
              <w:spacing w:after="0"/>
              <w:rPr>
                <w:sz w:val="24"/>
                <w:szCs w:val="24"/>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w w:val="91"/>
              </w:rPr>
              <w:t>Executive Vice President - Global Strategy and Talent since January 2009. Senior Vice President of Global Human Resources from August 2005 to December 2008. Prior to</w:t>
            </w:r>
          </w:p>
        </w:tc>
      </w:tr>
      <w:tr>
        <w:trPr>
          <w:trHeight w:val="154"/>
        </w:trPr>
        <w:tc>
          <w:tcPr>
            <w:tcW w:w="1380" w:type="dxa"/>
            <w:vAlign w:val="bottom"/>
          </w:tcPr>
          <w:p>
            <w:pPr>
              <w:spacing w:after="0" w:line="154" w:lineRule="exact"/>
              <w:rPr>
                <w:sz w:val="20"/>
                <w:szCs w:val="20"/>
                <w:color w:val="auto"/>
              </w:rPr>
            </w:pPr>
            <w:r>
              <w:rPr>
                <w:rFonts w:ascii="Arial" w:cs="Arial" w:eastAsia="Arial" w:hAnsi="Arial"/>
                <w:sz w:val="14"/>
                <w:szCs w:val="14"/>
                <w:color w:val="auto"/>
              </w:rPr>
              <w:t>Age 49</w:t>
            </w:r>
          </w:p>
        </w:tc>
        <w:tc>
          <w:tcPr>
            <w:tcW w:w="120" w:type="dxa"/>
            <w:vAlign w:val="bottom"/>
          </w:tcPr>
          <w:p>
            <w:pPr>
              <w:spacing w:after="0"/>
              <w:rPr>
                <w:sz w:val="13"/>
                <w:szCs w:val="13"/>
                <w:color w:val="auto"/>
              </w:rPr>
            </w:pPr>
          </w:p>
        </w:tc>
        <w:tc>
          <w:tcPr>
            <w:tcW w:w="9960" w:type="dxa"/>
            <w:vAlign w:val="bottom"/>
          </w:tcPr>
          <w:p>
            <w:pPr>
              <w:ind w:left="120"/>
              <w:spacing w:after="0" w:line="154" w:lineRule="exact"/>
              <w:rPr>
                <w:sz w:val="20"/>
                <w:szCs w:val="20"/>
                <w:color w:val="auto"/>
              </w:rPr>
            </w:pPr>
            <w:r>
              <w:rPr>
                <w:rFonts w:ascii="Arial" w:cs="Arial" w:eastAsia="Arial" w:hAnsi="Arial"/>
                <w:sz w:val="14"/>
                <w:szCs w:val="14"/>
                <w:color w:val="auto"/>
                <w:w w:val="95"/>
              </w:rPr>
              <w:t>Manpower, served as Chief People Officer for the Molson Coors Brewing Company for its global operations. Previously, Human Resources Manager for Miller Brewing</w:t>
            </w: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rPr>
              <w:t>Company. An employee of Manpower since August 2005.</w:t>
            </w:r>
          </w:p>
        </w:tc>
      </w:tr>
      <w:tr>
        <w:trPr>
          <w:trHeight w:val="299"/>
        </w:trPr>
        <w:tc>
          <w:tcPr>
            <w:tcW w:w="1380" w:type="dxa"/>
            <w:vAlign w:val="bottom"/>
          </w:tcPr>
          <w:p>
            <w:pPr>
              <w:spacing w:after="0"/>
              <w:rPr>
                <w:sz w:val="20"/>
                <w:szCs w:val="20"/>
                <w:color w:val="auto"/>
              </w:rPr>
            </w:pPr>
            <w:r>
              <w:rPr>
                <w:rFonts w:ascii="Arial" w:cs="Arial" w:eastAsia="Arial" w:hAnsi="Arial"/>
                <w:sz w:val="14"/>
                <w:szCs w:val="14"/>
                <w:color w:val="auto"/>
              </w:rPr>
              <w:t>Kenneth C. Hunt</w:t>
            </w:r>
          </w:p>
        </w:tc>
        <w:tc>
          <w:tcPr>
            <w:tcW w:w="120" w:type="dxa"/>
            <w:vAlign w:val="bottom"/>
          </w:tcPr>
          <w:p>
            <w:pPr>
              <w:spacing w:after="0"/>
              <w:rPr>
                <w:sz w:val="24"/>
                <w:szCs w:val="24"/>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w w:val="89"/>
              </w:rPr>
              <w:t>Senior Vice President, General Counsel and Secretary of Manpower since January 2008. Prior to joining Manpower, a shareholder with the law firm of Godfrey &amp; Kahn, S.C. from</w:t>
            </w:r>
          </w:p>
        </w:tc>
      </w:tr>
      <w:tr>
        <w:trPr>
          <w:trHeight w:val="174"/>
        </w:trPr>
        <w:tc>
          <w:tcPr>
            <w:tcW w:w="1380" w:type="dxa"/>
            <w:vAlign w:val="bottom"/>
          </w:tcPr>
          <w:p>
            <w:pPr>
              <w:spacing w:after="0"/>
              <w:rPr>
                <w:sz w:val="20"/>
                <w:szCs w:val="20"/>
                <w:color w:val="auto"/>
              </w:rPr>
            </w:pPr>
            <w:r>
              <w:rPr>
                <w:rFonts w:ascii="Arial" w:cs="Arial" w:eastAsia="Arial" w:hAnsi="Arial"/>
                <w:sz w:val="14"/>
                <w:szCs w:val="14"/>
                <w:color w:val="auto"/>
              </w:rPr>
              <w:t>Age 59</w:t>
            </w:r>
          </w:p>
        </w:tc>
        <w:tc>
          <w:tcPr>
            <w:tcW w:w="120" w:type="dxa"/>
            <w:vAlign w:val="bottom"/>
          </w:tcPr>
          <w:p>
            <w:pPr>
              <w:spacing w:after="0"/>
              <w:rPr>
                <w:sz w:val="15"/>
                <w:szCs w:val="15"/>
                <w:color w:val="auto"/>
              </w:rPr>
            </w:pPr>
          </w:p>
        </w:tc>
        <w:tc>
          <w:tcPr>
            <w:tcW w:w="9960" w:type="dxa"/>
            <w:vAlign w:val="bottom"/>
          </w:tcPr>
          <w:p>
            <w:pPr>
              <w:ind w:left="120"/>
              <w:spacing w:after="0"/>
              <w:rPr>
                <w:sz w:val="20"/>
                <w:szCs w:val="20"/>
                <w:color w:val="auto"/>
              </w:rPr>
            </w:pPr>
            <w:r>
              <w:rPr>
                <w:rFonts w:ascii="Arial" w:cs="Arial" w:eastAsia="Arial" w:hAnsi="Arial"/>
                <w:sz w:val="14"/>
                <w:szCs w:val="14"/>
                <w:color w:val="auto"/>
              </w:rPr>
              <w:t>1981 to 2007. An employee of Manpower since January 2008.</w:t>
            </w:r>
          </w:p>
        </w:tc>
      </w:tr>
      <w:tr>
        <w:trPr>
          <w:trHeight w:val="267"/>
        </w:trPr>
        <w:tc>
          <w:tcPr>
            <w:tcW w:w="1380" w:type="dxa"/>
            <w:vAlign w:val="bottom"/>
          </w:tcPr>
          <w:p>
            <w:pPr>
              <w:spacing w:after="0"/>
              <w:rPr>
                <w:sz w:val="23"/>
                <w:szCs w:val="23"/>
                <w:color w:val="auto"/>
              </w:rPr>
            </w:pPr>
          </w:p>
        </w:tc>
        <w:tc>
          <w:tcPr>
            <w:tcW w:w="10080" w:type="dxa"/>
            <w:vAlign w:val="bottom"/>
            <w:gridSpan w:val="2"/>
          </w:tcPr>
          <w:p>
            <w:pPr>
              <w:jc w:val="center"/>
              <w:ind w:right="1312"/>
              <w:spacing w:after="0"/>
              <w:rPr>
                <w:sz w:val="20"/>
                <w:szCs w:val="20"/>
                <w:color w:val="auto"/>
              </w:rPr>
            </w:pPr>
            <w:r>
              <w:rPr>
                <w:rFonts w:ascii="Arial" w:cs="Arial" w:eastAsia="Arial" w:hAnsi="Arial"/>
                <w:sz w:val="14"/>
                <w:szCs w:val="14"/>
                <w:color w:val="auto"/>
                <w:w w:val="89"/>
              </w:rPr>
              <w:t>23</w:t>
            </w:r>
          </w:p>
        </w:tc>
      </w:tr>
      <w:tr>
        <w:trPr>
          <w:trHeight w:val="89"/>
        </w:trPr>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99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231"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OTHER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Audit Committee Approval of Audit-Related and Non-Audit Services</w:t>
      </w:r>
    </w:p>
    <w:p>
      <w:pPr>
        <w:spacing w:after="0" w:line="147" w:lineRule="exact"/>
        <w:rPr>
          <w:sz w:val="20"/>
          <w:szCs w:val="20"/>
          <w:color w:val="auto"/>
        </w:rPr>
      </w:pPr>
    </w:p>
    <w:p>
      <w:pPr>
        <w:ind w:left="380" w:right="260"/>
        <w:spacing w:after="0" w:line="249" w:lineRule="auto"/>
        <w:rPr>
          <w:sz w:val="20"/>
          <w:szCs w:val="20"/>
          <w:color w:val="auto"/>
        </w:rPr>
      </w:pPr>
      <w:r>
        <w:rPr>
          <w:rFonts w:ascii="Arial" w:cs="Arial" w:eastAsia="Arial" w:hAnsi="Arial"/>
          <w:sz w:val="14"/>
          <w:szCs w:val="14"/>
          <w:color w:val="auto"/>
        </w:rPr>
        <w:t>The Audit Committee of our Board of Directors has approved the following audit-related and non-audit services performed or to be performed for us by our independent registered public accounting firm, Deloitte &amp; Touche LLP, in 2008:</w:t>
      </w:r>
    </w:p>
    <w:p>
      <w:pPr>
        <w:spacing w:after="0" w:line="282" w:lineRule="exact"/>
        <w:rPr>
          <w:sz w:val="20"/>
          <w:szCs w:val="20"/>
          <w:color w:val="auto"/>
        </w:rPr>
      </w:pPr>
    </w:p>
    <w:p>
      <w:pPr>
        <w:ind w:left="380" w:hanging="228"/>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preparation and/or review of tax returns, including sales and use tax, excise tax, income tax, local tax, property tax, and value-added tax;</w:t>
      </w:r>
    </w:p>
    <w:p>
      <w:pPr>
        <w:spacing w:after="0" w:line="157" w:lineRule="exact"/>
        <w:rPr>
          <w:rFonts w:ascii="Arial" w:cs="Arial" w:eastAsia="Arial" w:hAnsi="Arial"/>
          <w:sz w:val="14"/>
          <w:szCs w:val="14"/>
          <w:color w:val="auto"/>
        </w:rPr>
      </w:pPr>
    </w:p>
    <w:p>
      <w:pPr>
        <w:ind w:left="380" w:hanging="236"/>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consultation regarding appropriate handling of items on tax returns, required disclosures, elections and filing positions available to us;</w:t>
      </w:r>
    </w:p>
    <w:p>
      <w:pPr>
        <w:spacing w:after="0" w:line="157" w:lineRule="exact"/>
        <w:rPr>
          <w:rFonts w:ascii="Arial" w:cs="Arial" w:eastAsia="Arial" w:hAnsi="Arial"/>
          <w:sz w:val="14"/>
          <w:szCs w:val="14"/>
          <w:color w:val="auto"/>
        </w:rPr>
      </w:pPr>
    </w:p>
    <w:p>
      <w:pPr>
        <w:ind w:left="380" w:hanging="228"/>
        <w:spacing w:after="0" w:line="264"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128" w:lineRule="exact"/>
        <w:rPr>
          <w:rFonts w:ascii="Arial" w:cs="Arial" w:eastAsia="Arial" w:hAnsi="Arial"/>
          <w:sz w:val="14"/>
          <w:szCs w:val="14"/>
          <w:color w:val="auto"/>
        </w:rPr>
      </w:pPr>
    </w:p>
    <w:p>
      <w:pPr>
        <w:ind w:left="380" w:hanging="236"/>
        <w:spacing w:after="0" w:line="264"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28" w:lineRule="exact"/>
        <w:rPr>
          <w:rFonts w:ascii="Arial" w:cs="Arial" w:eastAsia="Arial" w:hAnsi="Arial"/>
          <w:sz w:val="14"/>
          <w:szCs w:val="14"/>
          <w:color w:val="auto"/>
        </w:rPr>
      </w:pPr>
    </w:p>
    <w:p>
      <w:pPr>
        <w:ind w:left="380" w:hanging="228"/>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advice regarding tax issues relating to our internal reorganizations;</w:t>
      </w:r>
    </w:p>
    <w:p>
      <w:pPr>
        <w:spacing w:after="0" w:line="157" w:lineRule="exact"/>
        <w:rPr>
          <w:rFonts w:ascii="Arial" w:cs="Arial" w:eastAsia="Arial" w:hAnsi="Arial"/>
          <w:sz w:val="14"/>
          <w:szCs w:val="14"/>
          <w:color w:val="auto"/>
        </w:rPr>
      </w:pPr>
    </w:p>
    <w:p>
      <w:pPr>
        <w:ind w:left="380" w:hanging="213"/>
        <w:spacing w:after="0"/>
        <w:tabs>
          <w:tab w:leader="none" w:pos="3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assistance relating to reporting under and compliance with the federal securities laws and the rules and regulations promulgated thereunder, including the issuance of consents and comfort letters;</w:t>
      </w:r>
    </w:p>
    <w:p>
      <w:pPr>
        <w:spacing w:after="0" w:line="191" w:lineRule="exact"/>
        <w:rPr>
          <w:rFonts w:ascii="Arial" w:cs="Arial" w:eastAsia="Arial" w:hAnsi="Arial"/>
          <w:sz w:val="11"/>
          <w:szCs w:val="11"/>
          <w:color w:val="auto"/>
        </w:rPr>
      </w:pPr>
    </w:p>
    <w:p>
      <w:pPr>
        <w:ind w:left="380" w:hanging="236"/>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reviews of our quarterly financial statements;</w:t>
      </w:r>
    </w:p>
    <w:p>
      <w:pPr>
        <w:spacing w:after="0" w:line="157" w:lineRule="exact"/>
        <w:rPr>
          <w:rFonts w:ascii="Arial" w:cs="Arial" w:eastAsia="Arial" w:hAnsi="Arial"/>
          <w:sz w:val="14"/>
          <w:szCs w:val="14"/>
          <w:color w:val="auto"/>
        </w:rPr>
      </w:pPr>
    </w:p>
    <w:p>
      <w:pPr>
        <w:ind w:left="380" w:hanging="236"/>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consultation regarding current, proposed and newly adopted accounting pronouncements;</w:t>
      </w:r>
    </w:p>
    <w:p>
      <w:pPr>
        <w:spacing w:after="0" w:line="157" w:lineRule="exact"/>
        <w:rPr>
          <w:rFonts w:ascii="Arial" w:cs="Arial" w:eastAsia="Arial" w:hAnsi="Arial"/>
          <w:sz w:val="14"/>
          <w:szCs w:val="14"/>
          <w:color w:val="auto"/>
        </w:rPr>
      </w:pPr>
    </w:p>
    <w:p>
      <w:pPr>
        <w:ind w:left="380" w:hanging="206"/>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audit of a foreign employee pension plan;</w:t>
      </w:r>
    </w:p>
    <w:p>
      <w:pPr>
        <w:spacing w:after="0" w:line="157" w:lineRule="exact"/>
        <w:rPr>
          <w:rFonts w:ascii="Arial" w:cs="Arial" w:eastAsia="Arial" w:hAnsi="Arial"/>
          <w:sz w:val="14"/>
          <w:szCs w:val="14"/>
          <w:color w:val="auto"/>
        </w:rPr>
      </w:pPr>
    </w:p>
    <w:p>
      <w:pPr>
        <w:ind w:left="380" w:hanging="206"/>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advice and assistance related to data privacy;</w:t>
      </w:r>
    </w:p>
    <w:p>
      <w:pPr>
        <w:spacing w:after="0" w:line="157" w:lineRule="exact"/>
        <w:rPr>
          <w:rFonts w:ascii="Arial" w:cs="Arial" w:eastAsia="Arial" w:hAnsi="Arial"/>
          <w:sz w:val="14"/>
          <w:szCs w:val="14"/>
          <w:color w:val="auto"/>
        </w:rPr>
      </w:pPr>
    </w:p>
    <w:p>
      <w:pPr>
        <w:ind w:left="380" w:hanging="236"/>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auditor reports required as part of an internal restructuring, related to a government grant and required as part of tender offers and related to a statement of flexworker educational expenses;</w:t>
      </w:r>
    </w:p>
    <w:p>
      <w:pPr>
        <w:spacing w:after="0" w:line="168" w:lineRule="exact"/>
        <w:rPr>
          <w:rFonts w:ascii="Arial" w:cs="Arial" w:eastAsia="Arial" w:hAnsi="Arial"/>
          <w:sz w:val="13"/>
          <w:szCs w:val="13"/>
          <w:color w:val="auto"/>
        </w:rPr>
      </w:pPr>
    </w:p>
    <w:p>
      <w:pPr>
        <w:ind w:left="380" w:hanging="206"/>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SAS 70 controls report in the U.S.; and</w:t>
      </w:r>
    </w:p>
    <w:p>
      <w:pPr>
        <w:spacing w:after="0" w:line="157" w:lineRule="exact"/>
        <w:rPr>
          <w:rFonts w:ascii="Arial" w:cs="Arial" w:eastAsia="Arial" w:hAnsi="Arial"/>
          <w:sz w:val="14"/>
          <w:szCs w:val="14"/>
          <w:color w:val="auto"/>
        </w:rPr>
      </w:pPr>
    </w:p>
    <w:p>
      <w:pPr>
        <w:ind w:left="380" w:hanging="274"/>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human capital advisory services.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3" w:right="21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PART II</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1"/>
          <w:szCs w:val="11"/>
          <w:b w:val="1"/>
          <w:bCs w:val="1"/>
          <w:color w:val="auto"/>
        </w:rPr>
        <w:t>Market for Registrant’s Common Equity, Related Shareholder Matters and Issuer Purchases of Equity Securities</w:t>
      </w:r>
    </w:p>
    <w:p>
      <w:pPr>
        <w:spacing w:after="0" w:line="151" w:lineRule="exact"/>
        <w:rPr>
          <w:sz w:val="20"/>
          <w:szCs w:val="20"/>
          <w:color w:val="auto"/>
        </w:rPr>
      </w:pPr>
    </w:p>
    <w:p>
      <w:pPr>
        <w:ind w:right="100" w:firstLine="370"/>
        <w:spacing w:after="0" w:line="267" w:lineRule="auto"/>
        <w:rPr>
          <w:sz w:val="20"/>
          <w:szCs w:val="20"/>
          <w:color w:val="auto"/>
        </w:rPr>
      </w:pPr>
      <w:r>
        <w:rPr>
          <w:rFonts w:ascii="Arial" w:cs="Arial" w:eastAsia="Arial" w:hAnsi="Arial"/>
          <w:sz w:val="13"/>
          <w:szCs w:val="13"/>
          <w:color w:val="auto"/>
        </w:rPr>
        <w:t>In August 2007, the Board of Directors authorized the repurchase of 5.0 million shares of our common stock, not to exceed a total purchase price of $400.0 million. The authorization permitted share repurchases from time to time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 during the fourth quarter of 2008.</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ISSUER PURCHASES OF EQUITY SECURITIES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5060" w:type="dxa"/>
            <w:vAlign w:val="bottom"/>
            <w:tcBorders>
              <w:top w:val="single" w:sz="8" w:color="auto"/>
            </w:tcBorders>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vMerge w:val="restart"/>
          </w:tcPr>
          <w:p>
            <w:pPr>
              <w:jc w:val="center"/>
              <w:ind w:right="258"/>
              <w:spacing w:after="0"/>
              <w:rPr>
                <w:sz w:val="20"/>
                <w:szCs w:val="20"/>
                <w:color w:val="auto"/>
              </w:rPr>
            </w:pPr>
            <w:r>
              <w:rPr>
                <w:rFonts w:ascii="Arial" w:cs="Arial" w:eastAsia="Arial" w:hAnsi="Arial"/>
                <w:sz w:val="11"/>
                <w:szCs w:val="11"/>
                <w:b w:val="1"/>
                <w:bCs w:val="1"/>
                <w:color w:val="auto"/>
                <w:w w:val="87"/>
              </w:rPr>
              <w:t>Average</w:t>
            </w:r>
          </w:p>
        </w:tc>
        <w:tc>
          <w:tcPr>
            <w:tcW w:w="260" w:type="dxa"/>
            <w:vAlign w:val="bottom"/>
            <w:tcBorders>
              <w:top w:val="single" w:sz="8" w:color="auto"/>
            </w:tcBorders>
          </w:tcPr>
          <w:p>
            <w:pPr>
              <w:spacing w:after="0"/>
              <w:rPr>
                <w:sz w:val="8"/>
                <w:szCs w:val="8"/>
                <w:color w:val="auto"/>
              </w:rPr>
            </w:pPr>
          </w:p>
        </w:tc>
        <w:tc>
          <w:tcPr>
            <w:tcW w:w="14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w w:val="91"/>
              </w:rPr>
              <w:t>Total number of</w:t>
            </w:r>
          </w:p>
        </w:tc>
        <w:tc>
          <w:tcPr>
            <w:tcW w:w="260" w:type="dxa"/>
            <w:vAlign w:val="bottom"/>
            <w:tcBorders>
              <w:top w:val="single" w:sz="8" w:color="auto"/>
            </w:tcBorders>
          </w:tcPr>
          <w:p>
            <w:pPr>
              <w:spacing w:after="0"/>
              <w:rPr>
                <w:sz w:val="8"/>
                <w:szCs w:val="8"/>
                <w:color w:val="auto"/>
              </w:rPr>
            </w:pPr>
          </w:p>
        </w:tc>
        <w:tc>
          <w:tcPr>
            <w:tcW w:w="14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w w:val="92"/>
              </w:rPr>
              <w:t>Approximate</w:t>
            </w:r>
          </w:p>
        </w:tc>
        <w:tc>
          <w:tcPr>
            <w:tcW w:w="0" w:type="dxa"/>
            <w:vAlign w:val="bottom"/>
          </w:tcPr>
          <w:p>
            <w:pPr>
              <w:spacing w:after="0"/>
              <w:rPr>
                <w:sz w:val="1"/>
                <w:szCs w:val="1"/>
                <w:color w:val="auto"/>
              </w:rPr>
            </w:pPr>
          </w:p>
        </w:tc>
      </w:tr>
      <w:tr>
        <w:trPr>
          <w:trHeight w:val="113"/>
        </w:trPr>
        <w:tc>
          <w:tcPr>
            <w:tcW w:w="5060" w:type="dxa"/>
            <w:vAlign w:val="bottom"/>
          </w:tcPr>
          <w:p>
            <w:pPr>
              <w:spacing w:after="0"/>
              <w:rPr>
                <w:sz w:val="9"/>
                <w:szCs w:val="9"/>
                <w:color w:val="auto"/>
              </w:rPr>
            </w:pPr>
          </w:p>
        </w:tc>
        <w:tc>
          <w:tcPr>
            <w:tcW w:w="1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Total number of</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4"/>
              </w:rPr>
              <w:t>shares purchased</w:t>
            </w:r>
          </w:p>
        </w:tc>
        <w:tc>
          <w:tcPr>
            <w:tcW w:w="260" w:type="dxa"/>
            <w:vAlign w:val="bottom"/>
          </w:tcPr>
          <w:p>
            <w:pPr>
              <w:spacing w:after="0"/>
              <w:rPr>
                <w:sz w:val="9"/>
                <w:szCs w:val="9"/>
                <w:color w:val="auto"/>
              </w:rPr>
            </w:pPr>
          </w:p>
        </w:tc>
        <w:tc>
          <w:tcPr>
            <w:tcW w:w="148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8"/>
              </w:rPr>
              <w:t>number of shares</w:t>
            </w:r>
          </w:p>
        </w:tc>
        <w:tc>
          <w:tcPr>
            <w:tcW w:w="0" w:type="dxa"/>
            <w:vAlign w:val="bottom"/>
          </w:tcPr>
          <w:p>
            <w:pPr>
              <w:spacing w:after="0"/>
              <w:rPr>
                <w:sz w:val="1"/>
                <w:szCs w:val="1"/>
                <w:color w:val="auto"/>
              </w:rPr>
            </w:pPr>
          </w:p>
        </w:tc>
      </w:tr>
      <w:tr>
        <w:trPr>
          <w:trHeight w:val="113"/>
        </w:trPr>
        <w:tc>
          <w:tcPr>
            <w:tcW w:w="50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jc w:val="center"/>
              <w:ind w:right="238"/>
              <w:spacing w:after="0" w:line="113" w:lineRule="exact"/>
              <w:rPr>
                <w:sz w:val="20"/>
                <w:szCs w:val="20"/>
                <w:color w:val="auto"/>
              </w:rPr>
            </w:pPr>
            <w:r>
              <w:rPr>
                <w:rFonts w:ascii="Arial" w:cs="Arial" w:eastAsia="Arial" w:hAnsi="Arial"/>
                <w:sz w:val="11"/>
                <w:szCs w:val="11"/>
                <w:b w:val="1"/>
                <w:bCs w:val="1"/>
                <w:color w:val="auto"/>
                <w:w w:val="92"/>
              </w:rPr>
              <w:t>price paid</w:t>
            </w:r>
          </w:p>
        </w:tc>
        <w:tc>
          <w:tcPr>
            <w:tcW w:w="260" w:type="dxa"/>
            <w:vAlign w:val="bottom"/>
          </w:tcPr>
          <w:p>
            <w:pPr>
              <w:spacing w:after="0"/>
              <w:rPr>
                <w:sz w:val="9"/>
                <w:szCs w:val="9"/>
                <w:color w:val="auto"/>
              </w:rPr>
            </w:pPr>
          </w:p>
        </w:tc>
        <w:tc>
          <w:tcPr>
            <w:tcW w:w="148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9"/>
              </w:rPr>
              <w:t>as part of publicly</w:t>
            </w:r>
          </w:p>
        </w:tc>
        <w:tc>
          <w:tcPr>
            <w:tcW w:w="260" w:type="dxa"/>
            <w:vAlign w:val="bottom"/>
          </w:tcPr>
          <w:p>
            <w:pPr>
              <w:spacing w:after="0"/>
              <w:rPr>
                <w:sz w:val="9"/>
                <w:szCs w:val="9"/>
                <w:color w:val="auto"/>
              </w:rPr>
            </w:pPr>
          </w:p>
        </w:tc>
        <w:tc>
          <w:tcPr>
            <w:tcW w:w="148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9"/>
              </w:rPr>
              <w:t>that may yet be</w:t>
            </w: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 purchased</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238"/>
              <w:spacing w:after="0"/>
              <w:rPr>
                <w:sz w:val="20"/>
                <w:szCs w:val="20"/>
                <w:color w:val="auto"/>
              </w:rPr>
            </w:pPr>
            <w:r>
              <w:rPr>
                <w:rFonts w:ascii="Arial" w:cs="Arial" w:eastAsia="Arial" w:hAnsi="Arial"/>
                <w:sz w:val="11"/>
                <w:szCs w:val="11"/>
                <w:b w:val="1"/>
                <w:bCs w:val="1"/>
                <w:color w:val="auto"/>
                <w:w w:val="88"/>
              </w:rPr>
              <w:t>per share</w:t>
            </w:r>
          </w:p>
        </w:tc>
        <w:tc>
          <w:tcPr>
            <w:tcW w:w="260" w:type="dxa"/>
            <w:vAlign w:val="bottom"/>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announced plan</w:t>
            </w:r>
          </w:p>
        </w:tc>
        <w:tc>
          <w:tcPr>
            <w:tcW w:w="260" w:type="dxa"/>
            <w:vAlign w:val="bottom"/>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purchased</w:t>
            </w:r>
          </w:p>
        </w:tc>
        <w:tc>
          <w:tcPr>
            <w:tcW w:w="0" w:type="dxa"/>
            <w:vAlign w:val="bottom"/>
          </w:tcPr>
          <w:p>
            <w:pPr>
              <w:spacing w:after="0"/>
              <w:rPr>
                <w:sz w:val="1"/>
                <w:szCs w:val="1"/>
                <w:color w:val="auto"/>
              </w:rPr>
            </w:pPr>
          </w:p>
        </w:tc>
      </w:tr>
      <w:tr>
        <w:trPr>
          <w:trHeight w:val="154"/>
        </w:trPr>
        <w:tc>
          <w:tcPr>
            <w:tcW w:w="50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October 1 - 31, 2008</w:t>
            </w:r>
          </w:p>
        </w:tc>
        <w:tc>
          <w:tcPr>
            <w:tcW w:w="160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w w:val="84"/>
              </w:rPr>
              <w:t>-</w:t>
            </w:r>
          </w:p>
        </w:tc>
        <w:tc>
          <w:tcPr>
            <w:tcW w:w="420" w:type="dxa"/>
            <w:vAlign w:val="bottom"/>
            <w:gridSpan w:val="2"/>
            <w:shd w:val="clear" w:color="auto" w:fill="CCEEFF"/>
          </w:tcPr>
          <w:p>
            <w:pPr>
              <w:jc w:val="right"/>
              <w:ind w:right="80"/>
              <w:spacing w:after="0" w:line="154"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18"/>
              <w:spacing w:after="0" w:line="154"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705"/>
              <w:spacing w:after="0" w:line="154"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center"/>
              <w:ind w:left="212"/>
              <w:spacing w:after="0" w:line="154" w:lineRule="exact"/>
              <w:rPr>
                <w:sz w:val="20"/>
                <w:szCs w:val="20"/>
                <w:color w:val="auto"/>
              </w:rPr>
            </w:pPr>
            <w:r>
              <w:rPr>
                <w:rFonts w:ascii="Arial" w:cs="Arial" w:eastAsia="Arial" w:hAnsi="Arial"/>
                <w:sz w:val="14"/>
                <w:szCs w:val="14"/>
                <w:color w:val="auto"/>
                <w:w w:val="86"/>
              </w:rPr>
              <w:t>1,026,490</w:t>
            </w:r>
          </w:p>
        </w:tc>
        <w:tc>
          <w:tcPr>
            <w:tcW w:w="0" w:type="dxa"/>
            <w:vAlign w:val="bottom"/>
          </w:tcPr>
          <w:p>
            <w:pPr>
              <w:spacing w:after="0"/>
              <w:rPr>
                <w:sz w:val="1"/>
                <w:szCs w:val="1"/>
                <w:color w:val="auto"/>
              </w:rPr>
            </w:pPr>
          </w:p>
        </w:tc>
      </w:tr>
      <w:tr>
        <w:trPr>
          <w:trHeight w:val="164"/>
        </w:trPr>
        <w:tc>
          <w:tcPr>
            <w:tcW w:w="5060" w:type="dxa"/>
            <w:vAlign w:val="bottom"/>
          </w:tcPr>
          <w:p>
            <w:pPr>
              <w:spacing w:after="0"/>
              <w:rPr>
                <w:sz w:val="20"/>
                <w:szCs w:val="20"/>
                <w:color w:val="auto"/>
              </w:rPr>
            </w:pPr>
            <w:r>
              <w:rPr>
                <w:rFonts w:ascii="Arial" w:cs="Arial" w:eastAsia="Arial" w:hAnsi="Arial"/>
                <w:sz w:val="14"/>
                <w:szCs w:val="14"/>
                <w:color w:val="auto"/>
              </w:rPr>
              <w:t>November 1 - 30, 2008</w:t>
            </w:r>
          </w:p>
        </w:tc>
        <w:tc>
          <w:tcPr>
            <w:tcW w:w="16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418"/>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705"/>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center"/>
              <w:ind w:left="212"/>
              <w:spacing w:after="0"/>
              <w:rPr>
                <w:sz w:val="20"/>
                <w:szCs w:val="20"/>
                <w:color w:val="auto"/>
              </w:rPr>
            </w:pPr>
            <w:r>
              <w:rPr>
                <w:rFonts w:ascii="Arial" w:cs="Arial" w:eastAsia="Arial" w:hAnsi="Arial"/>
                <w:sz w:val="14"/>
                <w:szCs w:val="14"/>
                <w:color w:val="auto"/>
                <w:w w:val="86"/>
              </w:rPr>
              <w:t>1,026,490</w:t>
            </w:r>
          </w:p>
        </w:tc>
        <w:tc>
          <w:tcPr>
            <w:tcW w:w="0" w:type="dxa"/>
            <w:vAlign w:val="bottom"/>
          </w:tcPr>
          <w:p>
            <w:pPr>
              <w:spacing w:after="0"/>
              <w:rPr>
                <w:sz w:val="1"/>
                <w:szCs w:val="1"/>
                <w:color w:val="auto"/>
              </w:rPr>
            </w:pPr>
          </w:p>
        </w:tc>
      </w:tr>
      <w:tr>
        <w:trPr>
          <w:trHeight w:val="175"/>
        </w:trPr>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December 1 - 31, 2008</w:t>
            </w:r>
          </w:p>
        </w:tc>
        <w:tc>
          <w:tcPr>
            <w:tcW w:w="1600" w:type="dxa"/>
            <w:vAlign w:val="bottom"/>
            <w:shd w:val="clear" w:color="auto" w:fill="CCEEFF"/>
          </w:tcPr>
          <w:p>
            <w:pPr>
              <w:jc w:val="center"/>
              <w:spacing w:after="0" w:line="174" w:lineRule="exact"/>
              <w:rPr>
                <w:sz w:val="20"/>
                <w:szCs w:val="20"/>
                <w:color w:val="auto"/>
              </w:rPr>
            </w:pPr>
            <w:r>
              <w:rPr>
                <w:rFonts w:ascii="Arial" w:cs="Arial" w:eastAsia="Arial" w:hAnsi="Arial"/>
                <w:sz w:val="14"/>
                <w:szCs w:val="14"/>
                <w:color w:val="auto"/>
                <w:w w:val="82"/>
              </w:rPr>
              <w:t>135</w:t>
            </w:r>
            <w:r>
              <w:rPr>
                <w:rFonts w:ascii="Arial" w:cs="Arial" w:eastAsia="Arial" w:hAnsi="Arial"/>
                <w:sz w:val="19"/>
                <w:szCs w:val="19"/>
                <w:color w:val="auto"/>
                <w:w w:val="82"/>
                <w:vertAlign w:val="superscript"/>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18"/>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705"/>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285"/>
              <w:spacing w:after="0" w:line="174" w:lineRule="exact"/>
              <w:rPr>
                <w:sz w:val="20"/>
                <w:szCs w:val="20"/>
                <w:color w:val="auto"/>
              </w:rPr>
            </w:pPr>
            <w:r>
              <w:rPr>
                <w:rFonts w:ascii="Arial" w:cs="Arial" w:eastAsia="Arial" w:hAnsi="Arial"/>
                <w:sz w:val="14"/>
                <w:szCs w:val="14"/>
                <w:color w:val="auto"/>
              </w:rPr>
              <w:t>1,026,490</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00" w:hanging="198"/>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Delivered by a director to Manpower, upon vesting, to satisfy tax withholding requirements.</w:t>
      </w:r>
    </w:p>
    <w:p>
      <w:pPr>
        <w:spacing w:after="0" w:line="5" w:lineRule="exact"/>
        <w:rPr>
          <w:rFonts w:ascii="Arial" w:cs="Arial" w:eastAsia="Arial" w:hAnsi="Arial"/>
          <w:sz w:val="14"/>
          <w:szCs w:val="14"/>
          <w:color w:val="auto"/>
        </w:rPr>
      </w:pPr>
    </w:p>
    <w:p>
      <w:pPr>
        <w:ind w:left="200" w:hanging="198"/>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Not to exceed a total purchase price of $182.1 million.</w:t>
      </w:r>
    </w:p>
    <w:p>
      <w:pPr>
        <w:spacing w:after="0" w:line="135" w:lineRule="exact"/>
        <w:rPr>
          <w:sz w:val="20"/>
          <w:szCs w:val="20"/>
          <w:color w:val="auto"/>
        </w:rPr>
      </w:pPr>
    </w:p>
    <w:p>
      <w:pPr>
        <w:ind w:right="120" w:firstLine="370"/>
        <w:spacing w:after="0" w:line="239" w:lineRule="auto"/>
        <w:rPr>
          <w:sz w:val="20"/>
          <w:szCs w:val="20"/>
          <w:color w:val="auto"/>
        </w:rPr>
      </w:pPr>
      <w:r>
        <w:rPr>
          <w:rFonts w:ascii="Arial" w:cs="Arial" w:eastAsia="Arial" w:hAnsi="Arial"/>
          <w:sz w:val="14"/>
          <w:szCs w:val="14"/>
          <w:color w:val="auto"/>
        </w:rPr>
        <w:t>The remaining information required by this Item is set forth in our Annual Report to Shareholders for the fiscal year ended December 31, 2008, under the heading “Note 16 - Quarterly Data” (page 71) and “Corporate Information” (page 74) and in our Proxy Statement for the Annual Meeting of Shareholders to be held on April 28, 2009, under the caption “Equity Compensation Plan Information”, which information is hereby incorporated herein by reference.</w:t>
      </w:r>
    </w:p>
    <w:p>
      <w:pPr>
        <w:spacing w:after="0" w:line="131"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1"/>
          <w:szCs w:val="11"/>
          <w:b w:val="1"/>
          <w:bCs w:val="1"/>
          <w:color w:val="auto"/>
        </w:rPr>
        <w:t>Selected Financial Data</w:t>
      </w:r>
    </w:p>
    <w:p>
      <w:pPr>
        <w:spacing w:after="0" w:line="151" w:lineRule="exact"/>
        <w:rPr>
          <w:sz w:val="20"/>
          <w:szCs w:val="20"/>
          <w:color w:val="auto"/>
        </w:rPr>
      </w:pPr>
    </w:p>
    <w:p>
      <w:pPr>
        <w:ind w:right="380" w:firstLine="370"/>
        <w:spacing w:after="0" w:line="249" w:lineRule="auto"/>
        <w:rPr>
          <w:sz w:val="20"/>
          <w:szCs w:val="20"/>
          <w:color w:val="auto"/>
        </w:rPr>
      </w:pPr>
      <w:r>
        <w:rPr>
          <w:rFonts w:ascii="Arial" w:cs="Arial" w:eastAsia="Arial" w:hAnsi="Arial"/>
          <w:sz w:val="14"/>
          <w:szCs w:val="14"/>
          <w:color w:val="auto"/>
        </w:rPr>
        <w:t>The information required by this Item is set forth in our Annual Report to Shareholders for the fiscal year ended December 31, 2008, under the heading “Selected Financial Data” (page 72), which information is hereby incorporated herein by reference.</w:t>
      </w:r>
    </w:p>
    <w:p>
      <w:pPr>
        <w:spacing w:after="0" w:line="124"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51" w:lineRule="exact"/>
        <w:rPr>
          <w:sz w:val="20"/>
          <w:szCs w:val="20"/>
          <w:color w:val="auto"/>
        </w:rPr>
      </w:pPr>
    </w:p>
    <w:p>
      <w:pPr>
        <w:ind w:right="320" w:firstLine="370"/>
        <w:spacing w:after="0" w:line="249" w:lineRule="auto"/>
        <w:rPr>
          <w:sz w:val="20"/>
          <w:szCs w:val="20"/>
          <w:color w:val="auto"/>
        </w:rPr>
      </w:pPr>
      <w:r>
        <w:rPr>
          <w:rFonts w:ascii="Arial" w:cs="Arial" w:eastAsia="Arial" w:hAnsi="Arial"/>
          <w:sz w:val="14"/>
          <w:szCs w:val="14"/>
          <w:color w:val="auto"/>
        </w:rPr>
        <w:t>The information required by this Item is set forth in our Annual Report to Shareholders for the fiscal year ended December 31, 2008, under the headings “Management’s Discussion and Analysis of Financial Condition and Results of Operations” (pages 17 to 39), which information is hereby incorporated herein by reference.</w:t>
      </w:r>
    </w:p>
    <w:p>
      <w:pPr>
        <w:spacing w:after="0" w:line="124"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51" w:lineRule="exact"/>
        <w:rPr>
          <w:sz w:val="20"/>
          <w:szCs w:val="20"/>
          <w:color w:val="auto"/>
        </w:rPr>
      </w:pPr>
    </w:p>
    <w:p>
      <w:pPr>
        <w:ind w:right="500" w:firstLine="370"/>
        <w:spacing w:after="0" w:line="249" w:lineRule="auto"/>
        <w:rPr>
          <w:sz w:val="20"/>
          <w:szCs w:val="20"/>
          <w:color w:val="auto"/>
        </w:rPr>
      </w:pPr>
      <w:r>
        <w:rPr>
          <w:rFonts w:ascii="Arial" w:cs="Arial" w:eastAsia="Arial" w:hAnsi="Arial"/>
          <w:sz w:val="14"/>
          <w:szCs w:val="14"/>
          <w:color w:val="auto"/>
        </w:rPr>
        <w:t>The information required by this Item is set forth in our Annual Report to Shareholders for the fiscal year ended December 31, 2008, under the heading “Significant Matters Affecting Results of Operations” (pages 34 to 39), which information is hereby incorporated herein by reference.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3" w:right="219" w:bottom="1440" w:gutter="0" w:footer="0" w:header="0"/>
        </w:sectPr>
      </w:pPr>
    </w:p>
    <w:bookmarkStart w:id="25" w:name="page26"/>
    <w:bookmarkEnd w:id="25"/>
    <w:p>
      <w:pPr>
        <w:spacing w:after="0"/>
        <w:tabs>
          <w:tab w:leader="none" w:pos="84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1"/>
          <w:szCs w:val="11"/>
          <w:b w:val="1"/>
          <w:bCs w:val="1"/>
          <w:color w:val="auto"/>
        </w:rPr>
        <w:t>Financial Statements and Supplementary Data</w:t>
      </w:r>
    </w:p>
    <w:p>
      <w:pPr>
        <w:spacing w:after="0" w:line="151" w:lineRule="exact"/>
        <w:rPr>
          <w:sz w:val="20"/>
          <w:szCs w:val="20"/>
          <w:color w:val="auto"/>
        </w:rPr>
      </w:pPr>
    </w:p>
    <w:p>
      <w:pPr>
        <w:ind w:right="20" w:firstLine="370"/>
        <w:spacing w:after="0" w:line="249" w:lineRule="auto"/>
        <w:rPr>
          <w:sz w:val="20"/>
          <w:szCs w:val="20"/>
          <w:color w:val="auto"/>
        </w:rPr>
      </w:pPr>
      <w:r>
        <w:rPr>
          <w:rFonts w:ascii="Arial" w:cs="Arial" w:eastAsia="Arial" w:hAnsi="Arial"/>
          <w:sz w:val="14"/>
          <w:szCs w:val="14"/>
          <w:color w:val="auto"/>
        </w:rPr>
        <w:t>The information required by this Item is set forth in the financial statements and the notes thereto (pages 42 to 71) contained in our Annual Report to Shareholders for the fiscal year ended December 31, 2008, which information is hereby incorporated herein by reference.</w:t>
      </w:r>
    </w:p>
    <w:p>
      <w:pPr>
        <w:spacing w:after="0" w:line="124"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1"/>
          <w:szCs w:val="11"/>
          <w:b w:val="1"/>
          <w:bCs w:val="1"/>
          <w:color w:val="auto"/>
        </w:rPr>
        <w:t>Controls and Procedures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51" w:lineRule="exact"/>
        <w:rPr>
          <w:sz w:val="20"/>
          <w:szCs w:val="20"/>
          <w:color w:val="auto"/>
        </w:rPr>
      </w:pPr>
    </w:p>
    <w:p>
      <w:pPr>
        <w:ind w:firstLine="370"/>
        <w:spacing w:after="0" w:line="257" w:lineRule="auto"/>
        <w:rPr>
          <w:sz w:val="20"/>
          <w:szCs w:val="20"/>
          <w:color w:val="auto"/>
        </w:rPr>
      </w:pPr>
      <w:r>
        <w:rPr>
          <w:rFonts w:ascii="Arial" w:cs="Arial" w:eastAsia="Arial" w:hAnsi="Arial"/>
          <w:sz w:val="13"/>
          <w:szCs w:val="13"/>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51" w:lineRule="exact"/>
        <w:rPr>
          <w:sz w:val="20"/>
          <w:szCs w:val="20"/>
          <w:color w:val="auto"/>
        </w:rPr>
      </w:pPr>
    </w:p>
    <w:p>
      <w:pPr>
        <w:jc w:val="both"/>
        <w:ind w:right="160" w:firstLine="370"/>
        <w:spacing w:after="0" w:line="267" w:lineRule="auto"/>
        <w:rPr>
          <w:sz w:val="20"/>
          <w:szCs w:val="20"/>
          <w:color w:val="auto"/>
        </w:rPr>
      </w:pPr>
      <w:r>
        <w:rPr>
          <w:rFonts w:ascii="Arial" w:cs="Arial" w:eastAsia="Arial" w:hAnsi="Arial"/>
          <w:sz w:val="13"/>
          <w:szCs w:val="13"/>
          <w:color w:val="auto"/>
        </w:rPr>
        <w:t>The Management Report on Internal Control Over Financial Reporting is set forth on page 39 in our Annual Report to Shareholders for the fiscal year ended December 31, 2008 which information is hereby incorporated herein by reference. The Independent Registered Public Accounting Firm’s report with respect to the effectiveness of internal control over financial reporting is included on pages 40 and 41 of our Annual Report to Shareholders for the year ended December 31, 2008 which information is hereby incorporated herein by reference.</w:t>
      </w:r>
    </w:p>
    <w:p>
      <w:pPr>
        <w:spacing w:after="0" w:line="117" w:lineRule="exact"/>
        <w:rPr>
          <w:sz w:val="20"/>
          <w:szCs w:val="20"/>
          <w:color w:val="auto"/>
        </w:rPr>
      </w:pPr>
    </w:p>
    <w:p>
      <w:pPr>
        <w:ind w:right="180" w:firstLine="370"/>
        <w:spacing w:after="0" w:line="249" w:lineRule="auto"/>
        <w:rPr>
          <w:sz w:val="20"/>
          <w:szCs w:val="20"/>
          <w:color w:val="auto"/>
        </w:rPr>
      </w:pPr>
      <w:r>
        <w:rPr>
          <w:rFonts w:ascii="Arial" w:cs="Arial" w:eastAsia="Arial" w:hAnsi="Arial"/>
          <w:sz w:val="14"/>
          <w:szCs w:val="14"/>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PART III</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1"/>
          <w:szCs w:val="11"/>
          <w:b w:val="1"/>
          <w:bCs w:val="1"/>
          <w:color w:val="auto"/>
        </w:rPr>
        <w:t>Directors and Executive Officers of the Registrant</w:t>
      </w:r>
    </w:p>
    <w:p>
      <w:pPr>
        <w:spacing w:after="0" w:line="151" w:lineRule="exact"/>
        <w:rPr>
          <w:sz w:val="20"/>
          <w:szCs w:val="20"/>
          <w:color w:val="auto"/>
        </w:rPr>
      </w:pPr>
    </w:p>
    <w:p>
      <w:pPr>
        <w:ind w:left="700" w:hanging="369"/>
        <w:spacing w:after="0"/>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Executive Officers. Reference is made to “Executive Officers of Manpower” in Part I after Item 4.</w:t>
      </w:r>
    </w:p>
    <w:p>
      <w:pPr>
        <w:spacing w:after="0" w:line="147" w:lineRule="exact"/>
        <w:rPr>
          <w:rFonts w:ascii="Arial" w:cs="Arial" w:eastAsia="Arial" w:hAnsi="Arial"/>
          <w:sz w:val="14"/>
          <w:szCs w:val="14"/>
          <w:color w:val="auto"/>
        </w:rPr>
      </w:pPr>
    </w:p>
    <w:p>
      <w:pPr>
        <w:ind w:left="700" w:right="80" w:hanging="369"/>
        <w:spacing w:after="0" w:line="249" w:lineRule="auto"/>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Directors. The information required by this Item is set forth in our Proxy Statement for the Annual Meeting of Shareholders to be held on April 28, 2009 under the caption “Election of Directors,” which information is hereby incorporated herein by reference.</w:t>
      </w:r>
    </w:p>
    <w:p>
      <w:pPr>
        <w:spacing w:after="0" w:line="128" w:lineRule="exact"/>
        <w:rPr>
          <w:rFonts w:ascii="Arial" w:cs="Arial" w:eastAsia="Arial" w:hAnsi="Arial"/>
          <w:sz w:val="14"/>
          <w:szCs w:val="14"/>
          <w:color w:val="auto"/>
        </w:rPr>
      </w:pPr>
    </w:p>
    <w:p>
      <w:pPr>
        <w:ind w:left="700" w:right="20" w:hanging="369"/>
        <w:spacing w:after="0" w:line="249" w:lineRule="auto"/>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board of directors has determined that Edward J. Zore, chairman of the audit committee, is an “audit committee financial expert.” Mr. Zore is “independent” as that term is used in Item 7(d)(3) (iv) of Schedule 14A under the Securities Exchange Act of 1934.</w:t>
      </w:r>
    </w:p>
    <w:p>
      <w:pPr>
        <w:spacing w:after="0" w:line="128" w:lineRule="exact"/>
        <w:rPr>
          <w:rFonts w:ascii="Arial" w:cs="Arial" w:eastAsia="Arial" w:hAnsi="Arial"/>
          <w:sz w:val="14"/>
          <w:szCs w:val="14"/>
          <w:color w:val="auto"/>
        </w:rPr>
      </w:pPr>
    </w:p>
    <w:p>
      <w:pPr>
        <w:ind w:left="700" w:right="120" w:hanging="369"/>
        <w:spacing w:after="0" w:line="249" w:lineRule="auto"/>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Audit Committee. The information required by this Item is set forth in our Proxy Statement for the Annual Meeting of Shareholders to be held on April 28, 2009 under the caption “Meetings and Committees of the Board,” which information is hereby incorporated herein by reference.</w:t>
      </w:r>
    </w:p>
    <w:p>
      <w:pPr>
        <w:spacing w:after="0" w:line="128" w:lineRule="exact"/>
        <w:rPr>
          <w:rFonts w:ascii="Arial" w:cs="Arial" w:eastAsia="Arial" w:hAnsi="Arial"/>
          <w:sz w:val="14"/>
          <w:szCs w:val="14"/>
          <w:color w:val="auto"/>
        </w:rPr>
      </w:pPr>
    </w:p>
    <w:p>
      <w:pPr>
        <w:ind w:left="700" w:right="140" w:hanging="369"/>
        <w:spacing w:after="0" w:line="249" w:lineRule="auto"/>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Section 16 Compliance. The information required by this Item is set forth in our Proxy Statement for the Annual Meeting of Shareholders to be held on April 28, 2009 under the caption “Section 16(a) Beneficial Ownership Reporting Compliance,” which information is hereby incorporated herein by reference.</w:t>
      </w:r>
    </w:p>
    <w:p>
      <w:pPr>
        <w:spacing w:after="0" w:line="128" w:lineRule="exact"/>
        <w:rPr>
          <w:rFonts w:ascii="Arial" w:cs="Arial" w:eastAsia="Arial" w:hAnsi="Arial"/>
          <w:sz w:val="14"/>
          <w:szCs w:val="14"/>
          <w:color w:val="auto"/>
        </w:rPr>
      </w:pPr>
    </w:p>
    <w:p>
      <w:pPr>
        <w:ind w:left="700" w:right="480" w:hanging="369"/>
        <w:spacing w:after="0" w:line="249" w:lineRule="auto"/>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www.manpower.com.</w:t>
      </w:r>
    </w:p>
    <w:p>
      <w:pPr>
        <w:spacing w:after="0" w:line="124"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1"/>
          <w:szCs w:val="11"/>
          <w:b w:val="1"/>
          <w:bCs w:val="1"/>
          <w:color w:val="auto"/>
        </w:rPr>
        <w:t>Executive Compensation</w:t>
      </w:r>
    </w:p>
    <w:p>
      <w:pPr>
        <w:spacing w:after="0" w:line="151" w:lineRule="exact"/>
        <w:rPr>
          <w:sz w:val="20"/>
          <w:szCs w:val="20"/>
          <w:color w:val="auto"/>
        </w:rPr>
      </w:pPr>
    </w:p>
    <w:p>
      <w:pPr>
        <w:ind w:firstLine="370"/>
        <w:spacing w:after="0" w:line="239" w:lineRule="auto"/>
        <w:rPr>
          <w:sz w:val="20"/>
          <w:szCs w:val="20"/>
          <w:color w:val="auto"/>
        </w:rPr>
      </w:pPr>
      <w:r>
        <w:rPr>
          <w:rFonts w:ascii="Arial" w:cs="Arial" w:eastAsia="Arial" w:hAnsi="Arial"/>
          <w:sz w:val="14"/>
          <w:szCs w:val="14"/>
          <w:color w:val="auto"/>
        </w:rPr>
        <w:t>The information required by this Item is set forth in our Proxy Statement for the Annual Meeting of Shareholders to be held on April 28, 2009, under the caption “Executive and Director Compensation”; under the caption “Executive Compensation Committee Interlocks and Insider Participation”; and under the caption “Report of the Executive Compensation Committee of the Board of Directors,” which information is hereby incorporated herein by reference.</w:t>
      </w:r>
    </w:p>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Shareholder Matters</w:t>
      </w:r>
    </w:p>
    <w:p>
      <w:pPr>
        <w:spacing w:after="0" w:line="151" w:lineRule="exact"/>
        <w:rPr>
          <w:sz w:val="20"/>
          <w:szCs w:val="20"/>
          <w:color w:val="auto"/>
        </w:rPr>
      </w:pPr>
    </w:p>
    <w:p>
      <w:pPr>
        <w:jc w:val="both"/>
        <w:ind w:right="520" w:firstLine="370"/>
        <w:spacing w:after="0" w:line="239" w:lineRule="auto"/>
        <w:rPr>
          <w:sz w:val="20"/>
          <w:szCs w:val="20"/>
          <w:color w:val="auto"/>
        </w:rPr>
      </w:pPr>
      <w:r>
        <w:rPr>
          <w:rFonts w:ascii="Arial" w:cs="Arial" w:eastAsia="Arial" w:hAnsi="Arial"/>
          <w:sz w:val="14"/>
          <w:szCs w:val="14"/>
          <w:color w:val="auto"/>
        </w:rPr>
        <w:t>The information required by this Item is set forth in our Proxy Statement for the Annual Meeting of Shareholders to be held on April 28, 2009, under the caption “Security Ownership of Certain Beneficial Owners” and under the caption “Security Ownership of Management”; and under the caption “Equity Compensation Plan Information,” which information is hereby incorporated herein by reference.</w:t>
      </w:r>
    </w:p>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1"/>
          <w:szCs w:val="11"/>
          <w:b w:val="1"/>
          <w:bCs w:val="1"/>
          <w:color w:val="auto"/>
        </w:rPr>
        <w:t>Certain Relationships and Related Transactions, and Director Independence</w:t>
      </w:r>
    </w:p>
    <w:p>
      <w:pPr>
        <w:spacing w:after="0" w:line="151" w:lineRule="exact"/>
        <w:rPr>
          <w:sz w:val="20"/>
          <w:szCs w:val="20"/>
          <w:color w:val="auto"/>
        </w:rPr>
      </w:pPr>
    </w:p>
    <w:p>
      <w:pPr>
        <w:ind w:right="400" w:firstLine="370"/>
        <w:spacing w:after="0" w:line="249" w:lineRule="auto"/>
        <w:rPr>
          <w:sz w:val="20"/>
          <w:szCs w:val="20"/>
          <w:color w:val="auto"/>
        </w:rPr>
      </w:pPr>
      <w:r>
        <w:rPr>
          <w:rFonts w:ascii="Arial" w:cs="Arial" w:eastAsia="Arial" w:hAnsi="Arial"/>
          <w:sz w:val="14"/>
          <w:szCs w:val="14"/>
          <w:color w:val="auto"/>
        </w:rPr>
        <w:t>The information required by this Item is set forth in our Proxy Statement for the Annual Meeting of Shareholders to be held on April 28, 2009, under the caption “Meetings and Committees of the Board,” which information is hereby incorporated herein by reference.</w:t>
      </w:r>
    </w:p>
    <w:p>
      <w:pPr>
        <w:spacing w:after="0" w:line="124"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151" w:lineRule="exact"/>
        <w:rPr>
          <w:sz w:val="20"/>
          <w:szCs w:val="20"/>
          <w:color w:val="auto"/>
        </w:rPr>
      </w:pPr>
    </w:p>
    <w:p>
      <w:pPr>
        <w:ind w:right="360" w:firstLine="370"/>
        <w:spacing w:after="0" w:line="249" w:lineRule="auto"/>
        <w:rPr>
          <w:sz w:val="20"/>
          <w:szCs w:val="20"/>
          <w:color w:val="auto"/>
        </w:rPr>
      </w:pPr>
      <w:r>
        <w:rPr>
          <w:rFonts w:ascii="Arial" w:cs="Arial" w:eastAsia="Arial" w:hAnsi="Arial"/>
          <w:sz w:val="14"/>
          <w:szCs w:val="14"/>
          <w:color w:val="auto"/>
        </w:rPr>
        <w:t>The information required by this Item is set forth in our Proxy Statement for the Annual Meeting of Shareholders to be held on April 28, 2009, under the caption “Audit Committee Report,” which information is hereby incorporated herein by reference.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wp:posOffset>
            </wp:positionV>
            <wp:extent cx="728535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3" w:right="219" w:bottom="1440" w:gutter="0" w:footer="0" w:header="0"/>
        </w:sectPr>
      </w:pPr>
    </w:p>
    <w:bookmarkStart w:id="27" w:name="page28"/>
    <w:bookmarkEnd w:id="27"/>
    <w:p>
      <w:pPr>
        <w:ind w:left="5460"/>
        <w:spacing w:after="0"/>
        <w:rPr>
          <w:sz w:val="20"/>
          <w:szCs w:val="20"/>
          <w:color w:val="auto"/>
        </w:rPr>
      </w:pPr>
      <w:r>
        <w:rPr>
          <w:rFonts w:ascii="Arial" w:cs="Arial" w:eastAsia="Arial" w:hAnsi="Arial"/>
          <w:sz w:val="14"/>
          <w:szCs w:val="14"/>
          <w:b w:val="1"/>
          <w:bCs w:val="1"/>
          <w:color w:val="auto"/>
        </w:rPr>
        <w:t>PART IV</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1"/>
          <w:szCs w:val="11"/>
          <w:b w:val="1"/>
          <w:bCs w:val="1"/>
          <w:color w:val="auto"/>
        </w:rPr>
        <w:t>Exhibits and Financial Statement Schedules.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(a)(1)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Consolidated Financial Statements (data incorporated by reference from the attached Annual Report to Shareholders):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Reports of Independent Registered Public Accounting Firm</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Consolidated Statements of Operations for the years ended December 31, 2008, 2007 and 2006</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Consolidated Balance Sheets as of December 31, 2008, 2007 and 2006</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Consolidated Statements of Cash Flows for the years ended December 31, 2008, 2007 and 2006</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1"/>
          <w:szCs w:val="11"/>
          <w:color w:val="auto"/>
        </w:rPr>
        <w:t>Consolidated Statements of Shareholders Equity for the years ended December 31, 2008, 2007 and 2006</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Notes to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(a)(2) Financial Statement Schedule.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Report of Independent Registered Public Accounting Firm on Financial Statement Schedule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SCHEDULE II—Valuation and Qualifying Accounts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(a)(3) Exhibits.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(c)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Page Number(s)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Annual Report</w:t>
      </w:r>
    </w:p>
    <w:p>
      <w:pPr>
        <w:ind w:left="40"/>
        <w:spacing w:after="0"/>
        <w:rPr>
          <w:sz w:val="20"/>
          <w:szCs w:val="20"/>
          <w:color w:val="auto"/>
        </w:rPr>
      </w:pPr>
      <w:r>
        <w:rPr>
          <w:rFonts w:ascii="Arial" w:cs="Arial" w:eastAsia="Arial" w:hAnsi="Arial"/>
          <w:sz w:val="11"/>
          <w:szCs w:val="11"/>
          <w:b w:val="1"/>
          <w:bCs w:val="1"/>
          <w:color w:val="auto"/>
        </w:rPr>
        <w:t>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1270</wp:posOffset>
            </wp:positionV>
            <wp:extent cx="66548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5480" cy="13335"/>
                    </a:xfrm>
                    <a:prstGeom prst="rect">
                      <a:avLst/>
                    </a:prstGeom>
                    <a:noFill/>
                  </pic:spPr>
                </pic:pic>
              </a:graphicData>
            </a:graphic>
          </wp:anchor>
        </w:drawing>
      </w:r>
    </w:p>
    <w:p>
      <w:pPr>
        <w:spacing w:after="0" w:line="331"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auto"/>
        </w:rPr>
        <w:t>40-41</w:t>
      </w:r>
    </w:p>
    <w:p>
      <w:pPr>
        <w:spacing w:after="0" w:line="168"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auto"/>
        </w:rPr>
        <w:t>42</w:t>
      </w:r>
    </w:p>
    <w:p>
      <w:pPr>
        <w:spacing w:after="0" w:line="168"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auto"/>
        </w:rPr>
        <w:t>43</w:t>
      </w:r>
    </w:p>
    <w:p>
      <w:pPr>
        <w:spacing w:after="0" w:line="168"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auto"/>
        </w:rPr>
        <w:t>44</w:t>
      </w:r>
    </w:p>
    <w:p>
      <w:pPr>
        <w:spacing w:after="0" w:line="168"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auto"/>
        </w:rPr>
        <w:t>45</w:t>
      </w:r>
    </w:p>
    <w:p>
      <w:pPr>
        <w:spacing w:after="0" w:line="168" w:lineRule="exact"/>
        <w:rPr>
          <w:sz w:val="20"/>
          <w:szCs w:val="20"/>
          <w:color w:val="auto"/>
        </w:rPr>
      </w:pPr>
    </w:p>
    <w:p>
      <w:pPr>
        <w:jc w:val="right"/>
        <w:ind w:right="560"/>
        <w:spacing w:after="0"/>
        <w:rPr>
          <w:sz w:val="20"/>
          <w:szCs w:val="20"/>
          <w:color w:val="auto"/>
        </w:rPr>
      </w:pPr>
      <w:r>
        <w:rPr>
          <w:rFonts w:ascii="Arial" w:cs="Arial" w:eastAsia="Arial" w:hAnsi="Arial"/>
          <w:sz w:val="14"/>
          <w:szCs w:val="14"/>
          <w:color w:val="auto"/>
        </w:rPr>
        <w:t>46-71</w:t>
      </w:r>
    </w:p>
    <w:p>
      <w:pPr>
        <w:spacing w:after="0" w:line="1719" w:lineRule="exact"/>
        <w:rPr>
          <w:sz w:val="20"/>
          <w:szCs w:val="20"/>
          <w:color w:val="auto"/>
        </w:rPr>
      </w:pPr>
    </w:p>
    <w:p>
      <w:pPr>
        <w:sectPr>
          <w:pgSz w:w="11900" w:h="16838" w:orient="portrait"/>
          <w:cols w:equalWidth="0" w:num="2">
            <w:col w:w="8800" w:space="720"/>
            <w:col w:w="1500"/>
          </w:cols>
          <w:pgMar w:left="220" w:top="433" w:right="659" w:bottom="1440" w:gutter="0" w:footer="0" w:header="0"/>
        </w:sectPr>
      </w:pPr>
    </w:p>
    <w:p>
      <w:pPr>
        <w:ind w:firstLine="411"/>
        <w:spacing w:after="0" w:line="336" w:lineRule="auto"/>
        <w:rPr>
          <w:sz w:val="20"/>
          <w:szCs w:val="20"/>
          <w:color w:val="auto"/>
        </w:rPr>
      </w:pPr>
      <w:r>
        <w:rPr>
          <w:rFonts w:ascii="Arial" w:cs="Arial" w:eastAsia="Arial" w:hAnsi="Arial"/>
          <w:sz w:val="13"/>
          <w:szCs w:val="13"/>
          <w:color w:val="auto"/>
        </w:rPr>
        <w:t>Pursuant to Regulation S-K, Item 601(b)(4)(iii), Manpower hereby agrees to furnish to the Commission, upon request, a copy of each instrument and agreement with respect to long-term debt of Manpower and its consolidated subsidiaries which does not exceed 10 percent of the total assets of Manpower and its subsidiaries on a consolidated basis.</w:t>
      </w:r>
    </w:p>
    <w:p>
      <w:pPr>
        <w:spacing w:after="0" w:line="352"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020"/>
          </w:cols>
          <w:pgMar w:left="220" w:top="433" w:right="659" w:bottom="1440" w:gutter="0" w:footer="0" w:header="0"/>
          <w:type w:val="continuous"/>
        </w:sectPr>
      </w:pPr>
    </w:p>
    <w:bookmarkStart w:id="28" w:name="page29"/>
    <w:bookmarkEnd w:id="28"/>
    <w:p>
      <w:pPr>
        <w:ind w:left="660"/>
        <w:spacing w:after="0"/>
        <w:rPr>
          <w:sz w:val="20"/>
          <w:szCs w:val="20"/>
          <w:color w:val="auto"/>
        </w:rPr>
      </w:pPr>
      <w:r>
        <w:rPr>
          <w:rFonts w:ascii="Arial" w:cs="Arial" w:eastAsia="Arial" w:hAnsi="Arial"/>
          <w:sz w:val="14"/>
          <w:szCs w:val="14"/>
          <w:color w:val="auto"/>
        </w:rPr>
        <w:t>(c) Exhibits.</w:t>
      </w:r>
    </w:p>
    <w:p>
      <w:pPr>
        <w:spacing w:after="0" w:line="127" w:lineRule="exact"/>
        <w:rPr>
          <w:sz w:val="20"/>
          <w:szCs w:val="20"/>
          <w:color w:val="auto"/>
        </w:rPr>
      </w:pPr>
    </w:p>
    <w:p>
      <w:pPr>
        <w:ind w:left="80"/>
        <w:spacing w:after="0"/>
        <w:tabs>
          <w:tab w:leader="none" w:pos="6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1"/>
          <w:szCs w:val="11"/>
          <w:color w:val="auto"/>
        </w:rPr>
        <w:t>Articles of Incorporation of Manpower Inc. incorporated by reference to Annex C of the Prospectus, which is contained in Amendment No. 1 to Form S-4 (Registration No. 33-38684).</w:t>
      </w:r>
    </w:p>
    <w:p>
      <w:pPr>
        <w:spacing w:after="0" w:line="157" w:lineRule="exact"/>
        <w:rPr>
          <w:sz w:val="20"/>
          <w:szCs w:val="20"/>
          <w:color w:val="auto"/>
        </w:rPr>
      </w:pPr>
    </w:p>
    <w:p>
      <w:pPr>
        <w:ind w:left="80"/>
        <w:spacing w:after="0"/>
        <w:tabs>
          <w:tab w:leader="none" w:pos="6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1"/>
          <w:szCs w:val="11"/>
          <w:color w:val="auto"/>
        </w:rPr>
        <w:t>Amendment of Amended and Restated Articles of Incorporation of Manpower Inc., incorporated by reference to the Company’s Quarterly Report on Form 10-Q for the quarter ended June 30, 2001.</w:t>
      </w:r>
    </w:p>
    <w:p>
      <w:pPr>
        <w:spacing w:after="0" w:line="157" w:lineRule="exact"/>
        <w:rPr>
          <w:sz w:val="20"/>
          <w:szCs w:val="20"/>
          <w:color w:val="auto"/>
        </w:rPr>
      </w:pPr>
    </w:p>
    <w:p>
      <w:pPr>
        <w:ind w:left="80"/>
        <w:spacing w:after="0"/>
        <w:tabs>
          <w:tab w:leader="none" w:pos="6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1"/>
          <w:szCs w:val="11"/>
          <w:color w:val="auto"/>
        </w:rPr>
        <w:t>Amended and Restated By-laws of Manpower Inc., incorporated by reference to the Company’s Quarterly Report on Form 10-Q for the quarter ended June 30, 2004.</w:t>
      </w:r>
    </w:p>
    <w:p>
      <w:pPr>
        <w:spacing w:after="0" w:line="157" w:lineRule="exact"/>
        <w:rPr>
          <w:sz w:val="20"/>
          <w:szCs w:val="20"/>
          <w:color w:val="auto"/>
        </w:rPr>
      </w:pPr>
    </w:p>
    <w:p>
      <w:pPr>
        <w:ind w:left="640" w:right="20" w:hanging="578"/>
        <w:spacing w:after="0" w:line="239" w:lineRule="auto"/>
        <w:tabs>
          <w:tab w:leader="none" w:pos="6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Fiscal and Paying Agency Agreement between Manpower Inc. and Citibank, N.A. as Fiscal Agent, Principal Paying Agent, Registrar and Transfer Agent and Citibank International PLC as Irish Paying Agent, dated as of June 1, 2005 (including the forms of Rule 144A Global Note and Regulation S Global Note, attached thereto as Exhibits A and B, respectively), incorporated by reference to the Company’s Quarterly Report on Form 10-Q for the quarter ended June 30, 2005.</w:t>
      </w:r>
    </w:p>
    <w:p>
      <w:pPr>
        <w:spacing w:after="0" w:line="146" w:lineRule="exact"/>
        <w:rPr>
          <w:sz w:val="20"/>
          <w:szCs w:val="20"/>
          <w:color w:val="auto"/>
        </w:rPr>
      </w:pPr>
    </w:p>
    <w:p>
      <w:pPr>
        <w:jc w:val="both"/>
        <w:ind w:left="640" w:right="220" w:hanging="578"/>
        <w:spacing w:after="0" w:line="239" w:lineRule="auto"/>
        <w:tabs>
          <w:tab w:leader="none" w:pos="6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Fiscal and Paying Agency Agreement between Manpower Inc. and Citibank, N.A. as Fiscal Agent, Principal Paying Agent, Registrar and Transfer Agent and Citibank International PLC as Irish Paying Agent, dated as of June 14, 2006 (including the form of Note attached thereto as Schedule 1), incorporated by reference to the Company’s Quarterly Report on Form 10-Q for the quarter ended June 30, 2006.</w:t>
      </w:r>
    </w:p>
    <w:p>
      <w:pPr>
        <w:spacing w:after="0" w:line="146" w:lineRule="exact"/>
        <w:rPr>
          <w:sz w:val="20"/>
          <w:szCs w:val="20"/>
          <w:color w:val="auto"/>
        </w:rPr>
      </w:pPr>
    </w:p>
    <w:p>
      <w:pPr>
        <w:ind w:left="640" w:right="260" w:hanging="646"/>
        <w:spacing w:after="0" w:line="249" w:lineRule="auto"/>
        <w:tabs>
          <w:tab w:leader="none" w:pos="62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Amended and Restated Manpower Inc. Senior Management Performance-Based Deferred Compensation Plan, incorporated by reference to the Company’s Annual Report on Form 10-K for the year ended December 31, 2005. **</w:t>
      </w:r>
    </w:p>
    <w:p>
      <w:pPr>
        <w:spacing w:after="0" w:line="138" w:lineRule="exact"/>
        <w:rPr>
          <w:sz w:val="20"/>
          <w:szCs w:val="20"/>
          <w:color w:val="auto"/>
        </w:rPr>
      </w:pPr>
    </w:p>
    <w:p>
      <w:pPr>
        <w:ind w:left="640" w:right="260" w:hanging="646"/>
        <w:spacing w:after="0" w:line="249" w:lineRule="auto"/>
        <w:tabs>
          <w:tab w:leader="none" w:pos="620" w:val="left"/>
        </w:tabs>
        <w:rPr>
          <w:sz w:val="20"/>
          <w:szCs w:val="20"/>
          <w:color w:val="auto"/>
        </w:rPr>
      </w:pPr>
      <w:r>
        <w:rPr>
          <w:rFonts w:ascii="Arial" w:cs="Arial" w:eastAsia="Arial" w:hAnsi="Arial"/>
          <w:sz w:val="14"/>
          <w:szCs w:val="14"/>
          <w:color w:val="auto"/>
        </w:rPr>
        <w:t>10.2(a)</w:t>
      </w:r>
      <w:r>
        <w:rPr>
          <w:sz w:val="20"/>
          <w:szCs w:val="20"/>
          <w:color w:val="auto"/>
        </w:rPr>
        <w:tab/>
      </w:r>
      <w:r>
        <w:rPr>
          <w:rFonts w:ascii="Arial" w:cs="Arial" w:eastAsia="Arial" w:hAnsi="Arial"/>
          <w:sz w:val="14"/>
          <w:szCs w:val="14"/>
          <w:color w:val="auto"/>
        </w:rPr>
        <w:t>Five-Year Credit Agreement dated as of October 8, 2004 among Manpower Inc., the initial lenders named therein, Citibank N.A., Wachovia Bank, BNP Paribas, Bank One N.A., and The Royal Bank of Scotland, incorporated by reference to the Company’s Current Report on Form 8-K dated October 14, 2004.</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10.2(b)</w:t>
      </w:r>
      <w:r>
        <w:rPr>
          <w:sz w:val="20"/>
          <w:szCs w:val="20"/>
          <w:color w:val="auto"/>
        </w:rPr>
        <w:tab/>
      </w:r>
      <w:r>
        <w:rPr>
          <w:rFonts w:ascii="Arial" w:cs="Arial" w:eastAsia="Arial" w:hAnsi="Arial"/>
          <w:sz w:val="11"/>
          <w:szCs w:val="11"/>
          <w:color w:val="auto"/>
        </w:rPr>
        <w:t>Amendment to Five-Year Credit Agreement dated as of March 14, 2005, incorporated by reference to the Company’s Quarterly Report on Form 10-Q for the quarter ended March 31, 2005.</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10.2(c)</w:t>
      </w:r>
      <w:r>
        <w:rPr>
          <w:sz w:val="20"/>
          <w:szCs w:val="20"/>
          <w:color w:val="auto"/>
        </w:rPr>
        <w:tab/>
      </w:r>
      <w:r>
        <w:rPr>
          <w:rFonts w:ascii="Arial" w:cs="Arial" w:eastAsia="Arial" w:hAnsi="Arial"/>
          <w:sz w:val="11"/>
          <w:szCs w:val="11"/>
          <w:color w:val="auto"/>
        </w:rPr>
        <w:t>Amendment No. 2 to the Credit Agreement dated as of January 10, 2006, incorporated by reference to the Company’s Annual Report on Form 10-K for the fiscal year ended December 31, 2005.</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10.2(d)</w:t>
      </w:r>
      <w:r>
        <w:rPr>
          <w:sz w:val="20"/>
          <w:szCs w:val="20"/>
          <w:color w:val="auto"/>
        </w:rPr>
        <w:tab/>
      </w:r>
      <w:r>
        <w:rPr>
          <w:rFonts w:ascii="Arial" w:cs="Arial" w:eastAsia="Arial" w:hAnsi="Arial"/>
          <w:sz w:val="11"/>
          <w:szCs w:val="11"/>
          <w:color w:val="auto"/>
        </w:rPr>
        <w:t>Amendment No. 3 to the Credit Agreement dated as of November 16, 2007, incorporated by reference to the Company’s Annual Report on Form 10-K for the fiscal year ended December 31, 2007.</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1"/>
          <w:szCs w:val="11"/>
          <w:color w:val="auto"/>
        </w:rPr>
        <w:t>Amended and Restated Manpower 1991 Executive Stock Option and Restricted Stock Plan, incorporated by reference to Form 10-Q of Manpower Inc. dated September 30, 1996. **</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1"/>
          <w:szCs w:val="11"/>
          <w:color w:val="auto"/>
        </w:rPr>
        <w:t>Manpower Savings Related Share Option Scheme, incorporated by reference to Amendment No. 1 to the Company’s Registration Statement on Form S-4 (Registration No. 33-38684). **</w:t>
      </w:r>
    </w:p>
    <w:p>
      <w:pPr>
        <w:spacing w:after="0" w:line="157" w:lineRule="exact"/>
        <w:rPr>
          <w:sz w:val="20"/>
          <w:szCs w:val="20"/>
          <w:color w:val="auto"/>
        </w:rPr>
      </w:pPr>
    </w:p>
    <w:p>
      <w:pPr>
        <w:ind w:left="640" w:right="360" w:hanging="646"/>
        <w:spacing w:after="0" w:line="249" w:lineRule="auto"/>
        <w:tabs>
          <w:tab w:leader="none" w:pos="62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color w:val="auto"/>
        </w:rPr>
        <w:t>Manpower 1990 Employee Stock Purchase Plan (Amended and Restated effective April 26, 2005), incorporated by reference to the Company’s Quarterly Report on Form 10-Q for the quarter ended March 31, 2005.</w:t>
      </w:r>
    </w:p>
    <w:p>
      <w:pPr>
        <w:spacing w:after="0" w:line="138" w:lineRule="exact"/>
        <w:rPr>
          <w:sz w:val="20"/>
          <w:szCs w:val="20"/>
          <w:color w:val="auto"/>
        </w:rPr>
      </w:pPr>
    </w:p>
    <w:p>
      <w:pPr>
        <w:ind w:left="640" w:right="20" w:hanging="646"/>
        <w:spacing w:after="0" w:line="249" w:lineRule="auto"/>
        <w:tabs>
          <w:tab w:leader="none" w:pos="62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Manpower Retirement Plan, as amended and restated effective as of March 1, 1989, incorporated by reference to Form 10-K of Manpower PLC, SEC File No. 0-9890, filed for the fiscal year ended October 31, 1989. **</w:t>
      </w:r>
    </w:p>
    <w:p>
      <w:pPr>
        <w:spacing w:after="0" w:line="138" w:lineRule="exact"/>
        <w:rPr>
          <w:sz w:val="20"/>
          <w:szCs w:val="20"/>
          <w:color w:val="auto"/>
        </w:rPr>
      </w:pPr>
    </w:p>
    <w:p>
      <w:pPr>
        <w:ind w:left="640" w:right="20" w:hanging="646"/>
        <w:spacing w:after="0" w:line="249" w:lineRule="auto"/>
        <w:tabs>
          <w:tab w:leader="none" w:pos="62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1994 Executive Stock Option and Restricted Stock Plan of Manpower Inc. (Amended and Restated October 29, 2002), incorporated by reference to the Company’s Annual Report on Form 10-K for the fiscal year ended December 31, 2002. **</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242" w:right="219" w:bottom="1440" w:gutter="0" w:footer="0" w:header="0"/>
        </w:sectPr>
      </w:pPr>
    </w:p>
    <w:bookmarkStart w:id="29" w:name="page30"/>
    <w:bookmarkEnd w:id="29"/>
    <w:p>
      <w:pPr>
        <w:spacing w:after="0"/>
        <w:tabs>
          <w:tab w:leader="none" w:pos="68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1"/>
          <w:szCs w:val="11"/>
          <w:color w:val="auto"/>
        </w:rPr>
        <w:t>Manpower Inc. 2007 Corporate Senior Management Incentive Program dated as of May 2, 2007, incorporated by reference to the Company’s Current Report on Form 8-K dated May 2, 2007. **</w:t>
      </w:r>
    </w:p>
    <w:p>
      <w:pPr>
        <w:spacing w:after="0" w:line="157" w:lineRule="exact"/>
        <w:rPr>
          <w:sz w:val="20"/>
          <w:szCs w:val="20"/>
          <w:color w:val="auto"/>
        </w:rPr>
      </w:pPr>
    </w:p>
    <w:p>
      <w:pPr>
        <w:ind w:left="700" w:hanging="687"/>
        <w:spacing w:after="0" w:line="249" w:lineRule="auto"/>
        <w:tabs>
          <w:tab w:leader="none" w:pos="680" w:val="left"/>
        </w:tabs>
        <w:rPr>
          <w:sz w:val="20"/>
          <w:szCs w:val="20"/>
          <w:color w:val="auto"/>
        </w:rPr>
      </w:pPr>
      <w:r>
        <w:rPr>
          <w:rFonts w:ascii="Arial" w:cs="Arial" w:eastAsia="Arial" w:hAnsi="Arial"/>
          <w:sz w:val="14"/>
          <w:szCs w:val="14"/>
          <w:color w:val="auto"/>
        </w:rPr>
        <w:t>10.9(a)</w:t>
      </w:r>
      <w:r>
        <w:rPr>
          <w:sz w:val="20"/>
          <w:szCs w:val="20"/>
          <w:color w:val="auto"/>
        </w:rPr>
        <w:tab/>
      </w:r>
      <w:r>
        <w:rPr>
          <w:rFonts w:ascii="Arial" w:cs="Arial" w:eastAsia="Arial" w:hAnsi="Arial"/>
          <w:sz w:val="14"/>
          <w:szCs w:val="14"/>
          <w:color w:val="auto"/>
        </w:rPr>
        <w:t>Employment Agreement between Jeffrey A. Joerres and Manpower Inc. dated as of February 20, 2008, incorporated by reference to the Company’s Annual Report on Form 10-K for the fiscal year ended December 31, 2007. **</w:t>
      </w:r>
    </w:p>
    <w:p>
      <w:pPr>
        <w:spacing w:after="0" w:line="138" w:lineRule="exact"/>
        <w:rPr>
          <w:sz w:val="20"/>
          <w:szCs w:val="20"/>
          <w:color w:val="auto"/>
        </w:rPr>
      </w:pPr>
    </w:p>
    <w:p>
      <w:pPr>
        <w:ind w:left="700" w:right="140" w:hanging="687"/>
        <w:spacing w:after="0" w:line="249" w:lineRule="auto"/>
        <w:tabs>
          <w:tab w:leader="none" w:pos="680" w:val="left"/>
        </w:tabs>
        <w:rPr>
          <w:sz w:val="20"/>
          <w:szCs w:val="20"/>
          <w:color w:val="auto"/>
        </w:rPr>
      </w:pPr>
      <w:r>
        <w:rPr>
          <w:rFonts w:ascii="Arial" w:cs="Arial" w:eastAsia="Arial" w:hAnsi="Arial"/>
          <w:sz w:val="14"/>
          <w:szCs w:val="14"/>
          <w:color w:val="auto"/>
        </w:rPr>
        <w:t>10.9(b)</w:t>
      </w:r>
      <w:r>
        <w:rPr>
          <w:sz w:val="20"/>
          <w:szCs w:val="20"/>
          <w:color w:val="auto"/>
        </w:rPr>
        <w:tab/>
      </w:r>
      <w:r>
        <w:rPr>
          <w:rFonts w:ascii="Arial" w:cs="Arial" w:eastAsia="Arial" w:hAnsi="Arial"/>
          <w:sz w:val="14"/>
          <w:szCs w:val="14"/>
          <w:color w:val="auto"/>
        </w:rPr>
        <w:t>Severance Agreement between Jeffrey A. Joerres and Manpower Inc. dated as of February 20, 2008, incorporated by reference to the Company’s Annual Report on Form 10-K for the fiscal year ended December 31, 2007. **</w:t>
      </w:r>
    </w:p>
    <w:p>
      <w:pPr>
        <w:spacing w:after="0" w:line="138" w:lineRule="exact"/>
        <w:rPr>
          <w:sz w:val="20"/>
          <w:szCs w:val="20"/>
          <w:color w:val="auto"/>
        </w:rPr>
      </w:pPr>
    </w:p>
    <w:p>
      <w:pPr>
        <w:ind w:left="700" w:hanging="687"/>
        <w:spacing w:after="0" w:line="249" w:lineRule="auto"/>
        <w:tabs>
          <w:tab w:leader="none" w:pos="680" w:val="left"/>
        </w:tabs>
        <w:rPr>
          <w:sz w:val="20"/>
          <w:szCs w:val="20"/>
          <w:color w:val="auto"/>
        </w:rPr>
      </w:pPr>
      <w:r>
        <w:rPr>
          <w:rFonts w:ascii="Arial" w:cs="Arial" w:eastAsia="Arial" w:hAnsi="Arial"/>
          <w:sz w:val="14"/>
          <w:szCs w:val="14"/>
          <w:color w:val="auto"/>
        </w:rPr>
        <w:t>10.10(a)</w:t>
      </w:r>
      <w:r>
        <w:rPr>
          <w:sz w:val="20"/>
          <w:szCs w:val="20"/>
          <w:color w:val="auto"/>
        </w:rPr>
        <w:tab/>
      </w:r>
      <w:r>
        <w:rPr>
          <w:rFonts w:ascii="Arial" w:cs="Arial" w:eastAsia="Arial" w:hAnsi="Arial"/>
          <w:sz w:val="14"/>
          <w:szCs w:val="14"/>
          <w:color w:val="auto"/>
        </w:rPr>
        <w:t>Employment Agreement between Michael J. Van Handel and Manpower Inc. dated as of February 20, 2008, incorporated by reference to the Company’s Annual Report on Form 10-K for the fiscal year ended December 31, 2007. **</w:t>
      </w:r>
    </w:p>
    <w:p>
      <w:pPr>
        <w:spacing w:after="0" w:line="138" w:lineRule="exact"/>
        <w:rPr>
          <w:sz w:val="20"/>
          <w:szCs w:val="20"/>
          <w:color w:val="auto"/>
        </w:rPr>
      </w:pPr>
    </w:p>
    <w:p>
      <w:pPr>
        <w:ind w:left="700" w:right="140" w:hanging="687"/>
        <w:spacing w:after="0" w:line="249" w:lineRule="auto"/>
        <w:tabs>
          <w:tab w:leader="none" w:pos="680" w:val="left"/>
        </w:tabs>
        <w:rPr>
          <w:sz w:val="20"/>
          <w:szCs w:val="20"/>
          <w:color w:val="auto"/>
        </w:rPr>
      </w:pPr>
      <w:r>
        <w:rPr>
          <w:rFonts w:ascii="Arial" w:cs="Arial" w:eastAsia="Arial" w:hAnsi="Arial"/>
          <w:sz w:val="14"/>
          <w:szCs w:val="14"/>
          <w:color w:val="auto"/>
        </w:rPr>
        <w:t>10.10(b)</w:t>
      </w:r>
      <w:r>
        <w:rPr>
          <w:sz w:val="20"/>
          <w:szCs w:val="20"/>
          <w:color w:val="auto"/>
        </w:rPr>
        <w:tab/>
      </w:r>
      <w:r>
        <w:rPr>
          <w:rFonts w:ascii="Arial" w:cs="Arial" w:eastAsia="Arial" w:hAnsi="Arial"/>
          <w:sz w:val="14"/>
          <w:szCs w:val="14"/>
          <w:color w:val="auto"/>
        </w:rPr>
        <w:t>Severance Agreement between Michael J. Van Handel and Manpower Inc. dated as of February 20, 2008, incorporated by reference to the Company’s Annual Report on Form 10-K for the fiscal year ended December 31, 2007. **</w:t>
      </w:r>
    </w:p>
    <w:p>
      <w:pPr>
        <w:spacing w:after="0" w:line="138" w:lineRule="exact"/>
        <w:rPr>
          <w:sz w:val="20"/>
          <w:szCs w:val="20"/>
          <w:color w:val="auto"/>
        </w:rPr>
      </w:pPr>
    </w:p>
    <w:p>
      <w:pPr>
        <w:ind w:left="700" w:right="20" w:hanging="687"/>
        <w:spacing w:after="0" w:line="249" w:lineRule="auto"/>
        <w:tabs>
          <w:tab w:leader="none" w:pos="680" w:val="left"/>
        </w:tabs>
        <w:rPr>
          <w:sz w:val="20"/>
          <w:szCs w:val="20"/>
          <w:color w:val="auto"/>
        </w:rPr>
      </w:pPr>
      <w:r>
        <w:rPr>
          <w:rFonts w:ascii="Arial" w:cs="Arial" w:eastAsia="Arial" w:hAnsi="Arial"/>
          <w:sz w:val="14"/>
          <w:szCs w:val="14"/>
          <w:color w:val="auto"/>
        </w:rPr>
        <w:t>10.11(a)</w:t>
      </w:r>
      <w:r>
        <w:rPr>
          <w:sz w:val="20"/>
          <w:szCs w:val="20"/>
          <w:color w:val="auto"/>
        </w:rPr>
        <w:tab/>
      </w:r>
      <w:r>
        <w:rPr>
          <w:rFonts w:ascii="Arial" w:cs="Arial" w:eastAsia="Arial" w:hAnsi="Arial"/>
          <w:sz w:val="14"/>
          <w:szCs w:val="14"/>
          <w:color w:val="auto"/>
        </w:rPr>
        <w:t>Assignment Agreement by and among Manpower Inc., Manpower Holdings Limited and Barbara Beck dated as of December 20, 2005, incorporated by reference to the Company’s Current Report on Form 8-K dated December 20, 2005. **</w:t>
      </w:r>
    </w:p>
    <w:p>
      <w:pPr>
        <w:spacing w:after="0" w:line="138"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10.11(b)</w:t>
      </w:r>
      <w:r>
        <w:rPr>
          <w:sz w:val="20"/>
          <w:szCs w:val="20"/>
          <w:color w:val="auto"/>
        </w:rPr>
        <w:tab/>
      </w:r>
      <w:r>
        <w:rPr>
          <w:rFonts w:ascii="Arial" w:cs="Arial" w:eastAsia="Arial" w:hAnsi="Arial"/>
          <w:sz w:val="11"/>
          <w:szCs w:val="11"/>
          <w:color w:val="auto"/>
        </w:rPr>
        <w:t>Letter Agreement by and among Manpower Inc., Manpower Holdings Limited and Barbara Beck dated as of April 1, 2008. **</w:t>
      </w:r>
    </w:p>
    <w:p>
      <w:pPr>
        <w:spacing w:after="0" w:line="157" w:lineRule="exact"/>
        <w:rPr>
          <w:sz w:val="20"/>
          <w:szCs w:val="20"/>
          <w:color w:val="auto"/>
        </w:rPr>
      </w:pPr>
    </w:p>
    <w:p>
      <w:pPr>
        <w:ind w:left="700" w:right="240" w:hanging="687"/>
        <w:spacing w:after="0" w:line="249" w:lineRule="auto"/>
        <w:tabs>
          <w:tab w:leader="none" w:pos="680" w:val="left"/>
        </w:tabs>
        <w:rPr>
          <w:sz w:val="20"/>
          <w:szCs w:val="20"/>
          <w:color w:val="auto"/>
        </w:rPr>
      </w:pPr>
      <w:r>
        <w:rPr>
          <w:rFonts w:ascii="Arial" w:cs="Arial" w:eastAsia="Arial" w:hAnsi="Arial"/>
          <w:sz w:val="14"/>
          <w:szCs w:val="14"/>
          <w:color w:val="auto"/>
        </w:rPr>
        <w:t>10.12(a)</w:t>
      </w:r>
      <w:r>
        <w:rPr>
          <w:sz w:val="20"/>
          <w:szCs w:val="20"/>
          <w:color w:val="auto"/>
        </w:rPr>
        <w:tab/>
      </w:r>
      <w:r>
        <w:rPr>
          <w:rFonts w:ascii="Arial" w:cs="Arial" w:eastAsia="Arial" w:hAnsi="Arial"/>
          <w:sz w:val="14"/>
          <w:szCs w:val="14"/>
          <w:color w:val="auto"/>
        </w:rPr>
        <w:t>Amended and Restated Assignment Agreement by and among Manpower Inc. and Jonas Prising dated as of December 29, 2008, incorporated by reference to the Company’s Current Report on Form 8-K dated December 29, 2008. **</w:t>
      </w:r>
    </w:p>
    <w:p>
      <w:pPr>
        <w:spacing w:after="0" w:line="138" w:lineRule="exact"/>
        <w:rPr>
          <w:sz w:val="20"/>
          <w:szCs w:val="20"/>
          <w:color w:val="auto"/>
        </w:rPr>
      </w:pPr>
    </w:p>
    <w:p>
      <w:pPr>
        <w:ind w:left="700" w:right="220" w:hanging="687"/>
        <w:spacing w:after="0" w:line="249" w:lineRule="auto"/>
        <w:tabs>
          <w:tab w:leader="none" w:pos="680" w:val="left"/>
        </w:tabs>
        <w:rPr>
          <w:sz w:val="20"/>
          <w:szCs w:val="20"/>
          <w:color w:val="auto"/>
        </w:rPr>
      </w:pPr>
      <w:r>
        <w:rPr>
          <w:rFonts w:ascii="Arial" w:cs="Arial" w:eastAsia="Arial" w:hAnsi="Arial"/>
          <w:sz w:val="14"/>
          <w:szCs w:val="14"/>
          <w:color w:val="auto"/>
        </w:rPr>
        <w:t>10.12(b)</w:t>
      </w:r>
      <w:r>
        <w:rPr>
          <w:sz w:val="20"/>
          <w:szCs w:val="20"/>
          <w:color w:val="auto"/>
        </w:rPr>
        <w:tab/>
      </w:r>
      <w:r>
        <w:rPr>
          <w:rFonts w:ascii="Arial" w:cs="Arial" w:eastAsia="Arial" w:hAnsi="Arial"/>
          <w:sz w:val="14"/>
          <w:szCs w:val="14"/>
          <w:color w:val="auto"/>
        </w:rPr>
        <w:t>Employment Agreement between Francoise Gri and Manpower Inc. dated as of February 15, 2007, incorporated by reference to the Company’s Annual Report on Form 10-K for the fiscal year ended December 31, 2007. **</w:t>
      </w:r>
    </w:p>
    <w:p>
      <w:pPr>
        <w:spacing w:after="0" w:line="138" w:lineRule="exact"/>
        <w:rPr>
          <w:sz w:val="20"/>
          <w:szCs w:val="20"/>
          <w:color w:val="auto"/>
        </w:rPr>
      </w:pPr>
    </w:p>
    <w:p>
      <w:pPr>
        <w:ind w:left="700" w:right="540" w:hanging="687"/>
        <w:spacing w:after="0" w:line="249" w:lineRule="auto"/>
        <w:tabs>
          <w:tab w:leader="none" w:pos="680" w:val="left"/>
        </w:tabs>
        <w:rPr>
          <w:sz w:val="20"/>
          <w:szCs w:val="20"/>
          <w:color w:val="auto"/>
        </w:rPr>
      </w:pPr>
      <w:r>
        <w:rPr>
          <w:rFonts w:ascii="Arial" w:cs="Arial" w:eastAsia="Arial" w:hAnsi="Arial"/>
          <w:sz w:val="14"/>
          <w:szCs w:val="14"/>
          <w:color w:val="auto"/>
        </w:rPr>
        <w:t>10.12(c)</w:t>
      </w:r>
      <w:r>
        <w:rPr>
          <w:sz w:val="20"/>
          <w:szCs w:val="20"/>
          <w:color w:val="auto"/>
        </w:rPr>
        <w:tab/>
      </w:r>
      <w:r>
        <w:rPr>
          <w:rFonts w:ascii="Arial" w:cs="Arial" w:eastAsia="Arial" w:hAnsi="Arial"/>
          <w:sz w:val="14"/>
          <w:szCs w:val="14"/>
          <w:color w:val="auto"/>
        </w:rPr>
        <w:t>Letter Agreement between Darryl Green and Manpower Inc. dated as of April 4, 2007, incorporated by reference to the Company’s Annual Report on Form 10-K for the fiscal year ended December 31, 2007. **</w:t>
      </w:r>
    </w:p>
    <w:p>
      <w:pPr>
        <w:spacing w:after="0" w:line="138" w:lineRule="exact"/>
        <w:rPr>
          <w:sz w:val="20"/>
          <w:szCs w:val="20"/>
          <w:color w:val="auto"/>
        </w:rPr>
      </w:pPr>
    </w:p>
    <w:p>
      <w:pPr>
        <w:ind w:left="700" w:right="280" w:hanging="687"/>
        <w:spacing w:after="0" w:line="249" w:lineRule="auto"/>
        <w:tabs>
          <w:tab w:leader="none" w:pos="680" w:val="left"/>
        </w:tabs>
        <w:rPr>
          <w:sz w:val="20"/>
          <w:szCs w:val="20"/>
          <w:color w:val="auto"/>
        </w:rPr>
      </w:pPr>
      <w:r>
        <w:rPr>
          <w:rFonts w:ascii="Arial" w:cs="Arial" w:eastAsia="Arial" w:hAnsi="Arial"/>
          <w:sz w:val="14"/>
          <w:szCs w:val="14"/>
          <w:color w:val="auto"/>
        </w:rPr>
        <w:t>10.13(a)</w:t>
      </w:r>
      <w:r>
        <w:rPr>
          <w:sz w:val="20"/>
          <w:szCs w:val="20"/>
          <w:color w:val="auto"/>
        </w:rPr>
        <w:tab/>
      </w:r>
      <w:r>
        <w:rPr>
          <w:rFonts w:ascii="Arial" w:cs="Arial" w:eastAsia="Arial" w:hAnsi="Arial"/>
          <w:sz w:val="14"/>
          <w:szCs w:val="14"/>
          <w:color w:val="auto"/>
        </w:rPr>
        <w:t>Terms and Conditions Regarding the Grant of Awards to Non-Employee Directors under the 2003 Equity Incentive Plan of Manpower Inc. (Amended and Restated Effective January 1, 2006), incorporated by reference to the Company’s Current Report on Form 8-K dated December 19, 2005. **</w:t>
      </w:r>
    </w:p>
    <w:p>
      <w:pPr>
        <w:spacing w:after="0" w:line="138" w:lineRule="exact"/>
        <w:rPr>
          <w:sz w:val="20"/>
          <w:szCs w:val="20"/>
          <w:color w:val="auto"/>
        </w:rPr>
      </w:pPr>
    </w:p>
    <w:p>
      <w:pPr>
        <w:ind w:left="700" w:right="280" w:hanging="687"/>
        <w:spacing w:after="0" w:line="249" w:lineRule="auto"/>
        <w:tabs>
          <w:tab w:leader="none" w:pos="680" w:val="left"/>
        </w:tabs>
        <w:rPr>
          <w:sz w:val="20"/>
          <w:szCs w:val="20"/>
          <w:color w:val="auto"/>
        </w:rPr>
      </w:pPr>
      <w:r>
        <w:rPr>
          <w:rFonts w:ascii="Arial" w:cs="Arial" w:eastAsia="Arial" w:hAnsi="Arial"/>
          <w:sz w:val="14"/>
          <w:szCs w:val="14"/>
          <w:color w:val="auto"/>
        </w:rPr>
        <w:t>10.13(b)</w:t>
      </w:r>
      <w:r>
        <w:rPr>
          <w:sz w:val="20"/>
          <w:szCs w:val="20"/>
          <w:color w:val="auto"/>
        </w:rPr>
        <w:tab/>
      </w:r>
      <w:r>
        <w:rPr>
          <w:rFonts w:ascii="Arial" w:cs="Arial" w:eastAsia="Arial" w:hAnsi="Arial"/>
          <w:sz w:val="14"/>
          <w:szCs w:val="14"/>
          <w:color w:val="auto"/>
        </w:rPr>
        <w:t>Terms and Conditions Regarding the Grant of Awards to Non-Employee Directors under the 2003 Equity Incentive Plan of Manpower Inc. (Amended and Restated Effective January 1, 2008), incorporated by reference to the Company’s Annual Report on Form 10-K for the fiscal year ended December 31, 2007. **</w:t>
      </w:r>
    </w:p>
    <w:p>
      <w:pPr>
        <w:spacing w:after="0" w:line="138"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10.13(c)</w:t>
      </w:r>
      <w:r>
        <w:rPr>
          <w:sz w:val="20"/>
          <w:szCs w:val="20"/>
          <w:color w:val="auto"/>
        </w:rPr>
        <w:tab/>
      </w:r>
      <w:r>
        <w:rPr>
          <w:rFonts w:ascii="Arial" w:cs="Arial" w:eastAsia="Arial" w:hAnsi="Arial"/>
          <w:sz w:val="11"/>
          <w:szCs w:val="11"/>
          <w:color w:val="auto"/>
        </w:rPr>
        <w:t>Manpower Inc. Compensation for Non-Employee Directors (Effective January 1, 2006), incorporated by reference to the Company’s Current Report on Form 8-K dated December 19, 2005. **</w:t>
      </w:r>
    </w:p>
    <w:p>
      <w:pPr>
        <w:spacing w:after="0" w:line="157" w:lineRule="exact"/>
        <w:rPr>
          <w:sz w:val="20"/>
          <w:szCs w:val="20"/>
          <w:color w:val="auto"/>
        </w:rPr>
      </w:pPr>
    </w:p>
    <w:p>
      <w:pPr>
        <w:ind w:left="700" w:right="20" w:hanging="687"/>
        <w:spacing w:after="0" w:line="249" w:lineRule="auto"/>
        <w:tabs>
          <w:tab w:leader="none" w:pos="680" w:val="left"/>
        </w:tabs>
        <w:rPr>
          <w:sz w:val="20"/>
          <w:szCs w:val="20"/>
          <w:color w:val="auto"/>
        </w:rPr>
      </w:pPr>
      <w:r>
        <w:rPr>
          <w:rFonts w:ascii="Arial" w:cs="Arial" w:eastAsia="Arial" w:hAnsi="Arial"/>
          <w:sz w:val="14"/>
          <w:szCs w:val="14"/>
          <w:color w:val="auto"/>
        </w:rPr>
        <w:t>10.13(d)</w:t>
      </w:r>
      <w:r>
        <w:rPr>
          <w:sz w:val="20"/>
          <w:szCs w:val="20"/>
          <w:color w:val="auto"/>
        </w:rPr>
        <w:tab/>
      </w:r>
      <w:r>
        <w:rPr>
          <w:rFonts w:ascii="Arial" w:cs="Arial" w:eastAsia="Arial" w:hAnsi="Arial"/>
          <w:sz w:val="14"/>
          <w:szCs w:val="14"/>
          <w:color w:val="auto"/>
        </w:rPr>
        <w:t>Amended and Restated Severance Agreement between Barbara Beck and Manpower Inc. dated as of November 10, 2008, incorporated by reference to the Company’s Current Report on Form 8-K dated November 10, 2008. **</w:t>
      </w:r>
    </w:p>
    <w:p>
      <w:pPr>
        <w:spacing w:after="0" w:line="138" w:lineRule="exact"/>
        <w:rPr>
          <w:sz w:val="20"/>
          <w:szCs w:val="20"/>
          <w:color w:val="auto"/>
        </w:rPr>
      </w:pPr>
    </w:p>
    <w:p>
      <w:pPr>
        <w:ind w:left="700" w:right="60" w:hanging="687"/>
        <w:spacing w:after="0" w:line="249" w:lineRule="auto"/>
        <w:tabs>
          <w:tab w:leader="none" w:pos="680" w:val="left"/>
        </w:tabs>
        <w:rPr>
          <w:sz w:val="20"/>
          <w:szCs w:val="20"/>
          <w:color w:val="auto"/>
        </w:rPr>
      </w:pPr>
      <w:r>
        <w:rPr>
          <w:rFonts w:ascii="Arial" w:cs="Arial" w:eastAsia="Arial" w:hAnsi="Arial"/>
          <w:sz w:val="14"/>
          <w:szCs w:val="14"/>
          <w:color w:val="auto"/>
        </w:rPr>
        <w:t>10.13(e)</w:t>
      </w:r>
      <w:r>
        <w:rPr>
          <w:sz w:val="20"/>
          <w:szCs w:val="20"/>
          <w:color w:val="auto"/>
        </w:rPr>
        <w:tab/>
      </w:r>
      <w:r>
        <w:rPr>
          <w:rFonts w:ascii="Arial" w:cs="Arial" w:eastAsia="Arial" w:hAnsi="Arial"/>
          <w:sz w:val="14"/>
          <w:szCs w:val="14"/>
          <w:color w:val="auto"/>
        </w:rPr>
        <w:t>Amended and Restated Severance Agreement between Jonas Prising and Manpower Inc. dated as of November 10, 2008, incorporated by reference to the Company’s Current Report on Form 8-K dated November 10, 2008. **</w:t>
      </w:r>
    </w:p>
    <w:p>
      <w:pPr>
        <w:spacing w:after="0" w:line="138" w:lineRule="exact"/>
        <w:rPr>
          <w:sz w:val="20"/>
          <w:szCs w:val="20"/>
          <w:color w:val="auto"/>
        </w:rPr>
      </w:pPr>
    </w:p>
    <w:p>
      <w:pPr>
        <w:ind w:left="700" w:right="80" w:hanging="687"/>
        <w:spacing w:after="0" w:line="264" w:lineRule="auto"/>
        <w:tabs>
          <w:tab w:leader="none" w:pos="680" w:val="left"/>
        </w:tabs>
        <w:rPr>
          <w:sz w:val="20"/>
          <w:szCs w:val="20"/>
          <w:color w:val="auto"/>
        </w:rPr>
      </w:pPr>
      <w:r>
        <w:rPr>
          <w:rFonts w:ascii="Arial" w:cs="Arial" w:eastAsia="Arial" w:hAnsi="Arial"/>
          <w:sz w:val="14"/>
          <w:szCs w:val="14"/>
          <w:color w:val="auto"/>
        </w:rPr>
        <w:t>10.13(f)</w:t>
      </w:r>
      <w:r>
        <w:rPr>
          <w:sz w:val="20"/>
          <w:szCs w:val="20"/>
          <w:color w:val="auto"/>
        </w:rPr>
        <w:tab/>
      </w:r>
      <w:r>
        <w:rPr>
          <w:rFonts w:ascii="Arial" w:cs="Arial" w:eastAsia="Arial" w:hAnsi="Arial"/>
          <w:sz w:val="14"/>
          <w:szCs w:val="14"/>
          <w:color w:val="auto"/>
        </w:rPr>
        <w:t>Amended and Restated Severance Agreement between Owen Sullivan and Manpower Inc. dated as of November 10, 2008, incorporated by reference to the Company's Current Report on Form 8-K dated November 10, 2008. **</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40"/>
          </w:cols>
          <w:pgMar w:left="220" w:top="355" w:right="239" w:bottom="1440" w:gutter="0" w:footer="0" w:header="0"/>
        </w:sectPr>
      </w:pPr>
    </w:p>
    <w:bookmarkStart w:id="30" w:name="page31"/>
    <w:bookmarkEnd w:id="30"/>
    <w:p>
      <w:pPr>
        <w:spacing w:after="0"/>
        <w:tabs>
          <w:tab w:leader="none" w:pos="700" w:val="left"/>
        </w:tabs>
        <w:rPr>
          <w:sz w:val="20"/>
          <w:szCs w:val="20"/>
          <w:color w:val="auto"/>
        </w:rPr>
      </w:pPr>
      <w:r>
        <w:rPr>
          <w:rFonts w:ascii="Arial" w:cs="Arial" w:eastAsia="Arial" w:hAnsi="Arial"/>
          <w:sz w:val="14"/>
          <w:szCs w:val="14"/>
          <w:color w:val="auto"/>
        </w:rPr>
        <w:t>10.13(g)</w:t>
      </w:r>
      <w:r>
        <w:rPr>
          <w:sz w:val="20"/>
          <w:szCs w:val="20"/>
          <w:color w:val="auto"/>
        </w:rPr>
        <w:tab/>
      </w:r>
      <w:r>
        <w:rPr>
          <w:rFonts w:ascii="Arial" w:cs="Arial" w:eastAsia="Arial" w:hAnsi="Arial"/>
          <w:sz w:val="11"/>
          <w:szCs w:val="11"/>
          <w:color w:val="auto"/>
        </w:rPr>
        <w:t>Amended and Restated Severance Agreement between Mara Swan and Manpower Inc. dated as of November 10, 2008. **</w:t>
      </w:r>
    </w:p>
    <w:p>
      <w:pPr>
        <w:spacing w:after="0" w:line="168" w:lineRule="exact"/>
        <w:rPr>
          <w:sz w:val="20"/>
          <w:szCs w:val="20"/>
          <w:color w:val="auto"/>
        </w:rPr>
      </w:pPr>
    </w:p>
    <w:p>
      <w:pPr>
        <w:ind w:left="700" w:hanging="687"/>
        <w:spacing w:after="0" w:line="249" w:lineRule="auto"/>
        <w:tabs>
          <w:tab w:leader="none" w:pos="680" w:val="left"/>
        </w:tabs>
        <w:rPr>
          <w:sz w:val="20"/>
          <w:szCs w:val="20"/>
          <w:color w:val="auto"/>
        </w:rPr>
      </w:pPr>
      <w:r>
        <w:rPr>
          <w:rFonts w:ascii="Arial" w:cs="Arial" w:eastAsia="Arial" w:hAnsi="Arial"/>
          <w:sz w:val="14"/>
          <w:szCs w:val="14"/>
          <w:color w:val="auto"/>
        </w:rPr>
        <w:t>10.13(h)</w:t>
      </w:r>
      <w:r>
        <w:rPr>
          <w:sz w:val="20"/>
          <w:szCs w:val="20"/>
          <w:color w:val="auto"/>
        </w:rPr>
        <w:tab/>
      </w:r>
      <w:r>
        <w:rPr>
          <w:rFonts w:ascii="Arial" w:cs="Arial" w:eastAsia="Arial" w:hAnsi="Arial"/>
          <w:sz w:val="14"/>
          <w:szCs w:val="14"/>
          <w:color w:val="auto"/>
        </w:rPr>
        <w:t>Amended and Restated Severance Agreement dated November 10, 2008 between Manpower Inc. and Darryl Green, incorporated by reference to the Company’s Current Report on Form 8-K dated December 3, 2008. **</w:t>
      </w:r>
    </w:p>
    <w:p>
      <w:pPr>
        <w:spacing w:after="0" w:line="138" w:lineRule="exact"/>
        <w:rPr>
          <w:sz w:val="20"/>
          <w:szCs w:val="20"/>
          <w:color w:val="auto"/>
        </w:rPr>
      </w:pPr>
    </w:p>
    <w:p>
      <w:pPr>
        <w:ind w:left="700" w:right="200" w:hanging="687"/>
        <w:spacing w:after="0" w:line="249" w:lineRule="auto"/>
        <w:tabs>
          <w:tab w:leader="none" w:pos="680" w:val="left"/>
        </w:tabs>
        <w:rPr>
          <w:sz w:val="20"/>
          <w:szCs w:val="20"/>
          <w:color w:val="auto"/>
        </w:rPr>
      </w:pPr>
      <w:r>
        <w:rPr>
          <w:rFonts w:ascii="Arial" w:cs="Arial" w:eastAsia="Arial" w:hAnsi="Arial"/>
          <w:sz w:val="14"/>
          <w:szCs w:val="14"/>
          <w:color w:val="auto"/>
        </w:rPr>
        <w:t>10.13(i)</w:t>
      </w:r>
      <w:r>
        <w:rPr>
          <w:sz w:val="20"/>
          <w:szCs w:val="20"/>
          <w:color w:val="auto"/>
        </w:rPr>
        <w:tab/>
      </w:r>
      <w:r>
        <w:rPr>
          <w:rFonts w:ascii="Arial" w:cs="Arial" w:eastAsia="Arial" w:hAnsi="Arial"/>
          <w:sz w:val="14"/>
          <w:szCs w:val="14"/>
          <w:color w:val="auto"/>
        </w:rPr>
        <w:t>Change of Control Severance Agreement dated February 15, 2007 between Manpower Inc. and Francoise Gri, incorporated by reference to the Company’s Annual Report on Form 10-K for the fiscal year ended December 31, 2007. **</w:t>
      </w:r>
    </w:p>
    <w:p>
      <w:pPr>
        <w:spacing w:after="0" w:line="138" w:lineRule="exact"/>
        <w:rPr>
          <w:sz w:val="20"/>
          <w:szCs w:val="20"/>
          <w:color w:val="auto"/>
        </w:rPr>
      </w:pPr>
    </w:p>
    <w:p>
      <w:pPr>
        <w:ind w:left="700" w:right="140" w:hanging="687"/>
        <w:spacing w:after="0" w:line="249" w:lineRule="auto"/>
        <w:tabs>
          <w:tab w:leader="none" w:pos="680" w:val="left"/>
        </w:tabs>
        <w:rPr>
          <w:sz w:val="20"/>
          <w:szCs w:val="20"/>
          <w:color w:val="auto"/>
        </w:rPr>
      </w:pPr>
      <w:r>
        <w:rPr>
          <w:rFonts w:ascii="Arial" w:cs="Arial" w:eastAsia="Arial" w:hAnsi="Arial"/>
          <w:sz w:val="14"/>
          <w:szCs w:val="14"/>
          <w:color w:val="auto"/>
        </w:rPr>
        <w:t>10.13(j)</w:t>
      </w:r>
      <w:r>
        <w:rPr>
          <w:sz w:val="20"/>
          <w:szCs w:val="20"/>
          <w:color w:val="auto"/>
        </w:rPr>
        <w:tab/>
      </w:r>
      <w:r>
        <w:rPr>
          <w:rFonts w:ascii="Arial" w:cs="Arial" w:eastAsia="Arial" w:hAnsi="Arial"/>
          <w:sz w:val="14"/>
          <w:szCs w:val="14"/>
          <w:color w:val="auto"/>
        </w:rPr>
        <w:t>Change of Control Severance Agreement dated December 31, 2007 between Manpower Inc. and Kenneth C. Hunt, incorporated by reference to the Company’s Annual Report on Form 10-K for the fiscal year ended December 31, 2007. **</w:t>
      </w:r>
    </w:p>
    <w:p>
      <w:pPr>
        <w:spacing w:after="0" w:line="138"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10.13(k)</w:t>
      </w:r>
      <w:r>
        <w:rPr>
          <w:sz w:val="20"/>
          <w:szCs w:val="20"/>
          <w:color w:val="auto"/>
        </w:rPr>
        <w:tab/>
      </w:r>
      <w:r>
        <w:rPr>
          <w:rFonts w:ascii="Arial" w:cs="Arial" w:eastAsia="Arial" w:hAnsi="Arial"/>
          <w:sz w:val="11"/>
          <w:szCs w:val="11"/>
          <w:color w:val="auto"/>
        </w:rPr>
        <w:t>2003 Equity Incentive Plan of Manpower Inc. (Amended and Restated Effective October 31, 2006), incorporated by reference to the Company’s Current Report on Form 8-K dated October 31,</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2006. **</w:t>
      </w:r>
    </w:p>
    <w:p>
      <w:pPr>
        <w:spacing w:after="0" w:line="14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10.13(l)</w:t>
      </w:r>
      <w:r>
        <w:rPr>
          <w:sz w:val="20"/>
          <w:szCs w:val="20"/>
          <w:color w:val="auto"/>
        </w:rPr>
        <w:tab/>
      </w:r>
      <w:r>
        <w:rPr>
          <w:rFonts w:ascii="Arial" w:cs="Arial" w:eastAsia="Arial" w:hAnsi="Arial"/>
          <w:sz w:val="11"/>
          <w:szCs w:val="11"/>
          <w:color w:val="auto"/>
        </w:rPr>
        <w:t>Form of Indemnification Agreement, incorporated by reference to the Company’s Current Report on Form 8-K dated October 31, 2006.</w:t>
      </w:r>
    </w:p>
    <w:p>
      <w:pPr>
        <w:spacing w:after="0" w:line="157"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10.14(a)</w:t>
      </w:r>
      <w:r>
        <w:rPr>
          <w:sz w:val="20"/>
          <w:szCs w:val="20"/>
          <w:color w:val="auto"/>
        </w:rPr>
        <w:tab/>
      </w:r>
      <w:r>
        <w:rPr>
          <w:rFonts w:ascii="Arial" w:cs="Arial" w:eastAsia="Arial" w:hAnsi="Arial"/>
          <w:sz w:val="11"/>
          <w:szCs w:val="11"/>
          <w:color w:val="auto"/>
        </w:rPr>
        <w:t>Form of Nonstatutory Stock Option Agreement, incorporated by reference to the Company’s Annual Report on Form 10-K for the fiscal year ended December 31, 2007. **</w:t>
      </w:r>
    </w:p>
    <w:p>
      <w:pPr>
        <w:spacing w:after="0" w:line="157"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10.14(b)</w:t>
      </w:r>
      <w:r>
        <w:rPr>
          <w:sz w:val="20"/>
          <w:szCs w:val="20"/>
          <w:color w:val="auto"/>
        </w:rPr>
        <w:tab/>
      </w:r>
      <w:r>
        <w:rPr>
          <w:rFonts w:ascii="Arial" w:cs="Arial" w:eastAsia="Arial" w:hAnsi="Arial"/>
          <w:sz w:val="11"/>
          <w:szCs w:val="11"/>
          <w:color w:val="auto"/>
        </w:rPr>
        <w:t>Form of Performance Share Unit Agreement, incorporated by reference to the Company’s Annual Report on Form 10-K for the fiscal year ended December 31, 2007. **</w:t>
      </w:r>
    </w:p>
    <w:p>
      <w:pPr>
        <w:spacing w:after="0" w:line="157"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10.14(c)</w:t>
      </w:r>
      <w:r>
        <w:rPr>
          <w:sz w:val="20"/>
          <w:szCs w:val="20"/>
          <w:color w:val="auto"/>
        </w:rPr>
        <w:tab/>
      </w:r>
      <w:r>
        <w:rPr>
          <w:rFonts w:ascii="Arial" w:cs="Arial" w:eastAsia="Arial" w:hAnsi="Arial"/>
          <w:sz w:val="11"/>
          <w:szCs w:val="11"/>
          <w:color w:val="auto"/>
        </w:rPr>
        <w:t>Form of Restricted Stock Agreement (CEO Form), incorporated by reference to the Company’s Annual Report on Form 10-K for the fiscal year ended December 31, 2007. **</w:t>
      </w:r>
    </w:p>
    <w:p>
      <w:pPr>
        <w:spacing w:after="0" w:line="157"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1"/>
          <w:szCs w:val="11"/>
          <w:color w:val="auto"/>
        </w:rPr>
        <w:t>Statement Regarding Computation of Ratio of Earnings to Fixed Charges.</w:t>
      </w:r>
    </w:p>
    <w:p>
      <w:pPr>
        <w:spacing w:after="0" w:line="157" w:lineRule="exact"/>
        <w:rPr>
          <w:sz w:val="20"/>
          <w:szCs w:val="20"/>
          <w:color w:val="auto"/>
        </w:rPr>
      </w:pPr>
    </w:p>
    <w:p>
      <w:pPr>
        <w:ind w:left="700" w:hanging="698"/>
        <w:spacing w:after="0"/>
        <w:tabs>
          <w:tab w:leader="none" w:pos="7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2008 Annual Report to Shareholders. Pursuant to Item 601(b)(13) of Regulation S-K, the portions of the Annual Report incorporated by reference in this Form 10-K are filed as an exhibit hereto.</w:t>
      </w:r>
    </w:p>
    <w:p>
      <w:pPr>
        <w:spacing w:after="0" w:line="191" w:lineRule="exact"/>
        <w:rPr>
          <w:rFonts w:ascii="Arial" w:cs="Arial" w:eastAsia="Arial" w:hAnsi="Arial"/>
          <w:sz w:val="11"/>
          <w:szCs w:val="11"/>
          <w:color w:val="auto"/>
        </w:rPr>
      </w:pPr>
    </w:p>
    <w:p>
      <w:pPr>
        <w:ind w:left="700" w:right="60" w:hanging="698"/>
        <w:spacing w:after="0" w:line="249" w:lineRule="auto"/>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Manpower Inc. Code of Business Conduct and Ethics (Amended and Restated Effective December 9, 2003) incorporated by reference to the Company’s Annual Report on Form 10-K for the year ended December 31, 2003.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20"/>
                <w:szCs w:val="20"/>
                <w:color w:val="auto"/>
              </w:rPr>
            </w:pPr>
            <w:r>
              <w:rPr>
                <w:rFonts w:ascii="Arial" w:cs="Arial" w:eastAsia="Arial" w:hAnsi="Arial"/>
                <w:sz w:val="14"/>
                <w:szCs w:val="14"/>
                <w:color w:val="auto"/>
              </w:rPr>
              <w:t>21</w:t>
            </w:r>
          </w:p>
        </w:tc>
        <w:tc>
          <w:tcPr>
            <w:tcW w:w="9240" w:type="dxa"/>
            <w:vAlign w:val="bottom"/>
          </w:tcPr>
          <w:p>
            <w:pPr>
              <w:ind w:left="240"/>
              <w:spacing w:after="0"/>
              <w:rPr>
                <w:sz w:val="20"/>
                <w:szCs w:val="20"/>
                <w:color w:val="auto"/>
              </w:rPr>
            </w:pPr>
            <w:r>
              <w:rPr>
                <w:rFonts w:ascii="Arial" w:cs="Arial" w:eastAsia="Arial" w:hAnsi="Arial"/>
                <w:sz w:val="14"/>
                <w:szCs w:val="14"/>
                <w:color w:val="auto"/>
              </w:rPr>
              <w:t>Subsidiaries of Manpower Inc.</w:t>
            </w:r>
          </w:p>
        </w:tc>
      </w:tr>
      <w:tr>
        <w:trPr>
          <w:trHeight w:val="318"/>
        </w:trPr>
        <w:tc>
          <w:tcPr>
            <w:tcW w:w="460" w:type="dxa"/>
            <w:vAlign w:val="bottom"/>
          </w:tcPr>
          <w:p>
            <w:pPr>
              <w:spacing w:after="0"/>
              <w:rPr>
                <w:sz w:val="20"/>
                <w:szCs w:val="20"/>
                <w:color w:val="auto"/>
              </w:rPr>
            </w:pPr>
            <w:r>
              <w:rPr>
                <w:rFonts w:ascii="Arial" w:cs="Arial" w:eastAsia="Arial" w:hAnsi="Arial"/>
                <w:sz w:val="14"/>
                <w:szCs w:val="14"/>
                <w:color w:val="auto"/>
              </w:rPr>
              <w:t>23.1</w:t>
            </w:r>
          </w:p>
        </w:tc>
        <w:tc>
          <w:tcPr>
            <w:tcW w:w="9240" w:type="dxa"/>
            <w:vAlign w:val="bottom"/>
          </w:tcPr>
          <w:p>
            <w:pPr>
              <w:ind w:left="240"/>
              <w:spacing w:after="0"/>
              <w:rPr>
                <w:sz w:val="20"/>
                <w:szCs w:val="20"/>
                <w:color w:val="auto"/>
              </w:rPr>
            </w:pPr>
            <w:r>
              <w:rPr>
                <w:rFonts w:ascii="Arial" w:cs="Arial" w:eastAsia="Arial" w:hAnsi="Arial"/>
                <w:sz w:val="14"/>
                <w:szCs w:val="14"/>
                <w:color w:val="auto"/>
              </w:rPr>
              <w:t>Consent of Deloitte &amp; Touche LLP.</w:t>
            </w:r>
          </w:p>
        </w:tc>
      </w:tr>
      <w:tr>
        <w:trPr>
          <w:trHeight w:val="318"/>
        </w:trPr>
        <w:tc>
          <w:tcPr>
            <w:tcW w:w="460" w:type="dxa"/>
            <w:vAlign w:val="bottom"/>
          </w:tcPr>
          <w:p>
            <w:pPr>
              <w:spacing w:after="0"/>
              <w:rPr>
                <w:sz w:val="20"/>
                <w:szCs w:val="20"/>
                <w:color w:val="auto"/>
              </w:rPr>
            </w:pPr>
            <w:r>
              <w:rPr>
                <w:rFonts w:ascii="Arial" w:cs="Arial" w:eastAsia="Arial" w:hAnsi="Arial"/>
                <w:sz w:val="14"/>
                <w:szCs w:val="14"/>
                <w:color w:val="auto"/>
              </w:rPr>
              <w:t>24</w:t>
            </w:r>
          </w:p>
        </w:tc>
        <w:tc>
          <w:tcPr>
            <w:tcW w:w="9240" w:type="dxa"/>
            <w:vAlign w:val="bottom"/>
          </w:tcPr>
          <w:p>
            <w:pPr>
              <w:ind w:left="240"/>
              <w:spacing w:after="0"/>
              <w:rPr>
                <w:sz w:val="20"/>
                <w:szCs w:val="20"/>
                <w:color w:val="auto"/>
              </w:rPr>
            </w:pPr>
            <w:r>
              <w:rPr>
                <w:rFonts w:ascii="Arial" w:cs="Arial" w:eastAsia="Arial" w:hAnsi="Arial"/>
                <w:sz w:val="14"/>
                <w:szCs w:val="14"/>
                <w:color w:val="auto"/>
              </w:rPr>
              <w:t>Powers of Attorney.</w:t>
            </w:r>
          </w:p>
        </w:tc>
      </w:tr>
      <w:tr>
        <w:trPr>
          <w:trHeight w:val="318"/>
        </w:trPr>
        <w:tc>
          <w:tcPr>
            <w:tcW w:w="460" w:type="dxa"/>
            <w:vAlign w:val="bottom"/>
          </w:tcPr>
          <w:p>
            <w:pPr>
              <w:spacing w:after="0"/>
              <w:rPr>
                <w:sz w:val="20"/>
                <w:szCs w:val="20"/>
                <w:color w:val="auto"/>
              </w:rPr>
            </w:pPr>
            <w:r>
              <w:rPr>
                <w:rFonts w:ascii="Arial" w:cs="Arial" w:eastAsia="Arial" w:hAnsi="Arial"/>
                <w:sz w:val="14"/>
                <w:szCs w:val="14"/>
                <w:color w:val="auto"/>
              </w:rPr>
              <w:t>31.1</w:t>
            </w:r>
          </w:p>
        </w:tc>
        <w:tc>
          <w:tcPr>
            <w:tcW w:w="9240" w:type="dxa"/>
            <w:vAlign w:val="bottom"/>
          </w:tcPr>
          <w:p>
            <w:pPr>
              <w:ind w:left="240"/>
              <w:spacing w:after="0"/>
              <w:rPr>
                <w:sz w:val="20"/>
                <w:szCs w:val="20"/>
                <w:color w:val="auto"/>
              </w:rPr>
            </w:pPr>
            <w:r>
              <w:rPr>
                <w:rFonts w:ascii="Arial" w:cs="Arial" w:eastAsia="Arial" w:hAnsi="Arial"/>
                <w:sz w:val="14"/>
                <w:szCs w:val="14"/>
                <w:color w:val="auto"/>
              </w:rPr>
              <w:t>Certification of Jeffrey A. Joerres, Chairman and Chief Executive Officer, pursuant to Section 13a-14(a) of the Securities Exchange Act of 1934.</w:t>
            </w:r>
          </w:p>
        </w:tc>
      </w:tr>
      <w:tr>
        <w:trPr>
          <w:trHeight w:val="318"/>
        </w:trPr>
        <w:tc>
          <w:tcPr>
            <w:tcW w:w="460" w:type="dxa"/>
            <w:vAlign w:val="bottom"/>
          </w:tcPr>
          <w:p>
            <w:pPr>
              <w:spacing w:after="0"/>
              <w:rPr>
                <w:sz w:val="20"/>
                <w:szCs w:val="20"/>
                <w:color w:val="auto"/>
              </w:rPr>
            </w:pPr>
            <w:r>
              <w:rPr>
                <w:rFonts w:ascii="Arial" w:cs="Arial" w:eastAsia="Arial" w:hAnsi="Arial"/>
                <w:sz w:val="14"/>
                <w:szCs w:val="14"/>
                <w:color w:val="auto"/>
              </w:rPr>
              <w:t>31.2</w:t>
            </w:r>
          </w:p>
        </w:tc>
        <w:tc>
          <w:tcPr>
            <w:tcW w:w="9240" w:type="dxa"/>
            <w:vAlign w:val="bottom"/>
          </w:tcPr>
          <w:p>
            <w:pPr>
              <w:ind w:left="240"/>
              <w:spacing w:after="0"/>
              <w:rPr>
                <w:sz w:val="20"/>
                <w:szCs w:val="20"/>
                <w:color w:val="auto"/>
              </w:rPr>
            </w:pPr>
            <w:r>
              <w:rPr>
                <w:rFonts w:ascii="Arial" w:cs="Arial" w:eastAsia="Arial" w:hAnsi="Arial"/>
                <w:sz w:val="14"/>
                <w:szCs w:val="14"/>
                <w:color w:val="auto"/>
                <w:w w:val="89"/>
              </w:rPr>
              <w:t>Certification of Michael J. Van Handel, Executive Vice President and Chief Financial Officer, pursuant to Section 13a-14(a) of the Securities Exchange Act of 1934.</w:t>
            </w:r>
          </w:p>
        </w:tc>
      </w:tr>
      <w:tr>
        <w:trPr>
          <w:trHeight w:val="318"/>
        </w:trPr>
        <w:tc>
          <w:tcPr>
            <w:tcW w:w="460" w:type="dxa"/>
            <w:vAlign w:val="bottom"/>
          </w:tcPr>
          <w:p>
            <w:pPr>
              <w:spacing w:after="0"/>
              <w:rPr>
                <w:sz w:val="20"/>
                <w:szCs w:val="20"/>
                <w:color w:val="auto"/>
              </w:rPr>
            </w:pPr>
            <w:r>
              <w:rPr>
                <w:rFonts w:ascii="Arial" w:cs="Arial" w:eastAsia="Arial" w:hAnsi="Arial"/>
                <w:sz w:val="14"/>
                <w:szCs w:val="14"/>
                <w:color w:val="auto"/>
              </w:rPr>
              <w:t>32.1</w:t>
            </w:r>
          </w:p>
        </w:tc>
        <w:tc>
          <w:tcPr>
            <w:tcW w:w="9240" w:type="dxa"/>
            <w:vAlign w:val="bottom"/>
          </w:tcPr>
          <w:p>
            <w:pPr>
              <w:ind w:left="240"/>
              <w:spacing w:after="0"/>
              <w:rPr>
                <w:sz w:val="20"/>
                <w:szCs w:val="20"/>
                <w:color w:val="auto"/>
              </w:rPr>
            </w:pPr>
            <w:r>
              <w:rPr>
                <w:rFonts w:ascii="Arial" w:cs="Arial" w:eastAsia="Arial" w:hAnsi="Arial"/>
                <w:sz w:val="14"/>
                <w:szCs w:val="14"/>
                <w:color w:val="auto"/>
              </w:rPr>
              <w:t>Statement of Jeffrey A. Joerres, Chairman and Chief Executive Officer, pursuant to 18 U.S.C. ss. 1350.</w:t>
            </w:r>
          </w:p>
        </w:tc>
      </w:tr>
      <w:tr>
        <w:trPr>
          <w:trHeight w:val="318"/>
        </w:trPr>
        <w:tc>
          <w:tcPr>
            <w:tcW w:w="460" w:type="dxa"/>
            <w:vAlign w:val="bottom"/>
          </w:tcPr>
          <w:p>
            <w:pPr>
              <w:spacing w:after="0"/>
              <w:rPr>
                <w:sz w:val="20"/>
                <w:szCs w:val="20"/>
                <w:color w:val="auto"/>
              </w:rPr>
            </w:pPr>
            <w:r>
              <w:rPr>
                <w:rFonts w:ascii="Arial" w:cs="Arial" w:eastAsia="Arial" w:hAnsi="Arial"/>
                <w:sz w:val="14"/>
                <w:szCs w:val="14"/>
                <w:color w:val="auto"/>
              </w:rPr>
              <w:t>32.2</w:t>
            </w:r>
          </w:p>
        </w:tc>
        <w:tc>
          <w:tcPr>
            <w:tcW w:w="9240" w:type="dxa"/>
            <w:vAlign w:val="bottom"/>
          </w:tcPr>
          <w:p>
            <w:pPr>
              <w:ind w:left="240"/>
              <w:spacing w:after="0"/>
              <w:rPr>
                <w:sz w:val="20"/>
                <w:szCs w:val="20"/>
                <w:color w:val="auto"/>
              </w:rPr>
            </w:pPr>
            <w:r>
              <w:rPr>
                <w:rFonts w:ascii="Arial" w:cs="Arial" w:eastAsia="Arial" w:hAnsi="Arial"/>
                <w:sz w:val="14"/>
                <w:szCs w:val="14"/>
                <w:color w:val="auto"/>
              </w:rPr>
              <w:t>Statement of Michael J. Van Handel, Executive Vice President and Chief Financial Officer, pursuant to 18 U.S.C. ss. 1350.</w:t>
            </w:r>
          </w:p>
        </w:tc>
      </w:tr>
    </w:tbl>
    <w:p>
      <w:pPr>
        <w:spacing w:after="0" w:line="73" w:lineRule="exact"/>
        <w:rPr>
          <w:sz w:val="20"/>
          <w:szCs w:val="20"/>
          <w:color w:val="auto"/>
        </w:rPr>
      </w:pPr>
    </w:p>
    <w:p>
      <w:pPr>
        <w:ind w:left="380" w:hanging="378"/>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20"/>
          </w:cols>
          <w:pgMar w:left="220" w:top="355"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4"/>
          <w:szCs w:val="14"/>
          <w:b w:val="1"/>
          <w:bCs w:val="1"/>
          <w:color w:val="auto"/>
        </w:rPr>
        <w:t>SIGNATURES</w:t>
      </w:r>
    </w:p>
    <w:p>
      <w:pPr>
        <w:spacing w:after="0" w:line="151" w:lineRule="exact"/>
        <w:rPr>
          <w:sz w:val="20"/>
          <w:szCs w:val="20"/>
          <w:color w:val="auto"/>
        </w:rPr>
      </w:pPr>
    </w:p>
    <w:p>
      <w:pPr>
        <w:ind w:right="420" w:firstLine="370"/>
        <w:spacing w:after="0" w:line="249"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82"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MANPOWER INC.</w:t>
      </w:r>
    </w:p>
    <w:p>
      <w:pPr>
        <w:spacing w:after="0" w:line="168" w:lineRule="exact"/>
        <w:rPr>
          <w:sz w:val="20"/>
          <w:szCs w:val="20"/>
          <w:color w:val="auto"/>
        </w:rPr>
      </w:pPr>
    </w:p>
    <w:tbl>
      <w:tblPr>
        <w:tblLayout w:type="fixed"/>
        <w:tblInd w:w="7000" w:type="dxa"/>
        <w:tblCellMar>
          <w:top w:w="0" w:type="dxa"/>
          <w:left w:w="0" w:type="dxa"/>
          <w:bottom w:w="0" w:type="dxa"/>
          <w:right w:w="0" w:type="dxa"/>
        </w:tblCellMar>
      </w:tblPr>
      <w:tr>
        <w:trPr>
          <w:trHeight w:val="176"/>
        </w:trPr>
        <w:tc>
          <w:tcPr>
            <w:tcW w:w="460" w:type="dxa"/>
            <w:vAlign w:val="bottom"/>
          </w:tcPr>
          <w:p>
            <w:pPr>
              <w:spacing w:after="0"/>
              <w:rPr>
                <w:sz w:val="20"/>
                <w:szCs w:val="20"/>
                <w:color w:val="auto"/>
              </w:rPr>
            </w:pPr>
            <w:r>
              <w:rPr>
                <w:rFonts w:ascii="Arial" w:cs="Arial" w:eastAsia="Arial" w:hAnsi="Arial"/>
                <w:sz w:val="14"/>
                <w:szCs w:val="14"/>
                <w:color w:val="auto"/>
              </w:rPr>
              <w:t>By:</w:t>
            </w:r>
          </w:p>
        </w:tc>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Jeffrey A. Joerres</w:t>
            </w:r>
          </w:p>
        </w:tc>
      </w:tr>
      <w:tr>
        <w:trPr>
          <w:trHeight w:val="143"/>
        </w:trPr>
        <w:tc>
          <w:tcPr>
            <w:tcW w:w="460" w:type="dxa"/>
            <w:vAlign w:val="bottom"/>
          </w:tcPr>
          <w:p>
            <w:pPr>
              <w:spacing w:after="0"/>
              <w:rPr>
                <w:sz w:val="12"/>
                <w:szCs w:val="12"/>
                <w:color w:val="auto"/>
              </w:rPr>
            </w:pPr>
          </w:p>
        </w:tc>
        <w:tc>
          <w:tcPr>
            <w:tcW w:w="2980" w:type="dxa"/>
            <w:vAlign w:val="bottom"/>
          </w:tcPr>
          <w:p>
            <w:pPr>
              <w:spacing w:after="0" w:line="143" w:lineRule="exact"/>
              <w:rPr>
                <w:sz w:val="20"/>
                <w:szCs w:val="20"/>
                <w:color w:val="auto"/>
              </w:rPr>
            </w:pPr>
            <w:r>
              <w:rPr>
                <w:rFonts w:ascii="Arial" w:cs="Arial" w:eastAsia="Arial" w:hAnsi="Arial"/>
                <w:sz w:val="14"/>
                <w:szCs w:val="14"/>
                <w:color w:val="auto"/>
              </w:rPr>
              <w:t>Jeffrey A. Joerres</w:t>
            </w:r>
          </w:p>
        </w:tc>
      </w:tr>
      <w:tr>
        <w:trPr>
          <w:trHeight w:val="174"/>
        </w:trPr>
        <w:tc>
          <w:tcPr>
            <w:tcW w:w="46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Arial" w:cs="Arial" w:eastAsia="Arial" w:hAnsi="Arial"/>
                <w:sz w:val="14"/>
                <w:szCs w:val="14"/>
                <w:color w:val="auto"/>
                <w:w w:val="98"/>
              </w:rPr>
              <w:t>Chairman, President and Chief Executive Officer</w:t>
            </w:r>
          </w:p>
        </w:tc>
      </w:tr>
      <w:tr>
        <w:trPr>
          <w:trHeight w:val="318"/>
        </w:trPr>
        <w:tc>
          <w:tcPr>
            <w:tcW w:w="460" w:type="dxa"/>
            <w:vAlign w:val="bottom"/>
          </w:tcPr>
          <w:p>
            <w:pPr>
              <w:spacing w:after="0"/>
              <w:rPr>
                <w:sz w:val="20"/>
                <w:szCs w:val="20"/>
                <w:color w:val="auto"/>
              </w:rPr>
            </w:pPr>
            <w:r>
              <w:rPr>
                <w:rFonts w:ascii="Arial" w:cs="Arial" w:eastAsia="Arial" w:hAnsi="Arial"/>
                <w:sz w:val="14"/>
                <w:szCs w:val="14"/>
                <w:color w:val="auto"/>
              </w:rPr>
              <w:t>Date:</w:t>
            </w:r>
          </w:p>
        </w:tc>
        <w:tc>
          <w:tcPr>
            <w:tcW w:w="2980" w:type="dxa"/>
            <w:vAlign w:val="bottom"/>
          </w:tcPr>
          <w:p>
            <w:pPr>
              <w:spacing w:after="0"/>
              <w:rPr>
                <w:sz w:val="20"/>
                <w:szCs w:val="20"/>
                <w:color w:val="auto"/>
              </w:rPr>
            </w:pPr>
            <w:r>
              <w:rPr>
                <w:rFonts w:ascii="Arial" w:cs="Arial" w:eastAsia="Arial" w:hAnsi="Arial"/>
                <w:sz w:val="14"/>
                <w:szCs w:val="14"/>
                <w:color w:val="auto"/>
              </w:rPr>
              <w:t>February 20, 2009</w:t>
            </w:r>
          </w:p>
        </w:tc>
      </w:tr>
    </w:tbl>
    <w:p>
      <w:pPr>
        <w:spacing w:after="0" w:line="175" w:lineRule="exact"/>
        <w:rPr>
          <w:sz w:val="20"/>
          <w:szCs w:val="20"/>
          <w:color w:val="auto"/>
        </w:rPr>
      </w:pPr>
    </w:p>
    <w:p>
      <w:pPr>
        <w:ind w:right="520" w:firstLine="370"/>
        <w:spacing w:after="0" w:line="249"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80" w:type="dxa"/>
            <w:vAlign w:val="bottom"/>
            <w:tcBorders>
              <w:bottom w:val="single" w:sz="8" w:color="auto"/>
            </w:tcBorders>
          </w:tcPr>
          <w:p>
            <w:pPr>
              <w:ind w:left="214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2"/>
                <w:szCs w:val="12"/>
                <w:color w:val="auto"/>
              </w:rPr>
            </w:pPr>
          </w:p>
        </w:tc>
        <w:tc>
          <w:tcPr>
            <w:tcW w:w="2740" w:type="dxa"/>
            <w:vAlign w:val="bottom"/>
            <w:tcBorders>
              <w:bottom w:val="single" w:sz="8" w:color="auto"/>
            </w:tcBorders>
          </w:tcPr>
          <w:p>
            <w:pPr>
              <w:ind w:left="1320"/>
              <w:spacing w:after="0"/>
              <w:rPr>
                <w:sz w:val="20"/>
                <w:szCs w:val="20"/>
                <w:color w:val="auto"/>
              </w:rPr>
            </w:pPr>
            <w:r>
              <w:rPr>
                <w:rFonts w:ascii="Arial" w:cs="Arial" w:eastAsia="Arial" w:hAnsi="Arial"/>
                <w:sz w:val="11"/>
                <w:szCs w:val="11"/>
                <w:b w:val="1"/>
                <w:bCs w:val="1"/>
                <w:color w:val="auto"/>
              </w:rPr>
              <w:t>Date</w:t>
            </w:r>
          </w:p>
        </w:tc>
      </w:tr>
      <w:tr>
        <w:trPr>
          <w:trHeight w:val="319"/>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Jeffrey A. Joerres</w:t>
            </w:r>
          </w:p>
        </w:tc>
        <w:tc>
          <w:tcPr>
            <w:tcW w:w="12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4"/>
                <w:szCs w:val="14"/>
                <w:color w:val="auto"/>
              </w:rPr>
              <w:t>Chairman, President, Chief Executive Officer and a Director (Principal Executive Officer)</w:t>
            </w:r>
          </w:p>
        </w:tc>
        <w:tc>
          <w:tcPr>
            <w:tcW w:w="100" w:type="dxa"/>
            <w:vAlign w:val="bottom"/>
          </w:tcPr>
          <w:p>
            <w:pPr>
              <w:spacing w:after="0"/>
              <w:rPr>
                <w:sz w:val="24"/>
                <w:szCs w:val="2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February 20, 2009</w:t>
            </w:r>
          </w:p>
        </w:tc>
      </w:tr>
      <w:tr>
        <w:trPr>
          <w:trHeight w:val="174"/>
        </w:trPr>
        <w:tc>
          <w:tcPr>
            <w:tcW w:w="2300" w:type="dxa"/>
            <w:vAlign w:val="bottom"/>
            <w:gridSpan w:val="2"/>
          </w:tcPr>
          <w:p>
            <w:pPr>
              <w:spacing w:after="0"/>
              <w:rPr>
                <w:sz w:val="20"/>
                <w:szCs w:val="20"/>
                <w:color w:val="auto"/>
              </w:rPr>
            </w:pPr>
            <w:r>
              <w:rPr>
                <w:rFonts w:ascii="Arial" w:cs="Arial" w:eastAsia="Arial" w:hAnsi="Arial"/>
                <w:sz w:val="14"/>
                <w:szCs w:val="14"/>
                <w:color w:val="auto"/>
              </w:rPr>
              <w:t>Jeffrey A. Joerres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298"/>
        </w:trPr>
        <w:tc>
          <w:tcPr>
            <w:tcW w:w="2300" w:type="dxa"/>
            <w:vAlign w:val="bottom"/>
            <w:gridSpan w:val="2"/>
          </w:tcPr>
          <w:p>
            <w:pPr>
              <w:spacing w:after="0"/>
              <w:rPr>
                <w:sz w:val="20"/>
                <w:szCs w:val="20"/>
                <w:color w:val="auto"/>
              </w:rPr>
            </w:pPr>
            <w:r>
              <w:rPr>
                <w:rFonts w:ascii="Arial" w:cs="Arial" w:eastAsia="Arial" w:hAnsi="Arial"/>
                <w:sz w:val="14"/>
                <w:szCs w:val="14"/>
                <w:color w:val="auto"/>
              </w:rPr>
              <w:t>/s/ Michael J. Van Handel</w:t>
            </w:r>
          </w:p>
        </w:tc>
        <w:tc>
          <w:tcPr>
            <w:tcW w:w="12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4"/>
                <w:szCs w:val="14"/>
                <w:color w:val="auto"/>
                <w:w w:val="95"/>
              </w:rPr>
              <w:t>Executive Vice President and Chief Financial Officer (Principal Financial Officer and Principal Accounting</w:t>
            </w:r>
          </w:p>
        </w:tc>
        <w:tc>
          <w:tcPr>
            <w:tcW w:w="100" w:type="dxa"/>
            <w:vAlign w:val="bottom"/>
          </w:tcPr>
          <w:p>
            <w:pPr>
              <w:spacing w:after="0"/>
              <w:rPr>
                <w:sz w:val="24"/>
                <w:szCs w:val="2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February 20, 2009</w:t>
            </w:r>
          </w:p>
        </w:tc>
      </w:tr>
      <w:tr>
        <w:trPr>
          <w:trHeight w:val="145"/>
        </w:trPr>
        <w:tc>
          <w:tcPr>
            <w:tcW w:w="4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Officer)</w:t>
            </w:r>
          </w:p>
        </w:tc>
        <w:tc>
          <w:tcPr>
            <w:tcW w:w="100" w:type="dxa"/>
            <w:vAlign w:val="bottom"/>
          </w:tcPr>
          <w:p>
            <w:pPr>
              <w:spacing w:after="0"/>
              <w:rPr>
                <w:sz w:val="12"/>
                <w:szCs w:val="12"/>
                <w:color w:val="auto"/>
              </w:rPr>
            </w:pPr>
          </w:p>
        </w:tc>
        <w:tc>
          <w:tcPr>
            <w:tcW w:w="2740" w:type="dxa"/>
            <w:vAlign w:val="bottom"/>
          </w:tcPr>
          <w:p>
            <w:pPr>
              <w:spacing w:after="0"/>
              <w:rPr>
                <w:sz w:val="12"/>
                <w:szCs w:val="12"/>
                <w:color w:val="auto"/>
              </w:rPr>
            </w:pPr>
          </w:p>
        </w:tc>
      </w:tr>
      <w:tr>
        <w:trPr>
          <w:trHeight w:val="174"/>
        </w:trPr>
        <w:tc>
          <w:tcPr>
            <w:tcW w:w="2300" w:type="dxa"/>
            <w:vAlign w:val="bottom"/>
            <w:gridSpan w:val="2"/>
          </w:tcPr>
          <w:p>
            <w:pPr>
              <w:spacing w:after="0"/>
              <w:rPr>
                <w:sz w:val="20"/>
                <w:szCs w:val="20"/>
                <w:color w:val="auto"/>
              </w:rPr>
            </w:pPr>
            <w:r>
              <w:rPr>
                <w:rFonts w:ascii="Arial" w:cs="Arial" w:eastAsia="Arial" w:hAnsi="Arial"/>
                <w:sz w:val="14"/>
                <w:szCs w:val="14"/>
                <w:color w:val="auto"/>
              </w:rPr>
              <w:t>Michael J. Van Handel</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308"/>
        </w:trPr>
        <w:tc>
          <w:tcPr>
            <w:tcW w:w="11460" w:type="dxa"/>
            <w:vAlign w:val="bottom"/>
            <w:gridSpan w:val="7"/>
          </w:tcPr>
          <w:p>
            <w:pPr>
              <w:spacing w:after="0"/>
              <w:rPr>
                <w:sz w:val="20"/>
                <w:szCs w:val="20"/>
                <w:color w:val="auto"/>
              </w:rPr>
            </w:pPr>
            <w:r>
              <w:rPr>
                <w:rFonts w:ascii="Arial" w:cs="Arial" w:eastAsia="Arial" w:hAnsi="Arial"/>
                <w:sz w:val="14"/>
                <w:szCs w:val="14"/>
                <w:color w:val="auto"/>
              </w:rPr>
              <w:t>Directors: J. Thomas Bouchard, Marc J. Bolland, Gina R. Boswell, Cari M. Dominguez, Jack M. Greenberg, Terry A. Hueneke, Ulice Payne, Jr., John R. Walter and Edward J. Zore</w:t>
            </w:r>
          </w:p>
        </w:tc>
      </w:tr>
      <w:tr>
        <w:trPr>
          <w:trHeight w:val="308"/>
        </w:trPr>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20" w:type="dxa"/>
            <w:vAlign w:val="bottom"/>
            <w:gridSpan w:val="3"/>
          </w:tcPr>
          <w:p>
            <w:pPr>
              <w:ind w:left="4800"/>
              <w:spacing w:after="0"/>
              <w:rPr>
                <w:sz w:val="20"/>
                <w:szCs w:val="20"/>
                <w:color w:val="auto"/>
              </w:rPr>
            </w:pPr>
            <w:r>
              <w:rPr>
                <w:rFonts w:ascii="Arial" w:cs="Arial" w:eastAsia="Arial" w:hAnsi="Arial"/>
                <w:sz w:val="14"/>
                <w:szCs w:val="14"/>
                <w:color w:val="auto"/>
              </w:rPr>
              <w:t>February 20, 2009</w:t>
            </w:r>
          </w:p>
        </w:tc>
      </w:tr>
      <w:tr>
        <w:trPr>
          <w:trHeight w:val="320"/>
        </w:trPr>
        <w:tc>
          <w:tcPr>
            <w:tcW w:w="460" w:type="dxa"/>
            <w:vAlign w:val="bottom"/>
          </w:tcPr>
          <w:p>
            <w:pPr>
              <w:ind w:left="40"/>
              <w:spacing w:after="0"/>
              <w:rPr>
                <w:sz w:val="20"/>
                <w:szCs w:val="20"/>
                <w:color w:val="auto"/>
              </w:rPr>
            </w:pPr>
            <w:r>
              <w:rPr>
                <w:rFonts w:ascii="Arial" w:cs="Arial" w:eastAsia="Arial" w:hAnsi="Arial"/>
                <w:sz w:val="14"/>
                <w:szCs w:val="14"/>
                <w:color w:val="auto"/>
              </w:rPr>
              <w:t>By:</w:t>
            </w:r>
          </w:p>
        </w:tc>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Kenneth C. Hunt</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54"/>
        </w:trPr>
        <w:tc>
          <w:tcPr>
            <w:tcW w:w="460" w:type="dxa"/>
            <w:vAlign w:val="bottom"/>
          </w:tcPr>
          <w:p>
            <w:pPr>
              <w:spacing w:after="0"/>
              <w:rPr>
                <w:sz w:val="13"/>
                <w:szCs w:val="13"/>
                <w:color w:val="auto"/>
              </w:rPr>
            </w:pPr>
          </w:p>
        </w:tc>
        <w:tc>
          <w:tcPr>
            <w:tcW w:w="1840" w:type="dxa"/>
            <w:vAlign w:val="bottom"/>
          </w:tcPr>
          <w:p>
            <w:pPr>
              <w:spacing w:after="0" w:line="154" w:lineRule="exact"/>
              <w:rPr>
                <w:sz w:val="20"/>
                <w:szCs w:val="20"/>
                <w:color w:val="auto"/>
              </w:rPr>
            </w:pPr>
            <w:r>
              <w:rPr>
                <w:rFonts w:ascii="Arial" w:cs="Arial" w:eastAsia="Arial" w:hAnsi="Arial"/>
                <w:sz w:val="14"/>
                <w:szCs w:val="14"/>
                <w:color w:val="auto"/>
              </w:rPr>
              <w:t>Kenneth Hunt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74"/>
        </w:trPr>
        <w:tc>
          <w:tcPr>
            <w:tcW w:w="46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Attorney-In-Fact*</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r>
    </w:tbl>
    <w:p>
      <w:pPr>
        <w:spacing w:after="0" w:line="175" w:lineRule="exact"/>
        <w:rPr>
          <w:sz w:val="20"/>
          <w:szCs w:val="20"/>
          <w:color w:val="auto"/>
        </w:rPr>
      </w:pPr>
    </w:p>
    <w:p>
      <w:pPr>
        <w:ind w:left="380" w:hanging="378"/>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Pursuant to authority granted by powers of attorney, copies of which are filed herewith.</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wp:posOffset>
            </wp:positionV>
            <wp:extent cx="728535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423" w:right="219" w:bottom="1440" w:gutter="0" w:footer="0" w:header="0"/>
        </w:sectPr>
      </w:pPr>
    </w:p>
    <w:bookmarkStart w:id="32" w:name="page33"/>
    <w:bookmarkEnd w:id="32"/>
    <w:p>
      <w:pPr>
        <w:ind w:left="33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Manpower Inc.:</w:t>
      </w:r>
    </w:p>
    <w:p>
      <w:pPr>
        <w:spacing w:after="0" w:line="147" w:lineRule="exact"/>
        <w:rPr>
          <w:sz w:val="20"/>
          <w:szCs w:val="20"/>
          <w:color w:val="auto"/>
        </w:rPr>
      </w:pPr>
    </w:p>
    <w:p>
      <w:pPr>
        <w:ind w:firstLine="370"/>
        <w:spacing w:after="0" w:line="314" w:lineRule="auto"/>
        <w:rPr>
          <w:sz w:val="20"/>
          <w:szCs w:val="20"/>
          <w:color w:val="auto"/>
        </w:rPr>
      </w:pPr>
      <w:r>
        <w:rPr>
          <w:rFonts w:ascii="Arial" w:cs="Arial" w:eastAsia="Arial" w:hAnsi="Arial"/>
          <w:sz w:val="11"/>
          <w:szCs w:val="11"/>
          <w:color w:val="auto"/>
        </w:rPr>
        <w:t>We have audited the consolidated financial statements of Manpower Inc. and subsidiaries (the “Company”) as of December 31, 2008 and 2007 and for each of the three years in the period ended December 31, 2008, and the Company’s internal control over financial reporting as of December 31, 2008, and have issued our reports thereon dated February 18, 2009; such consolidated financial statements and reports are included in the 2008 Annual Report to Shareholders and are incorporated herein by reference.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Deloitte &amp; Touche LLP</w:t>
      </w:r>
    </w:p>
    <w:p>
      <w:pPr>
        <w:spacing w:after="0" w:line="237" w:lineRule="auto"/>
        <w:rPr>
          <w:sz w:val="20"/>
          <w:szCs w:val="20"/>
          <w:color w:val="auto"/>
        </w:rPr>
      </w:pPr>
      <w:r>
        <w:rPr>
          <w:rFonts w:ascii="Arial" w:cs="Arial" w:eastAsia="Arial" w:hAnsi="Arial"/>
          <w:sz w:val="14"/>
          <w:szCs w:val="14"/>
          <w:color w:val="auto"/>
        </w:rPr>
        <w:t>Milwaukee, Wisconsin</w:t>
      </w:r>
    </w:p>
    <w:p>
      <w:pPr>
        <w:spacing w:after="0"/>
        <w:rPr>
          <w:sz w:val="20"/>
          <w:szCs w:val="20"/>
          <w:color w:val="auto"/>
        </w:rPr>
      </w:pPr>
      <w:r>
        <w:rPr>
          <w:rFonts w:ascii="Arial" w:cs="Arial" w:eastAsia="Arial" w:hAnsi="Arial"/>
          <w:sz w:val="14"/>
          <w:szCs w:val="14"/>
          <w:color w:val="auto"/>
        </w:rPr>
        <w:t>February 18, 2009</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360"/>
          </w:cols>
          <w:pgMar w:left="220" w:top="433" w:right="319" w:bottom="1440" w:gutter="0" w:footer="0" w:header="0"/>
        </w:sectPr>
      </w:pPr>
    </w:p>
    <w:bookmarkStart w:id="33" w:name="page34"/>
    <w:bookmarkEnd w:id="33"/>
    <w:p>
      <w:pPr>
        <w:ind w:left="3800"/>
        <w:spacing w:after="0"/>
        <w:rPr>
          <w:sz w:val="20"/>
          <w:szCs w:val="20"/>
          <w:color w:val="auto"/>
        </w:rPr>
      </w:pPr>
      <w:r>
        <w:rPr>
          <w:rFonts w:ascii="Arial" w:cs="Arial" w:eastAsia="Arial" w:hAnsi="Arial"/>
          <w:sz w:val="14"/>
          <w:szCs w:val="14"/>
          <w:b w:val="1"/>
          <w:bCs w:val="1"/>
          <w:color w:val="auto"/>
        </w:rPr>
        <w:t>SCHEDULE II - VALUATION AND QUALIFYING ACCOUNTS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 the years ended December 31, 2008, 2007 and 2006, in millions: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Allowance for Doubtful Accounts: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Balance at</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Provisions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4"/>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40"/>
              <w:spacing w:after="0" w:line="154" w:lineRule="exact"/>
              <w:rPr>
                <w:sz w:val="20"/>
                <w:szCs w:val="20"/>
                <w:color w:val="auto"/>
              </w:rPr>
            </w:pPr>
            <w:r>
              <w:rPr>
                <w:rFonts w:ascii="Arial" w:cs="Arial" w:eastAsia="Arial" w:hAnsi="Arial"/>
                <w:sz w:val="14"/>
                <w:szCs w:val="14"/>
                <w:b w:val="1"/>
                <w:bCs w:val="1"/>
                <w:color w:val="auto"/>
                <w:w w:val="87"/>
              </w:rPr>
              <w:t>Beginning</w:t>
            </w:r>
          </w:p>
        </w:tc>
        <w:tc>
          <w:tcPr>
            <w:tcW w:w="146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9"/>
              </w:rPr>
              <w:t>Charged to</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jc w:val="right"/>
              <w:ind w:right="600"/>
              <w:spacing w:after="0" w:line="154" w:lineRule="exact"/>
              <w:rPr>
                <w:sz w:val="20"/>
                <w:szCs w:val="20"/>
                <w:color w:val="auto"/>
              </w:rPr>
            </w:pPr>
            <w:r>
              <w:rPr>
                <w:rFonts w:ascii="Arial" w:cs="Arial" w:eastAsia="Arial" w:hAnsi="Arial"/>
                <w:sz w:val="14"/>
                <w:szCs w:val="14"/>
                <w:b w:val="1"/>
                <w:bCs w:val="1"/>
                <w:color w:val="auto"/>
              </w:rPr>
              <w:t>Translation</w:t>
            </w:r>
          </w:p>
        </w:tc>
        <w:tc>
          <w:tcPr>
            <w:tcW w:w="1740" w:type="dxa"/>
            <w:vAlign w:val="bottom"/>
            <w:gridSpan w:val="2"/>
          </w:tcPr>
          <w:p>
            <w:pPr>
              <w:ind w:left="180"/>
              <w:spacing w:after="0" w:line="154" w:lineRule="exact"/>
              <w:rPr>
                <w:sz w:val="20"/>
                <w:szCs w:val="20"/>
                <w:color w:val="auto"/>
              </w:rPr>
            </w:pPr>
            <w:r>
              <w:rPr>
                <w:rFonts w:ascii="Arial" w:cs="Arial" w:eastAsia="Arial" w:hAnsi="Arial"/>
                <w:sz w:val="14"/>
                <w:szCs w:val="14"/>
                <w:b w:val="1"/>
                <w:bCs w:val="1"/>
                <w:color w:val="auto"/>
              </w:rPr>
              <w:t>Reclassifications and</w:t>
            </w:r>
          </w:p>
        </w:tc>
        <w:tc>
          <w:tcPr>
            <w:tcW w:w="140" w:type="dxa"/>
            <w:vAlign w:val="bottom"/>
          </w:tcPr>
          <w:p>
            <w:pPr>
              <w:spacing w:after="0"/>
              <w:rPr>
                <w:sz w:val="13"/>
                <w:szCs w:val="13"/>
                <w:color w:val="auto"/>
              </w:rPr>
            </w:pPr>
          </w:p>
        </w:tc>
        <w:tc>
          <w:tcPr>
            <w:tcW w:w="2160" w:type="dxa"/>
            <w:vAlign w:val="bottom"/>
            <w:gridSpan w:val="3"/>
          </w:tcPr>
          <w:p>
            <w:pPr>
              <w:ind w:left="60"/>
              <w:spacing w:after="0" w:line="154" w:lineRule="exact"/>
              <w:rPr>
                <w:sz w:val="20"/>
                <w:szCs w:val="20"/>
                <w:color w:val="auto"/>
              </w:rPr>
            </w:pPr>
            <w:r>
              <w:rPr>
                <w:rFonts w:ascii="Arial" w:cs="Arial" w:eastAsia="Arial" w:hAnsi="Arial"/>
                <w:sz w:val="14"/>
                <w:szCs w:val="14"/>
                <w:b w:val="1"/>
                <w:bCs w:val="1"/>
                <w:color w:val="auto"/>
              </w:rPr>
              <w:t>Balance at End of</w:t>
            </w:r>
          </w:p>
        </w:tc>
      </w:tr>
      <w:tr>
        <w:trPr>
          <w:trHeight w:val="169"/>
        </w:trPr>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8"/>
              </w:rPr>
              <w:t>of Year</w:t>
            </w: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300" w:type="dxa"/>
            <w:vAlign w:val="bottom"/>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Write- Offs</w:t>
            </w:r>
          </w:p>
        </w:tc>
        <w:tc>
          <w:tcPr>
            <w:tcW w:w="280" w:type="dxa"/>
            <w:vAlign w:val="bottom"/>
          </w:tcPr>
          <w:p>
            <w:pPr>
              <w:spacing w:after="0"/>
              <w:rPr>
                <w:sz w:val="14"/>
                <w:szCs w:val="14"/>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Year</w:t>
            </w:r>
          </w:p>
        </w:tc>
        <w:tc>
          <w:tcPr>
            <w:tcW w:w="1000" w:type="dxa"/>
            <w:vAlign w:val="bottom"/>
          </w:tcPr>
          <w:p>
            <w:pPr>
              <w:spacing w:after="0"/>
              <w:rPr>
                <w:sz w:val="14"/>
                <w:szCs w:val="14"/>
                <w:color w:val="auto"/>
              </w:rPr>
            </w:pPr>
          </w:p>
        </w:tc>
      </w:tr>
      <w:tr>
        <w:trPr>
          <w:trHeight w:val="164"/>
        </w:trPr>
        <w:tc>
          <w:tcPr>
            <w:tcW w:w="18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2008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123.1</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23.4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(21.5)</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w:t>
            </w:r>
          </w:p>
        </w:tc>
        <w:tc>
          <w:tcPr>
            <w:tcW w:w="400" w:type="dxa"/>
            <w:vAlign w:val="bottom"/>
            <w:gridSpan w:val="2"/>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00" w:type="dxa"/>
            <w:vAlign w:val="bottom"/>
            <w:gridSpan w:val="2"/>
            <w:shd w:val="clear" w:color="auto" w:fill="CCEEFF"/>
          </w:tcPr>
          <w:p>
            <w:pPr>
              <w:jc w:val="right"/>
              <w:ind w:right="1000"/>
              <w:spacing w:after="0"/>
              <w:rPr>
                <w:sz w:val="20"/>
                <w:szCs w:val="20"/>
                <w:color w:val="auto"/>
              </w:rPr>
            </w:pPr>
            <w:r>
              <w:rPr>
                <w:rFonts w:ascii="Arial" w:cs="Arial" w:eastAsia="Arial" w:hAnsi="Arial"/>
                <w:sz w:val="14"/>
                <w:szCs w:val="14"/>
                <w:color w:val="auto"/>
              </w:rPr>
              <w:t>118.5</w:t>
            </w:r>
          </w:p>
        </w:tc>
      </w:tr>
      <w:tr>
        <w:trPr>
          <w:trHeight w:val="164"/>
        </w:trPr>
        <w:tc>
          <w:tcPr>
            <w:tcW w:w="1860" w:type="dxa"/>
            <w:vAlign w:val="bottom"/>
          </w:tcPr>
          <w:p>
            <w:pPr>
              <w:jc w:val="right"/>
              <w:ind w:right="152"/>
              <w:spacing w:after="0"/>
              <w:rPr>
                <w:sz w:val="20"/>
                <w:szCs w:val="20"/>
                <w:color w:val="auto"/>
              </w:rPr>
            </w:pPr>
            <w:r>
              <w:rPr>
                <w:rFonts w:ascii="Arial" w:cs="Arial" w:eastAsia="Arial" w:hAnsi="Arial"/>
                <w:sz w:val="14"/>
                <w:szCs w:val="14"/>
                <w:color w:val="auto"/>
              </w:rPr>
              <w:t>2007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109.9</w:t>
            </w: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21.8</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(20.8)</w:t>
            </w:r>
          </w:p>
        </w:tc>
        <w:tc>
          <w:tcPr>
            <w:tcW w:w="1320" w:type="dxa"/>
            <w:vAlign w:val="bottom"/>
          </w:tcPr>
          <w:p>
            <w:pPr>
              <w:jc w:val="right"/>
              <w:spacing w:after="0"/>
              <w:rPr>
                <w:sz w:val="20"/>
                <w:szCs w:val="20"/>
                <w:color w:val="auto"/>
              </w:rPr>
            </w:pPr>
            <w:r>
              <w:rPr>
                <w:rFonts w:ascii="Arial" w:cs="Arial" w:eastAsia="Arial" w:hAnsi="Arial"/>
                <w:sz w:val="14"/>
                <w:szCs w:val="14"/>
                <w:color w:val="auto"/>
              </w:rPr>
              <w:t>9.5</w:t>
            </w:r>
          </w:p>
        </w:tc>
        <w:tc>
          <w:tcPr>
            <w:tcW w:w="280" w:type="dxa"/>
            <w:vAlign w:val="bottom"/>
          </w:tcPr>
          <w:p>
            <w:pPr>
              <w:spacing w:after="0"/>
              <w:rPr>
                <w:sz w:val="14"/>
                <w:szCs w:val="14"/>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4"/>
                <w:szCs w:val="14"/>
                <w:color w:val="auto"/>
              </w:rPr>
              <w:t>2.7</w:t>
            </w:r>
          </w:p>
        </w:tc>
        <w:tc>
          <w:tcPr>
            <w:tcW w:w="400" w:type="dxa"/>
            <w:vAlign w:val="bottom"/>
            <w:gridSpan w:val="2"/>
          </w:tcPr>
          <w:p>
            <w:pPr>
              <w:jc w:val="right"/>
              <w:ind w:right="132"/>
              <w:spacing w:after="0"/>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1000"/>
              <w:spacing w:after="0"/>
              <w:rPr>
                <w:sz w:val="20"/>
                <w:szCs w:val="20"/>
                <w:color w:val="auto"/>
              </w:rPr>
            </w:pPr>
            <w:r>
              <w:rPr>
                <w:rFonts w:ascii="Arial" w:cs="Arial" w:eastAsia="Arial" w:hAnsi="Arial"/>
                <w:sz w:val="14"/>
                <w:szCs w:val="14"/>
                <w:color w:val="auto"/>
              </w:rPr>
              <w:t>123.1</w:t>
            </w:r>
          </w:p>
        </w:tc>
      </w:tr>
      <w:tr>
        <w:trPr>
          <w:trHeight w:val="164"/>
        </w:trPr>
        <w:tc>
          <w:tcPr>
            <w:tcW w:w="18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2006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86.5</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w:t>
            </w:r>
          </w:p>
        </w:tc>
        <w:tc>
          <w:tcPr>
            <w:tcW w:w="400" w:type="dxa"/>
            <w:vAlign w:val="bottom"/>
            <w:gridSpan w:val="2"/>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00" w:type="dxa"/>
            <w:vAlign w:val="bottom"/>
            <w:gridSpan w:val="2"/>
            <w:shd w:val="clear" w:color="auto" w:fill="CCEEFF"/>
          </w:tcPr>
          <w:p>
            <w:pPr>
              <w:jc w:val="right"/>
              <w:ind w:right="1000"/>
              <w:spacing w:after="0"/>
              <w:rPr>
                <w:sz w:val="20"/>
                <w:szCs w:val="20"/>
                <w:color w:val="auto"/>
              </w:rPr>
            </w:pPr>
            <w:r>
              <w:rPr>
                <w:rFonts w:ascii="Arial" w:cs="Arial" w:eastAsia="Arial" w:hAnsi="Arial"/>
                <w:sz w:val="14"/>
                <w:szCs w:val="14"/>
                <w:color w:val="auto"/>
              </w:rPr>
              <w:t>109.9</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60"/>
          </w:cols>
          <w:pgMar w:left="220" w:top="423" w:right="219" w:bottom="1440" w:gutter="0" w:footer="0" w:header="0"/>
        </w:sectPr>
      </w:pPr>
    </w:p>
    <w:bookmarkStart w:id="34" w:name="page35"/>
    <w:bookmarkEnd w:id="34"/>
    <w:p>
      <w:pPr>
        <w:ind w:left="10300"/>
        <w:spacing w:after="0"/>
        <w:rPr>
          <w:sz w:val="20"/>
          <w:szCs w:val="20"/>
          <w:color w:val="auto"/>
        </w:rPr>
      </w:pPr>
      <w:r>
        <w:rPr>
          <w:rFonts w:ascii="Arial" w:cs="Arial" w:eastAsia="Arial" w:hAnsi="Arial"/>
          <w:sz w:val="15"/>
          <w:szCs w:val="15"/>
          <w:b w:val="1"/>
          <w:bCs w:val="1"/>
          <w:color w:val="auto"/>
        </w:rPr>
        <w:t>Exhibit 10.11(b)</w:t>
      </w:r>
    </w:p>
    <w:p>
      <w:pPr>
        <w:spacing w:after="0" w:line="30"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6  0  ;</w:t>
      </w:r>
    </w:p>
    <w:p>
      <w:pPr>
        <w:sectPr>
          <w:pgSz w:w="11900" w:h="16838" w:orient="portrait"/>
          <w:cols w:equalWidth="0" w:num="1">
            <w:col w:w="11460"/>
          </w:cols>
          <w:pgMar w:left="220" w:top="304" w:right="219" w:bottom="144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Manpower Inc.</w:t>
      </w:r>
    </w:p>
    <w:p>
      <w:pPr>
        <w:ind w:left="40"/>
        <w:spacing w:after="0"/>
        <w:rPr>
          <w:sz w:val="20"/>
          <w:szCs w:val="20"/>
          <w:color w:val="auto"/>
        </w:rPr>
      </w:pPr>
      <w:r>
        <w:rPr>
          <w:rFonts w:ascii="Arial" w:cs="Arial" w:eastAsia="Arial" w:hAnsi="Arial"/>
          <w:sz w:val="16"/>
          <w:szCs w:val="16"/>
          <w:color w:val="auto"/>
        </w:rPr>
        <w:t>5301 North Ironwood Road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Milwaukee, Wisconsin 53217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Manpower Holdings Limited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Old Dairy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Griffin Farm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Toddington, UK</w:t>
      </w:r>
    </w:p>
    <w:p>
      <w:pPr>
        <w:spacing w:after="0" w:line="200" w:lineRule="exact"/>
        <w:rPr>
          <w:sz w:val="20"/>
          <w:szCs w:val="20"/>
          <w:color w:val="auto"/>
        </w:rPr>
      </w:pPr>
    </w:p>
    <w:p>
      <w:pPr>
        <w:sectPr>
          <w:pgSz w:w="11900" w:h="16838" w:orient="portrait"/>
          <w:cols w:equalWidth="0" w:num="2">
            <w:col w:w="6520" w:space="720"/>
            <w:col w:w="4220"/>
          </w:cols>
          <w:pgMar w:left="220" w:top="304" w:right="219" w:bottom="1440" w:gutter="0" w:footer="0" w:header="0"/>
          <w:type w:val="continuous"/>
        </w:sectPr>
      </w:pPr>
    </w:p>
    <w:p>
      <w:pPr>
        <w:spacing w:after="0" w:line="280"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Effective April 1, 2008</w:t>
      </w:r>
    </w:p>
    <w:p>
      <w:pPr>
        <w:sectPr>
          <w:pgSz w:w="11900" w:h="16838" w:orient="portrait"/>
          <w:cols w:equalWidth="0" w:num="1">
            <w:col w:w="11460"/>
          </w:cols>
          <w:pgMar w:left="220" w:top="304" w:right="219" w:bottom="1440" w:gutter="0" w:footer="0" w:header="0"/>
          <w:type w:val="continuous"/>
        </w:sect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Ms. Barbara Beck:</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have agreed as follows with respect to the compensation to be paid and the other benefits to be provided to you in connection with your employment relocation by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Manpower Inc. (the “Corporation”) and in accordance with that letter agreement between you and the Corporation dated December 20, 2005 (the “Assignment Letter”):</w:t>
      </w:r>
    </w:p>
    <w:p>
      <w:pPr>
        <w:spacing w:after="0" w:line="183" w:lineRule="exact"/>
        <w:rPr>
          <w:sz w:val="20"/>
          <w:szCs w:val="20"/>
          <w:color w:val="auto"/>
        </w:rPr>
      </w:pPr>
    </w:p>
    <w:p>
      <w:pPr>
        <w:jc w:val="both"/>
        <w:ind w:firstLine="588"/>
        <w:spacing w:after="0" w:line="273" w:lineRule="auto"/>
        <w:tabs>
          <w:tab w:leader="none" w:pos="883" w:val="left"/>
        </w:tabs>
        <w:numPr>
          <w:ilvl w:val="2"/>
          <w:numId w:val="18"/>
        </w:numPr>
        <w:rPr>
          <w:rFonts w:ascii="Arial" w:cs="Arial" w:eastAsia="Arial" w:hAnsi="Arial"/>
          <w:sz w:val="15"/>
          <w:szCs w:val="15"/>
          <w:color w:val="auto"/>
        </w:rPr>
      </w:pPr>
      <w:r>
        <w:rPr>
          <w:rFonts w:ascii="Arial" w:cs="Arial" w:eastAsia="Arial" w:hAnsi="Arial"/>
          <w:sz w:val="15"/>
          <w:szCs w:val="15"/>
          <w:u w:val="single" w:color="auto"/>
          <w:color w:val="auto"/>
        </w:rPr>
        <w:t>Position</w:t>
      </w:r>
      <w:r>
        <w:rPr>
          <w:rFonts w:ascii="Arial" w:cs="Arial" w:eastAsia="Arial" w:hAnsi="Arial"/>
          <w:sz w:val="15"/>
          <w:szCs w:val="15"/>
          <w:color w:val="auto"/>
        </w:rPr>
        <w:t>. In connection with your relocation by the Corporation, effective as of April 1, 2008, your employment will be with the Corporation as President - Europe, Middle East and Africa (“President - EMEA”). As President - EMEA, you will perform such duties as may be assigned to you from time to time, and as may be consistent with the position of President - EMEA, as determined by the Corporation’s Chief Executive Officer. You agree to devote your best efforts and full business time to the performance of the duties assigned to you. Your base of operations for the performance of your duties will be Milwaukee, Wisconsin.</w:t>
      </w:r>
    </w:p>
    <w:p>
      <w:pPr>
        <w:spacing w:after="0" w:line="139" w:lineRule="exact"/>
        <w:rPr>
          <w:rFonts w:ascii="Arial" w:cs="Arial" w:eastAsia="Arial" w:hAnsi="Arial"/>
          <w:sz w:val="15"/>
          <w:szCs w:val="15"/>
          <w:color w:val="auto"/>
        </w:rPr>
      </w:pPr>
    </w:p>
    <w:p>
      <w:pPr>
        <w:ind w:left="820" w:hanging="284"/>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referred to in the Assignment Letter will end effective March 31, 2008.</w:t>
      </w:r>
    </w:p>
    <w:p>
      <w:pPr>
        <w:spacing w:after="0" w:line="185" w:lineRule="exact"/>
        <w:rPr>
          <w:rFonts w:ascii="Arial" w:cs="Arial" w:eastAsia="Arial" w:hAnsi="Arial"/>
          <w:sz w:val="16"/>
          <w:szCs w:val="16"/>
          <w:color w:val="auto"/>
        </w:rPr>
      </w:pPr>
    </w:p>
    <w:p>
      <w:pPr>
        <w:ind w:firstLine="619"/>
        <w:spacing w:after="0" w:line="273" w:lineRule="auto"/>
        <w:tabs>
          <w:tab w:leader="none" w:pos="924" w:val="left"/>
        </w:tabs>
        <w:numPr>
          <w:ilvl w:val="3"/>
          <w:numId w:val="19"/>
        </w:numPr>
        <w:rPr>
          <w:rFonts w:ascii="Arial" w:cs="Arial" w:eastAsia="Arial" w:hAnsi="Arial"/>
          <w:sz w:val="16"/>
          <w:szCs w:val="16"/>
          <w:color w:val="auto"/>
        </w:rPr>
      </w:pPr>
      <w:r>
        <w:rPr>
          <w:rFonts w:ascii="Arial" w:cs="Arial" w:eastAsia="Arial" w:hAnsi="Arial"/>
          <w:sz w:val="16"/>
          <w:szCs w:val="16"/>
          <w:u w:val="single" w:color="auto"/>
          <w:color w:val="auto"/>
        </w:rPr>
        <w:t>Housing</w:t>
      </w:r>
      <w:r>
        <w:rPr>
          <w:rFonts w:ascii="Arial" w:cs="Arial" w:eastAsia="Arial" w:hAnsi="Arial"/>
          <w:sz w:val="16"/>
          <w:szCs w:val="16"/>
          <w:color w:val="auto"/>
        </w:rPr>
        <w:t>. Notwithstanding the end of the Term in the Assignment Letter, Manpower Holdings Limited (“Holdings”) shall continue to permit you use the property at 4 Aspen Court in Surrey, England while you are in London until the expiration of the lease on such property on July 7, 2008.</w:t>
      </w:r>
    </w:p>
    <w:p>
      <w:pPr>
        <w:spacing w:after="0" w:line="136" w:lineRule="exact"/>
        <w:rPr>
          <w:rFonts w:ascii="Arial" w:cs="Arial" w:eastAsia="Arial" w:hAnsi="Arial"/>
          <w:sz w:val="16"/>
          <w:szCs w:val="16"/>
          <w:color w:val="auto"/>
        </w:rPr>
      </w:pPr>
    </w:p>
    <w:p>
      <w:pPr>
        <w:jc w:val="both"/>
        <w:ind w:firstLine="557"/>
        <w:spacing w:after="0" w:line="257" w:lineRule="auto"/>
        <w:tabs>
          <w:tab w:leader="none" w:pos="84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Tax Preparation</w:t>
      </w:r>
      <w:r>
        <w:rPr>
          <w:rFonts w:ascii="Arial" w:cs="Arial" w:eastAsia="Arial" w:hAnsi="Arial"/>
          <w:sz w:val="16"/>
          <w:szCs w:val="16"/>
          <w:color w:val="auto"/>
        </w:rPr>
        <w:t>. Your income tax returns for any year or partial year while you continue in your position as President - EMEA for income earned during that period, shall be prepared by a nationally recognized accounting firm of the Corporation’s choice, and the Corporation agrees to directly pay the fees charged by such firm to prepare such tax returns upon the Corporation’s receipt of such invoices from the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728535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304" w:right="219" w:bottom="1440" w:gutter="0" w:footer="0" w:header="0"/>
          <w:type w:val="continuous"/>
        </w:sectPr>
      </w:pPr>
    </w:p>
    <w:bookmarkStart w:id="35" w:name="page36"/>
    <w:bookmarkEnd w:id="35"/>
    <w:p>
      <w:pPr>
        <w:jc w:val="both"/>
        <w:ind w:firstLine="547"/>
        <w:spacing w:after="0" w:line="264" w:lineRule="auto"/>
        <w:tabs>
          <w:tab w:leader="none" w:pos="832"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Tax Protection</w:t>
      </w:r>
      <w:r>
        <w:rPr>
          <w:rFonts w:ascii="Arial" w:cs="Arial" w:eastAsia="Arial" w:hAnsi="Arial"/>
          <w:sz w:val="15"/>
          <w:szCs w:val="15"/>
          <w:color w:val="auto"/>
        </w:rPr>
        <w:t>. The Corporation will reimburse you for the total United States (state and federal) and foreign taxes incurred by you related to your base salary, bonus, equity compensation and benefits received by you under this letter agreement as a result of your position as President - EMEA and the business travel you perform in furtherance of your duties as President - EMEA, in excess of the total United States (state and federal) taxes you would have incurred as a result of receiving such payments if you worked exclusively within the United States. As noted, the Corporation’s obligation to reimburse you for such excess taxes relates only to items of income and benefits you receive from the Corporation for services rendered to the Corporation. The Corporation’s obligation to reimburse you for excess taxes shall not apply to any severance payments under the severance agreement entered into between you and the Corporation dated May 12, 2006 (the “Severance Agreement”) or any successor agreement. Payments of such reimbursements for excess taxes shall be made no later than the end of the second taxable year beginning after the taxable year in which your U.S. federal income tax return is required to be filed (including any extensions) for the year in which the compensation subject to such reimbursement relates.</w:t>
      </w:r>
    </w:p>
    <w:p>
      <w:pPr>
        <w:spacing w:after="0" w:line="146" w:lineRule="exact"/>
        <w:rPr>
          <w:sz w:val="20"/>
          <w:szCs w:val="20"/>
          <w:color w:val="auto"/>
        </w:rPr>
      </w:pPr>
    </w:p>
    <w:p>
      <w:pPr>
        <w:jc w:val="both"/>
        <w:ind w:firstLine="493"/>
        <w:spacing w:after="0" w:line="251" w:lineRule="auto"/>
        <w:rPr>
          <w:sz w:val="20"/>
          <w:szCs w:val="20"/>
          <w:color w:val="auto"/>
        </w:rPr>
      </w:pPr>
      <w:r>
        <w:rPr>
          <w:rFonts w:ascii="Arial" w:cs="Arial" w:eastAsia="Arial" w:hAnsi="Arial"/>
          <w:sz w:val="16"/>
          <w:szCs w:val="16"/>
          <w:color w:val="auto"/>
        </w:rPr>
        <w:t>In addition, the Corporation will reimburse you for all United States (state and federal) and foreign taxes incurred by you as a result of receiving the benefits described in paragraphs 3 and 4 of this letter agreement. These reimbursements will be grossed-up so that the net amount received by you, after subtraction of all taxes applicable to the reimbursement plus the gross-up amount, will equal the reimbursement amount. Reimbursements under this paragraph will be paid to you no later than the end of the taxable year next following the taxable year in which you pay taxes on the benefits described in paragraphs 3 and 4, above.</w:t>
      </w:r>
    </w:p>
    <w:p>
      <w:pPr>
        <w:spacing w:after="0" w:line="155" w:lineRule="exact"/>
        <w:rPr>
          <w:sz w:val="20"/>
          <w:szCs w:val="20"/>
          <w:color w:val="auto"/>
        </w:rPr>
      </w:pPr>
    </w:p>
    <w:p>
      <w:pPr>
        <w:ind w:right="120" w:firstLine="493"/>
        <w:spacing w:after="0" w:line="273" w:lineRule="auto"/>
        <w:rPr>
          <w:sz w:val="20"/>
          <w:szCs w:val="20"/>
          <w:color w:val="auto"/>
        </w:rPr>
      </w:pPr>
      <w:r>
        <w:rPr>
          <w:rFonts w:ascii="Arial" w:cs="Arial" w:eastAsia="Arial" w:hAnsi="Arial"/>
          <w:sz w:val="15"/>
          <w:szCs w:val="15"/>
          <w:color w:val="auto"/>
        </w:rPr>
        <w:t>The amounts to be reimbursed under this paragraph will be determined by a nationally recognized accounting firm selected by the Corporation, whose determination will be binding on both parties. You agree to take such reasonable steps and make such elections as the Corporation may request in order to reduce the Corporation’s obligations under this paragraph provided, however, that if such elections are expected to impact tax years subsequent to the period you are serving as the Corporation’s President - EMEA, you will not be required to do so unless you consent to such actions, which consent shall not be unreasonably withheld.</w:t>
      </w:r>
    </w:p>
    <w:p>
      <w:pPr>
        <w:spacing w:after="0" w:line="140" w:lineRule="exact"/>
        <w:rPr>
          <w:sz w:val="20"/>
          <w:szCs w:val="20"/>
          <w:color w:val="auto"/>
        </w:rPr>
      </w:pPr>
    </w:p>
    <w:p>
      <w:pPr>
        <w:jc w:val="both"/>
        <w:ind w:firstLine="547"/>
        <w:spacing w:after="0" w:line="251" w:lineRule="auto"/>
        <w:tabs>
          <w:tab w:leader="none" w:pos="83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with Holdings; Release of Claims</w:t>
      </w:r>
      <w:r>
        <w:rPr>
          <w:rFonts w:ascii="Arial" w:cs="Arial" w:eastAsia="Arial" w:hAnsi="Arial"/>
          <w:sz w:val="16"/>
          <w:szCs w:val="16"/>
          <w:color w:val="auto"/>
        </w:rPr>
        <w:t>. As noted above, in connection with your relocation to the United States, with effect from April 1, 2008, your employer will be Manpower Inc. In signing this letter, you acknowledge and agree that you have no claims against Holdings in respect of your employment with that entity or its termination and that you are not entitled, by virtue of your relocation, to any payment under the Severance Agreement. You also acknowledge and agree that you have no claims against Manpower Plc in respect of your employment with that entity or its termination.</w:t>
      </w:r>
    </w:p>
    <w:p>
      <w:pPr>
        <w:spacing w:after="0" w:line="154" w:lineRule="exact"/>
        <w:rPr>
          <w:rFonts w:ascii="Arial" w:cs="Arial" w:eastAsia="Arial" w:hAnsi="Arial"/>
          <w:sz w:val="16"/>
          <w:szCs w:val="16"/>
          <w:color w:val="auto"/>
        </w:rPr>
      </w:pPr>
    </w:p>
    <w:p>
      <w:pPr>
        <w:ind w:firstLine="547"/>
        <w:spacing w:after="0" w:line="273" w:lineRule="auto"/>
        <w:tabs>
          <w:tab w:leader="none" w:pos="83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This letter agreement will be binding on the Corporation and its successors and will inure to the benefit of and be enforceable by your personal or legal representatives, heirs and successors.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36" w:name="page37"/>
    <w:bookmarkEnd w:id="36"/>
    <w:p>
      <w:pPr>
        <w:jc w:val="both"/>
        <w:ind w:firstLine="588"/>
        <w:spacing w:after="0" w:line="273" w:lineRule="auto"/>
        <w:tabs>
          <w:tab w:leader="none" w:pos="883" w:val="left"/>
        </w:tabs>
        <w:numPr>
          <w:ilvl w:val="1"/>
          <w:numId w:val="22"/>
        </w:numPr>
        <w:rPr>
          <w:rFonts w:ascii="Arial" w:cs="Arial" w:eastAsia="Arial" w:hAnsi="Arial"/>
          <w:sz w:val="15"/>
          <w:szCs w:val="15"/>
          <w:color w:val="auto"/>
        </w:rPr>
      </w:pPr>
      <w:r>
        <w:rPr>
          <w:rFonts w:ascii="Arial" w:cs="Arial" w:eastAsia="Arial" w:hAnsi="Arial"/>
          <w:sz w:val="15"/>
          <w:szCs w:val="15"/>
          <w:u w:val="single" w:color="auto"/>
          <w:color w:val="auto"/>
        </w:rPr>
        <w:t>No Right to Remain Employed</w:t>
      </w:r>
      <w:r>
        <w:rPr>
          <w:rFonts w:ascii="Arial" w:cs="Arial" w:eastAsia="Arial" w:hAnsi="Arial"/>
          <w:sz w:val="15"/>
          <w:szCs w:val="15"/>
          <w:color w:val="auto"/>
        </w:rPr>
        <w:t>. The “Manpower Group” is the Corporation and its direct and indirect subsidiaries.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 It is expressly understood that your employment with the Corporation is employment that is terminable at will by notice from the Corporation.</w:t>
      </w:r>
    </w:p>
    <w:p>
      <w:pPr>
        <w:spacing w:after="0" w:line="139" w:lineRule="exact"/>
        <w:rPr>
          <w:rFonts w:ascii="Arial" w:cs="Arial" w:eastAsia="Arial" w:hAnsi="Arial"/>
          <w:sz w:val="15"/>
          <w:szCs w:val="15"/>
          <w:color w:val="auto"/>
        </w:rPr>
      </w:pPr>
    </w:p>
    <w:p>
      <w:pPr>
        <w:ind w:firstLine="536"/>
        <w:spacing w:after="0" w:line="273" w:lineRule="auto"/>
        <w:tabs>
          <w:tab w:leader="none" w:pos="82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Modification</w:t>
      </w:r>
      <w:r>
        <w:rPr>
          <w:rFonts w:ascii="Arial" w:cs="Arial" w:eastAsia="Arial" w:hAnsi="Arial"/>
          <w:sz w:val="16"/>
          <w:szCs w:val="16"/>
          <w:color w:val="auto"/>
        </w:rPr>
        <w:t>. No provision of this letter may be modified, waived or discharged unless such waiver, modification or discharge is agreed to in writing by you and the Corporation.</w:t>
      </w:r>
    </w:p>
    <w:p>
      <w:pPr>
        <w:spacing w:after="0" w:line="136" w:lineRule="exact"/>
        <w:rPr>
          <w:rFonts w:ascii="Arial" w:cs="Arial" w:eastAsia="Arial" w:hAnsi="Arial"/>
          <w:sz w:val="16"/>
          <w:szCs w:val="16"/>
          <w:color w:val="auto"/>
        </w:rPr>
      </w:pPr>
    </w:p>
    <w:p>
      <w:pPr>
        <w:ind w:firstLine="619"/>
        <w:spacing w:after="0" w:line="273" w:lineRule="auto"/>
        <w:tabs>
          <w:tab w:leader="none" w:pos="1007"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This Agreement shall be governed by the internal laws of the State of Wisconsin, without regard to the conflict of laws, subject to any mandatory laws of England and Wales.</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you are in agreement with the foregoing, please sign and return one copy of this letter which will constitute our agreement with respect to the subject matter of this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letter.</w:t>
      </w:r>
    </w:p>
    <w:p>
      <w:pPr>
        <w:spacing w:after="0" w:line="35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Sincerely,</w:t>
      </w:r>
    </w:p>
    <w:p>
      <w:pPr>
        <w:spacing w:after="0" w:line="16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MANPOWER INC.</w:t>
      </w:r>
    </w:p>
    <w:p>
      <w:pPr>
        <w:spacing w:after="0" w:line="330"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By:/s/ Mara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11430</wp:posOffset>
            </wp:positionV>
            <wp:extent cx="167640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76400" cy="13335"/>
                    </a:xfrm>
                    <a:prstGeom prst="rect">
                      <a:avLst/>
                    </a:prstGeom>
                    <a:noFill/>
                  </pic:spPr>
                </pic:pic>
              </a:graphicData>
            </a:graphic>
          </wp:anchor>
        </w:drawing>
      </w:r>
    </w:p>
    <w:p>
      <w:pPr>
        <w:spacing w:after="0" w:line="4"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Mara Swan</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MANPOWER HOLDINGS LIMITED</w:t>
      </w:r>
    </w:p>
    <w:p>
      <w:pPr>
        <w:spacing w:after="0" w:line="330"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By:/s/ Michael J.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11430</wp:posOffset>
            </wp:positionV>
            <wp:extent cx="167640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76400" cy="13335"/>
                    </a:xfrm>
                    <a:prstGeom prst="rect">
                      <a:avLst/>
                    </a:prstGeom>
                    <a:noFill/>
                  </pic:spPr>
                </pic:pic>
              </a:graphicData>
            </a:graphic>
          </wp:anchor>
        </w:drawing>
      </w:r>
    </w:p>
    <w:p>
      <w:pPr>
        <w:spacing w:after="0" w:line="4"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Michael J. Lynch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Agreed as of the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day of April, 2008.</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Barbara Beck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Barbara Beck</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auto"/>
        </w:rPr>
        <w:t>3551815_1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60"/>
          </w:cols>
          <w:pgMar w:left="220" w:top="124" w:right="21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10.13(g)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 Manpower Place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Milwaukee, Wisconsin 53212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Effective November 10, 2008</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Mara Swan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Global Human Resources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Manpower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Milwaukee, WI 53212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Dear Mara:</w:t>
      </w:r>
    </w:p>
    <w:p>
      <w:pPr>
        <w:spacing w:after="0" w:line="186" w:lineRule="exact"/>
        <w:rPr>
          <w:sz w:val="20"/>
          <w:szCs w:val="20"/>
          <w:color w:val="auto"/>
        </w:rPr>
      </w:pPr>
    </w:p>
    <w:p>
      <w:pPr>
        <w:ind w:right="20" w:firstLine="493"/>
        <w:spacing w:after="0" w:line="267" w:lineRule="auto"/>
        <w:rPr>
          <w:sz w:val="20"/>
          <w:szCs w:val="20"/>
          <w:color w:val="auto"/>
        </w:rPr>
      </w:pPr>
      <w:r>
        <w:rPr>
          <w:rFonts w:ascii="Arial" w:cs="Arial" w:eastAsia="Arial" w:hAnsi="Arial"/>
          <w:sz w:val="15"/>
          <w:szCs w:val="15"/>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entered into an agreement with you as of May 2, 2006 regarding certain severance protections. Due to the requirements of Internal Revenue Code (the “Code”) Section 409A regarding deferred compensation and the potential application of Code Section 409A to that agreement, as well as the Corporation’s desire to provide consistent severance protection for executives of the Corporation who are members of the Executive Management Committee, we are amending and superseding that letter dated May 2, 2006 and have agreed as follows:</w:t>
      </w:r>
    </w:p>
    <w:p>
      <w:pPr>
        <w:spacing w:after="0" w:line="143" w:lineRule="exact"/>
        <w:rPr>
          <w:sz w:val="20"/>
          <w:szCs w:val="20"/>
          <w:color w:val="auto"/>
        </w:rPr>
      </w:pPr>
    </w:p>
    <w:p>
      <w:pPr>
        <w:ind w:left="500" w:hanging="210"/>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letter:</w:t>
      </w:r>
    </w:p>
    <w:p>
      <w:pPr>
        <w:spacing w:after="0" w:line="185" w:lineRule="exact"/>
        <w:rPr>
          <w:rFonts w:ascii="Arial" w:cs="Arial" w:eastAsia="Arial" w:hAnsi="Arial"/>
          <w:sz w:val="16"/>
          <w:szCs w:val="16"/>
          <w:color w:val="auto"/>
        </w:rPr>
      </w:pPr>
    </w:p>
    <w:p>
      <w:pPr>
        <w:ind w:left="980" w:hanging="256"/>
        <w:spacing w:after="0"/>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generally made available to executives of the Corporation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8535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304" w:right="219" w:bottom="1440" w:gutter="0" w:footer="0" w:header="0"/>
        </w:sectPr>
      </w:pPr>
    </w:p>
    <w:bookmarkStart w:id="38" w:name="page39"/>
    <w:bookmarkEnd w:id="38"/>
    <w:p>
      <w:pPr>
        <w:jc w:val="both"/>
        <w:ind w:left="266" w:hanging="266"/>
        <w:spacing w:after="0" w:line="262" w:lineRule="auto"/>
        <w:tabs>
          <w:tab w:leader="none" w:pos="266"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Manpower Group, (iv) any violation by you of a Manpower Group policy of material import, (v) any act by 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146" w:lineRule="exact"/>
        <w:rPr>
          <w:rFonts w:ascii="Arial" w:cs="Arial" w:eastAsia="Arial" w:hAnsi="Arial"/>
          <w:sz w:val="15"/>
          <w:szCs w:val="15"/>
          <w:color w:val="auto"/>
        </w:rPr>
      </w:pPr>
    </w:p>
    <w:p>
      <w:pPr>
        <w:ind w:left="266" w:hanging="256"/>
        <w:spacing w:after="0"/>
        <w:tabs>
          <w:tab w:leader="none" w:pos="26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A “Change of Control” will mean the first to occur of the following:</w:t>
      </w:r>
    </w:p>
    <w:p>
      <w:pPr>
        <w:spacing w:after="0" w:line="186" w:lineRule="exact"/>
        <w:rPr>
          <w:sz w:val="20"/>
          <w:szCs w:val="20"/>
          <w:color w:val="auto"/>
        </w:rPr>
      </w:pPr>
    </w:p>
    <w:p>
      <w:pPr>
        <w:jc w:val="both"/>
        <w:ind w:left="766" w:hanging="236"/>
        <w:spacing w:after="0" w:line="262" w:lineRule="auto"/>
        <w:tabs>
          <w:tab w:leader="none" w:pos="766"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53" w:lineRule="exact"/>
        <w:rPr>
          <w:sz w:val="20"/>
          <w:szCs w:val="20"/>
          <w:color w:val="auto"/>
        </w:rPr>
      </w:pPr>
    </w:p>
    <w:p>
      <w:pPr>
        <w:ind w:left="4986"/>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57785</wp:posOffset>
            </wp:positionV>
            <wp:extent cx="728535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746"/>
          </w:cols>
          <w:pgMar w:left="934" w:top="124" w:right="219" w:bottom="1440" w:gutter="0" w:footer="0" w:header="0"/>
        </w:sectPr>
      </w:pPr>
    </w:p>
    <w:bookmarkStart w:id="39" w:name="page40"/>
    <w:bookmarkEnd w:id="39"/>
    <w:p>
      <w:pPr>
        <w:jc w:val="both"/>
        <w:ind w:left="1480" w:hanging="282"/>
        <w:spacing w:after="0" w:line="247" w:lineRule="auto"/>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57" w:lineRule="exact"/>
        <w:rPr>
          <w:rFonts w:ascii="Arial" w:cs="Arial" w:eastAsia="Arial" w:hAnsi="Arial"/>
          <w:sz w:val="16"/>
          <w:szCs w:val="16"/>
          <w:color w:val="auto"/>
        </w:rPr>
      </w:pPr>
    </w:p>
    <w:p>
      <w:pPr>
        <w:ind w:left="1480" w:hanging="327"/>
        <w:spacing w:after="0" w:line="273" w:lineRule="auto"/>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consummation of any liquidation or dissolution of the Corporation or a sale or other disposition of all or substantially all of the assets of the Corporation; or</w:t>
      </w:r>
    </w:p>
    <w:p>
      <w:pPr>
        <w:spacing w:after="0" w:line="136" w:lineRule="exact"/>
        <w:rPr>
          <w:rFonts w:ascii="Arial" w:cs="Arial" w:eastAsia="Arial" w:hAnsi="Arial"/>
          <w:sz w:val="16"/>
          <w:szCs w:val="16"/>
          <w:color w:val="auto"/>
        </w:rPr>
      </w:pPr>
    </w:p>
    <w:p>
      <w:pPr>
        <w:jc w:val="both"/>
        <w:ind w:left="1480" w:hanging="318"/>
        <w:spacing w:after="0" w:line="247" w:lineRule="auto"/>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58" w:lineRule="exact"/>
        <w:rPr>
          <w:rFonts w:ascii="Arial" w:cs="Arial" w:eastAsia="Arial" w:hAnsi="Arial"/>
          <w:sz w:val="16"/>
          <w:szCs w:val="16"/>
          <w:color w:val="auto"/>
        </w:rPr>
      </w:pPr>
    </w:p>
    <w:p>
      <w:pPr>
        <w:jc w:val="both"/>
        <w:ind w:left="1480" w:hanging="272"/>
        <w:spacing w:after="0" w:line="257" w:lineRule="auto"/>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9" w:lineRule="exact"/>
        <w:rPr>
          <w:sz w:val="20"/>
          <w:szCs w:val="20"/>
          <w:color w:val="auto"/>
        </w:rPr>
      </w:pPr>
    </w:p>
    <w:p>
      <w:pPr>
        <w:ind w:right="220" w:firstLine="493"/>
        <w:spacing w:after="0" w:line="257"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40" w:name="page41"/>
    <w:bookmarkEnd w:id="40"/>
    <w:p>
      <w:pPr>
        <w:ind w:left="980" w:hanging="266"/>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“Good Reason” will mean, without your consent, the occurrence of any one or more of the following during the Term:</w:t>
      </w:r>
    </w:p>
    <w:p>
      <w:pPr>
        <w:spacing w:after="0" w:line="185" w:lineRule="exact"/>
        <w:rPr>
          <w:rFonts w:ascii="Arial" w:cs="Arial" w:eastAsia="Arial" w:hAnsi="Arial"/>
          <w:sz w:val="16"/>
          <w:szCs w:val="16"/>
          <w:color w:val="auto"/>
        </w:rPr>
      </w:pPr>
    </w:p>
    <w:p>
      <w:pPr>
        <w:ind w:left="1600" w:hanging="612"/>
        <w:spacing w:after="0"/>
        <w:tabs>
          <w:tab w:leader="none" w:pos="16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 material dimunition in your authority, duties or responsibilities;</w:t>
      </w:r>
    </w:p>
    <w:p>
      <w:pPr>
        <w:spacing w:after="0" w:line="185" w:lineRule="exact"/>
        <w:rPr>
          <w:rFonts w:ascii="Arial" w:cs="Arial" w:eastAsia="Arial" w:hAnsi="Arial"/>
          <w:sz w:val="16"/>
          <w:szCs w:val="16"/>
          <w:color w:val="auto"/>
        </w:rPr>
      </w:pPr>
    </w:p>
    <w:p>
      <w:pPr>
        <w:ind w:left="1480" w:right="320" w:hanging="492"/>
        <w:spacing w:after="0" w:line="273"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material breach of this agreement by the Corporation or of any material obligation of any member of the Manpower Group for the payment or provision of compensation or other benefits to you;</w:t>
      </w:r>
    </w:p>
    <w:p>
      <w:pPr>
        <w:spacing w:after="0" w:line="136" w:lineRule="exact"/>
        <w:rPr>
          <w:rFonts w:ascii="Arial" w:cs="Arial" w:eastAsia="Arial" w:hAnsi="Arial"/>
          <w:sz w:val="16"/>
          <w:szCs w:val="16"/>
          <w:color w:val="auto"/>
        </w:rPr>
      </w:pPr>
    </w:p>
    <w:p>
      <w:pPr>
        <w:ind w:left="1480" w:right="120" w:hanging="492"/>
        <w:spacing w:after="0" w:line="273"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 material dimunition in your base salary or a failure by the Manpower Group to provide an arrangement for you for any fiscal year of the Manpower Group giving you the opportunity to earn an incentive bonus for such year;</w:t>
      </w:r>
    </w:p>
    <w:p>
      <w:pPr>
        <w:spacing w:after="0" w:line="136" w:lineRule="exact"/>
        <w:rPr>
          <w:rFonts w:ascii="Arial" w:cs="Arial" w:eastAsia="Arial" w:hAnsi="Arial"/>
          <w:sz w:val="16"/>
          <w:szCs w:val="16"/>
          <w:color w:val="auto"/>
        </w:rPr>
      </w:pPr>
    </w:p>
    <w:p>
      <w:pPr>
        <w:ind w:left="1480" w:right="120" w:hanging="492"/>
        <w:spacing w:after="0" w:line="273"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your being required by the Corporation to materially change the location of your principal office; provided such new location is one in excess of fifty miles from the location of your principal office before such change; or</w:t>
      </w:r>
    </w:p>
    <w:p>
      <w:pPr>
        <w:spacing w:after="0" w:line="136" w:lineRule="exact"/>
        <w:rPr>
          <w:rFonts w:ascii="Arial" w:cs="Arial" w:eastAsia="Arial" w:hAnsi="Arial"/>
          <w:sz w:val="16"/>
          <w:szCs w:val="16"/>
          <w:color w:val="auto"/>
        </w:rPr>
      </w:pPr>
    </w:p>
    <w:p>
      <w:pPr>
        <w:ind w:left="1480" w:right="140" w:hanging="492"/>
        <w:spacing w:after="0" w:line="307" w:lineRule="auto"/>
        <w:tabs>
          <w:tab w:leader="none" w:pos="14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a material dimunition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113" w:lineRule="exact"/>
        <w:rPr>
          <w:sz w:val="20"/>
          <w:szCs w:val="20"/>
          <w:color w:val="auto"/>
        </w:rPr>
      </w:pPr>
    </w:p>
    <w:p>
      <w:pPr>
        <w:ind w:right="180" w:firstLine="493"/>
        <w:spacing w:after="0" w:line="286" w:lineRule="auto"/>
        <w:rPr>
          <w:sz w:val="20"/>
          <w:szCs w:val="20"/>
          <w:color w:val="auto"/>
        </w:rPr>
      </w:pPr>
      <w:r>
        <w:rPr>
          <w:rFonts w:ascii="Arial" w:cs="Arial" w:eastAsia="Arial" w:hAnsi="Arial"/>
          <w:sz w:val="14"/>
          <w:szCs w:val="14"/>
          <w:color w:val="auto"/>
        </w:rPr>
        <w:t>Notwithstanding Subsections 1(d)(i) – (v) above, Good Reason does not exist unless (i) you object to any material dimunition or breach described above by written notice to the Corporation within twenty (20) business days after such dimunition or breach occurs, (ii) the Corporation fails to cure such dimunition or breach within thirty</w:t>
      </w:r>
    </w:p>
    <w:p>
      <w:pPr>
        <w:ind w:firstLine="2"/>
        <w:spacing w:after="0" w:line="243" w:lineRule="auto"/>
        <w:tabs>
          <w:tab w:leader="none" w:pos="3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days after such notice is given and (iii) your employment with the Manpower Group is terminated by you within ninety (90) days after such dimunition or breach occurs. Further, notwithstanding Subsections 1(d)(i)-(v),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20"/>
          </w:cols>
          <w:pgMar w:left="220" w:top="124" w:right="259" w:bottom="1440" w:gutter="0" w:footer="0" w:header="0"/>
        </w:sectPr>
      </w:pPr>
    </w:p>
    <w:bookmarkStart w:id="41" w:name="page42"/>
    <w:bookmarkEnd w:id="41"/>
    <w:p>
      <w:pPr>
        <w:jc w:val="both"/>
        <w:ind w:left="266" w:hanging="256"/>
        <w:spacing w:after="0" w:line="273" w:lineRule="auto"/>
        <w:tabs>
          <w:tab w:leader="none" w:pos="266"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Notice of Termination</w:t>
      </w:r>
      <w:r>
        <w:rPr>
          <w:rFonts w:ascii="Arial" w:cs="Arial" w:eastAsia="Arial" w:hAnsi="Arial"/>
          <w:sz w:val="15"/>
          <w:szCs w:val="15"/>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39" w:lineRule="exact"/>
        <w:rPr>
          <w:rFonts w:ascii="Arial" w:cs="Arial" w:eastAsia="Arial" w:hAnsi="Arial"/>
          <w:sz w:val="15"/>
          <w:szCs w:val="15"/>
          <w:color w:val="auto"/>
        </w:rPr>
      </w:pPr>
    </w:p>
    <w:p>
      <w:pPr>
        <w:ind w:left="266" w:hanging="238"/>
        <w:spacing w:after="0" w:line="273" w:lineRule="auto"/>
        <w:tabs>
          <w:tab w:leader="none" w:pos="26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36" w:lineRule="exact"/>
        <w:rPr>
          <w:rFonts w:ascii="Arial" w:cs="Arial" w:eastAsia="Arial" w:hAnsi="Arial"/>
          <w:sz w:val="16"/>
          <w:szCs w:val="16"/>
          <w:color w:val="auto"/>
        </w:rPr>
      </w:pPr>
    </w:p>
    <w:p>
      <w:pPr>
        <w:ind w:left="266" w:hanging="266"/>
        <w:spacing w:after="0"/>
        <w:tabs>
          <w:tab w:leader="none" w:pos="26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Protected Period</w:t>
      </w:r>
      <w:r>
        <w:rPr>
          <w:rFonts w:ascii="Arial" w:cs="Arial" w:eastAsia="Arial" w:hAnsi="Arial"/>
          <w:sz w:val="16"/>
          <w:szCs w:val="16"/>
          <w:color w:val="auto"/>
        </w:rPr>
        <w:t>. The “Protected Period” shall be a period of time determined in accordance with the following:</w:t>
      </w:r>
    </w:p>
    <w:p>
      <w:pPr>
        <w:spacing w:after="0" w:line="185" w:lineRule="exact"/>
        <w:rPr>
          <w:rFonts w:ascii="Arial" w:cs="Arial" w:eastAsia="Arial" w:hAnsi="Arial"/>
          <w:sz w:val="16"/>
          <w:szCs w:val="16"/>
          <w:color w:val="auto"/>
        </w:rPr>
      </w:pPr>
    </w:p>
    <w:p>
      <w:pPr>
        <w:jc w:val="both"/>
        <w:ind w:left="766" w:hanging="236"/>
        <w:spacing w:after="0" w:line="257" w:lineRule="auto"/>
        <w:tabs>
          <w:tab w:leader="none" w:pos="766"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48" w:lineRule="exact"/>
        <w:rPr>
          <w:rFonts w:ascii="Arial" w:cs="Arial" w:eastAsia="Arial" w:hAnsi="Arial"/>
          <w:sz w:val="16"/>
          <w:szCs w:val="16"/>
          <w:color w:val="auto"/>
        </w:rPr>
      </w:pPr>
    </w:p>
    <w:p>
      <w:pPr>
        <w:jc w:val="both"/>
        <w:ind w:left="766" w:hanging="282"/>
        <w:spacing w:after="0" w:line="251" w:lineRule="auto"/>
        <w:tabs>
          <w:tab w:leader="none" w:pos="766"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54" w:lineRule="exact"/>
        <w:rPr>
          <w:rFonts w:ascii="Arial" w:cs="Arial" w:eastAsia="Arial" w:hAnsi="Arial"/>
          <w:sz w:val="16"/>
          <w:szCs w:val="16"/>
          <w:color w:val="auto"/>
        </w:rPr>
      </w:pPr>
    </w:p>
    <w:p>
      <w:pPr>
        <w:ind w:left="766" w:hanging="327"/>
        <w:spacing w:after="0" w:line="273" w:lineRule="auto"/>
        <w:tabs>
          <w:tab w:leader="none" w:pos="766"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36" w:lineRule="exact"/>
        <w:rPr>
          <w:rFonts w:ascii="Arial" w:cs="Arial" w:eastAsia="Arial" w:hAnsi="Arial"/>
          <w:sz w:val="16"/>
          <w:szCs w:val="16"/>
          <w:color w:val="auto"/>
        </w:rPr>
      </w:pPr>
    </w:p>
    <w:p>
      <w:pPr>
        <w:jc w:val="both"/>
        <w:ind w:left="266" w:hanging="266"/>
        <w:spacing w:after="0" w:line="257" w:lineRule="auto"/>
        <w:tabs>
          <w:tab w:leader="none" w:pos="26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will be a period beginning on November 10, 2008 and ending on the first to occur of the following: (a) the date which is the two-year anniversary of the occurrence of a Change of Control; (b) the date which is the three-year anniversary of May 2, 2006 if no Change of Control occurs between November 10, 2008 and such three-year anniversary; or (c) the Date of Termination.</w:t>
      </w:r>
    </w:p>
    <w:p>
      <w:pPr>
        <w:spacing w:after="0" w:line="154" w:lineRule="exact"/>
        <w:rPr>
          <w:sz w:val="20"/>
          <w:szCs w:val="20"/>
          <w:color w:val="auto"/>
        </w:rPr>
      </w:pPr>
    </w:p>
    <w:p>
      <w:pPr>
        <w:ind w:left="4986"/>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57785</wp:posOffset>
            </wp:positionV>
            <wp:extent cx="728535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746"/>
          </w:cols>
          <w:pgMar w:left="934" w:top="124" w:right="219" w:bottom="1440" w:gutter="0" w:footer="0" w:header="0"/>
        </w:sectPr>
      </w:pPr>
    </w:p>
    <w:bookmarkStart w:id="42" w:name="page43"/>
    <w:bookmarkEnd w:id="42"/>
    <w:p>
      <w:pPr>
        <w:ind w:left="220" w:hanging="210"/>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Compensation and Benefits on Termination</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jc w:val="both"/>
        <w:ind w:left="700" w:hanging="256"/>
        <w:spacing w:after="0" w:line="249" w:lineRule="auto"/>
        <w:tabs>
          <w:tab w:leader="none" w:pos="70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Termination by the Manpower Group for Cause or by You Other Than for Good Reason</w:t>
      </w:r>
      <w:r>
        <w:rPr>
          <w:rFonts w:ascii="Arial" w:cs="Arial" w:eastAsia="Arial" w:hAnsi="Arial"/>
          <w:sz w:val="16"/>
          <w:szCs w:val="16"/>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154" w:lineRule="exact"/>
        <w:rPr>
          <w:rFonts w:ascii="Arial" w:cs="Arial" w:eastAsia="Arial" w:hAnsi="Arial"/>
          <w:sz w:val="16"/>
          <w:szCs w:val="16"/>
          <w:color w:val="auto"/>
        </w:rPr>
      </w:pPr>
    </w:p>
    <w:p>
      <w:pPr>
        <w:jc w:val="both"/>
        <w:ind w:left="700" w:hanging="266"/>
        <w:spacing w:after="0" w:line="244" w:lineRule="auto"/>
        <w:tabs>
          <w:tab w:leader="none" w:pos="70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 or Death</w:t>
      </w:r>
      <w:r>
        <w:rPr>
          <w:rFonts w:ascii="Arial" w:cs="Arial" w:eastAsia="Arial" w:hAnsi="Arial"/>
          <w:sz w:val="16"/>
          <w:szCs w:val="16"/>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167"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57785</wp:posOffset>
            </wp:positionV>
            <wp:extent cx="728535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180"/>
          </w:cols>
          <w:pgMar w:left="500" w:top="124" w:right="219" w:bottom="1440" w:gutter="0" w:footer="0" w:header="0"/>
        </w:sectPr>
      </w:pPr>
    </w:p>
    <w:bookmarkStart w:id="43" w:name="page44"/>
    <w:bookmarkEnd w:id="43"/>
    <w:p>
      <w:pPr>
        <w:ind w:left="256" w:hanging="256"/>
        <w:spacing w:after="0"/>
        <w:tabs>
          <w:tab w:leader="none" w:pos="25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Termination for Any Other Reason</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ind w:left="756" w:hanging="236"/>
        <w:spacing w:after="0" w:line="273" w:lineRule="auto"/>
        <w:tabs>
          <w:tab w:leader="none" w:pos="756"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36" w:lineRule="exact"/>
        <w:rPr>
          <w:rFonts w:ascii="Arial" w:cs="Arial" w:eastAsia="Arial" w:hAnsi="Arial"/>
          <w:sz w:val="16"/>
          <w:szCs w:val="16"/>
          <w:color w:val="auto"/>
        </w:rPr>
      </w:pPr>
    </w:p>
    <w:p>
      <w:pPr>
        <w:ind w:left="1256" w:hanging="316"/>
        <w:spacing w:after="0" w:line="250" w:lineRule="auto"/>
        <w:tabs>
          <w:tab w:leader="none" w:pos="1256"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Corporation will pay you, your full base salary through the Date of Termination at the rate in effect at the time Notice of Termination is given;</w:t>
      </w:r>
    </w:p>
    <w:p>
      <w:pPr>
        <w:ind w:left="1256" w:hanging="307"/>
        <w:spacing w:after="0" w:line="241" w:lineRule="auto"/>
        <w:tabs>
          <w:tab w:leader="none" w:pos="1256"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Corporation will pay you, your unpaid bonus, if any, attributable to any complete fiscal year of the Manpower Group ended before the Date of Termination;</w:t>
      </w:r>
    </w:p>
    <w:p>
      <w:pPr>
        <w:jc w:val="both"/>
        <w:ind w:left="1256" w:hanging="307"/>
        <w:spacing w:after="0" w:line="241" w:lineRule="auto"/>
        <w:tabs>
          <w:tab w:leader="none" w:pos="1256"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w:t>
      </w:r>
    </w:p>
    <w:p>
      <w:pPr>
        <w:jc w:val="both"/>
        <w:ind w:left="1256" w:hanging="316"/>
        <w:spacing w:after="0" w:line="244" w:lineRule="auto"/>
        <w:tabs>
          <w:tab w:leader="none" w:pos="1256"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Committee of the Board approves a bona fide target annual bonus for the fiscal year in which the Change of Control occurs, your target annual bonus for the fiscal year prior to the fiscal year in which the Change of Control occurs);</w:t>
      </w:r>
    </w:p>
    <w:p>
      <w:pPr>
        <w:spacing w:after="0" w:line="166" w:lineRule="exact"/>
        <w:rPr>
          <w:sz w:val="20"/>
          <w:szCs w:val="20"/>
          <w:color w:val="auto"/>
        </w:rPr>
      </w:pPr>
    </w:p>
    <w:p>
      <w:pPr>
        <w:ind w:left="4976"/>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57785</wp:posOffset>
            </wp:positionV>
            <wp:extent cx="728535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736"/>
          </w:cols>
          <w:pgMar w:left="944" w:top="124" w:right="219" w:bottom="1440" w:gutter="0" w:footer="0" w:header="0"/>
        </w:sectPr>
      </w:pPr>
    </w:p>
    <w:bookmarkStart w:id="44" w:name="page45"/>
    <w:bookmarkEnd w:id="44"/>
    <w:p>
      <w:pPr>
        <w:ind w:left="760" w:right="140" w:hanging="298"/>
        <w:spacing w:after="0" w:line="282" w:lineRule="auto"/>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up to an eighteen-month period after the Date of Termination, the Corporation will arrange to provide you and your eligible dependents, at the Manpower Group's expense, with Health Insurance Continuation (defined below), or other substantially similar coverage, in which you were participating on the Date of Termination; provided, however, that benefits otherwise receivable by you pursuant to this subsection 2(c)(i)</w:t>
      </w:r>
    </w:p>
    <w:p>
      <w:pPr>
        <w:spacing w:after="0" w:line="1" w:lineRule="exact"/>
        <w:rPr>
          <w:rFonts w:ascii="Arial" w:cs="Arial" w:eastAsia="Arial" w:hAnsi="Arial"/>
          <w:sz w:val="14"/>
          <w:szCs w:val="14"/>
          <w:color w:val="auto"/>
        </w:rPr>
      </w:pPr>
    </w:p>
    <w:p>
      <w:pPr>
        <w:ind w:left="760"/>
        <w:spacing w:after="0" w:line="267" w:lineRule="auto"/>
        <w:rPr>
          <w:rFonts w:ascii="Arial" w:cs="Arial" w:eastAsia="Arial" w:hAnsi="Arial"/>
          <w:sz w:val="14"/>
          <w:szCs w:val="14"/>
          <w:color w:val="auto"/>
        </w:rPr>
      </w:pPr>
      <w:r>
        <w:rPr>
          <w:rFonts w:ascii="Arial" w:cs="Arial" w:eastAsia="Arial" w:hAnsi="Arial"/>
          <w:sz w:val="15"/>
          <w:szCs w:val="15"/>
          <w:color w:val="auto"/>
        </w:rPr>
        <w:t>(E)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43" w:lineRule="exact"/>
        <w:rPr>
          <w:sz w:val="20"/>
          <w:szCs w:val="20"/>
          <w:color w:val="auto"/>
        </w:rPr>
      </w:pPr>
    </w:p>
    <w:p>
      <w:pPr>
        <w:ind w:left="760" w:right="40"/>
        <w:spacing w:after="0" w:line="261" w:lineRule="auto"/>
        <w:rPr>
          <w:sz w:val="20"/>
          <w:szCs w:val="20"/>
          <w:color w:val="auto"/>
        </w:rPr>
      </w:pPr>
      <w:r>
        <w:rPr>
          <w:rFonts w:ascii="Arial" w:cs="Arial" w:eastAsia="Arial" w:hAnsi="Arial"/>
          <w:sz w:val="15"/>
          <w:szCs w:val="15"/>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64770</wp:posOffset>
            </wp:positionV>
            <wp:extent cx="728535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240"/>
          </w:cols>
          <w:pgMar w:left="1440" w:top="308" w:right="219" w:bottom="1440" w:gutter="0" w:footer="0" w:header="0"/>
        </w:sectPr>
      </w:pPr>
    </w:p>
    <w:bookmarkStart w:id="45" w:name="page46"/>
    <w:bookmarkEnd w:id="45"/>
    <w:p>
      <w:pPr>
        <w:ind w:left="782" w:right="80" w:hanging="289"/>
        <w:spacing w:after="0" w:line="247" w:lineRule="auto"/>
        <w:tabs>
          <w:tab w:leader="none" w:pos="782" w:val="left"/>
        </w:tabs>
        <w:numPr>
          <w:ilvl w:val="2"/>
          <w:numId w:val="34"/>
        </w:numPr>
        <w:rPr>
          <w:rFonts w:ascii="Arial" w:cs="Arial" w:eastAsia="Arial" w:hAnsi="Arial"/>
          <w:sz w:val="16"/>
          <w:szCs w:val="16"/>
          <w:color w:val="auto"/>
        </w:rPr>
      </w:pPr>
      <w:r>
        <w:rPr>
          <w:rFonts w:ascii="Arial" w:cs="Arial" w:eastAsia="Arial" w:hAnsi="Arial"/>
          <w:sz w:val="16"/>
          <w:szCs w:val="16"/>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342" w:lineRule="exact"/>
        <w:rPr>
          <w:rFonts w:ascii="Arial" w:cs="Arial" w:eastAsia="Arial" w:hAnsi="Arial"/>
          <w:sz w:val="16"/>
          <w:szCs w:val="16"/>
          <w:color w:val="auto"/>
        </w:rPr>
      </w:pPr>
    </w:p>
    <w:p>
      <w:pPr>
        <w:ind w:left="282" w:hanging="282"/>
        <w:spacing w:after="0" w:line="273" w:lineRule="auto"/>
        <w:tabs>
          <w:tab w:leader="none" w:pos="28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136" w:lineRule="exact"/>
        <w:rPr>
          <w:rFonts w:ascii="Arial" w:cs="Arial" w:eastAsia="Arial" w:hAnsi="Arial"/>
          <w:sz w:val="16"/>
          <w:szCs w:val="16"/>
          <w:color w:val="auto"/>
        </w:rPr>
      </w:pPr>
    </w:p>
    <w:p>
      <w:pPr>
        <w:ind w:left="782" w:hanging="316"/>
        <w:spacing w:after="0" w:line="250" w:lineRule="auto"/>
        <w:tabs>
          <w:tab w:leader="none" w:pos="782" w:val="left"/>
        </w:tabs>
        <w:numPr>
          <w:ilvl w:val="2"/>
          <w:numId w:val="35"/>
        </w:numPr>
        <w:rPr>
          <w:rFonts w:ascii="Arial" w:cs="Arial" w:eastAsia="Arial" w:hAnsi="Arial"/>
          <w:sz w:val="16"/>
          <w:szCs w:val="16"/>
          <w:color w:val="auto"/>
        </w:rPr>
      </w:pPr>
      <w:r>
        <w:rPr>
          <w:rFonts w:ascii="Arial" w:cs="Arial" w:eastAsia="Arial" w:hAnsi="Arial"/>
          <w:sz w:val="16"/>
          <w:szCs w:val="16"/>
          <w:color w:val="auto"/>
        </w:rPr>
        <w:t>the Corporation will pay you, your full base salary through the Date of Termination at the rate in effect at the time Notice of Termination is given;</w:t>
      </w:r>
    </w:p>
    <w:p>
      <w:pPr>
        <w:ind w:left="782" w:right="60" w:hanging="430"/>
        <w:spacing w:after="0" w:line="241" w:lineRule="auto"/>
        <w:tabs>
          <w:tab w:leader="none" w:pos="78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Corporation will pay you, your unpaid bonus, if any, attributable to any complete fiscal year of the Manpower Group ended before the Date of Termination;</w:t>
      </w:r>
    </w:p>
    <w:p>
      <w:pPr>
        <w:jc w:val="both"/>
        <w:ind w:left="782" w:hanging="307"/>
        <w:spacing w:after="0" w:line="241" w:lineRule="auto"/>
        <w:tabs>
          <w:tab w:leader="none" w:pos="782" w:val="left"/>
        </w:tabs>
        <w:numPr>
          <w:ilvl w:val="2"/>
          <w:numId w:val="36"/>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jc w:val="both"/>
        <w:ind w:left="782" w:hanging="316"/>
        <w:spacing w:after="0" w:line="244" w:lineRule="auto"/>
        <w:tabs>
          <w:tab w:leader="none" w:pos="782" w:val="left"/>
        </w:tabs>
        <w:numPr>
          <w:ilvl w:val="2"/>
          <w:numId w:val="36"/>
        </w:numPr>
        <w:rPr>
          <w:rFonts w:ascii="Arial" w:cs="Arial" w:eastAsia="Arial" w:hAnsi="Arial"/>
          <w:sz w:val="16"/>
          <w:szCs w:val="16"/>
          <w:color w:val="auto"/>
        </w:rPr>
      </w:pPr>
      <w:r>
        <w:rPr>
          <w:rFonts w:ascii="Arial" w:cs="Arial" w:eastAsia="Arial" w:hAnsi="Arial"/>
          <w:sz w:val="16"/>
          <w:szCs w:val="16"/>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Committee of the Board approves a bona fide target annual bonus for you for the fiscal year in which the Date of Termination occurs, your target annual bonus for the fiscal year prior to the fiscal year in which the Date of Termination occurs);</w:t>
      </w:r>
    </w:p>
    <w:p>
      <w:pPr>
        <w:spacing w:after="0" w:line="166" w:lineRule="exact"/>
        <w:rPr>
          <w:sz w:val="20"/>
          <w:szCs w:val="20"/>
          <w:color w:val="auto"/>
        </w:rPr>
      </w:pPr>
    </w:p>
    <w:p>
      <w:pPr>
        <w:ind w:left="4502"/>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57785</wp:posOffset>
            </wp:positionV>
            <wp:extent cx="728535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262"/>
          </w:cols>
          <w:pgMar w:left="1418" w:top="124" w:right="219" w:bottom="1440" w:gutter="0" w:footer="0" w:header="0"/>
        </w:sectPr>
      </w:pPr>
    </w:p>
    <w:bookmarkStart w:id="46" w:name="page47"/>
    <w:bookmarkEnd w:id="46"/>
    <w:p>
      <w:pPr>
        <w:ind w:left="760" w:right="140" w:hanging="298"/>
        <w:spacing w:after="0" w:line="282" w:lineRule="auto"/>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up to an eighteen-month period after the Date of Termination, the Corporation will arrange to provide you and your eligible dependents, at the Manpower Group's expense, with Health Insurance Continuation (defined below), or other substantially similar coverage, in which you were participating on the Date of Termination; provided, however, that benefits otherwise receivable by you pursuant to this subsection 2(c)(i)</w:t>
      </w:r>
    </w:p>
    <w:p>
      <w:pPr>
        <w:spacing w:after="0" w:line="1" w:lineRule="exact"/>
        <w:rPr>
          <w:rFonts w:ascii="Arial" w:cs="Arial" w:eastAsia="Arial" w:hAnsi="Arial"/>
          <w:sz w:val="14"/>
          <w:szCs w:val="14"/>
          <w:color w:val="auto"/>
        </w:rPr>
      </w:pPr>
    </w:p>
    <w:p>
      <w:pPr>
        <w:ind w:left="760"/>
        <w:spacing w:after="0" w:line="267" w:lineRule="auto"/>
        <w:rPr>
          <w:rFonts w:ascii="Arial" w:cs="Arial" w:eastAsia="Arial" w:hAnsi="Arial"/>
          <w:sz w:val="14"/>
          <w:szCs w:val="14"/>
          <w:color w:val="auto"/>
        </w:rPr>
      </w:pPr>
      <w:r>
        <w:rPr>
          <w:rFonts w:ascii="Arial" w:cs="Arial" w:eastAsia="Arial" w:hAnsi="Arial"/>
          <w:sz w:val="15"/>
          <w:szCs w:val="15"/>
          <w:color w:val="auto"/>
        </w:rPr>
        <w:t>(E)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43" w:lineRule="exact"/>
        <w:rPr>
          <w:sz w:val="20"/>
          <w:szCs w:val="20"/>
          <w:color w:val="auto"/>
        </w:rPr>
      </w:pPr>
    </w:p>
    <w:p>
      <w:pPr>
        <w:ind w:left="760" w:right="40"/>
        <w:spacing w:after="0" w:line="261" w:lineRule="auto"/>
        <w:rPr>
          <w:sz w:val="20"/>
          <w:szCs w:val="20"/>
          <w:color w:val="auto"/>
        </w:rPr>
      </w:pPr>
      <w:r>
        <w:rPr>
          <w:rFonts w:ascii="Arial" w:cs="Arial" w:eastAsia="Arial" w:hAnsi="Arial"/>
          <w:sz w:val="15"/>
          <w:szCs w:val="15"/>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338"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57785</wp:posOffset>
            </wp:positionV>
            <wp:extent cx="728535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240"/>
          </w:cols>
          <w:pgMar w:left="1440" w:top="493" w:right="219" w:bottom="1440" w:gutter="0" w:footer="0" w:header="0"/>
        </w:sectPr>
      </w:pPr>
    </w:p>
    <w:bookmarkStart w:id="47" w:name="page48"/>
    <w:bookmarkEnd w:id="47"/>
    <w:p>
      <w:pPr>
        <w:ind w:left="1980" w:right="40" w:hanging="289"/>
        <w:spacing w:after="0" w:line="247" w:lineRule="auto"/>
        <w:tabs>
          <w:tab w:leader="none" w:pos="1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158" w:lineRule="exact"/>
        <w:rPr>
          <w:sz w:val="20"/>
          <w:szCs w:val="20"/>
          <w:color w:val="auto"/>
        </w:rPr>
      </w:pPr>
    </w:p>
    <w:p>
      <w:pPr>
        <w:ind w:firstLine="531"/>
        <w:spacing w:after="0" w:line="262" w:lineRule="auto"/>
        <w:rPr>
          <w:sz w:val="20"/>
          <w:szCs w:val="20"/>
          <w:color w:val="auto"/>
        </w:rPr>
      </w:pPr>
      <w:r>
        <w:rPr>
          <w:rFonts w:ascii="Arial" w:cs="Arial" w:eastAsia="Arial" w:hAnsi="Arial"/>
          <w:sz w:val="15"/>
          <w:szCs w:val="15"/>
          <w:color w:val="auto"/>
        </w:rPr>
        <w:t>The amounts paid to you pursuant to Subsection 2(c)(i)(D) or 2(c)(ii)(D) will not be included as compensation for purposes of any qualified or nonqualified pension or welfare benefit plan of the Manpower 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20"/>
          </w:cols>
          <w:pgMar w:left="220" w:top="308" w:right="259" w:bottom="1440" w:gutter="0" w:footer="0" w:header="0"/>
        </w:sectPr>
      </w:pPr>
    </w:p>
    <w:bookmarkStart w:id="48" w:name="page49"/>
    <w:bookmarkEnd w:id="48"/>
    <w:p>
      <w:pPr>
        <w:jc w:val="both"/>
        <w:ind w:left="266" w:hanging="266"/>
        <w:spacing w:after="0" w:line="261" w:lineRule="auto"/>
        <w:tabs>
          <w:tab w:leader="none" w:pos="266"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Payment</w:t>
      </w:r>
      <w:r>
        <w:rPr>
          <w:rFonts w:ascii="Arial" w:cs="Arial" w:eastAsia="Arial" w:hAnsi="Arial"/>
          <w:sz w:val="15"/>
          <w:szCs w:val="15"/>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no later than thirty (30) days after the Date of Termination. The bonus payment provided for in Subsection 2(c)(ii)(C) will between January 1 and March 15 of the calendar year following the Date of Termination. The severance benefit provided for in Subsection 2(c)(i)(D) or 2(c) (ii)(D) will be paid in one lump sum no later than thirty (30) days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Midwest edition (or, if not so reported, as reported in such other similar source(s) as the Corporation shall select).</w:t>
      </w:r>
    </w:p>
    <w:p>
      <w:pPr>
        <w:spacing w:after="0" w:line="149" w:lineRule="exact"/>
        <w:rPr>
          <w:rFonts w:ascii="Arial" w:cs="Arial" w:eastAsia="Arial" w:hAnsi="Arial"/>
          <w:sz w:val="15"/>
          <w:szCs w:val="15"/>
          <w:color w:val="auto"/>
        </w:rPr>
      </w:pPr>
    </w:p>
    <w:p>
      <w:pPr>
        <w:ind w:left="266" w:hanging="256"/>
        <w:spacing w:after="0"/>
        <w:tabs>
          <w:tab w:leader="none" w:pos="266"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Release of Claims</w:t>
      </w:r>
      <w:r>
        <w:rPr>
          <w:rFonts w:ascii="Arial" w:cs="Arial" w:eastAsia="Arial" w:hAnsi="Arial"/>
          <w:sz w:val="15"/>
          <w:szCs w:val="15"/>
          <w:color w:val="auto"/>
        </w:rPr>
        <w:t>. Notwithstanding the foregoing, you will have no right to receive any payment or benefit described in Subsections 2(c)(i)(C)-(F) or 2(c)(ii)</w:t>
      </w:r>
    </w:p>
    <w:p>
      <w:pPr>
        <w:spacing w:after="0" w:line="26" w:lineRule="exact"/>
        <w:rPr>
          <w:rFonts w:ascii="Arial" w:cs="Arial" w:eastAsia="Arial" w:hAnsi="Arial"/>
          <w:sz w:val="15"/>
          <w:szCs w:val="15"/>
          <w:color w:val="auto"/>
        </w:rPr>
      </w:pPr>
    </w:p>
    <w:p>
      <w:pPr>
        <w:jc w:val="both"/>
        <w:ind w:left="266"/>
        <w:spacing w:after="0" w:line="243" w:lineRule="auto"/>
        <w:rPr>
          <w:rFonts w:ascii="Arial" w:cs="Arial" w:eastAsia="Arial" w:hAnsi="Arial"/>
          <w:sz w:val="15"/>
          <w:szCs w:val="15"/>
          <w:color w:val="auto"/>
        </w:rPr>
      </w:pPr>
      <w:r>
        <w:rPr>
          <w:rFonts w:ascii="Arial" w:cs="Arial" w:eastAsia="Arial" w:hAnsi="Arial"/>
          <w:sz w:val="16"/>
          <w:szCs w:val="16"/>
          <w:color w:val="auto"/>
        </w:rPr>
        <w:t>(C)-(F),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167" w:lineRule="exact"/>
        <w:rPr>
          <w:sz w:val="20"/>
          <w:szCs w:val="20"/>
          <w:color w:val="auto"/>
        </w:rPr>
      </w:pPr>
    </w:p>
    <w:p>
      <w:pPr>
        <w:ind w:left="4946"/>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57785</wp:posOffset>
            </wp:positionV>
            <wp:extent cx="728535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0746"/>
          </w:cols>
          <w:pgMar w:left="934" w:top="124" w:right="219" w:bottom="1440" w:gutter="0" w:footer="0" w:header="0"/>
        </w:sectPr>
      </w:pPr>
    </w:p>
    <w:bookmarkStart w:id="49" w:name="page50"/>
    <w:bookmarkEnd w:id="49"/>
    <w:p>
      <w:pPr>
        <w:jc w:val="both"/>
        <w:ind w:left="700" w:hanging="238"/>
        <w:spacing w:after="0" w:line="251" w:lineRule="auto"/>
        <w:tabs>
          <w:tab w:leader="none" w:pos="700" w:val="left"/>
        </w:tabs>
        <w:numPr>
          <w:ilvl w:val="2"/>
          <w:numId w:val="40"/>
        </w:numPr>
        <w:rPr>
          <w:rFonts w:ascii="Arial" w:cs="Arial" w:eastAsia="Arial" w:hAnsi="Arial"/>
          <w:sz w:val="16"/>
          <w:szCs w:val="16"/>
          <w:color w:val="auto"/>
        </w:rPr>
      </w:pPr>
      <w:r>
        <w:rPr>
          <w:rFonts w:ascii="Arial" w:cs="Arial" w:eastAsia="Arial" w:hAnsi="Arial"/>
          <w:sz w:val="16"/>
          <w:szCs w:val="16"/>
          <w:u w:val="single" w:color="auto"/>
          <w:color w:val="auto"/>
        </w:rPr>
        <w:t>Forfeiture</w:t>
      </w:r>
      <w:r>
        <w:rPr>
          <w:rFonts w:ascii="Arial" w:cs="Arial" w:eastAsia="Arial" w:hAnsi="Arial"/>
          <w:sz w:val="16"/>
          <w:szCs w:val="16"/>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54" w:lineRule="exact"/>
        <w:rPr>
          <w:rFonts w:ascii="Arial" w:cs="Arial" w:eastAsia="Arial" w:hAnsi="Arial"/>
          <w:sz w:val="16"/>
          <w:szCs w:val="16"/>
          <w:color w:val="auto"/>
        </w:rPr>
      </w:pPr>
    </w:p>
    <w:p>
      <w:pPr>
        <w:ind w:left="220" w:hanging="210"/>
        <w:spacing w:after="0"/>
        <w:tabs>
          <w:tab w:leader="none" w:pos="22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Nondisclosure</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jc w:val="both"/>
        <w:ind w:left="700" w:hanging="256"/>
        <w:spacing w:after="0" w:line="261" w:lineRule="auto"/>
        <w:tabs>
          <w:tab w:leader="none" w:pos="700" w:val="left"/>
        </w:tabs>
        <w:numPr>
          <w:ilvl w:val="2"/>
          <w:numId w:val="41"/>
        </w:numPr>
        <w:rPr>
          <w:rFonts w:ascii="Arial" w:cs="Arial" w:eastAsia="Arial" w:hAnsi="Arial"/>
          <w:sz w:val="15"/>
          <w:szCs w:val="15"/>
          <w:color w:val="auto"/>
        </w:rPr>
      </w:pPr>
      <w:r>
        <w:rPr>
          <w:rFonts w:ascii="Arial" w:cs="Arial" w:eastAsia="Arial" w:hAnsi="Arial"/>
          <w:sz w:val="15"/>
          <w:szCs w:val="15"/>
          <w:color w:val="auto"/>
        </w:rPr>
        <w:t>You will not, directly or indirectly, at any time during the term of your employment with the Manpower Group, or during the two-year period following your termination, for whatever reason, of employment with the Manpower Group, use or possess for yourself or others or disclose to others except in the good faith performance of your duties for the Manpower 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 Group to protect Confidential Information which constitute trade secrets under applicable trade secrets law or privileged information even after such two-year period.</w:t>
      </w:r>
    </w:p>
    <w:p>
      <w:pPr>
        <w:spacing w:after="0" w:line="152" w:lineRule="exact"/>
        <w:rPr>
          <w:rFonts w:ascii="Arial" w:cs="Arial" w:eastAsia="Arial" w:hAnsi="Arial"/>
          <w:sz w:val="15"/>
          <w:szCs w:val="15"/>
          <w:color w:val="auto"/>
        </w:rPr>
      </w:pPr>
    </w:p>
    <w:p>
      <w:pPr>
        <w:ind w:left="680" w:right="440" w:hanging="259"/>
        <w:spacing w:after="0" w:line="282" w:lineRule="auto"/>
        <w:tabs>
          <w:tab w:leader="none" w:pos="680" w:val="left"/>
        </w:tabs>
        <w:numPr>
          <w:ilvl w:val="1"/>
          <w:numId w:val="41"/>
        </w:numPr>
        <w:rPr>
          <w:rFonts w:ascii="Arial" w:cs="Arial" w:eastAsia="Arial" w:hAnsi="Arial"/>
          <w:sz w:val="15"/>
          <w:szCs w:val="15"/>
          <w:color w:val="auto"/>
        </w:rPr>
      </w:pPr>
      <w:r>
        <w:rPr>
          <w:rFonts w:ascii="Arial" w:cs="Arial" w:eastAsia="Arial" w:hAnsi="Arial"/>
          <w:sz w:val="15"/>
          <w:szCs w:val="15"/>
          <w:color w:val="auto"/>
        </w:rPr>
        <w:t>Upon your termination, for whatever reason, of employment with the Manpower 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137"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57785</wp:posOffset>
            </wp:positionV>
            <wp:extent cx="728535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180"/>
          </w:cols>
          <w:pgMar w:left="500" w:top="124" w:right="219" w:bottom="1440" w:gutter="0" w:footer="0" w:header="0"/>
        </w:sectPr>
      </w:pPr>
    </w:p>
    <w:bookmarkStart w:id="50" w:name="page51"/>
    <w:bookmarkEnd w:id="50"/>
    <w:p>
      <w:pPr>
        <w:jc w:val="both"/>
        <w:ind w:left="500" w:hanging="498"/>
        <w:spacing w:after="0" w:line="247"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157" w:lineRule="exact"/>
        <w:rPr>
          <w:rFonts w:ascii="Arial" w:cs="Arial" w:eastAsia="Arial" w:hAnsi="Arial"/>
          <w:sz w:val="16"/>
          <w:szCs w:val="16"/>
          <w:color w:val="auto"/>
        </w:rPr>
      </w:pPr>
    </w:p>
    <w:p>
      <w:pPr>
        <w:ind w:left="500" w:hanging="498"/>
        <w:spacing w:after="0"/>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Customer Nonsolicitation</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ind w:left="980" w:right="180" w:hanging="485"/>
        <w:spacing w:after="0" w:line="273"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During the term of your employment with the Manpower Group, you will not assist any competitor of any company in the Manpower Group in any capacity anywhere the Manpower Group does business.</w:t>
      </w:r>
    </w:p>
    <w:p>
      <w:pPr>
        <w:spacing w:after="0" w:line="136" w:lineRule="exact"/>
        <w:rPr>
          <w:rFonts w:ascii="Arial" w:cs="Arial" w:eastAsia="Arial" w:hAnsi="Arial"/>
          <w:sz w:val="16"/>
          <w:szCs w:val="16"/>
          <w:color w:val="auto"/>
        </w:rPr>
      </w:pPr>
    </w:p>
    <w:p>
      <w:pPr>
        <w:ind w:left="980" w:hanging="485"/>
        <w:spacing w:after="0" w:line="249"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154" w:lineRule="exact"/>
        <w:rPr>
          <w:rFonts w:ascii="Arial" w:cs="Arial" w:eastAsia="Arial" w:hAnsi="Arial"/>
          <w:sz w:val="16"/>
          <w:szCs w:val="16"/>
          <w:color w:val="auto"/>
        </w:rPr>
      </w:pPr>
    </w:p>
    <w:p>
      <w:pPr>
        <w:ind w:left="500" w:hanging="498"/>
        <w:spacing w:after="0" w:line="244"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outplacement or human resources consulting services anywhere in the United 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51" w:name="page52"/>
    <w:bookmarkEnd w:id="51"/>
    <w:p>
      <w:pPr>
        <w:ind w:left="500" w:hanging="498"/>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Injunctive and Other Interim Measures</w:t>
      </w:r>
      <w:r>
        <w:rPr>
          <w:rFonts w:ascii="Arial" w:cs="Arial" w:eastAsia="Arial" w:hAnsi="Arial"/>
          <w:sz w:val="16"/>
          <w:szCs w:val="16"/>
          <w:color w:val="auto"/>
        </w:rPr>
        <w:t>.</w:t>
      </w:r>
    </w:p>
    <w:p>
      <w:pPr>
        <w:spacing w:after="0" w:line="14" w:lineRule="exact"/>
        <w:rPr>
          <w:rFonts w:ascii="Arial" w:cs="Arial" w:eastAsia="Arial" w:hAnsi="Arial"/>
          <w:sz w:val="16"/>
          <w:szCs w:val="16"/>
          <w:color w:val="auto"/>
        </w:rPr>
      </w:pPr>
    </w:p>
    <w:p>
      <w:pPr>
        <w:ind w:left="980" w:right="20" w:hanging="485"/>
        <w:spacing w:after="0" w:line="263" w:lineRule="auto"/>
        <w:tabs>
          <w:tab w:leader="none" w:pos="980" w:val="left"/>
        </w:tabs>
        <w:numPr>
          <w:ilvl w:val="1"/>
          <w:numId w:val="43"/>
        </w:numPr>
        <w:rPr>
          <w:rFonts w:ascii="Arial" w:cs="Arial" w:eastAsia="Arial" w:hAnsi="Arial"/>
          <w:sz w:val="15"/>
          <w:szCs w:val="15"/>
          <w:color w:val="auto"/>
        </w:rPr>
      </w:pPr>
      <w:r>
        <w:rPr>
          <w:rFonts w:ascii="Arial" w:cs="Arial" w:eastAsia="Arial" w:hAnsi="Arial"/>
          <w:sz w:val="15"/>
          <w:szCs w:val="15"/>
          <w:u w:val="single" w:color="auto"/>
          <w:color w:val="auto"/>
        </w:rPr>
        <w:t>Injunction</w:t>
      </w:r>
      <w:r>
        <w:rPr>
          <w:rFonts w:ascii="Arial" w:cs="Arial" w:eastAsia="Arial" w:hAnsi="Arial"/>
          <w:sz w:val="15"/>
          <w:szCs w:val="15"/>
          <w:color w:val="auto"/>
        </w:rPr>
        <w:t>. You recognize that irreparable and incalculable injury will result to the Manpower 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46" w:lineRule="exact"/>
        <w:rPr>
          <w:rFonts w:ascii="Arial" w:cs="Arial" w:eastAsia="Arial" w:hAnsi="Arial"/>
          <w:sz w:val="15"/>
          <w:szCs w:val="15"/>
          <w:color w:val="auto"/>
        </w:rPr>
      </w:pPr>
    </w:p>
    <w:p>
      <w:pPr>
        <w:ind w:left="980" w:hanging="485"/>
        <w:spacing w:after="0"/>
        <w:tabs>
          <w:tab w:leader="none" w:pos="980" w:val="left"/>
        </w:tabs>
        <w:numPr>
          <w:ilvl w:val="1"/>
          <w:numId w:val="43"/>
        </w:numPr>
        <w:rPr>
          <w:rFonts w:ascii="Arial" w:cs="Arial" w:eastAsia="Arial" w:hAnsi="Arial"/>
          <w:sz w:val="15"/>
          <w:szCs w:val="15"/>
          <w:color w:val="auto"/>
        </w:rPr>
      </w:pPr>
      <w:r>
        <w:rPr>
          <w:rFonts w:ascii="Arial" w:cs="Arial" w:eastAsia="Arial" w:hAnsi="Arial"/>
          <w:sz w:val="15"/>
          <w:szCs w:val="15"/>
          <w:u w:val="single" w:color="auto"/>
          <w:color w:val="auto"/>
        </w:rPr>
        <w:t>Equitable Extension</w:t>
      </w:r>
      <w:r>
        <w:rPr>
          <w:rFonts w:ascii="Arial" w:cs="Arial" w:eastAsia="Arial" w:hAnsi="Arial"/>
          <w:sz w:val="15"/>
          <w:szCs w:val="15"/>
          <w:color w:val="auto"/>
        </w:rPr>
        <w:t>. The duration of any restriction in Section 3-6, above, will be extended by any period during which such restriction is violated by you.</w:t>
      </w:r>
    </w:p>
    <w:p>
      <w:pPr>
        <w:spacing w:after="0" w:line="197" w:lineRule="exact"/>
        <w:rPr>
          <w:rFonts w:ascii="Arial" w:cs="Arial" w:eastAsia="Arial" w:hAnsi="Arial"/>
          <w:sz w:val="15"/>
          <w:szCs w:val="15"/>
          <w:color w:val="auto"/>
        </w:rPr>
      </w:pPr>
    </w:p>
    <w:p>
      <w:pPr>
        <w:ind w:left="980" w:right="180" w:hanging="485"/>
        <w:spacing w:after="0" w:line="307" w:lineRule="auto"/>
        <w:tabs>
          <w:tab w:leader="none" w:pos="980" w:val="left"/>
        </w:tabs>
        <w:numPr>
          <w:ilvl w:val="1"/>
          <w:numId w:val="43"/>
        </w:numPr>
        <w:rPr>
          <w:rFonts w:ascii="Arial" w:cs="Arial" w:eastAsia="Arial" w:hAnsi="Arial"/>
          <w:sz w:val="15"/>
          <w:szCs w:val="15"/>
          <w:color w:val="auto"/>
        </w:rPr>
      </w:pPr>
      <w:r>
        <w:rPr>
          <w:rFonts w:ascii="Arial" w:cs="Arial" w:eastAsia="Arial" w:hAnsi="Arial"/>
          <w:sz w:val="15"/>
          <w:szCs w:val="15"/>
          <w:u w:val="single" w:color="auto"/>
          <w:color w:val="auto"/>
        </w:rPr>
        <w:t>Nonapplication</w:t>
      </w:r>
      <w:r>
        <w:rPr>
          <w:rFonts w:ascii="Arial" w:cs="Arial" w:eastAsia="Arial" w:hAnsi="Arial"/>
          <w:sz w:val="15"/>
          <w:szCs w:val="15"/>
          <w:color w:val="auto"/>
        </w:rPr>
        <w:t>. Notwithstanding the above, Sections 5 and 6, above, will not apply if your employment with the Manpower Group is terminated by you for Good Reason or by the Corporation without Cause either during a Protected Period or within two years after the occurrence of a Change of Control.</w:t>
      </w:r>
    </w:p>
    <w:p>
      <w:pPr>
        <w:spacing w:after="0" w:line="113" w:lineRule="exact"/>
        <w:rPr>
          <w:rFonts w:ascii="Arial" w:cs="Arial" w:eastAsia="Arial" w:hAnsi="Arial"/>
          <w:sz w:val="15"/>
          <w:szCs w:val="15"/>
          <w:color w:val="auto"/>
        </w:rPr>
      </w:pPr>
    </w:p>
    <w:p>
      <w:pPr>
        <w:ind w:left="500" w:hanging="498"/>
        <w:spacing w:after="0" w:line="251"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Unemployment Compensation</w:t>
      </w:r>
      <w:r>
        <w:rPr>
          <w:rFonts w:ascii="Arial" w:cs="Arial" w:eastAsia="Arial" w:hAnsi="Arial"/>
          <w:sz w:val="16"/>
          <w:szCs w:val="16"/>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154" w:lineRule="exact"/>
        <w:rPr>
          <w:rFonts w:ascii="Arial" w:cs="Arial" w:eastAsia="Arial" w:hAnsi="Arial"/>
          <w:sz w:val="16"/>
          <w:szCs w:val="16"/>
          <w:color w:val="auto"/>
        </w:rPr>
      </w:pPr>
    </w:p>
    <w:p>
      <w:pPr>
        <w:ind w:left="500" w:right="140" w:hanging="498"/>
        <w:spacing w:after="0" w:line="245"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8535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60"/>
          </w:cols>
          <w:pgMar w:left="220" w:top="124" w:right="219" w:bottom="1440" w:gutter="0" w:footer="0" w:header="0"/>
        </w:sectPr>
      </w:pPr>
    </w:p>
    <w:bookmarkStart w:id="52" w:name="page53"/>
    <w:bookmarkEnd w:id="52"/>
    <w:p>
      <w:pPr>
        <w:ind w:left="498" w:right="280" w:hanging="498"/>
        <w:spacing w:after="0" w:line="272" w:lineRule="auto"/>
        <w:tabs>
          <w:tab w:leader="none" w:pos="49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This letter agreement will be binding on the Corporation and its successors and will inure to the benefit of and be enforceable by your personal or legal representatives, heirs and successors.</w:t>
      </w:r>
    </w:p>
    <w:p>
      <w:pPr>
        <w:spacing w:after="0" w:line="321" w:lineRule="exact"/>
        <w:rPr>
          <w:rFonts w:ascii="Arial" w:cs="Arial" w:eastAsia="Arial" w:hAnsi="Arial"/>
          <w:sz w:val="16"/>
          <w:szCs w:val="16"/>
          <w:color w:val="auto"/>
        </w:rPr>
      </w:pPr>
    </w:p>
    <w:p>
      <w:pPr>
        <w:jc w:val="both"/>
        <w:ind w:left="498" w:right="60" w:hanging="498"/>
        <w:spacing w:after="0" w:line="346" w:lineRule="auto"/>
        <w:tabs>
          <w:tab w:leader="none" w:pos="498"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90" w:lineRule="exact"/>
        <w:rPr>
          <w:rFonts w:ascii="Arial" w:cs="Arial" w:eastAsia="Arial" w:hAnsi="Arial"/>
          <w:sz w:val="14"/>
          <w:szCs w:val="14"/>
          <w:color w:val="auto"/>
        </w:rPr>
      </w:pPr>
    </w:p>
    <w:p>
      <w:pPr>
        <w:ind w:left="498" w:right="300" w:hanging="498"/>
        <w:spacing w:after="0" w:line="257" w:lineRule="auto"/>
        <w:tabs>
          <w:tab w:leader="none" w:pos="49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48" w:lineRule="exact"/>
        <w:rPr>
          <w:rFonts w:ascii="Arial" w:cs="Arial" w:eastAsia="Arial" w:hAnsi="Arial"/>
          <w:sz w:val="16"/>
          <w:szCs w:val="16"/>
          <w:color w:val="auto"/>
        </w:rPr>
      </w:pPr>
    </w:p>
    <w:p>
      <w:pPr>
        <w:ind w:left="498" w:right="100" w:hanging="498"/>
        <w:spacing w:after="0" w:line="273" w:lineRule="auto"/>
        <w:tabs>
          <w:tab w:leader="none" w:pos="49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Modification</w:t>
      </w:r>
      <w:r>
        <w:rPr>
          <w:rFonts w:ascii="Arial" w:cs="Arial" w:eastAsia="Arial" w:hAnsi="Arial"/>
          <w:sz w:val="16"/>
          <w:szCs w:val="16"/>
          <w:color w:val="auto"/>
        </w:rPr>
        <w:t>. No provision of this letter may be modified, waived or discharged unless such waiver, modification or discharge is agreed to in writing by you and the Corporation.</w:t>
      </w:r>
    </w:p>
    <w:p>
      <w:pPr>
        <w:spacing w:after="0" w:line="136" w:lineRule="exact"/>
        <w:rPr>
          <w:rFonts w:ascii="Arial" w:cs="Arial" w:eastAsia="Arial" w:hAnsi="Arial"/>
          <w:sz w:val="16"/>
          <w:szCs w:val="16"/>
          <w:color w:val="auto"/>
        </w:rPr>
      </w:pPr>
    </w:p>
    <w:p>
      <w:pPr>
        <w:ind w:left="498" w:right="180" w:hanging="498"/>
        <w:spacing w:after="0" w:line="273" w:lineRule="auto"/>
        <w:tabs>
          <w:tab w:leader="none" w:pos="49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36" w:lineRule="exact"/>
        <w:rPr>
          <w:rFonts w:ascii="Arial" w:cs="Arial" w:eastAsia="Arial" w:hAnsi="Arial"/>
          <w:sz w:val="16"/>
          <w:szCs w:val="16"/>
          <w:color w:val="auto"/>
        </w:rPr>
      </w:pPr>
    </w:p>
    <w:p>
      <w:pPr>
        <w:ind w:left="498" w:right="400" w:hanging="498"/>
        <w:spacing w:after="0" w:line="273" w:lineRule="auto"/>
        <w:tabs>
          <w:tab w:leader="none" w:pos="49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governed by and interpreted in accordance with the laws of the State of New York, United States of America, without regard to its conflict of law provisions.</w:t>
      </w:r>
    </w:p>
    <w:p>
      <w:pPr>
        <w:spacing w:after="0" w:line="136" w:lineRule="exact"/>
        <w:rPr>
          <w:rFonts w:ascii="Arial" w:cs="Arial" w:eastAsia="Arial" w:hAnsi="Arial"/>
          <w:sz w:val="16"/>
          <w:szCs w:val="16"/>
          <w:color w:val="auto"/>
        </w:rPr>
      </w:pPr>
    </w:p>
    <w:p>
      <w:pPr>
        <w:ind w:left="498" w:hanging="498"/>
        <w:spacing w:after="0" w:line="249" w:lineRule="auto"/>
        <w:tabs>
          <w:tab w:leader="none" w:pos="49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Reduction of Amounts Due Under Law</w:t>
      </w:r>
      <w:r>
        <w:rPr>
          <w:rFonts w:ascii="Arial" w:cs="Arial" w:eastAsia="Arial" w:hAnsi="Arial"/>
          <w:sz w:val="16"/>
          <w:szCs w:val="16"/>
          <w:color w:val="auto"/>
        </w:rPr>
        <w:t>. You agree that any severance payment (</w:t>
      </w:r>
      <w:r>
        <w:rPr>
          <w:rFonts w:ascii="Arial" w:cs="Arial" w:eastAsia="Arial" w:hAnsi="Arial"/>
          <w:sz w:val="16"/>
          <w:szCs w:val="16"/>
          <w:i w:val="1"/>
          <w:iCs w:val="1"/>
          <w:color w:val="auto"/>
        </w:rPr>
        <w:t>i.e</w:t>
      </w:r>
      <w:r>
        <w:rPr>
          <w:rFonts w:ascii="Arial" w:cs="Arial" w:eastAsia="Arial" w:hAnsi="Arial"/>
          <w:sz w:val="16"/>
          <w:szCs w:val="16"/>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61" w:lineRule="exact"/>
        <w:rPr>
          <w:sz w:val="20"/>
          <w:szCs w:val="20"/>
          <w:color w:val="auto"/>
        </w:rPr>
      </w:pPr>
    </w:p>
    <w:p>
      <w:pPr>
        <w:jc w:val="center"/>
        <w:ind w:right="-17"/>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728535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58"/>
          </w:cols>
          <w:pgMar w:left="222" w:top="124" w:right="219" w:bottom="1440" w:gutter="0" w:footer="0" w:header="0"/>
        </w:sectPr>
      </w:pPr>
    </w:p>
    <w:bookmarkStart w:id="53" w:name="page54"/>
    <w:bookmarkEnd w:id="53"/>
    <w:p>
      <w:pPr>
        <w:ind w:left="498" w:hanging="498"/>
        <w:spacing w:after="0" w:line="246" w:lineRule="auto"/>
        <w:tabs>
          <w:tab w:leader="none" w:pos="49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Previous Agreements</w:t>
      </w:r>
      <w:r>
        <w:rPr>
          <w:rFonts w:ascii="Arial" w:cs="Arial" w:eastAsia="Arial" w:hAnsi="Arial"/>
          <w:sz w:val="16"/>
          <w:szCs w:val="16"/>
          <w:color w:val="auto"/>
        </w:rPr>
        <w:t>. To the extent your Date of Termination does not occur prior to the effective date of this letter indicated above and you accept this letter with your signature below, this letter, upon its effective date indicated above, expressly supersedes any and all previous agreements or understandings relating to your employment by the Corporation or the Manpower Group, except for the letter from the Corporation to you dated July 8, 2005, regarding the Corporation’s offer of employment to you (provided this letter will supersede the sections of any prior letter concerning severance protection and restrictive covenants), or the termination of such employment, and any such agreements or understandings shall, as of the date of your acceptance, have no further force or effect. For the sake of clarification, to the extent your Date of Termination occurs prior to the effective date of this letter indicated above, the provisions of the letter from the Corporation to you dated May 2, 2006 shall control instead of this letter.</w:t>
      </w:r>
    </w:p>
    <w:p>
      <w:pPr>
        <w:spacing w:after="0" w:line="158" w:lineRule="exact"/>
        <w:rPr>
          <w:rFonts w:ascii="Arial" w:cs="Arial" w:eastAsia="Arial" w:hAnsi="Arial"/>
          <w:sz w:val="16"/>
          <w:szCs w:val="16"/>
          <w:color w:val="auto"/>
        </w:rPr>
      </w:pPr>
    </w:p>
    <w:p>
      <w:pPr>
        <w:ind w:left="498" w:right="100" w:hanging="498"/>
        <w:spacing w:after="0" w:line="273" w:lineRule="auto"/>
        <w:tabs>
          <w:tab w:leader="none" w:pos="498"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Dispute Resolution</w:t>
      </w:r>
      <w:r>
        <w:rPr>
          <w:rFonts w:ascii="Arial" w:cs="Arial" w:eastAsia="Arial" w:hAnsi="Arial"/>
          <w:sz w:val="15"/>
          <w:szCs w:val="15"/>
          <w:color w:val="auto"/>
        </w:rPr>
        <w:t>. Section 7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40" w:lineRule="exact"/>
        <w:rPr>
          <w:sz w:val="20"/>
          <w:szCs w:val="20"/>
          <w:color w:val="auto"/>
        </w:rPr>
      </w:pPr>
    </w:p>
    <w:p>
      <w:pPr>
        <w:ind w:left="978" w:right="40" w:hanging="485"/>
        <w:spacing w:after="0" w:line="260" w:lineRule="auto"/>
        <w:tabs>
          <w:tab w:leader="none" w:pos="978" w:val="left"/>
        </w:tabs>
        <w:numPr>
          <w:ilvl w:val="0"/>
          <w:numId w:val="46"/>
        </w:numPr>
        <w:rPr>
          <w:rFonts w:ascii="Arial" w:cs="Arial" w:eastAsia="Arial" w:hAnsi="Arial"/>
          <w:sz w:val="15"/>
          <w:szCs w:val="15"/>
          <w:color w:val="auto"/>
        </w:rPr>
      </w:pPr>
      <w:r>
        <w:rPr>
          <w:rFonts w:ascii="Arial" w:cs="Arial" w:eastAsia="Arial" w:hAnsi="Arial"/>
          <w:sz w:val="15"/>
          <w:szCs w:val="15"/>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w:t>
      </w:r>
    </w:p>
    <w:p>
      <w:pPr>
        <w:spacing w:after="0" w:line="2" w:lineRule="exact"/>
        <w:rPr>
          <w:rFonts w:ascii="Arial" w:cs="Arial" w:eastAsia="Arial" w:hAnsi="Arial"/>
          <w:sz w:val="15"/>
          <w:szCs w:val="15"/>
          <w:color w:val="auto"/>
        </w:rPr>
      </w:pPr>
    </w:p>
    <w:p>
      <w:pPr>
        <w:ind w:left="978" w:right="20"/>
        <w:spacing w:after="0" w:line="244" w:lineRule="auto"/>
        <w:rPr>
          <w:rFonts w:ascii="Arial" w:cs="Arial" w:eastAsia="Arial" w:hAnsi="Arial"/>
          <w:sz w:val="15"/>
          <w:szCs w:val="15"/>
          <w:color w:val="auto"/>
        </w:rPr>
      </w:pPr>
      <w:r>
        <w:rPr>
          <w:rFonts w:ascii="Arial" w:cs="Arial" w:eastAsia="Arial" w:hAnsi="Arial"/>
          <w:sz w:val="16"/>
          <w:szCs w:val="16"/>
          <w:color w:val="auto"/>
        </w:rPr>
        <w:t>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66" w:lineRule="exact"/>
        <w:rPr>
          <w:sz w:val="20"/>
          <w:szCs w:val="20"/>
          <w:color w:val="auto"/>
        </w:rPr>
      </w:pPr>
    </w:p>
    <w:p>
      <w:pPr>
        <w:jc w:val="center"/>
        <w:ind w:right="-17"/>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728535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5355" cy="19050"/>
                    </a:xfrm>
                    <a:prstGeom prst="rect">
                      <a:avLst/>
                    </a:prstGeom>
                    <a:noFill/>
                  </pic:spPr>
                </pic:pic>
              </a:graphicData>
            </a:graphic>
          </wp:anchor>
        </w:drawing>
      </w:r>
    </w:p>
    <w:p>
      <w:pPr>
        <w:sectPr>
          <w:pgSz w:w="11900" w:h="16838" w:orient="portrait"/>
          <w:cols w:equalWidth="0" w:num="1">
            <w:col w:w="11438"/>
          </w:cols>
          <w:pgMar w:left="222" w:top="124" w:right="239" w:bottom="1440" w:gutter="0" w:footer="0" w:header="0"/>
        </w:sectPr>
      </w:pPr>
    </w:p>
    <w:bookmarkStart w:id="54" w:name="page55"/>
    <w:bookmarkEnd w:id="54"/>
    <w:p>
      <w:pPr>
        <w:jc w:val="both"/>
        <w:ind w:left="980" w:hanging="266"/>
        <w:spacing w:after="0" w:line="244" w:lineRule="auto"/>
        <w:tabs>
          <w:tab w:leader="none" w:pos="9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60" w:lineRule="exact"/>
        <w:rPr>
          <w:rFonts w:ascii="Arial" w:cs="Arial" w:eastAsia="Arial" w:hAnsi="Arial"/>
          <w:sz w:val="16"/>
          <w:szCs w:val="16"/>
          <w:color w:val="auto"/>
        </w:rPr>
      </w:pPr>
    </w:p>
    <w:p>
      <w:pPr>
        <w:ind w:left="500" w:hanging="498"/>
        <w:spacing w:after="0" w:line="273"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obligations imposed by Paragraphs 3-7, above, of this agreement are severable and should be construed independently of each other. The invalidity of one such provision shall not affect the validity of any other such provision.</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If you are in agreement with the foregoing, please sign and return one copy of this letter which will constitute our agreement with respect to the subject matter of this letter.</w:t>
      </w:r>
    </w:p>
    <w:p>
      <w:pPr>
        <w:spacing w:after="0" w:line="197"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Sincerely,</w:t>
      </w:r>
    </w:p>
    <w:p>
      <w:pPr>
        <w:spacing w:after="0" w:line="18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MANPOWER INC.</w:t>
      </w:r>
    </w:p>
    <w:p>
      <w:pPr>
        <w:spacing w:after="0" w:line="18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i w:val="1"/>
          <w:iCs w:val="1"/>
          <w:u w:val="single" w:color="auto"/>
          <w:color w:val="auto"/>
        </w:rPr>
        <w:t>/s/ Jeffrey A. Joerres</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Jeffrey A. Joerres, President and</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Chief Executive Officer</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Agreed as of the 10th day of November, 2008.</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u w:val="single" w:color="auto"/>
          <w:color w:val="auto"/>
        </w:rPr>
        <w:t>/s/ Mara Swan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Mara Swan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3554268_1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60"/>
          </w:cols>
          <w:pgMar w:left="220" w:top="124"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8"/>
        </w:trPr>
        <w:tc>
          <w:tcPr>
            <w:tcW w:w="3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Exhibit 12.1</w:t>
            </w:r>
          </w:p>
        </w:tc>
      </w:tr>
      <w:tr>
        <w:trPr>
          <w:trHeight w:val="284"/>
        </w:trPr>
        <w:tc>
          <w:tcPr>
            <w:tcW w:w="3760" w:type="dxa"/>
            <w:vAlign w:val="bottom"/>
          </w:tcPr>
          <w:p>
            <w:pPr>
              <w:spacing w:after="0"/>
              <w:rPr>
                <w:sz w:val="24"/>
                <w:szCs w:val="24"/>
                <w:color w:val="auto"/>
              </w:rPr>
            </w:pPr>
          </w:p>
        </w:tc>
        <w:tc>
          <w:tcPr>
            <w:tcW w:w="3800" w:type="dxa"/>
            <w:vAlign w:val="bottom"/>
            <w:gridSpan w:val="7"/>
          </w:tcPr>
          <w:p>
            <w:pPr>
              <w:jc w:val="center"/>
              <w:ind w:left="72"/>
              <w:spacing w:after="0"/>
              <w:rPr>
                <w:sz w:val="20"/>
                <w:szCs w:val="20"/>
                <w:color w:val="auto"/>
              </w:rPr>
            </w:pPr>
            <w:r>
              <w:rPr>
                <w:rFonts w:ascii="Arial" w:cs="Arial" w:eastAsia="Arial" w:hAnsi="Arial"/>
                <w:sz w:val="14"/>
                <w:szCs w:val="14"/>
                <w:b w:val="1"/>
                <w:bCs w:val="1"/>
                <w:color w:val="auto"/>
                <w:w w:val="98"/>
              </w:rPr>
              <w:t>STATEMENT REGARDING COMPUTATION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8"/>
        </w:trPr>
        <w:tc>
          <w:tcPr>
            <w:tcW w:w="3760" w:type="dxa"/>
            <w:vAlign w:val="bottom"/>
          </w:tcPr>
          <w:p>
            <w:pPr>
              <w:spacing w:after="0"/>
              <w:rPr>
                <w:sz w:val="15"/>
                <w:szCs w:val="15"/>
                <w:color w:val="auto"/>
              </w:rPr>
            </w:pPr>
          </w:p>
        </w:tc>
        <w:tc>
          <w:tcPr>
            <w:tcW w:w="3800" w:type="dxa"/>
            <w:vAlign w:val="bottom"/>
            <w:gridSpan w:val="7"/>
          </w:tcPr>
          <w:p>
            <w:pPr>
              <w:jc w:val="center"/>
              <w:ind w:left="92"/>
              <w:spacing w:after="0"/>
              <w:rPr>
                <w:sz w:val="20"/>
                <w:szCs w:val="20"/>
                <w:color w:val="auto"/>
              </w:rPr>
            </w:pPr>
            <w:r>
              <w:rPr>
                <w:rFonts w:ascii="Arial" w:cs="Arial" w:eastAsia="Arial" w:hAnsi="Arial"/>
                <w:sz w:val="14"/>
                <w:szCs w:val="14"/>
                <w:b w:val="1"/>
                <w:bCs w:val="1"/>
                <w:color w:val="auto"/>
                <w:w w:val="97"/>
              </w:rPr>
              <w:t>OF RATIO OF EARNINGS TO FIXED CHARGES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88"/>
        </w:trPr>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color w:val="auto"/>
                <w:w w:val="94"/>
              </w:rPr>
              <w:t>MANPOWER INC.</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4"/>
        </w:trPr>
        <w:tc>
          <w:tcPr>
            <w:tcW w:w="3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left="192"/>
              <w:spacing w:after="0"/>
              <w:rPr>
                <w:sz w:val="20"/>
                <w:szCs w:val="20"/>
                <w:color w:val="auto"/>
              </w:rPr>
            </w:pPr>
            <w:r>
              <w:rPr>
                <w:rFonts w:ascii="Arial" w:cs="Arial" w:eastAsia="Arial" w:hAnsi="Arial"/>
                <w:sz w:val="14"/>
                <w:szCs w:val="14"/>
                <w:color w:val="auto"/>
                <w:w w:val="96"/>
              </w:rPr>
              <w:t>(in millions)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15"/>
        </w:trPr>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2004</w:t>
            </w:r>
          </w:p>
        </w:tc>
      </w:tr>
      <w:tr>
        <w:trPr>
          <w:trHeight w:val="155"/>
        </w:trPr>
        <w:tc>
          <w:tcPr>
            <w:tcW w:w="3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Earnings:</w:t>
            </w: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r>
      <w:tr>
        <w:trPr>
          <w:trHeight w:val="164"/>
        </w:trPr>
        <w:tc>
          <w:tcPr>
            <w:tcW w:w="3760" w:type="dxa"/>
            <w:vAlign w:val="bottom"/>
          </w:tcPr>
          <w:p>
            <w:pPr>
              <w:ind w:left="180"/>
              <w:spacing w:after="0"/>
              <w:rPr>
                <w:sz w:val="20"/>
                <w:szCs w:val="20"/>
                <w:color w:val="auto"/>
              </w:rPr>
            </w:pPr>
            <w:r>
              <w:rPr>
                <w:rFonts w:ascii="Arial" w:cs="Arial" w:eastAsia="Arial" w:hAnsi="Arial"/>
                <w:sz w:val="14"/>
                <w:szCs w:val="14"/>
                <w:color w:val="auto"/>
              </w:rPr>
              <w:t>Earnings before income taxes from continuing operations</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458.3</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791.2</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481.9</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387.0</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371.6</w:t>
            </w:r>
          </w:p>
        </w:tc>
      </w:tr>
      <w:tr>
        <w:trPr>
          <w:trHeight w:val="164"/>
        </w:trPr>
        <w:tc>
          <w:tcPr>
            <w:tcW w:w="3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charges</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185.2</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162.8</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153.2</w:t>
            </w:r>
          </w:p>
        </w:tc>
        <w:tc>
          <w:tcPr>
            <w:tcW w:w="26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r>
      <w:tr>
        <w:trPr>
          <w:trHeight w:val="21"/>
        </w:trPr>
        <w:tc>
          <w:tcPr>
            <w:tcW w:w="37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r>
      <w:tr>
        <w:trPr>
          <w:trHeight w:val="164"/>
        </w:trPr>
        <w:tc>
          <w:tcPr>
            <w:tcW w:w="37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659.2</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976.4</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644.7</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540.2</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524.6</w:t>
            </w:r>
          </w:p>
        </w:tc>
      </w:tr>
      <w:tr>
        <w:trPr>
          <w:trHeight w:val="20"/>
        </w:trPr>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3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4"/>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Fixed charges:</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r>
      <w:tr>
        <w:trPr>
          <w:trHeight w:val="164"/>
        </w:trPr>
        <w:tc>
          <w:tcPr>
            <w:tcW w:w="3760" w:type="dxa"/>
            <w:vAlign w:val="bottom"/>
          </w:tcPr>
          <w:p>
            <w:pPr>
              <w:ind w:left="180"/>
              <w:spacing w:after="0"/>
              <w:rPr>
                <w:sz w:val="20"/>
                <w:szCs w:val="20"/>
                <w:color w:val="auto"/>
              </w:rPr>
            </w:pPr>
            <w:r>
              <w:rPr>
                <w:rFonts w:ascii="Arial" w:cs="Arial" w:eastAsia="Arial" w:hAnsi="Arial"/>
                <w:sz w:val="14"/>
                <w:szCs w:val="14"/>
                <w:color w:val="auto"/>
              </w:rPr>
              <w:t>Interest (expensed or capitalized)</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64.2</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65.0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54.1</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46.7</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45.3</w:t>
            </w:r>
          </w:p>
        </w:tc>
      </w:tr>
      <w:tr>
        <w:trPr>
          <w:trHeight w:val="164"/>
        </w:trPr>
        <w:tc>
          <w:tcPr>
            <w:tcW w:w="3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Estimated interest portion of rent expense</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120.2</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108.7</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106.5</w:t>
            </w:r>
          </w:p>
        </w:tc>
        <w:tc>
          <w:tcPr>
            <w:tcW w:w="26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r>
      <w:tr>
        <w:trPr>
          <w:trHeight w:val="21"/>
        </w:trPr>
        <w:tc>
          <w:tcPr>
            <w:tcW w:w="37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r>
      <w:tr>
        <w:trPr>
          <w:trHeight w:val="164"/>
        </w:trPr>
        <w:tc>
          <w:tcPr>
            <w:tcW w:w="37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200.9</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185.2</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162.8</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153.2</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153.0</w:t>
            </w:r>
          </w:p>
        </w:tc>
      </w:tr>
      <w:tr>
        <w:trPr>
          <w:trHeight w:val="20"/>
        </w:trPr>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5"/>
        </w:trPr>
        <w:tc>
          <w:tcPr>
            <w:tcW w:w="3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4"/>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Ratio of earnings to fixed charges</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w:t>
            </w: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w:t>
            </w:r>
          </w:p>
        </w:tc>
        <w:tc>
          <w:tcPr>
            <w:tcW w:w="26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bl>
    <w:p>
      <w:pPr>
        <w:spacing w:after="0" w:line="335" w:lineRule="exact"/>
        <w:rPr>
          <w:sz w:val="20"/>
          <w:szCs w:val="20"/>
          <w:color w:val="auto"/>
        </w:rPr>
      </w:pPr>
    </w:p>
    <w:p>
      <w:pPr>
        <w:jc w:val="both"/>
        <w:ind w:left="620" w:right="40" w:hanging="619"/>
        <w:spacing w:after="0" w:line="249" w:lineRule="auto"/>
        <w:tabs>
          <w:tab w:leader="none" w:pos="60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60"/>
          </w:cols>
          <w:pgMar w:left="220" w:top="125" w:right="219" w:bottom="1440" w:gutter="0" w:footer="0" w:header="0"/>
        </w:sectPr>
      </w:pPr>
    </w:p>
    <w:bookmarkStart w:id="56" w:name="page57"/>
    <w:bookmarkEnd w:id="56"/>
    <w:p>
      <w:pPr>
        <w:jc w:val="both"/>
        <w:spacing w:after="0" w:line="249"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298690" cy="48234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8690" cy="482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both"/>
        <w:spacing w:after="0" w:line="249"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88900</wp:posOffset>
            </wp:positionV>
            <wp:extent cx="7298690" cy="4725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8690" cy="4725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1236980</wp:posOffset>
            </wp:positionH>
            <wp:positionV relativeFrom="page">
              <wp:posOffset>206375</wp:posOffset>
            </wp:positionV>
            <wp:extent cx="5093970" cy="6275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93970" cy="6275070"/>
                    </a:xfrm>
                    <a:prstGeom prst="rect">
                      <a:avLst/>
                    </a:prstGeom>
                    <a:noFill/>
                  </pic:spPr>
                </pic:pic>
              </a:graphicData>
            </a:graphic>
          </wp:anchor>
        </w:drawing>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33"/>
          <w:szCs w:val="33"/>
          <w:color w:val="FFFFFF"/>
        </w:rPr>
        <w:t>But our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33"/>
          <w:szCs w:val="33"/>
          <w:color w:val="FFFFFF"/>
        </w:rPr>
        <w:t>mission hasn’t.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00"/>
        <w:spacing w:after="0"/>
        <w:rPr>
          <w:sz w:val="20"/>
          <w:szCs w:val="20"/>
          <w:color w:val="auto"/>
        </w:rPr>
      </w:pPr>
      <w:r>
        <w:rPr>
          <w:rFonts w:ascii="Arial" w:cs="Arial" w:eastAsia="Arial" w:hAnsi="Arial"/>
          <w:sz w:val="33"/>
          <w:szCs w:val="33"/>
          <w:color w:val="auto"/>
        </w:rPr>
        <w:t>From the day Manpower</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33"/>
          <w:szCs w:val="33"/>
          <w:color w:val="auto"/>
        </w:rPr>
        <w:t>was founded in 1948,</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33"/>
          <w:szCs w:val="33"/>
          <w:color w:val="auto"/>
        </w:rPr>
        <w:t>we have been helping</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33"/>
          <w:szCs w:val="33"/>
          <w:color w:val="auto"/>
        </w:rPr>
        <w:t>individuals find work and</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33"/>
          <w:szCs w:val="33"/>
          <w:color w:val="auto"/>
        </w:rPr>
        <w:t>new opportunities while</w:t>
      </w:r>
    </w:p>
    <w:p>
      <w:pPr>
        <w:spacing w:after="0" w:line="381" w:lineRule="exact"/>
        <w:rPr>
          <w:sz w:val="20"/>
          <w:szCs w:val="20"/>
          <w:color w:val="auto"/>
        </w:rPr>
      </w:pPr>
    </w:p>
    <w:p>
      <w:pPr>
        <w:ind w:left="2100"/>
        <w:spacing w:after="0"/>
        <w:rPr>
          <w:sz w:val="20"/>
          <w:szCs w:val="20"/>
          <w:color w:val="auto"/>
        </w:rPr>
      </w:pPr>
      <w:r>
        <w:rPr>
          <w:rFonts w:ascii="Arial" w:cs="Arial" w:eastAsia="Arial" w:hAnsi="Arial"/>
          <w:sz w:val="33"/>
          <w:szCs w:val="33"/>
          <w:color w:val="auto"/>
        </w:rPr>
        <w:t>helping businesses find</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32"/>
          <w:szCs w:val="32"/>
          <w:color w:val="auto"/>
        </w:rPr>
        <w:t>skilled, talented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2346325</wp:posOffset>
            </wp:positionV>
            <wp:extent cx="729869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4" w:lineRule="auto"/>
        <w:rPr>
          <w:sz w:val="20"/>
          <w:szCs w:val="20"/>
          <w:color w:val="auto"/>
        </w:rPr>
      </w:pPr>
      <w:r>
        <w:rPr>
          <w:rFonts w:ascii="Arial" w:cs="Arial" w:eastAsia="Arial" w:hAnsi="Arial"/>
          <w:sz w:val="18"/>
          <w:szCs w:val="18"/>
          <w:color w:val="4D8ABE"/>
        </w:rPr>
        <w:t>We are ready not only with a healthy balance sheet, but also with an engaged team, and a compelling value proposition for our clients.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Dear Manpower Investor:</w:t>
      </w:r>
    </w:p>
    <w:p>
      <w:pPr>
        <w:spacing w:after="0" w:line="147"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It was just twelve months ago that I was writing to you about our record year in 2007. What a difference a year makes – things have certainly changed since then. I mentioned in my letter to you last year that 2008 would likely bring unknowns and potential clouds that would either move in or move on. Unfortunately, the clouds of the economic downturn moved in to stay. I committed that we’d be ready for them and we are. We are ready not only with a healthy balance sheet, but also with an engaged team, and a compelling value proposition for our clients.</w:t>
      </w:r>
    </w:p>
    <w:p>
      <w:pPr>
        <w:spacing w:after="0" w:line="146"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It can almost go without saying that 2009 will be a challenge. However, as intimidating as the outlook may be, I can say with confidence that we are looking at this year as an opportunity. Our planning process, infrastructure and the strength of our combined assets will pay off during this economic downturn and even more so on the other side of it. Throughout this letter I’ll highlight some of the initiatives that we have put in place and are pursuing that give our team confidence as we move forward in 2009.</w:t>
      </w:r>
    </w:p>
    <w:p>
      <w:pPr>
        <w:spacing w:after="0" w:line="14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As for 2008, revenues were up slightly to $22 billion, an increase of about 1 percent in constant currency. This was primarily driven by the first half of the year, with our European operations performing quite well. Net earnings decreased to $2.75 per diluted share as it was negatively impacted by several non-recurring items including a goodwill impairment charge. Our net earnings, excluding non-recurring items, was $379 million. Also excluding non-recurring items, our operating profit was $647 million, for a margin of 3 percent. This reflects a 7 percent decline from the prior year due to the deleveraging of our expense base in the second half of the year. Cash flow more than doubled and our cash position improved nicely to $874 million. During the course of the year, we were able to purchase 2.2 million shares and maintain our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212090</wp:posOffset>
            </wp:positionV>
            <wp:extent cx="727964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600"/>
            <w:col w:w="8260"/>
          </w:cols>
          <w:pgMar w:left="220" w:top="324" w:right="219" w:bottom="1440" w:gutter="0" w:footer="0" w:header="0"/>
        </w:sectPr>
      </w:pPr>
    </w:p>
    <w:p>
      <w:pPr>
        <w:spacing w:after="0" w:line="158"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939598"/>
        </w:rPr>
        <w:t>Shareholder’s Letter</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187325</wp:posOffset>
            </wp:positionV>
            <wp:extent cx="729869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324" w:right="219" w:bottom="1440" w:gutter="0" w:footer="0" w:header="0"/>
          <w:type w:val="continuous"/>
        </w:sectPr>
      </w:pPr>
    </w:p>
    <w:bookmarkStart w:id="60" w:name="page61"/>
    <w:bookmarkEnd w:id="60"/>
    <w:p>
      <w:pPr>
        <w:jc w:val="both"/>
        <w:spacing w:after="0" w:line="234" w:lineRule="auto"/>
        <w:rPr>
          <w:sz w:val="20"/>
          <w:szCs w:val="20"/>
          <w:color w:val="auto"/>
        </w:rPr>
      </w:pPr>
      <w:r>
        <w:rPr>
          <w:rFonts w:ascii="Arial" w:cs="Arial" w:eastAsia="Arial" w:hAnsi="Arial"/>
          <w:sz w:val="14"/>
          <w:szCs w:val="14"/>
          <w:color w:val="auto"/>
        </w:rPr>
        <w:t>We started 2008 with strong tailwinds from our European operations. As the year progressed, we saw our largest markets fall off very sharply, particularly in the third quarter, as the difficulty in the U.S. spread to the rest of the world. Anticipating that these deteriorations would occur, we took action on our expenses.</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We have a track record of doing this well. Manpower has a long history of resiliency through difficult economic times and, in fact, not just being resilient, but agile in our response to shifting trends – always emerging a stronger company. That doesn’t mean this downturn won’t bring new obstacles and unexpected challenges – it will.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4D8ABE"/>
        </w:rPr>
        <w:t>Six Decades of Achievement</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In 2008, we celebrated our 60th anniversary. Since the company’s inception in 1948, solving our clients’ biggest problem – finding the right people at the right time with the right skills – has been the essence of what we do. Even today, as we find ourselves in a more complex global labor market and complicated economic environment than ever before, our clients are still grappling with that same problem. Whether it be Manpower, Right Management, Jefferson Wells, Elan or Manpower Professional, finding the talent that our clients need is what it’s all about – and that’s what both our clients and candidates depend on us for.</w:t>
      </w:r>
    </w:p>
    <w:p>
      <w:pPr>
        <w:spacing w:after="0" w:line="14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Sixty years of doing business is a monumental achievement for any company. Take a moment to consider that the average lifespan of a multinational organization on the Fortune 500 is 40 – 50 years. We’ve definitely surpassed that milestone, and remained a global leader in the changing world of work for six decades, successfully navigating through good economic times and bad.</w:t>
      </w:r>
    </w:p>
    <w:p>
      <w:pPr>
        <w:spacing w:after="0" w:line="14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Despite the ups and downs of economic cycles, Manpower has always been able to manage through and position ourselves for future growth, consistently providing innovative services that our clients and candidates depend on. We always have our finger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FF9933"/>
        </w:rPr>
        <w:t>Manpower has a long history of resiliency through difficult economic times and, in fact, not just being resilient, but agile in our response to shifting trends – always emerging a stronger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-2105025</wp:posOffset>
            </wp:positionV>
            <wp:extent cx="1441450" cy="991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1450" cy="991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340"/>
            <w:col w:w="2900"/>
          </w:cols>
          <w:pgMar w:left="220" w:top="324" w:right="17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42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Shareholder’s Letter</w:t>
            </w:r>
          </w:p>
        </w:tc>
        <w:tc>
          <w:tcPr>
            <w:tcW w:w="3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420" w:type="dxa"/>
            <w:vAlign w:val="bottom"/>
            <w:vMerge w:val="continue"/>
          </w:tcPr>
          <w:p>
            <w:pPr>
              <w:spacing w:after="0"/>
              <w:rPr>
                <w:sz w:val="6"/>
                <w:szCs w:val="6"/>
                <w:color w:val="auto"/>
              </w:rPr>
            </w:pPr>
          </w:p>
        </w:tc>
        <w:tc>
          <w:tcPr>
            <w:tcW w:w="3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2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420" w:type="dxa"/>
            <w:vAlign w:val="bottom"/>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24" w:right="179" w:bottom="1440" w:gutter="0" w:footer="0" w:header="0"/>
          <w:type w:val="continuous"/>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206375</wp:posOffset>
            </wp:positionV>
            <wp:extent cx="1461135" cy="932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461135" cy="93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44" w:lineRule="auto"/>
        <w:rPr>
          <w:sz w:val="20"/>
          <w:szCs w:val="20"/>
          <w:color w:val="auto"/>
        </w:rPr>
      </w:pPr>
      <w:r>
        <w:rPr>
          <w:rFonts w:ascii="Arial" w:cs="Arial" w:eastAsia="Arial" w:hAnsi="Arial"/>
          <w:sz w:val="10"/>
          <w:szCs w:val="10"/>
          <w:color w:val="auto"/>
        </w:rPr>
        <w:t>Emerging market revenue grew 44% in 2008. Key expansion markets grew: India (+40%), China (+15%) and Eastern Europe (+38%).</w:t>
      </w:r>
    </w:p>
    <w:p>
      <w:pPr>
        <w:spacing w:after="0" w:line="200" w:lineRule="exact"/>
        <w:rPr>
          <w:sz w:val="20"/>
          <w:szCs w:val="20"/>
          <w:color w:val="auto"/>
        </w:rPr>
      </w:pPr>
    </w:p>
    <w:p>
      <w:pPr>
        <w:spacing w:after="0" w:line="351" w:lineRule="exact"/>
        <w:rPr>
          <w:sz w:val="20"/>
          <w:szCs w:val="20"/>
          <w:color w:val="auto"/>
        </w:rPr>
      </w:pPr>
    </w:p>
    <w:p>
      <w:pPr>
        <w:spacing w:after="0" w:line="255" w:lineRule="auto"/>
        <w:rPr>
          <w:sz w:val="20"/>
          <w:szCs w:val="20"/>
          <w:color w:val="auto"/>
        </w:rPr>
      </w:pPr>
      <w:r>
        <w:rPr>
          <w:rFonts w:ascii="Arial" w:cs="Arial" w:eastAsia="Arial" w:hAnsi="Arial"/>
          <w:sz w:val="18"/>
          <w:szCs w:val="18"/>
          <w:color w:val="86B6A5"/>
        </w:rPr>
        <w:t>During 60 years of operation, we have learned how to navigate and take advantage of the opportunity that a downturn presents.</w:t>
      </w:r>
    </w:p>
    <w:p>
      <w:pPr>
        <w:spacing w:after="0" w:line="20" w:lineRule="exact"/>
        <w:rPr>
          <w:sz w:val="20"/>
          <w:szCs w:val="20"/>
          <w:color w:val="auto"/>
        </w:rPr>
      </w:pPr>
      <w:r>
        <w:rPr>
          <w:sz w:val="20"/>
          <w:szCs w:val="20"/>
          <w:color w:val="auto"/>
        </w:rPr>
        <w:br w:type="column"/>
      </w:r>
    </w:p>
    <w:p>
      <w:pPr>
        <w:jc w:val="both"/>
        <w:spacing w:after="0" w:line="232" w:lineRule="auto"/>
        <w:rPr>
          <w:sz w:val="20"/>
          <w:szCs w:val="20"/>
          <w:color w:val="auto"/>
        </w:rPr>
      </w:pPr>
      <w:r>
        <w:rPr>
          <w:rFonts w:ascii="Arial" w:cs="Arial" w:eastAsia="Arial" w:hAnsi="Arial"/>
          <w:sz w:val="14"/>
          <w:szCs w:val="14"/>
          <w:color w:val="auto"/>
        </w:rPr>
        <w:t>the pulse of the world of work. Whether it be helping women enter or re-enter the workforce, adapting to young people looking at work in new and different ways, or working with our clients to develop innovative ways to keep the baby boomers engaged in their careers longer, Manpower has been at the forefront of these changing dynamics. Having the insight to identify these shifts, the agility to adapt to them and the ability to help our clients and candidates understand and navigate them, has been key to our success over the past 60 years and it’s what will position us to take off for the next 60.</w:t>
      </w:r>
    </w:p>
    <w:p>
      <w:pPr>
        <w:spacing w:after="0" w:line="146"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When I think about the future of Manpower, I get very excited because I don’t feel like we’ve even scratched the surface of opportunity. There is still so much potential. In many ways, we are a 60-year-old start-up. Not many 60-year-old companies can say the historic core of their business, staffing, is alive and growing. This secular trend in several geographies and sectors generates long-term fuel for our growth. And when that growth is coupled with our prospects for acceleration in the specialty areas, you can see why we feel so optimistic about our business.</w:t>
      </w:r>
    </w:p>
    <w:p>
      <w:pPr>
        <w:spacing w:after="0" w:line="146"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Over the years, we have strategically acquired and developed assets, and matured our attributes, but the most valuable asset at Manpower is our culture: the engagement of our team and relentless pursuit of a client-first focus. During 60 years of operation, we’ve gone through several ups and downs, including the infamous double dip in the early 1980s. There are still many people in our organization who were with us at that time, and we have learned how to navigate and take advantage of the opportunity that a downturn presents.</w:t>
      </w:r>
    </w:p>
    <w:p>
      <w:pPr>
        <w:spacing w:after="0" w:line="14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One important lesson we’ve learned is that trying to take advantage of a downturn once the downturn hits is too late. We know that it requires a continual process of innovation, lean operations and a team that is committed to our vision and strategy. This combination creates the resilience and capability that has continued to pay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210185</wp:posOffset>
            </wp:positionV>
            <wp:extent cx="727964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2780" w:space="420"/>
            <w:col w:w="8260"/>
          </w:cols>
          <w:pgMar w:left="220" w:top="324" w:right="219" w:bottom="1440" w:gutter="0" w:footer="0" w:header="0"/>
        </w:sectPr>
      </w:pPr>
    </w:p>
    <w:p>
      <w:pPr>
        <w:spacing w:after="0" w:line="150"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2"/>
          <w:szCs w:val="12"/>
          <w:b w:val="1"/>
          <w:bCs w:val="1"/>
          <w:color w:val="939598"/>
        </w:rPr>
        <w:t>Shareholder’s Letter</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324" w:right="219" w:bottom="1440" w:gutter="0" w:footer="0" w:header="0"/>
          <w:type w:val="continuous"/>
        </w:sectPr>
      </w:pPr>
    </w:p>
    <w:bookmarkStart w:id="62" w:name="page63"/>
    <w:bookmarkEnd w:id="62"/>
    <w:p>
      <w:pPr>
        <w:jc w:val="both"/>
        <w:spacing w:after="0" w:line="219" w:lineRule="auto"/>
        <w:rPr>
          <w:sz w:val="20"/>
          <w:szCs w:val="20"/>
          <w:color w:val="auto"/>
        </w:rPr>
      </w:pPr>
      <w:r>
        <w:rPr>
          <w:rFonts w:ascii="Arial" w:cs="Arial" w:eastAsia="Arial" w:hAnsi="Arial"/>
          <w:sz w:val="14"/>
          <w:szCs w:val="14"/>
          <w:color w:val="auto"/>
        </w:rPr>
        <w:t>for us. Strategic moves such as: introducing Skillware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 1982 to train candidates and staff on software and business systems; acquiring Elan, Europe’s leading IT outsourcing firm in 2000; and the acquisition of Right Management, the world’s largest outplacement and organizational consulting firm in 2004 – all were made based on an awareness and sensitivity to the trends that drive our industry and the actions of our clients.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6699CC"/>
        </w:rPr>
        <w:t>Solutions for Now and for the Future</w:t>
      </w:r>
    </w:p>
    <w:p>
      <w:pPr>
        <w:spacing w:after="0" w:line="16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As we continue to navigate these challenging times, there are certain world of work megatrends at play that have real implications for our business. These trends will continue to affect us in a more targeted way once the world’s economies emerge from the current environment. One of the key trends that will drive much of the industry and our clients’ behavior is the aging workforce, which is aggravating the ongoing talent shortage. The current economic downturn and the associated job losses are masking the effect of this megatrend. But the fact remains that aging baby boomers will continue to exit the workforce, taking with them business acumen and essential skills such as how to manage legacy systems. And this situation is even more acute in the emerging economies. In many ways, the latent demand will actually exacerbate the talent shortage, as there will not be enough appropriately skilled people to fill the void of available jobs, and the upgrading of skills and workforces in general will be stalled.</w:t>
      </w:r>
    </w:p>
    <w:p>
      <w:pPr>
        <w:spacing w:after="0" w:line="147"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Another major trend is the notion and reality that the individual rules. This is a significant role reversal, and we’ve seen this taking shape for some time as companies have had to build their employer brand and learn how to manage employees as individuals rather than as a homogenous group. The rise of the “NetGen,” young people with very different expectations and motivations from previous generations, combined with the talent shortage, has shifted the power from the employer to the individual and, as a result, retaining talent will be much more elusive. This will create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40"/>
        <w:spacing w:after="0" w:line="235" w:lineRule="auto"/>
        <w:rPr>
          <w:sz w:val="20"/>
          <w:szCs w:val="20"/>
          <w:color w:val="auto"/>
        </w:rPr>
      </w:pPr>
      <w:r>
        <w:rPr>
          <w:rFonts w:ascii="Arial" w:cs="Arial" w:eastAsia="Arial" w:hAnsi="Arial"/>
          <w:sz w:val="10"/>
          <w:szCs w:val="10"/>
          <w:color w:val="auto"/>
        </w:rPr>
        <w:t>Includes Manpower Professional, Elan, Jefferson Wells, and Right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-716280</wp:posOffset>
            </wp:positionV>
            <wp:extent cx="1395730" cy="554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95730" cy="554355"/>
                    </a:xfrm>
                    <a:prstGeom prst="rect">
                      <a:avLst/>
                    </a:prstGeom>
                    <a:noFill/>
                  </pic:spPr>
                </pic:pic>
              </a:graphicData>
            </a:graphic>
          </wp:anchor>
        </w:drawing>
      </w:r>
    </w:p>
    <w:p>
      <w:pPr>
        <w:jc w:val="both"/>
        <w:ind w:right="40"/>
        <w:spacing w:after="0" w:line="244" w:lineRule="auto"/>
        <w:rPr>
          <w:sz w:val="20"/>
          <w:szCs w:val="20"/>
          <w:color w:val="auto"/>
        </w:rPr>
      </w:pPr>
      <w:r>
        <w:rPr>
          <w:rFonts w:ascii="Arial" w:cs="Arial" w:eastAsia="Arial" w:hAnsi="Arial"/>
          <w:sz w:val="10"/>
          <w:szCs w:val="10"/>
          <w:color w:val="auto"/>
        </w:rPr>
        <w:t>Our strategy has allowed us to improve gross profit from specialty services over the past five years, more than doubling to $932 million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1409065" cy="16173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09065" cy="1617345"/>
                    </a:xfrm>
                    <a:prstGeom prst="rect">
                      <a:avLst/>
                    </a:prstGeom>
                    <a:noFill/>
                  </pic:spPr>
                </pic:pic>
              </a:graphicData>
            </a:graphic>
          </wp:anchor>
        </w:drawing>
      </w:r>
    </w:p>
    <w:p>
      <w:pPr>
        <w:spacing w:after="0" w:line="1972" w:lineRule="exact"/>
        <w:rPr>
          <w:sz w:val="20"/>
          <w:szCs w:val="20"/>
          <w:color w:val="auto"/>
        </w:rPr>
      </w:pPr>
    </w:p>
    <w:p>
      <w:pPr>
        <w:sectPr>
          <w:pgSz w:w="11900" w:h="16838" w:orient="portrait"/>
          <w:cols w:equalWidth="0" w:num="2">
            <w:col w:w="8260" w:space="340"/>
            <w:col w:w="2900"/>
          </w:cols>
          <w:pgMar w:left="220" w:top="320"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42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Shareholder’s Letter</w:t>
            </w:r>
          </w:p>
        </w:tc>
        <w:tc>
          <w:tcPr>
            <w:tcW w:w="3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420" w:type="dxa"/>
            <w:vAlign w:val="bottom"/>
            <w:vMerge w:val="continue"/>
          </w:tcPr>
          <w:p>
            <w:pPr>
              <w:spacing w:after="0"/>
              <w:rPr>
                <w:sz w:val="6"/>
                <w:szCs w:val="6"/>
                <w:color w:val="auto"/>
              </w:rPr>
            </w:pPr>
          </w:p>
        </w:tc>
        <w:tc>
          <w:tcPr>
            <w:tcW w:w="3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2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420" w:type="dxa"/>
            <w:vAlign w:val="bottom"/>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20" w:right="179" w:bottom="1440" w:gutter="0" w:footer="0" w:header="0"/>
          <w:type w:val="continuous"/>
        </w:sectPr>
      </w:pPr>
    </w:p>
    <w:bookmarkStart w:id="63" w:name="page64"/>
    <w:bookmarkEnd w:id="63"/>
    <w:p>
      <w:pPr>
        <w:spacing w:after="0" w:line="252" w:lineRule="auto"/>
        <w:rPr>
          <w:sz w:val="20"/>
          <w:szCs w:val="20"/>
          <w:color w:val="auto"/>
        </w:rPr>
      </w:pPr>
      <w:r>
        <w:rPr>
          <w:rFonts w:ascii="Arial" w:cs="Arial" w:eastAsia="Arial" w:hAnsi="Arial"/>
          <w:sz w:val="18"/>
          <w:szCs w:val="18"/>
          <w:color w:val="CD3040"/>
        </w:rPr>
        <w:t>We’ve launched MyPath, our community-driven online career management experience that will establish Manpower as the de facto individual career reference and position us as the individual’s trusted advisor.</w:t>
      </w:r>
    </w:p>
    <w:p>
      <w:pPr>
        <w:spacing w:after="0" w:line="20" w:lineRule="exact"/>
        <w:rPr>
          <w:sz w:val="20"/>
          <w:szCs w:val="20"/>
          <w:color w:val="auto"/>
        </w:rPr>
      </w:pPr>
      <w:r>
        <w:rPr>
          <w:sz w:val="20"/>
          <w:szCs w:val="20"/>
          <w:color w:val="auto"/>
        </w:rPr>
        <w:br w:type="column"/>
      </w:r>
    </w:p>
    <w:p>
      <w:pPr>
        <w:jc w:val="both"/>
        <w:spacing w:after="0" w:line="233" w:lineRule="auto"/>
        <w:rPr>
          <w:sz w:val="20"/>
          <w:szCs w:val="20"/>
          <w:color w:val="auto"/>
        </w:rPr>
      </w:pPr>
      <w:r>
        <w:rPr>
          <w:rFonts w:ascii="Arial" w:cs="Arial" w:eastAsia="Arial" w:hAnsi="Arial"/>
          <w:sz w:val="14"/>
          <w:szCs w:val="14"/>
          <w:color w:val="auto"/>
        </w:rPr>
        <w:t>a velocity of talent churning within organizations, as both of these trends – the aging workforce and the individual rules – become exponentially more complicated in light of technological revolutions, a third world of work trend that we will continue to monitor. Causing discontinuity as mobile connectivity, dominance of user- generated content on the Internet and social networking become a way of life, in and out of work, technological revolutions are changing the way people and businesses operate.</w:t>
      </w:r>
    </w:p>
    <w:p>
      <w:pPr>
        <w:spacing w:after="0" w:line="145"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These three major trends are having a serious impact on our clients, and that’s what drives the development and evolution of our services. Our clients are looking for more from us. They want solutions that work. These solutions cannot be created in a vacuum, and innovation during a downturn must be more than just words. Our innovation is derived from a maniacal pursuit to determine what our clients around the world are asking for, directly or indirectly, and applying solutions locally and then refining and implementing them globally. In response to these trends:</w:t>
      </w:r>
    </w:p>
    <w:p>
      <w:pPr>
        <w:spacing w:after="0" w:line="146" w:lineRule="exact"/>
        <w:rPr>
          <w:sz w:val="20"/>
          <w:szCs w:val="20"/>
          <w:color w:val="auto"/>
        </w:rPr>
      </w:pPr>
    </w:p>
    <w:p>
      <w:pPr>
        <w:jc w:val="both"/>
        <w:ind w:left="520" w:hanging="513"/>
        <w:spacing w:after="0" w:line="237" w:lineRule="auto"/>
        <w:rPr>
          <w:sz w:val="20"/>
          <w:szCs w:val="20"/>
          <w:color w:val="auto"/>
        </w:rPr>
      </w:pPr>
      <w:r>
        <w:rPr>
          <w:rFonts w:ascii="Arial" w:cs="Arial" w:eastAsia="Arial" w:hAnsi="Arial"/>
          <w:sz w:val="14"/>
          <w:szCs w:val="14"/>
          <w:color w:val="auto"/>
        </w:rPr>
        <w:t>We’ve launched MyPath, our community-driven online career management experience that will establish Manpower as the de facto individual career reference and position us as the individual’s trusted advisor.</w:t>
      </w:r>
    </w:p>
    <w:p>
      <w:pPr>
        <w:spacing w:after="0" w:line="144" w:lineRule="exact"/>
        <w:rPr>
          <w:sz w:val="20"/>
          <w:szCs w:val="20"/>
          <w:color w:val="auto"/>
        </w:rPr>
      </w:pPr>
    </w:p>
    <w:p>
      <w:pPr>
        <w:jc w:val="both"/>
        <w:ind w:left="520" w:hanging="513"/>
        <w:spacing w:after="0" w:line="237" w:lineRule="auto"/>
        <w:rPr>
          <w:sz w:val="20"/>
          <w:szCs w:val="20"/>
          <w:color w:val="auto"/>
        </w:rPr>
      </w:pPr>
      <w:r>
        <w:rPr>
          <w:rFonts w:ascii="Arial" w:cs="Arial" w:eastAsia="Arial" w:hAnsi="Arial"/>
          <w:sz w:val="14"/>
          <w:szCs w:val="14"/>
          <w:color w:val="auto"/>
        </w:rPr>
        <w:t>We’ve invested in training nearly 16,000 Manpower staff members on what it means to deliver a differentiated candidate experience and upgrading the look and feel of our branch offices through an initiative called Branch Experience.</w:t>
      </w:r>
    </w:p>
    <w:p>
      <w:pPr>
        <w:spacing w:after="0" w:line="144" w:lineRule="exact"/>
        <w:rPr>
          <w:sz w:val="20"/>
          <w:szCs w:val="20"/>
          <w:color w:val="auto"/>
        </w:rPr>
      </w:pPr>
    </w:p>
    <w:p>
      <w:pPr>
        <w:jc w:val="both"/>
        <w:ind w:left="520" w:hanging="513"/>
        <w:spacing w:after="0" w:line="237" w:lineRule="auto"/>
        <w:rPr>
          <w:sz w:val="20"/>
          <w:szCs w:val="20"/>
          <w:color w:val="auto"/>
        </w:rPr>
      </w:pPr>
      <w:r>
        <w:rPr>
          <w:rFonts w:ascii="Arial" w:cs="Arial" w:eastAsia="Arial" w:hAnsi="Arial"/>
          <w:sz w:val="14"/>
          <w:szCs w:val="14"/>
          <w:color w:val="auto"/>
        </w:rPr>
        <w:t>We’ve strengthened our recruitment capability throughout our organization, in the core part of our business and in Manpower Professional; and we’re investing in building a world-class Recruitment Process Outsourcing (RPO)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209550</wp:posOffset>
            </wp:positionV>
            <wp:extent cx="727964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440"/>
            <w:col w:w="8260"/>
          </w:cols>
          <w:pgMar w:left="220" w:top="321" w:right="219" w:bottom="1440" w:gutter="0" w:footer="0" w:header="0"/>
        </w:sectPr>
      </w:pPr>
    </w:p>
    <w:p>
      <w:pPr>
        <w:spacing w:after="0" w:line="154"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2"/>
          <w:szCs w:val="12"/>
          <w:b w:val="1"/>
          <w:bCs w:val="1"/>
          <w:color w:val="939598"/>
        </w:rPr>
        <w:t>Shareholder’s Letter</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187325</wp:posOffset>
            </wp:positionV>
            <wp:extent cx="729869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321" w:right="219" w:bottom="1440" w:gutter="0" w:footer="0" w:header="0"/>
          <w:type w:val="continuous"/>
        </w:sectPr>
      </w:pPr>
    </w:p>
    <w:bookmarkStart w:id="64" w:name="page65"/>
    <w:bookmarkEnd w:id="64"/>
    <w:p>
      <w:pPr>
        <w:spacing w:after="0" w:line="2" w:lineRule="exact"/>
        <w:rPr>
          <w:sz w:val="20"/>
          <w:szCs w:val="20"/>
          <w:color w:val="auto"/>
        </w:rPr>
      </w:pPr>
    </w:p>
    <w:p>
      <w:pPr>
        <w:jc w:val="both"/>
        <w:ind w:left="520" w:hanging="513"/>
        <w:spacing w:after="0" w:line="237" w:lineRule="auto"/>
        <w:rPr>
          <w:sz w:val="20"/>
          <w:szCs w:val="20"/>
          <w:color w:val="auto"/>
        </w:rPr>
      </w:pPr>
      <w:r>
        <w:rPr>
          <w:rFonts w:ascii="Arial" w:cs="Arial" w:eastAsia="Arial" w:hAnsi="Arial"/>
          <w:sz w:val="14"/>
          <w:szCs w:val="14"/>
          <w:color w:val="auto"/>
        </w:rPr>
        <w:t>We’ve leveraged our network of 4,400 offices across 82 countries and territories to facilitate the movement of people across borders to work or move work to people through our Cross Border Connections offering.</w:t>
      </w:r>
    </w:p>
    <w:p>
      <w:pPr>
        <w:spacing w:after="0" w:line="144" w:lineRule="exact"/>
        <w:rPr>
          <w:sz w:val="20"/>
          <w:szCs w:val="20"/>
          <w:color w:val="auto"/>
        </w:rPr>
      </w:pPr>
    </w:p>
    <w:p>
      <w:pPr>
        <w:jc w:val="both"/>
        <w:ind w:left="520" w:hanging="513"/>
        <w:spacing w:after="0" w:line="237" w:lineRule="auto"/>
        <w:rPr>
          <w:sz w:val="20"/>
          <w:szCs w:val="20"/>
          <w:color w:val="auto"/>
        </w:rPr>
      </w:pPr>
      <w:r>
        <w:rPr>
          <w:rFonts w:ascii="Arial" w:cs="Arial" w:eastAsia="Arial" w:hAnsi="Arial"/>
          <w:sz w:val="14"/>
          <w:szCs w:val="14"/>
          <w:color w:val="auto"/>
        </w:rPr>
        <w:t>We’ve pulled together all of our services, in order and relevance, to squarely address our clients’ needs through Manpower Business Solutions.</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It’s this combination of diverse assets that separates us from the competition. This is our strategy in action, and what we have been preparing for years.</w:t>
      </w:r>
    </w:p>
    <w:p>
      <w:pPr>
        <w:spacing w:after="0" w:line="14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So as we move into 2009, we will address these trends with solutions that will unlock value and profitability for our clients and us. What we have presented to the market is only the beginning of our services pipeline. At our company, we develop solutions thoughtfully – not simply replicating and repackaging current solutions with a different name. Our solutions are a confluence of original thought, client discussion, interviews with individuals, practical thinking and relentless passion. They are not merely labels, but programs and processes that have been institutionalized throughout our company, because we’re obsessed with delivering value to help our clients win. As we head into even more uncertain economic times, our clients will be searching for solutions with impact, where brilliance is presented in simplicity and results – that’s our bar.</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 bedrock for us to innovate and perform in these down cycles, in addition to our team, is our financial strength and flexibility. As you look at our balance sheet, you can see that we possess the financial capacity to adjust to disruptions in the near-term. This is not by accident. We have consistently protected our cash, knowing</w:t>
      </w:r>
    </w:p>
    <w:p>
      <w:pPr>
        <w:spacing w:after="0" w:line="20" w:lineRule="exact"/>
        <w:rPr>
          <w:sz w:val="20"/>
          <w:szCs w:val="20"/>
          <w:color w:val="auto"/>
        </w:rPr>
      </w:pPr>
      <w:r>
        <w:rPr>
          <w:sz w:val="20"/>
          <w:szCs w:val="20"/>
          <w:color w:val="auto"/>
        </w:rPr>
        <w:br w:type="column"/>
      </w:r>
    </w:p>
    <w:p>
      <w:pPr>
        <w:ind w:right="60"/>
        <w:spacing w:after="0" w:line="252" w:lineRule="auto"/>
        <w:rPr>
          <w:sz w:val="20"/>
          <w:szCs w:val="20"/>
          <w:color w:val="auto"/>
        </w:rPr>
      </w:pPr>
      <w:r>
        <w:rPr>
          <w:rFonts w:ascii="Arial" w:cs="Arial" w:eastAsia="Arial" w:hAnsi="Arial"/>
          <w:sz w:val="18"/>
          <w:szCs w:val="18"/>
          <w:color w:val="6699CC"/>
        </w:rPr>
        <w:t>We’ve invested in training nearly 16,000 Manpower staff members on what it means to deliver a differentiated candidate experience and upgrading the look and feel of our branch offices through an initiative called Branch Experience.</w:t>
      </w:r>
    </w:p>
    <w:p>
      <w:pPr>
        <w:spacing w:after="0" w:line="1771" w:lineRule="exact"/>
        <w:rPr>
          <w:sz w:val="20"/>
          <w:szCs w:val="20"/>
          <w:color w:val="auto"/>
        </w:rPr>
      </w:pPr>
    </w:p>
    <w:p>
      <w:pPr>
        <w:sectPr>
          <w:pgSz w:w="11900" w:h="16838" w:orient="portrait"/>
          <w:cols w:equalWidth="0" w:num="2">
            <w:col w:w="8260" w:space="340"/>
            <w:col w:w="2900"/>
          </w:cols>
          <w:pgMar w:left="220" w:top="321" w:right="179" w:bottom="1440" w:gutter="0" w:footer="0" w:header="0"/>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42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Shareholder’s Letter</w:t>
            </w:r>
          </w:p>
        </w:tc>
        <w:tc>
          <w:tcPr>
            <w:tcW w:w="3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420" w:type="dxa"/>
            <w:vAlign w:val="bottom"/>
            <w:vMerge w:val="continue"/>
          </w:tcPr>
          <w:p>
            <w:pPr>
              <w:spacing w:after="0"/>
              <w:rPr>
                <w:sz w:val="6"/>
                <w:szCs w:val="6"/>
                <w:color w:val="auto"/>
              </w:rPr>
            </w:pPr>
          </w:p>
        </w:tc>
        <w:tc>
          <w:tcPr>
            <w:tcW w:w="3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2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420" w:type="dxa"/>
            <w:vAlign w:val="bottom"/>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21" w:right="17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0"/>
          <w:szCs w:val="10"/>
          <w:b w:val="1"/>
          <w:bCs w:val="1"/>
          <w:color w:val="auto"/>
        </w:rPr>
        <w:t>Operating Cash Flows</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1487170" cy="821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87170" cy="82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0"/>
        <w:spacing w:after="0" w:line="252" w:lineRule="auto"/>
        <w:rPr>
          <w:sz w:val="20"/>
          <w:szCs w:val="20"/>
          <w:color w:val="auto"/>
        </w:rPr>
      </w:pPr>
      <w:r>
        <w:rPr>
          <w:rFonts w:ascii="Arial" w:cs="Arial" w:eastAsia="Arial" w:hAnsi="Arial"/>
          <w:sz w:val="10"/>
          <w:szCs w:val="10"/>
          <w:color w:val="auto"/>
        </w:rPr>
        <w:t>We have a solid balance sheet and strong cash flows. Free cash flow more than doubled, to $698.9 million, in 2008.</w:t>
      </w:r>
    </w:p>
    <w:p>
      <w:pPr>
        <w:spacing w:after="0" w:line="290" w:lineRule="exact"/>
        <w:rPr>
          <w:sz w:val="20"/>
          <w:szCs w:val="20"/>
          <w:color w:val="auto"/>
        </w:rPr>
      </w:pPr>
    </w:p>
    <w:p>
      <w:pPr>
        <w:spacing w:after="0" w:line="255" w:lineRule="auto"/>
        <w:rPr>
          <w:sz w:val="20"/>
          <w:szCs w:val="20"/>
          <w:color w:val="auto"/>
        </w:rPr>
      </w:pPr>
      <w:r>
        <w:rPr>
          <w:rFonts w:ascii="Arial" w:cs="Arial" w:eastAsia="Arial" w:hAnsi="Arial"/>
          <w:sz w:val="18"/>
          <w:szCs w:val="18"/>
          <w:color w:val="FF9933"/>
        </w:rPr>
        <w:t>Doing well by doing good… our workforce development programs provide an important, sustainable revenue stream.</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we are in a cyclical business. It is over the next 12-18 months that this durability will be rewarded. In an environment like this, our competitors will be presented with significant challenges, and they don’t have our balance sheet, diversity of footprint, and services to deliver practical solutions.</w:t>
      </w:r>
    </w:p>
    <w:p>
      <w:pPr>
        <w:spacing w:after="0" w:line="145"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We couldn’t do this if we didn’t have the finest team in the industry. We have continued to develop our people. Our philosophy of Exposure, Experience and Education to develop leaders is paying off. Our Global / Local approach is part of our secret and predicated on the involvement and development of our leaders across the world. The requirement to be ambidextrous has never been more of an imperative – we must operate the business day to day, while positioning ourselves for the future. We must optimize local entrepreneurship and maximize global knowledge and collaboration. No team is better equipped for this dual task.</w:t>
      </w:r>
    </w:p>
    <w:p>
      <w:pPr>
        <w:spacing w:after="0" w:line="146"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Our team’s energy and engagement will be critical in 2009. We derive a lot of our energy from what we deliver to society and individuals. Finding a job for an individual is exhilarating for us. From what Right Management does in Career Transition and development through to our core staffing business, we are committed to connecting people to careers.</w:t>
      </w:r>
    </w:p>
    <w:p>
      <w:pPr>
        <w:spacing w:after="0" w:line="145"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natural result is our long-standing commitment to our Corporate Social Responsibility efforts. And this work will not stop. In fact, it’s more essential than ever before. Since opening its doors in 2005, more than 4,000 individuals have enrolled in the Manpower Vocational Training Centers in Tamil Nadu, India, over 3,000 have completed their training and more than 1,600 have subsequently secured employment. In addition to this, whether it be in France, U.K., Mexico, U.S. or many other parts of the world, we have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255905</wp:posOffset>
            </wp:positionV>
            <wp:extent cx="727964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2740" w:space="460"/>
            <w:col w:w="8260"/>
          </w:cols>
          <w:pgMar w:left="220" w:top="312" w:right="219" w:bottom="1440" w:gutter="0" w:footer="0" w:header="0"/>
        </w:sectPr>
      </w:pPr>
    </w:p>
    <w:p>
      <w:pPr>
        <w:spacing w:after="0" w:line="150"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8</w:t>
      </w:r>
      <w:r>
        <w:rPr>
          <w:sz w:val="20"/>
          <w:szCs w:val="20"/>
          <w:color w:val="auto"/>
        </w:rPr>
        <w:tab/>
      </w:r>
      <w:r>
        <w:rPr>
          <w:rFonts w:ascii="Arial" w:cs="Arial" w:eastAsia="Arial" w:hAnsi="Arial"/>
          <w:sz w:val="12"/>
          <w:szCs w:val="12"/>
          <w:b w:val="1"/>
          <w:bCs w:val="1"/>
          <w:color w:val="939598"/>
        </w:rPr>
        <w:t>Shareholder’s Letter</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187325</wp:posOffset>
            </wp:positionV>
            <wp:extent cx="729869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312" w:right="219" w:bottom="1440" w:gutter="0" w:footer="0" w:header="0"/>
          <w:type w:val="continuous"/>
        </w:sectPr>
      </w:pPr>
    </w:p>
    <w:bookmarkStart w:id="66" w:name="page67"/>
    <w:bookmarkEnd w:id="66"/>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nearly 28,000 people to work through our workforce development programs. This has involved, in many cases, training, assessment and, the hardest part, placement of these people. Based on the needs and current labor market, we’ll have more opportunities to impact the communities we live in – so we can do well by doing good. We understand the long-term impact that our sustainability efforts can have on our brand, and how it positively enhances the engagement of our people throughout the world. We work in an organization that values results – not just that we achieve them, but how we achieve them. At the end of the day, this defines the Manpower group of companies.</w:t>
      </w:r>
    </w:p>
    <w:p>
      <w:pPr>
        <w:spacing w:after="0" w:line="145"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You can count on us to vigorously pursue the future, while continuously driving excellence in our day-to-day business. I want to thank our investors, who have shown confidence in our business, strategy and team. We are committed to delivering you superior returns. Are we concerned about 2009 from a financial perspective? Yes – it will be a challenging year. But at the same time, we are facing this turbulence with confidence and high expectations – we are certain current events will have a catalytic effect on our future growth and profitability.</w:t>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We will play offense during this period, but we will strategically and appropriately run some time off the clock, scoring surgically, yet boldly. We will make it happen.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1062990" cy="560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62990" cy="560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53" w:lineRule="auto"/>
        <w:rPr>
          <w:sz w:val="20"/>
          <w:szCs w:val="20"/>
          <w:color w:val="auto"/>
        </w:rPr>
      </w:pPr>
      <w:r>
        <w:rPr>
          <w:rFonts w:ascii="Arial" w:cs="Arial" w:eastAsia="Arial" w:hAnsi="Arial"/>
          <w:sz w:val="18"/>
          <w:szCs w:val="18"/>
          <w:color w:val="CC3333"/>
        </w:rPr>
        <w:t>We work in an organization that values results – not just that we achieve them, but how we achieve them. At the end of the day, this defines the Manpower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187960</wp:posOffset>
            </wp:positionV>
            <wp:extent cx="1213485" cy="131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13485" cy="1311275"/>
                    </a:xfrm>
                    <a:prstGeom prst="rect">
                      <a:avLst/>
                    </a:prstGeom>
                    <a:noFill/>
                  </pic:spPr>
                </pic:pic>
              </a:graphicData>
            </a:graphic>
          </wp:anchor>
        </w:drawing>
      </w:r>
    </w:p>
    <w:p>
      <w:pPr>
        <w:spacing w:after="0" w:line="1519" w:lineRule="exact"/>
        <w:rPr>
          <w:sz w:val="20"/>
          <w:szCs w:val="20"/>
          <w:color w:val="auto"/>
        </w:rPr>
      </w:pPr>
    </w:p>
    <w:p>
      <w:pPr>
        <w:sectPr>
          <w:pgSz w:w="11900" w:h="16838" w:orient="portrait"/>
          <w:cols w:equalWidth="0" w:num="2">
            <w:col w:w="8260" w:space="340"/>
            <w:col w:w="2900"/>
          </w:cols>
          <w:pgMar w:left="220" w:top="321"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0"/>
          <w:szCs w:val="10"/>
          <w:b w:val="1"/>
          <w:bCs w:val="1"/>
          <w:color w:val="6699CC"/>
        </w:rPr>
        <w:t>JEFFREY A. JOERRES</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CHAIRMAN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0"/>
          <w:szCs w:val="10"/>
          <w:color w:val="6699CC"/>
        </w:rPr>
        <w:t>In six decades of operation, Manpower Inc. has prospered</w:t>
      </w:r>
    </w:p>
    <w:p>
      <w:pPr>
        <w:spacing w:after="0" w:line="235" w:lineRule="auto"/>
        <w:rPr>
          <w:sz w:val="20"/>
          <w:szCs w:val="20"/>
          <w:color w:val="auto"/>
        </w:rPr>
      </w:pPr>
      <w:r>
        <w:rPr>
          <w:rFonts w:ascii="Arial" w:cs="Arial" w:eastAsia="Arial" w:hAnsi="Arial"/>
          <w:sz w:val="10"/>
          <w:szCs w:val="10"/>
          <w:color w:val="6699CC"/>
        </w:rPr>
        <w:t>under the stewardship of just three chief executives: co-</w:t>
      </w:r>
    </w:p>
    <w:p>
      <w:pPr>
        <w:spacing w:after="0" w:line="236" w:lineRule="auto"/>
        <w:rPr>
          <w:sz w:val="20"/>
          <w:szCs w:val="20"/>
          <w:color w:val="auto"/>
        </w:rPr>
      </w:pPr>
      <w:r>
        <w:rPr>
          <w:rFonts w:ascii="Arial" w:cs="Arial" w:eastAsia="Arial" w:hAnsi="Arial"/>
          <w:sz w:val="10"/>
          <w:szCs w:val="10"/>
          <w:color w:val="6699CC"/>
        </w:rPr>
        <w:t>founder Elmer Winter (right, 1948-76), Mitchell Fromstein (left,</w:t>
      </w:r>
    </w:p>
    <w:p>
      <w:pPr>
        <w:spacing w:after="0" w:line="236" w:lineRule="auto"/>
        <w:rPr>
          <w:sz w:val="20"/>
          <w:szCs w:val="20"/>
          <w:color w:val="auto"/>
        </w:rPr>
      </w:pPr>
      <w:r>
        <w:rPr>
          <w:rFonts w:ascii="Arial" w:cs="Arial" w:eastAsia="Arial" w:hAnsi="Arial"/>
          <w:sz w:val="10"/>
          <w:szCs w:val="10"/>
          <w:color w:val="6699CC"/>
        </w:rPr>
        <w:t>1976-99) and Jeff Joerres (center), who has been CEO since</w:t>
      </w:r>
    </w:p>
    <w:p>
      <w:pPr>
        <w:spacing w:after="0" w:line="236" w:lineRule="auto"/>
        <w:rPr>
          <w:sz w:val="20"/>
          <w:szCs w:val="20"/>
          <w:color w:val="auto"/>
        </w:rPr>
      </w:pPr>
      <w:r>
        <w:rPr>
          <w:rFonts w:ascii="Arial" w:cs="Arial" w:eastAsia="Arial" w:hAnsi="Arial"/>
          <w:sz w:val="10"/>
          <w:szCs w:val="10"/>
          <w:color w:val="6699CC"/>
        </w:rPr>
        <w:t>1999 and Chairman since 2001. They have guided Manpower</w:t>
      </w:r>
    </w:p>
    <w:p>
      <w:pPr>
        <w:spacing w:after="0" w:line="236" w:lineRule="auto"/>
        <w:rPr>
          <w:sz w:val="20"/>
          <w:szCs w:val="20"/>
          <w:color w:val="auto"/>
        </w:rPr>
      </w:pPr>
      <w:r>
        <w:rPr>
          <w:rFonts w:ascii="Arial" w:cs="Arial" w:eastAsia="Arial" w:hAnsi="Arial"/>
          <w:sz w:val="10"/>
          <w:szCs w:val="10"/>
          <w:color w:val="6699CC"/>
        </w:rPr>
        <w:t>to  its  current  position  as  a  $22  billion  global  leader  in</w:t>
      </w:r>
    </w:p>
    <w:p>
      <w:pPr>
        <w:spacing w:after="0"/>
        <w:rPr>
          <w:sz w:val="20"/>
          <w:szCs w:val="20"/>
          <w:color w:val="auto"/>
        </w:rPr>
      </w:pPr>
      <w:r>
        <w:rPr>
          <w:rFonts w:ascii="Arial" w:cs="Arial" w:eastAsia="Arial" w:hAnsi="Arial"/>
          <w:sz w:val="10"/>
          <w:szCs w:val="10"/>
          <w:color w:val="6699CC"/>
        </w:rPr>
        <w:t>employment services.</w:t>
      </w:r>
    </w:p>
    <w:p>
      <w:pPr>
        <w:spacing w:after="0" w:line="200" w:lineRule="exact"/>
        <w:rPr>
          <w:sz w:val="20"/>
          <w:szCs w:val="20"/>
          <w:color w:val="auto"/>
        </w:rPr>
      </w:pPr>
    </w:p>
    <w:p>
      <w:pPr>
        <w:sectPr>
          <w:pgSz w:w="11900" w:h="16838" w:orient="portrait"/>
          <w:cols w:equalWidth="0" w:num="2">
            <w:col w:w="7880" w:space="720"/>
            <w:col w:w="2900"/>
          </w:cols>
          <w:pgMar w:left="220" w:top="321" w:right="17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42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Shareholder’s Letter</w:t>
            </w:r>
          </w:p>
        </w:tc>
        <w:tc>
          <w:tcPr>
            <w:tcW w:w="3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420" w:type="dxa"/>
            <w:vAlign w:val="bottom"/>
            <w:vMerge w:val="continue"/>
          </w:tcPr>
          <w:p>
            <w:pPr>
              <w:spacing w:after="0"/>
              <w:rPr>
                <w:sz w:val="6"/>
                <w:szCs w:val="6"/>
                <w:color w:val="auto"/>
              </w:rPr>
            </w:pPr>
          </w:p>
        </w:tc>
        <w:tc>
          <w:tcPr>
            <w:tcW w:w="3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420" w:type="dxa"/>
            <w:vAlign w:val="bottom"/>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21" w:right="179" w:bottom="1440" w:gutter="0" w:footer="0" w:header="0"/>
          <w:type w:val="continuous"/>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206375</wp:posOffset>
            </wp:positionV>
            <wp:extent cx="7298690" cy="7458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8690" cy="7458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206375</wp:posOffset>
            </wp:positionV>
            <wp:extent cx="7298690" cy="73539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8690" cy="7353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206375</wp:posOffset>
            </wp:positionV>
            <wp:extent cx="7298690" cy="7269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8690" cy="7269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206375</wp:posOffset>
            </wp:positionV>
            <wp:extent cx="7298690" cy="7028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8690" cy="702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rFonts w:ascii="Arial" w:cs="Arial" w:eastAsia="Arial" w:hAnsi="Arial"/>
          <w:sz w:val="16"/>
          <w:szCs w:val="16"/>
          <w:color w:val="999999"/>
        </w:rPr>
        <w:t>In 2008 Manpower revenues increased to a record $21.6 billion despite a difficult operating environment.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00" w:type="dxa"/>
            <w:vAlign w:val="bottom"/>
          </w:tcPr>
          <w:p>
            <w:pPr>
              <w:spacing w:after="0"/>
              <w:rPr>
                <w:sz w:val="20"/>
                <w:szCs w:val="20"/>
                <w:color w:val="auto"/>
              </w:rPr>
            </w:pPr>
            <w:r>
              <w:rPr>
                <w:rFonts w:ascii="Arial" w:cs="Arial" w:eastAsia="Arial" w:hAnsi="Arial"/>
                <w:sz w:val="14"/>
                <w:szCs w:val="14"/>
                <w:b w:val="1"/>
                <w:bCs w:val="1"/>
                <w:color w:val="auto"/>
              </w:rPr>
              <w:t>2008 Segment Revenues</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2008 Segment Operating</w:t>
            </w:r>
          </w:p>
        </w:tc>
        <w:tc>
          <w:tcPr>
            <w:tcW w:w="2060" w:type="dxa"/>
            <w:vAlign w:val="bottom"/>
          </w:tcPr>
          <w:p>
            <w:pPr>
              <w:ind w:left="720"/>
              <w:spacing w:after="0"/>
              <w:rPr>
                <w:sz w:val="20"/>
                <w:szCs w:val="20"/>
                <w:color w:val="auto"/>
              </w:rPr>
            </w:pPr>
            <w:r>
              <w:rPr>
                <w:rFonts w:ascii="Arial" w:cs="Arial" w:eastAsia="Arial" w:hAnsi="Arial"/>
                <w:sz w:val="14"/>
                <w:szCs w:val="14"/>
                <w:b w:val="1"/>
                <w:bCs w:val="1"/>
                <w:color w:val="auto"/>
              </w:rPr>
              <w:t>Stock Information</w:t>
            </w:r>
          </w:p>
        </w:tc>
      </w:tr>
      <w:tr>
        <w:trPr>
          <w:trHeight w:val="168"/>
        </w:trPr>
        <w:tc>
          <w:tcPr>
            <w:tcW w:w="2800" w:type="dxa"/>
            <w:vAlign w:val="bottom"/>
          </w:tcPr>
          <w:p>
            <w:pPr>
              <w:spacing w:after="0"/>
              <w:rPr>
                <w:sz w:val="20"/>
                <w:szCs w:val="20"/>
                <w:color w:val="auto"/>
              </w:rPr>
            </w:pPr>
            <w:r>
              <w:rPr>
                <w:rFonts w:ascii="Arial" w:cs="Arial" w:eastAsia="Arial" w:hAnsi="Arial"/>
                <w:sz w:val="14"/>
                <w:szCs w:val="14"/>
                <w:color w:val="auto"/>
              </w:rPr>
              <w:t>in millions ($)</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Unit Profit</w:t>
            </w:r>
          </w:p>
        </w:tc>
        <w:tc>
          <w:tcPr>
            <w:tcW w:w="2060" w:type="dxa"/>
            <w:vAlign w:val="bottom"/>
          </w:tcPr>
          <w:p>
            <w:pPr>
              <w:spacing w:after="0"/>
              <w:rPr>
                <w:sz w:val="14"/>
                <w:szCs w:val="14"/>
                <w:color w:val="auto"/>
              </w:rPr>
            </w:pPr>
          </w:p>
        </w:tc>
      </w:tr>
      <w:tr>
        <w:trPr>
          <w:trHeight w:val="174"/>
        </w:trPr>
        <w:tc>
          <w:tcPr>
            <w:tcW w:w="280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4"/>
                <w:szCs w:val="14"/>
                <w:color w:val="auto"/>
              </w:rPr>
              <w:t>in millions ($)</w:t>
            </w:r>
          </w:p>
        </w:tc>
        <w:tc>
          <w:tcPr>
            <w:tcW w:w="2060" w:type="dxa"/>
            <w:vAlign w:val="bottom"/>
          </w:tcPr>
          <w:p>
            <w:pPr>
              <w:spacing w:after="0"/>
              <w:rPr>
                <w:sz w:val="15"/>
                <w:szCs w:val="15"/>
                <w:color w:val="auto"/>
              </w:rPr>
            </w:pPr>
          </w:p>
        </w:tc>
      </w:tr>
      <w:tr>
        <w:trPr>
          <w:trHeight w:val="452"/>
        </w:trPr>
        <w:tc>
          <w:tcPr>
            <w:tcW w:w="2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ind w:left="720"/>
              <w:spacing w:after="0"/>
              <w:rPr>
                <w:sz w:val="20"/>
                <w:szCs w:val="20"/>
                <w:color w:val="auto"/>
              </w:rPr>
            </w:pPr>
            <w:r>
              <w:rPr>
                <w:rFonts w:ascii="Arial" w:cs="Arial" w:eastAsia="Arial" w:hAnsi="Arial"/>
                <w:sz w:val="10"/>
                <w:szCs w:val="10"/>
                <w:color w:val="6699CC"/>
              </w:rPr>
              <w:t>Stock Exchange</w:t>
            </w:r>
          </w:p>
        </w:tc>
      </w:tr>
      <w:tr>
        <w:trPr>
          <w:trHeight w:val="154"/>
        </w:trPr>
        <w:tc>
          <w:tcPr>
            <w:tcW w:w="2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60" w:type="dxa"/>
            <w:vAlign w:val="bottom"/>
          </w:tcPr>
          <w:p>
            <w:pPr>
              <w:ind w:left="720"/>
              <w:spacing w:after="0"/>
              <w:rPr>
                <w:sz w:val="20"/>
                <w:szCs w:val="20"/>
                <w:color w:val="auto"/>
              </w:rPr>
            </w:pPr>
            <w:r>
              <w:rPr>
                <w:rFonts w:ascii="Arial" w:cs="Arial" w:eastAsia="Arial" w:hAnsi="Arial"/>
                <w:sz w:val="10"/>
                <w:szCs w:val="10"/>
                <w:color w:val="auto"/>
              </w:rPr>
              <w:t>NYSE (Ticker: MAN)</w:t>
            </w:r>
          </w:p>
        </w:tc>
      </w:tr>
      <w:tr>
        <w:trPr>
          <w:trHeight w:val="154"/>
        </w:trPr>
        <w:tc>
          <w:tcPr>
            <w:tcW w:w="2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60" w:type="dxa"/>
            <w:vAlign w:val="bottom"/>
          </w:tcPr>
          <w:p>
            <w:pPr>
              <w:ind w:left="720"/>
              <w:spacing w:after="0"/>
              <w:rPr>
                <w:sz w:val="20"/>
                <w:szCs w:val="20"/>
                <w:color w:val="auto"/>
              </w:rPr>
            </w:pPr>
            <w:r>
              <w:rPr>
                <w:rFonts w:ascii="Arial" w:cs="Arial" w:eastAsia="Arial" w:hAnsi="Arial"/>
                <w:sz w:val="10"/>
                <w:szCs w:val="10"/>
                <w:color w:val="6699CC"/>
              </w:rPr>
              <w:t>Fiscal Year End Date</w:t>
            </w:r>
          </w:p>
        </w:tc>
      </w:tr>
      <w:tr>
        <w:trPr>
          <w:trHeight w:val="154"/>
        </w:trPr>
        <w:tc>
          <w:tcPr>
            <w:tcW w:w="2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60" w:type="dxa"/>
            <w:vAlign w:val="bottom"/>
          </w:tcPr>
          <w:p>
            <w:pPr>
              <w:ind w:left="720"/>
              <w:spacing w:after="0"/>
              <w:rPr>
                <w:sz w:val="20"/>
                <w:szCs w:val="20"/>
                <w:color w:val="auto"/>
              </w:rPr>
            </w:pPr>
            <w:r>
              <w:rPr>
                <w:rFonts w:ascii="Arial" w:cs="Arial" w:eastAsia="Arial" w:hAnsi="Arial"/>
                <w:sz w:val="10"/>
                <w:szCs w:val="10"/>
                <w:color w:val="auto"/>
              </w:rPr>
              <w:t>December 31</w:t>
            </w:r>
          </w:p>
        </w:tc>
      </w:tr>
      <w:tr>
        <w:trPr>
          <w:trHeight w:val="154"/>
        </w:trPr>
        <w:tc>
          <w:tcPr>
            <w:tcW w:w="2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60" w:type="dxa"/>
            <w:vAlign w:val="bottom"/>
          </w:tcPr>
          <w:p>
            <w:pPr>
              <w:ind w:left="720"/>
              <w:spacing w:after="0"/>
              <w:rPr>
                <w:sz w:val="20"/>
                <w:szCs w:val="20"/>
                <w:color w:val="auto"/>
              </w:rPr>
            </w:pPr>
            <w:r>
              <w:rPr>
                <w:rFonts w:ascii="Arial" w:cs="Arial" w:eastAsia="Arial" w:hAnsi="Arial"/>
                <w:sz w:val="10"/>
                <w:szCs w:val="10"/>
                <w:color w:val="CC6666"/>
              </w:rPr>
              <w:t>Market Capitalization</w:t>
            </w:r>
          </w:p>
        </w:tc>
      </w:tr>
      <w:tr>
        <w:trPr>
          <w:trHeight w:val="154"/>
        </w:trPr>
        <w:tc>
          <w:tcPr>
            <w:tcW w:w="2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60" w:type="dxa"/>
            <w:vAlign w:val="bottom"/>
          </w:tcPr>
          <w:p>
            <w:pPr>
              <w:ind w:left="720"/>
              <w:spacing w:after="0"/>
              <w:rPr>
                <w:sz w:val="20"/>
                <w:szCs w:val="20"/>
                <w:color w:val="auto"/>
              </w:rPr>
            </w:pPr>
            <w:r>
              <w:rPr>
                <w:rFonts w:ascii="Arial" w:cs="Arial" w:eastAsia="Arial" w:hAnsi="Arial"/>
                <w:sz w:val="10"/>
                <w:szCs w:val="10"/>
                <w:color w:val="auto"/>
                <w:w w:val="93"/>
              </w:rPr>
              <w:t>$2.7 billion (as of Dec 31, 2008)</w:t>
            </w:r>
          </w:p>
        </w:tc>
      </w:tr>
      <w:tr>
        <w:trPr>
          <w:trHeight w:val="154"/>
        </w:trPr>
        <w:tc>
          <w:tcPr>
            <w:tcW w:w="2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60" w:type="dxa"/>
            <w:vAlign w:val="bottom"/>
          </w:tcPr>
          <w:p>
            <w:pPr>
              <w:ind w:left="720"/>
              <w:spacing w:after="0"/>
              <w:rPr>
                <w:sz w:val="20"/>
                <w:szCs w:val="20"/>
                <w:color w:val="auto"/>
              </w:rPr>
            </w:pPr>
            <w:r>
              <w:rPr>
                <w:rFonts w:ascii="Arial" w:cs="Arial" w:eastAsia="Arial" w:hAnsi="Arial"/>
                <w:sz w:val="10"/>
                <w:szCs w:val="10"/>
                <w:color w:val="FF9933"/>
              </w:rPr>
              <w:t>Number of Shares Issued</w:t>
            </w:r>
          </w:p>
        </w:tc>
      </w:tr>
      <w:tr>
        <w:trPr>
          <w:trHeight w:val="154"/>
        </w:trPr>
        <w:tc>
          <w:tcPr>
            <w:tcW w:w="2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60" w:type="dxa"/>
            <w:vAlign w:val="bottom"/>
          </w:tcPr>
          <w:p>
            <w:pPr>
              <w:ind w:left="720"/>
              <w:spacing w:after="0"/>
              <w:rPr>
                <w:sz w:val="20"/>
                <w:szCs w:val="20"/>
                <w:color w:val="auto"/>
              </w:rPr>
            </w:pPr>
            <w:r>
              <w:rPr>
                <w:rFonts w:ascii="Arial" w:cs="Arial" w:eastAsia="Arial" w:hAnsi="Arial"/>
                <w:sz w:val="10"/>
                <w:szCs w:val="10"/>
                <w:color w:val="auto"/>
              </w:rPr>
              <w:t>103,756,138</w:t>
            </w:r>
          </w:p>
        </w:tc>
      </w:tr>
      <w:tr>
        <w:trPr>
          <w:trHeight w:val="154"/>
        </w:trPr>
        <w:tc>
          <w:tcPr>
            <w:tcW w:w="2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60" w:type="dxa"/>
            <w:vAlign w:val="bottom"/>
          </w:tcPr>
          <w:p>
            <w:pPr>
              <w:ind w:left="720"/>
              <w:spacing w:after="0"/>
              <w:rPr>
                <w:sz w:val="20"/>
                <w:szCs w:val="20"/>
                <w:color w:val="auto"/>
              </w:rPr>
            </w:pPr>
            <w:r>
              <w:rPr>
                <w:rFonts w:ascii="Arial" w:cs="Arial" w:eastAsia="Arial" w:hAnsi="Arial"/>
                <w:sz w:val="10"/>
                <w:szCs w:val="10"/>
                <w:color w:val="auto"/>
              </w:rPr>
              <w:t>(as of Dec 31, 2008)</w:t>
            </w:r>
          </w:p>
        </w:tc>
      </w:tr>
      <w:tr>
        <w:trPr>
          <w:trHeight w:val="442"/>
        </w:trPr>
        <w:tc>
          <w:tcPr>
            <w:tcW w:w="2800" w:type="dxa"/>
            <w:vAlign w:val="bottom"/>
          </w:tcPr>
          <w:p>
            <w:pPr>
              <w:spacing w:after="0"/>
              <w:rPr>
                <w:sz w:val="20"/>
                <w:szCs w:val="20"/>
                <w:color w:val="auto"/>
              </w:rPr>
            </w:pPr>
            <w:r>
              <w:rPr>
                <w:rFonts w:ascii="Arial" w:cs="Arial" w:eastAsia="Arial" w:hAnsi="Arial"/>
                <w:sz w:val="10"/>
                <w:szCs w:val="10"/>
                <w:b w:val="1"/>
                <w:bCs w:val="1"/>
                <w:color w:val="FF9933"/>
              </w:rPr>
              <w:t>United States 1,945.4</w:t>
            </w:r>
          </w:p>
        </w:tc>
        <w:tc>
          <w:tcPr>
            <w:tcW w:w="2220" w:type="dxa"/>
            <w:vAlign w:val="bottom"/>
          </w:tcPr>
          <w:p>
            <w:pPr>
              <w:ind w:left="60"/>
              <w:spacing w:after="0"/>
              <w:rPr>
                <w:sz w:val="20"/>
                <w:szCs w:val="20"/>
                <w:color w:val="auto"/>
              </w:rPr>
            </w:pPr>
            <w:r>
              <w:rPr>
                <w:rFonts w:ascii="Arial" w:cs="Arial" w:eastAsia="Arial" w:hAnsi="Arial"/>
                <w:sz w:val="10"/>
                <w:szCs w:val="10"/>
                <w:b w:val="1"/>
                <w:bCs w:val="1"/>
                <w:color w:val="FF9933"/>
              </w:rPr>
              <w:t>United States 32.2</w:t>
            </w:r>
          </w:p>
        </w:tc>
        <w:tc>
          <w:tcPr>
            <w:tcW w:w="2060" w:type="dxa"/>
            <w:vAlign w:val="bottom"/>
          </w:tcPr>
          <w:p>
            <w:pPr>
              <w:spacing w:after="0"/>
              <w:rPr>
                <w:sz w:val="24"/>
                <w:szCs w:val="24"/>
                <w:color w:val="auto"/>
              </w:rPr>
            </w:pPr>
          </w:p>
        </w:tc>
      </w:tr>
      <w:tr>
        <w:trPr>
          <w:trHeight w:val="164"/>
        </w:trPr>
        <w:tc>
          <w:tcPr>
            <w:tcW w:w="2800" w:type="dxa"/>
            <w:vAlign w:val="bottom"/>
          </w:tcPr>
          <w:p>
            <w:pPr>
              <w:spacing w:after="0"/>
              <w:rPr>
                <w:sz w:val="20"/>
                <w:szCs w:val="20"/>
                <w:color w:val="auto"/>
              </w:rPr>
            </w:pPr>
            <w:r>
              <w:rPr>
                <w:rFonts w:ascii="Arial" w:cs="Arial" w:eastAsia="Arial" w:hAnsi="Arial"/>
                <w:sz w:val="10"/>
                <w:szCs w:val="10"/>
                <w:b w:val="1"/>
                <w:bCs w:val="1"/>
                <w:color w:val="6699CC"/>
              </w:rPr>
              <w:t>France 6,935.6</w:t>
            </w:r>
          </w:p>
        </w:tc>
        <w:tc>
          <w:tcPr>
            <w:tcW w:w="2220" w:type="dxa"/>
            <w:vAlign w:val="bottom"/>
          </w:tcPr>
          <w:p>
            <w:pPr>
              <w:ind w:left="60"/>
              <w:spacing w:after="0"/>
              <w:rPr>
                <w:sz w:val="20"/>
                <w:szCs w:val="20"/>
                <w:color w:val="auto"/>
              </w:rPr>
            </w:pPr>
            <w:r>
              <w:rPr>
                <w:rFonts w:ascii="Arial" w:cs="Arial" w:eastAsia="Arial" w:hAnsi="Arial"/>
                <w:sz w:val="10"/>
                <w:szCs w:val="10"/>
                <w:b w:val="1"/>
                <w:bCs w:val="1"/>
                <w:color w:val="6699CC"/>
              </w:rPr>
              <w:t>France 299.0</w:t>
            </w:r>
          </w:p>
        </w:tc>
        <w:tc>
          <w:tcPr>
            <w:tcW w:w="2060" w:type="dxa"/>
            <w:vAlign w:val="bottom"/>
          </w:tcPr>
          <w:p>
            <w:pPr>
              <w:spacing w:after="0"/>
              <w:rPr>
                <w:sz w:val="14"/>
                <w:szCs w:val="14"/>
                <w:color w:val="auto"/>
              </w:rPr>
            </w:pPr>
          </w:p>
        </w:tc>
      </w:tr>
      <w:tr>
        <w:trPr>
          <w:trHeight w:val="164"/>
        </w:trPr>
        <w:tc>
          <w:tcPr>
            <w:tcW w:w="2800" w:type="dxa"/>
            <w:vAlign w:val="bottom"/>
          </w:tcPr>
          <w:p>
            <w:pPr>
              <w:spacing w:after="0"/>
              <w:rPr>
                <w:sz w:val="20"/>
                <w:szCs w:val="20"/>
                <w:color w:val="auto"/>
              </w:rPr>
            </w:pPr>
            <w:r>
              <w:rPr>
                <w:rFonts w:ascii="Arial" w:cs="Arial" w:eastAsia="Arial" w:hAnsi="Arial"/>
                <w:sz w:val="10"/>
                <w:szCs w:val="10"/>
                <w:b w:val="1"/>
                <w:bCs w:val="1"/>
                <w:color w:val="66CC99"/>
              </w:rPr>
              <w:t>Other EMEA 7,437.7</w:t>
            </w:r>
          </w:p>
        </w:tc>
        <w:tc>
          <w:tcPr>
            <w:tcW w:w="2220" w:type="dxa"/>
            <w:vAlign w:val="bottom"/>
          </w:tcPr>
          <w:p>
            <w:pPr>
              <w:ind w:left="60"/>
              <w:spacing w:after="0"/>
              <w:rPr>
                <w:sz w:val="20"/>
                <w:szCs w:val="20"/>
                <w:color w:val="auto"/>
              </w:rPr>
            </w:pPr>
            <w:r>
              <w:rPr>
                <w:rFonts w:ascii="Arial" w:cs="Arial" w:eastAsia="Arial" w:hAnsi="Arial"/>
                <w:sz w:val="10"/>
                <w:szCs w:val="10"/>
                <w:b w:val="1"/>
                <w:bCs w:val="1"/>
                <w:color w:val="66CC99"/>
              </w:rPr>
              <w:t>Other EMEA 249.5</w:t>
            </w:r>
          </w:p>
        </w:tc>
        <w:tc>
          <w:tcPr>
            <w:tcW w:w="2060" w:type="dxa"/>
            <w:vAlign w:val="bottom"/>
          </w:tcPr>
          <w:p>
            <w:pPr>
              <w:spacing w:after="0"/>
              <w:rPr>
                <w:sz w:val="14"/>
                <w:szCs w:val="14"/>
                <w:color w:val="auto"/>
              </w:rPr>
            </w:pPr>
          </w:p>
        </w:tc>
      </w:tr>
      <w:tr>
        <w:trPr>
          <w:trHeight w:val="164"/>
        </w:trPr>
        <w:tc>
          <w:tcPr>
            <w:tcW w:w="2800" w:type="dxa"/>
            <w:vAlign w:val="bottom"/>
          </w:tcPr>
          <w:p>
            <w:pPr>
              <w:spacing w:after="0"/>
              <w:rPr>
                <w:sz w:val="20"/>
                <w:szCs w:val="20"/>
                <w:color w:val="auto"/>
              </w:rPr>
            </w:pPr>
            <w:r>
              <w:rPr>
                <w:rFonts w:ascii="Arial" w:cs="Arial" w:eastAsia="Arial" w:hAnsi="Arial"/>
                <w:sz w:val="10"/>
                <w:szCs w:val="10"/>
                <w:b w:val="1"/>
                <w:bCs w:val="1"/>
                <w:color w:val="CC6666"/>
              </w:rPr>
              <w:t>Italy 1,519.5</w:t>
            </w:r>
          </w:p>
        </w:tc>
        <w:tc>
          <w:tcPr>
            <w:tcW w:w="2220" w:type="dxa"/>
            <w:vAlign w:val="bottom"/>
          </w:tcPr>
          <w:p>
            <w:pPr>
              <w:ind w:left="60"/>
              <w:spacing w:after="0"/>
              <w:rPr>
                <w:sz w:val="20"/>
                <w:szCs w:val="20"/>
                <w:color w:val="auto"/>
              </w:rPr>
            </w:pPr>
            <w:r>
              <w:rPr>
                <w:rFonts w:ascii="Arial" w:cs="Arial" w:eastAsia="Arial" w:hAnsi="Arial"/>
                <w:sz w:val="10"/>
                <w:szCs w:val="10"/>
                <w:b w:val="1"/>
                <w:bCs w:val="1"/>
                <w:color w:val="CC6666"/>
              </w:rPr>
              <w:t>Italy 120.3</w:t>
            </w:r>
          </w:p>
        </w:tc>
        <w:tc>
          <w:tcPr>
            <w:tcW w:w="2060" w:type="dxa"/>
            <w:vAlign w:val="bottom"/>
          </w:tcPr>
          <w:p>
            <w:pPr>
              <w:spacing w:after="0"/>
              <w:rPr>
                <w:sz w:val="14"/>
                <w:szCs w:val="14"/>
                <w:color w:val="auto"/>
              </w:rPr>
            </w:pPr>
          </w:p>
        </w:tc>
      </w:tr>
      <w:tr>
        <w:trPr>
          <w:trHeight w:val="164"/>
        </w:trPr>
        <w:tc>
          <w:tcPr>
            <w:tcW w:w="2800" w:type="dxa"/>
            <w:vAlign w:val="bottom"/>
          </w:tcPr>
          <w:p>
            <w:pPr>
              <w:spacing w:after="0"/>
              <w:rPr>
                <w:sz w:val="20"/>
                <w:szCs w:val="20"/>
                <w:color w:val="auto"/>
              </w:rPr>
            </w:pPr>
            <w:r>
              <w:rPr>
                <w:rFonts w:ascii="Arial" w:cs="Arial" w:eastAsia="Arial" w:hAnsi="Arial"/>
                <w:sz w:val="10"/>
                <w:szCs w:val="10"/>
                <w:b w:val="1"/>
                <w:bCs w:val="1"/>
                <w:color w:val="auto"/>
              </w:rPr>
              <w:t>Jefferson Wells 291.0</w:t>
            </w:r>
          </w:p>
        </w:tc>
        <w:tc>
          <w:tcPr>
            <w:tcW w:w="2220" w:type="dxa"/>
            <w:vAlign w:val="bottom"/>
          </w:tcPr>
          <w:p>
            <w:pPr>
              <w:ind w:left="60"/>
              <w:spacing w:after="0"/>
              <w:rPr>
                <w:sz w:val="20"/>
                <w:szCs w:val="20"/>
                <w:color w:val="auto"/>
              </w:rPr>
            </w:pPr>
            <w:r>
              <w:rPr>
                <w:rFonts w:ascii="Arial" w:cs="Arial" w:eastAsia="Arial" w:hAnsi="Arial"/>
                <w:sz w:val="10"/>
                <w:szCs w:val="10"/>
                <w:b w:val="1"/>
                <w:bCs w:val="1"/>
                <w:color w:val="auto"/>
              </w:rPr>
              <w:t>Jefferson Wells (19.6)</w:t>
            </w:r>
          </w:p>
        </w:tc>
        <w:tc>
          <w:tcPr>
            <w:tcW w:w="2060" w:type="dxa"/>
            <w:vAlign w:val="bottom"/>
          </w:tcPr>
          <w:p>
            <w:pPr>
              <w:spacing w:after="0"/>
              <w:rPr>
                <w:sz w:val="14"/>
                <w:szCs w:val="14"/>
                <w:color w:val="auto"/>
              </w:rPr>
            </w:pPr>
          </w:p>
        </w:tc>
      </w:tr>
      <w:tr>
        <w:trPr>
          <w:trHeight w:val="164"/>
        </w:trPr>
        <w:tc>
          <w:tcPr>
            <w:tcW w:w="2800" w:type="dxa"/>
            <w:vAlign w:val="bottom"/>
          </w:tcPr>
          <w:p>
            <w:pPr>
              <w:spacing w:after="0"/>
              <w:rPr>
                <w:sz w:val="20"/>
                <w:szCs w:val="20"/>
                <w:color w:val="auto"/>
              </w:rPr>
            </w:pPr>
            <w:r>
              <w:rPr>
                <w:rFonts w:ascii="Arial" w:cs="Arial" w:eastAsia="Arial" w:hAnsi="Arial"/>
                <w:sz w:val="10"/>
                <w:szCs w:val="10"/>
                <w:b w:val="1"/>
                <w:bCs w:val="1"/>
                <w:color w:val="6699CC"/>
              </w:rPr>
              <w:t>Right Management 449.7</w:t>
            </w:r>
          </w:p>
        </w:tc>
        <w:tc>
          <w:tcPr>
            <w:tcW w:w="2220" w:type="dxa"/>
            <w:vAlign w:val="bottom"/>
          </w:tcPr>
          <w:p>
            <w:pPr>
              <w:ind w:left="60"/>
              <w:spacing w:after="0"/>
              <w:rPr>
                <w:sz w:val="20"/>
                <w:szCs w:val="20"/>
                <w:color w:val="auto"/>
              </w:rPr>
            </w:pPr>
            <w:r>
              <w:rPr>
                <w:rFonts w:ascii="Arial" w:cs="Arial" w:eastAsia="Arial" w:hAnsi="Arial"/>
                <w:sz w:val="10"/>
                <w:szCs w:val="10"/>
                <w:b w:val="1"/>
                <w:bCs w:val="1"/>
                <w:color w:val="6699CC"/>
              </w:rPr>
              <w:t>Right Management 44.6</w:t>
            </w:r>
          </w:p>
        </w:tc>
        <w:tc>
          <w:tcPr>
            <w:tcW w:w="2060" w:type="dxa"/>
            <w:vAlign w:val="bottom"/>
          </w:tcPr>
          <w:p>
            <w:pPr>
              <w:spacing w:after="0"/>
              <w:rPr>
                <w:sz w:val="14"/>
                <w:szCs w:val="14"/>
                <w:color w:val="auto"/>
              </w:rPr>
            </w:pPr>
          </w:p>
        </w:tc>
      </w:tr>
      <w:tr>
        <w:trPr>
          <w:trHeight w:val="164"/>
        </w:trPr>
        <w:tc>
          <w:tcPr>
            <w:tcW w:w="2800" w:type="dxa"/>
            <w:vAlign w:val="bottom"/>
          </w:tcPr>
          <w:p>
            <w:pPr>
              <w:spacing w:after="0"/>
              <w:rPr>
                <w:sz w:val="20"/>
                <w:szCs w:val="20"/>
                <w:color w:val="auto"/>
              </w:rPr>
            </w:pPr>
            <w:r>
              <w:rPr>
                <w:rFonts w:ascii="Arial" w:cs="Arial" w:eastAsia="Arial" w:hAnsi="Arial"/>
                <w:sz w:val="10"/>
                <w:szCs w:val="10"/>
                <w:b w:val="1"/>
                <w:bCs w:val="1"/>
                <w:color w:val="666666"/>
              </w:rPr>
              <w:t>Other Operations 2,973.9</w:t>
            </w:r>
          </w:p>
        </w:tc>
        <w:tc>
          <w:tcPr>
            <w:tcW w:w="2220" w:type="dxa"/>
            <w:vAlign w:val="bottom"/>
          </w:tcPr>
          <w:p>
            <w:pPr>
              <w:ind w:left="60"/>
              <w:spacing w:after="0"/>
              <w:rPr>
                <w:sz w:val="20"/>
                <w:szCs w:val="20"/>
                <w:color w:val="auto"/>
              </w:rPr>
            </w:pPr>
            <w:r>
              <w:rPr>
                <w:rFonts w:ascii="Arial" w:cs="Arial" w:eastAsia="Arial" w:hAnsi="Arial"/>
                <w:sz w:val="10"/>
                <w:szCs w:val="10"/>
                <w:b w:val="1"/>
                <w:bCs w:val="1"/>
                <w:color w:val="666666"/>
              </w:rPr>
              <w:t>Other Operations 54.5</w:t>
            </w:r>
          </w:p>
        </w:tc>
        <w:tc>
          <w:tcPr>
            <w:tcW w:w="2060" w:type="dxa"/>
            <w:vAlign w:val="bottom"/>
          </w:tcPr>
          <w:p>
            <w:pPr>
              <w:spacing w:after="0"/>
              <w:rPr>
                <w:sz w:val="14"/>
                <w:szCs w:val="14"/>
                <w:color w:val="auto"/>
              </w:rPr>
            </w:pPr>
          </w:p>
        </w:tc>
      </w:tr>
      <w:tr>
        <w:trPr>
          <w:trHeight w:val="380"/>
        </w:trPr>
        <w:tc>
          <w:tcPr>
            <w:tcW w:w="2800" w:type="dxa"/>
            <w:vAlign w:val="bottom"/>
          </w:tcPr>
          <w:p>
            <w:pPr>
              <w:spacing w:after="0"/>
              <w:rPr>
                <w:sz w:val="20"/>
                <w:szCs w:val="20"/>
                <w:color w:val="auto"/>
              </w:rPr>
            </w:pPr>
            <w:r>
              <w:rPr>
                <w:rFonts w:ascii="Arial" w:cs="Arial" w:eastAsia="Arial" w:hAnsi="Arial"/>
                <w:sz w:val="14"/>
                <w:szCs w:val="14"/>
                <w:b w:val="1"/>
                <w:bCs w:val="1"/>
                <w:color w:val="auto"/>
                <w:w w:val="90"/>
              </w:rPr>
              <w:t>Strong Record of Long-Term Revenue Growth</w:t>
            </w:r>
          </w:p>
        </w:tc>
        <w:tc>
          <w:tcPr>
            <w:tcW w:w="2220" w:type="dxa"/>
            <w:vAlign w:val="bottom"/>
          </w:tcPr>
          <w:p>
            <w:pPr>
              <w:spacing w:after="0"/>
              <w:rPr>
                <w:sz w:val="24"/>
                <w:szCs w:val="24"/>
                <w:color w:val="auto"/>
              </w:rPr>
            </w:pPr>
          </w:p>
        </w:tc>
        <w:tc>
          <w:tcPr>
            <w:tcW w:w="2060" w:type="dxa"/>
            <w:vAlign w:val="bottom"/>
          </w:tcPr>
          <w:p>
            <w:pPr>
              <w:ind w:left="720"/>
              <w:spacing w:after="0"/>
              <w:rPr>
                <w:sz w:val="20"/>
                <w:szCs w:val="20"/>
                <w:color w:val="auto"/>
              </w:rPr>
            </w:pPr>
            <w:r>
              <w:rPr>
                <w:rFonts w:ascii="Arial" w:cs="Arial" w:eastAsia="Arial" w:hAnsi="Arial"/>
                <w:sz w:val="14"/>
                <w:szCs w:val="14"/>
                <w:b w:val="1"/>
                <w:bCs w:val="1"/>
                <w:color w:val="auto"/>
                <w:w w:val="99"/>
              </w:rPr>
              <w:t>Systemwide Offices</w:t>
            </w:r>
          </w:p>
        </w:tc>
      </w:tr>
      <w:tr>
        <w:trPr>
          <w:trHeight w:val="174"/>
        </w:trPr>
        <w:tc>
          <w:tcPr>
            <w:tcW w:w="2800" w:type="dxa"/>
            <w:vAlign w:val="bottom"/>
          </w:tcPr>
          <w:p>
            <w:pPr>
              <w:spacing w:after="0"/>
              <w:rPr>
                <w:sz w:val="20"/>
                <w:szCs w:val="20"/>
                <w:color w:val="auto"/>
              </w:rPr>
            </w:pPr>
            <w:r>
              <w:rPr>
                <w:rFonts w:ascii="Arial" w:cs="Arial" w:eastAsia="Arial" w:hAnsi="Arial"/>
                <w:sz w:val="14"/>
                <w:szCs w:val="14"/>
                <w:color w:val="auto"/>
              </w:rPr>
              <w:t>in billions ($)</w:t>
            </w: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-2223135</wp:posOffset>
            </wp:positionV>
            <wp:extent cx="906780" cy="893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06780" cy="89344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-2223135</wp:posOffset>
            </wp:positionV>
            <wp:extent cx="841375" cy="8547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41375" cy="8547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104775</wp:posOffset>
            </wp:positionV>
            <wp:extent cx="1937385" cy="130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37385" cy="13042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104775</wp:posOffset>
            </wp:positionV>
            <wp:extent cx="645795" cy="13500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5795" cy="135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5720" w:val="left"/>
        </w:tabs>
        <w:rPr>
          <w:sz w:val="20"/>
          <w:szCs w:val="20"/>
          <w:color w:val="auto"/>
        </w:rPr>
      </w:pPr>
      <w:r>
        <w:rPr>
          <w:rFonts w:ascii="Arial" w:cs="Arial" w:eastAsia="Arial" w:hAnsi="Arial"/>
          <w:sz w:val="10"/>
          <w:szCs w:val="10"/>
          <w:color w:val="auto"/>
        </w:rPr>
        <w:t>For 15 years, Manpower has achieved 14% CAGR (13% before acquisitions.)</w:t>
      </w:r>
      <w:r>
        <w:rPr>
          <w:sz w:val="20"/>
          <w:szCs w:val="20"/>
          <w:color w:val="auto"/>
        </w:rPr>
        <w:tab/>
      </w:r>
      <w:r>
        <w:rPr>
          <w:rFonts w:ascii="Arial" w:cs="Arial" w:eastAsia="Arial" w:hAnsi="Arial"/>
          <w:sz w:val="9"/>
          <w:szCs w:val="9"/>
          <w:color w:val="auto"/>
        </w:rPr>
        <w:t>Offices across 82 countries and</w:t>
      </w:r>
    </w:p>
    <w:p>
      <w:pPr>
        <w:spacing w:after="0" w:line="39" w:lineRule="exact"/>
        <w:rPr>
          <w:sz w:val="20"/>
          <w:szCs w:val="20"/>
          <w:color w:val="auto"/>
        </w:rPr>
      </w:pPr>
    </w:p>
    <w:p>
      <w:pPr>
        <w:ind w:left="5740"/>
        <w:spacing w:after="0"/>
        <w:rPr>
          <w:sz w:val="20"/>
          <w:szCs w:val="20"/>
          <w:color w:val="auto"/>
        </w:rPr>
      </w:pPr>
      <w:r>
        <w:rPr>
          <w:rFonts w:ascii="Arial" w:cs="Arial" w:eastAsia="Arial" w:hAnsi="Arial"/>
          <w:sz w:val="10"/>
          <w:szCs w:val="10"/>
          <w:color w:val="auto"/>
        </w:rPr>
        <w:t>territories allow us to meet the</w:t>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0"/>
          <w:szCs w:val="10"/>
          <w:color w:val="auto"/>
        </w:rPr>
        <w:t>needs of clients in all industry</w:t>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0"/>
          <w:szCs w:val="10"/>
          <w:color w:val="auto"/>
        </w:rPr>
        <w:t>segments. Systemwide Offices</w:t>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0"/>
          <w:szCs w:val="10"/>
          <w:color w:val="auto"/>
        </w:rPr>
        <w:t>represents our branch offices</w:t>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0"/>
          <w:szCs w:val="10"/>
          <w:color w:val="auto"/>
        </w:rPr>
        <w:t>plus the offices operating under a</w:t>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0"/>
          <w:szCs w:val="10"/>
          <w:color w:val="auto"/>
        </w:rPr>
        <w:t>franchise agreement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727964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0"/>
          <w:szCs w:val="10"/>
          <w:color w:val="66CC99"/>
        </w:rPr>
        <w:t>Shares Outstanding</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77,964,197 (as of Dec 31, 2008)</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6699CC"/>
        </w:rPr>
        <w:t>Avg. Daily Volume</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1,000,000 + shares per day in 2008</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FF9933"/>
        </w:rPr>
        <w:t>2008 Share Price High and Low</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$70.35/ $23.60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70" w:lineRule="auto"/>
        <w:rPr>
          <w:sz w:val="20"/>
          <w:szCs w:val="20"/>
          <w:color w:val="auto"/>
        </w:rPr>
      </w:pPr>
      <w:r>
        <w:rPr>
          <w:rFonts w:ascii="Arial" w:cs="Arial" w:eastAsia="Arial" w:hAnsi="Arial"/>
          <w:sz w:val="14"/>
          <w:szCs w:val="14"/>
          <w:b w:val="1"/>
          <w:bCs w:val="1"/>
          <w:color w:val="auto"/>
        </w:rPr>
        <w:t>People Placed in Permanent, Temporary and Contract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13410" cy="1454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3410" cy="145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0"/>
          <w:szCs w:val="10"/>
          <w:color w:val="auto"/>
        </w:rPr>
        <w:t>* Temporary and contract only</w:t>
      </w:r>
    </w:p>
    <w:p>
      <w:pPr>
        <w:spacing w:after="0" w:line="1175" w:lineRule="exact"/>
        <w:rPr>
          <w:sz w:val="20"/>
          <w:szCs w:val="20"/>
          <w:color w:val="auto"/>
        </w:rPr>
      </w:pPr>
    </w:p>
    <w:p>
      <w:pPr>
        <w:sectPr>
          <w:pgSz w:w="11900" w:h="16838" w:orient="portrait"/>
          <w:cols w:equalWidth="0" w:num="2">
            <w:col w:w="7880" w:space="720"/>
            <w:col w:w="2620"/>
          </w:cols>
          <w:pgMar w:left="220" w:top="308" w:right="459" w:bottom="1440" w:gutter="0" w:footer="0" w:header="0"/>
        </w:sectPr>
      </w:pPr>
    </w:p>
    <w:p>
      <w:pPr>
        <w:spacing w:after="0" w:line="66"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14</w:t>
      </w:r>
      <w:r>
        <w:rPr>
          <w:sz w:val="20"/>
          <w:szCs w:val="20"/>
          <w:color w:val="auto"/>
        </w:rPr>
        <w:tab/>
      </w:r>
      <w:r>
        <w:rPr>
          <w:rFonts w:ascii="Arial" w:cs="Arial" w:eastAsia="Arial" w:hAnsi="Arial"/>
          <w:sz w:val="12"/>
          <w:szCs w:val="12"/>
          <w:b w:val="1"/>
          <w:bCs w:val="1"/>
          <w:color w:val="939598"/>
        </w:rPr>
        <w:t>Manpower at a Glance</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187325</wp:posOffset>
            </wp:positionV>
            <wp:extent cx="729869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220"/>
          </w:cols>
          <w:pgMar w:left="220" w:top="308" w:right="45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999999"/>
        </w:rPr>
        <w:t>Financial Highlights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0" w:type="dxa"/>
            <w:vAlign w:val="bottom"/>
          </w:tcPr>
          <w:p>
            <w:pPr>
              <w:spacing w:after="0"/>
              <w:rPr>
                <w:sz w:val="20"/>
                <w:szCs w:val="20"/>
                <w:color w:val="auto"/>
              </w:rPr>
            </w:pPr>
            <w:r>
              <w:rPr>
                <w:rFonts w:ascii="Arial" w:cs="Arial" w:eastAsia="Arial" w:hAnsi="Arial"/>
                <w:sz w:val="14"/>
                <w:szCs w:val="14"/>
                <w:b w:val="1"/>
                <w:bCs w:val="1"/>
                <w:color w:val="auto"/>
              </w:rPr>
              <w:t xml:space="preserve">Revenues from Services </w:t>
            </w:r>
            <w:r>
              <w:rPr>
                <w:rFonts w:ascii="Arial" w:cs="Arial" w:eastAsia="Arial" w:hAnsi="Arial"/>
                <w:sz w:val="19"/>
                <w:szCs w:val="19"/>
                <w:b w:val="1"/>
                <w:bCs w:val="1"/>
                <w:color w:val="auto"/>
                <w:vertAlign w:val="superscript"/>
              </w:rPr>
              <w:t>(a)</w:t>
            </w:r>
          </w:p>
        </w:tc>
        <w:tc>
          <w:tcPr>
            <w:tcW w:w="2580" w:type="dxa"/>
            <w:vAlign w:val="bottom"/>
          </w:tcPr>
          <w:p>
            <w:pPr>
              <w:ind w:left="660"/>
              <w:spacing w:after="0"/>
              <w:rPr>
                <w:sz w:val="20"/>
                <w:szCs w:val="20"/>
                <w:color w:val="auto"/>
              </w:rPr>
            </w:pPr>
            <w:r>
              <w:rPr>
                <w:rFonts w:ascii="Arial" w:cs="Arial" w:eastAsia="Arial" w:hAnsi="Arial"/>
                <w:sz w:val="14"/>
                <w:szCs w:val="14"/>
                <w:b w:val="1"/>
                <w:bCs w:val="1"/>
                <w:color w:val="auto"/>
              </w:rPr>
              <w:t>Operating Profit</w:t>
            </w:r>
          </w:p>
        </w:tc>
        <w:tc>
          <w:tcPr>
            <w:tcW w:w="3120" w:type="dxa"/>
            <w:vAlign w:val="bottom"/>
          </w:tcPr>
          <w:p>
            <w:pPr>
              <w:ind w:left="960"/>
              <w:spacing w:after="0"/>
              <w:rPr>
                <w:sz w:val="20"/>
                <w:szCs w:val="20"/>
                <w:color w:val="auto"/>
              </w:rPr>
            </w:pPr>
            <w:r>
              <w:rPr>
                <w:rFonts w:ascii="Arial" w:cs="Arial" w:eastAsia="Arial" w:hAnsi="Arial"/>
                <w:sz w:val="14"/>
                <w:szCs w:val="14"/>
                <w:b w:val="1"/>
                <w:bCs w:val="1"/>
                <w:color w:val="auto"/>
              </w:rPr>
              <w:t>Operating Profit Margin</w:t>
            </w:r>
          </w:p>
        </w:tc>
        <w:tc>
          <w:tcPr>
            <w:tcW w:w="2300" w:type="dxa"/>
            <w:vAlign w:val="bottom"/>
          </w:tcPr>
          <w:p>
            <w:pPr>
              <w:ind w:left="700"/>
              <w:spacing w:after="0"/>
              <w:rPr>
                <w:sz w:val="20"/>
                <w:szCs w:val="20"/>
                <w:color w:val="auto"/>
              </w:rPr>
            </w:pPr>
            <w:r>
              <w:rPr>
                <w:rFonts w:ascii="Arial" w:cs="Arial" w:eastAsia="Arial" w:hAnsi="Arial"/>
                <w:sz w:val="14"/>
                <w:szCs w:val="14"/>
                <w:b w:val="1"/>
                <w:bCs w:val="1"/>
                <w:color w:val="auto"/>
                <w:w w:val="89"/>
              </w:rPr>
              <w:t>Return on Invested Capital</w:t>
            </w:r>
          </w:p>
        </w:tc>
      </w:tr>
      <w:tr>
        <w:trPr>
          <w:trHeight w:val="178"/>
        </w:trPr>
        <w:tc>
          <w:tcPr>
            <w:tcW w:w="2200" w:type="dxa"/>
            <w:vAlign w:val="bottom"/>
          </w:tcPr>
          <w:p>
            <w:pPr>
              <w:spacing w:after="0"/>
              <w:rPr>
                <w:sz w:val="20"/>
                <w:szCs w:val="20"/>
                <w:color w:val="auto"/>
              </w:rPr>
            </w:pPr>
            <w:r>
              <w:rPr>
                <w:rFonts w:ascii="Arial" w:cs="Arial" w:eastAsia="Arial" w:hAnsi="Arial"/>
                <w:sz w:val="14"/>
                <w:szCs w:val="14"/>
                <w:color w:val="auto"/>
              </w:rPr>
              <w:t>in millions ($)</w:t>
            </w:r>
          </w:p>
        </w:tc>
        <w:tc>
          <w:tcPr>
            <w:tcW w:w="2580" w:type="dxa"/>
            <w:vAlign w:val="bottom"/>
          </w:tcPr>
          <w:p>
            <w:pPr>
              <w:ind w:left="660"/>
              <w:spacing w:after="0"/>
              <w:rPr>
                <w:sz w:val="20"/>
                <w:szCs w:val="20"/>
                <w:color w:val="auto"/>
              </w:rPr>
            </w:pPr>
            <w:r>
              <w:rPr>
                <w:rFonts w:ascii="Arial" w:cs="Arial" w:eastAsia="Arial" w:hAnsi="Arial"/>
                <w:sz w:val="14"/>
                <w:szCs w:val="14"/>
                <w:color w:val="auto"/>
              </w:rPr>
              <w:t>in millions ($)</w:t>
            </w:r>
          </w:p>
        </w:tc>
        <w:tc>
          <w:tcPr>
            <w:tcW w:w="3120" w:type="dxa"/>
            <w:vAlign w:val="bottom"/>
          </w:tcPr>
          <w:p>
            <w:pPr>
              <w:ind w:left="960"/>
              <w:spacing w:after="0"/>
              <w:rPr>
                <w:sz w:val="20"/>
                <w:szCs w:val="20"/>
                <w:color w:val="auto"/>
              </w:rPr>
            </w:pPr>
            <w:r>
              <w:rPr>
                <w:rFonts w:ascii="Arial" w:cs="Arial" w:eastAsia="Arial" w:hAnsi="Arial"/>
                <w:sz w:val="14"/>
                <w:szCs w:val="14"/>
                <w:color w:val="auto"/>
              </w:rPr>
              <w:t>in millions ($)</w:t>
            </w:r>
          </w:p>
        </w:tc>
        <w:tc>
          <w:tcPr>
            <w:tcW w:w="2300" w:type="dxa"/>
            <w:vAlign w:val="bottom"/>
          </w:tcPr>
          <w:p>
            <w:pPr>
              <w:ind w:left="700"/>
              <w:spacing w:after="0"/>
              <w:rPr>
                <w:sz w:val="20"/>
                <w:szCs w:val="20"/>
                <w:color w:val="auto"/>
              </w:rPr>
            </w:pPr>
            <w:r>
              <w:rPr>
                <w:rFonts w:ascii="Arial" w:cs="Arial" w:eastAsia="Arial" w:hAnsi="Arial"/>
                <w:sz w:val="14"/>
                <w:szCs w:val="14"/>
                <w:b w:val="1"/>
                <w:bCs w:val="1"/>
                <w:color w:val="auto"/>
              </w:rPr>
              <w:t>(ROIC)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619760" cy="1428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9760" cy="142875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104775</wp:posOffset>
            </wp:positionV>
            <wp:extent cx="704215" cy="1637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4215" cy="163703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104775</wp:posOffset>
            </wp:positionV>
            <wp:extent cx="717550" cy="15913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550" cy="1591310"/>
                    </a:xfrm>
                    <a:prstGeom prst="rect">
                      <a:avLst/>
                    </a:prstGeom>
                    <a:noFill/>
                  </pic:spPr>
                </pic:pic>
              </a:graphicData>
            </a:graphic>
          </wp:anchor>
        </w:drawing>
        <w:drawing>
          <wp:anchor simplePos="0" relativeHeight="251657728" behindDoc="1" locked="0" layoutInCell="0" allowOverlap="1">
            <wp:simplePos x="0" y="0"/>
            <wp:positionH relativeFrom="column">
              <wp:posOffset>5461000</wp:posOffset>
            </wp:positionH>
            <wp:positionV relativeFrom="paragraph">
              <wp:posOffset>104775</wp:posOffset>
            </wp:positionV>
            <wp:extent cx="711200" cy="16046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200" cy="1604645"/>
                    </a:xfrm>
                    <a:prstGeom prst="rect">
                      <a:avLst/>
                    </a:prstGeom>
                    <a:noFill/>
                  </pic:spPr>
                </pic:pic>
              </a:graphicData>
            </a:graphic>
          </wp:anchor>
        </w:drawing>
      </w:r>
    </w:p>
    <w:p>
      <w:pPr>
        <w:sectPr>
          <w:pgSz w:w="11900" w:h="16838" w:orient="portrait"/>
          <w:cols w:equalWidth="0" w:num="1">
            <w:col w:w="11500"/>
          </w:cols>
          <w:pgMar w:left="220" w:top="308"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0"/>
          <w:szCs w:val="10"/>
          <w:color w:val="auto"/>
        </w:rPr>
        <w:t>2008 was a record year with</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the highest revenues in</w:t>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color w:val="auto"/>
        </w:rPr>
        <w:t>Manpower’s history. Revenues</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from Services rose 5.1% on</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the continued strength of our</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European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9"/>
          <w:szCs w:val="9"/>
          <w:color w:val="auto"/>
        </w:rPr>
        <w:t>Operating Profit decreased 38%</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from 2007. Excluding the non-</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recurring items, Operating Profit</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decreased 7% for the year, with</w:t>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color w:val="auto"/>
        </w:rPr>
        <w:t>an increase of 21% in the first half</w:t>
      </w:r>
    </w:p>
    <w:p>
      <w:pPr>
        <w:spacing w:after="0" w:line="40" w:lineRule="exact"/>
        <w:rPr>
          <w:sz w:val="20"/>
          <w:szCs w:val="20"/>
          <w:color w:val="auto"/>
        </w:rPr>
      </w:pPr>
    </w:p>
    <w:p>
      <w:pPr>
        <w:spacing w:after="0"/>
        <w:rPr>
          <w:sz w:val="20"/>
          <w:szCs w:val="20"/>
          <w:color w:val="auto"/>
        </w:rPr>
      </w:pPr>
      <w:r>
        <w:rPr>
          <w:rFonts w:ascii="Arial" w:cs="Arial" w:eastAsia="Arial" w:hAnsi="Arial"/>
          <w:sz w:val="9"/>
          <w:szCs w:val="9"/>
          <w:color w:val="auto"/>
        </w:rPr>
        <w:t>of the year and a decline of 26%</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in the second half of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color w:val="auto"/>
        </w:rPr>
        <w:t>Operating Profit Margin</w:t>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color w:val="auto"/>
        </w:rPr>
        <w:t>decreased to 2.36% in 2008,</w:t>
      </w:r>
    </w:p>
    <w:p>
      <w:pPr>
        <w:spacing w:after="0" w:line="40" w:lineRule="exact"/>
        <w:rPr>
          <w:sz w:val="20"/>
          <w:szCs w:val="20"/>
          <w:color w:val="auto"/>
        </w:rPr>
      </w:pPr>
    </w:p>
    <w:p>
      <w:pPr>
        <w:spacing w:after="0"/>
        <w:rPr>
          <w:sz w:val="20"/>
          <w:szCs w:val="20"/>
          <w:color w:val="auto"/>
        </w:rPr>
      </w:pPr>
      <w:r>
        <w:rPr>
          <w:rFonts w:ascii="Arial" w:cs="Arial" w:eastAsia="Arial" w:hAnsi="Arial"/>
          <w:sz w:val="9"/>
          <w:szCs w:val="9"/>
          <w:color w:val="auto"/>
        </w:rPr>
        <w:t>or 3.00% excluding the non-</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recurring items, due to the</w:t>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color w:val="auto"/>
        </w:rPr>
        <w:t>deleveraging of our expense</w:t>
      </w:r>
    </w:p>
    <w:p>
      <w:pPr>
        <w:spacing w:after="0" w:line="40" w:lineRule="exact"/>
        <w:rPr>
          <w:sz w:val="20"/>
          <w:szCs w:val="20"/>
          <w:color w:val="auto"/>
        </w:rPr>
      </w:pPr>
    </w:p>
    <w:p>
      <w:pPr>
        <w:spacing w:after="0"/>
        <w:rPr>
          <w:sz w:val="20"/>
          <w:szCs w:val="20"/>
          <w:color w:val="auto"/>
        </w:rPr>
      </w:pPr>
      <w:r>
        <w:rPr>
          <w:rFonts w:ascii="Arial" w:cs="Arial" w:eastAsia="Arial" w:hAnsi="Arial"/>
          <w:sz w:val="9"/>
          <w:szCs w:val="9"/>
          <w:color w:val="auto"/>
        </w:rPr>
        <w:t>base as a result of the decline</w:t>
      </w:r>
    </w:p>
    <w:p>
      <w:pPr>
        <w:spacing w:after="0" w:line="40" w:lineRule="exact"/>
        <w:rPr>
          <w:sz w:val="20"/>
          <w:szCs w:val="20"/>
          <w:color w:val="auto"/>
        </w:rPr>
      </w:pPr>
    </w:p>
    <w:p>
      <w:pPr>
        <w:spacing w:after="0"/>
        <w:rPr>
          <w:sz w:val="20"/>
          <w:szCs w:val="20"/>
          <w:color w:val="auto"/>
        </w:rPr>
      </w:pPr>
      <w:r>
        <w:rPr>
          <w:rFonts w:ascii="Arial" w:cs="Arial" w:eastAsia="Arial" w:hAnsi="Arial"/>
          <w:sz w:val="9"/>
          <w:szCs w:val="9"/>
          <w:color w:val="auto"/>
        </w:rPr>
        <w:t>in revenues in the second half</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of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0"/>
          <w:szCs w:val="10"/>
          <w:color w:val="auto"/>
        </w:rPr>
        <w:t>Return on Invested Capital is</w:t>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color w:val="auto"/>
        </w:rPr>
        <w:t>defined as operating profit after</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tax divided by the average</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monthly total of net debt and</w:t>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color w:val="auto"/>
        </w:rPr>
        <w:t>equity for the year. Net debt is</w:t>
      </w:r>
    </w:p>
    <w:p>
      <w:pPr>
        <w:spacing w:after="0" w:line="40" w:lineRule="exact"/>
        <w:rPr>
          <w:sz w:val="20"/>
          <w:szCs w:val="20"/>
          <w:color w:val="auto"/>
        </w:rPr>
      </w:pPr>
    </w:p>
    <w:p>
      <w:pPr>
        <w:spacing w:after="0"/>
        <w:rPr>
          <w:sz w:val="20"/>
          <w:szCs w:val="20"/>
          <w:color w:val="auto"/>
        </w:rPr>
      </w:pPr>
      <w:r>
        <w:rPr>
          <w:rFonts w:ascii="Arial" w:cs="Arial" w:eastAsia="Arial" w:hAnsi="Arial"/>
          <w:sz w:val="9"/>
          <w:szCs w:val="9"/>
          <w:color w:val="auto"/>
        </w:rPr>
        <w:t>defined as total debt less cash</w:t>
      </w:r>
    </w:p>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and cash equivalents.</w:t>
      </w:r>
    </w:p>
    <w:p>
      <w:pPr>
        <w:spacing w:after="0" w:line="343" w:lineRule="exact"/>
        <w:rPr>
          <w:sz w:val="20"/>
          <w:szCs w:val="20"/>
          <w:color w:val="auto"/>
        </w:rPr>
      </w:pPr>
    </w:p>
    <w:p>
      <w:pPr>
        <w:sectPr>
          <w:pgSz w:w="11900" w:h="16838" w:orient="portrait"/>
          <w:cols w:equalWidth="0" w:num="4">
            <w:col w:w="2140" w:space="720"/>
            <w:col w:w="2160" w:space="720"/>
            <w:col w:w="2140" w:space="720"/>
            <w:col w:w="2900"/>
          </w:cols>
          <w:pgMar w:left="220" w:top="308" w:right="17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Earnings from</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Continuing Operations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678180" cy="1545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8180" cy="1545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tabs>
          <w:tab w:leader="none" w:pos="2860" w:val="left"/>
          <w:tab w:leader="none" w:pos="5720" w:val="left"/>
        </w:tabs>
        <w:rPr>
          <w:sz w:val="20"/>
          <w:szCs w:val="20"/>
          <w:color w:val="auto"/>
        </w:rPr>
      </w:pPr>
      <w:r>
        <w:rPr>
          <w:rFonts w:ascii="Arial" w:cs="Arial" w:eastAsia="Arial" w:hAnsi="Arial"/>
          <w:sz w:val="14"/>
          <w:szCs w:val="14"/>
          <w:b w:val="1"/>
          <w:bCs w:val="1"/>
          <w:color w:val="auto"/>
        </w:rPr>
        <w:t>Net Earnings Per Share from</w:t>
      </w:r>
      <w:r>
        <w:rPr>
          <w:sz w:val="20"/>
          <w:szCs w:val="20"/>
          <w:color w:val="auto"/>
        </w:rPr>
        <w:tab/>
      </w:r>
      <w:r>
        <w:rPr>
          <w:rFonts w:ascii="Arial" w:cs="Arial" w:eastAsia="Arial" w:hAnsi="Arial"/>
          <w:sz w:val="14"/>
          <w:szCs w:val="14"/>
          <w:b w:val="1"/>
          <w:bCs w:val="1"/>
          <w:color w:val="auto"/>
        </w:rPr>
        <w:t>Emerging Market Revenue</w:t>
      </w:r>
      <w:r>
        <w:rPr>
          <w:sz w:val="20"/>
          <w:szCs w:val="20"/>
          <w:color w:val="auto"/>
        </w:rPr>
        <w:tab/>
      </w:r>
      <w:r>
        <w:rPr>
          <w:rFonts w:ascii="Arial" w:cs="Arial" w:eastAsia="Arial" w:hAnsi="Arial"/>
          <w:sz w:val="11"/>
          <w:szCs w:val="11"/>
          <w:b w:val="1"/>
          <w:bCs w:val="1"/>
          <w:color w:val="auto"/>
        </w:rPr>
        <w:t>Total Capitalization</w:t>
      </w:r>
    </w:p>
    <w:p>
      <w:pPr>
        <w:spacing w:after="0" w:line="17" w:lineRule="exact"/>
        <w:rPr>
          <w:sz w:val="20"/>
          <w:szCs w:val="20"/>
          <w:color w:val="auto"/>
        </w:rPr>
      </w:pPr>
    </w:p>
    <w:p>
      <w:pPr>
        <w:spacing w:after="0"/>
        <w:tabs>
          <w:tab w:leader="none" w:pos="2860" w:val="left"/>
          <w:tab w:leader="none" w:pos="5720" w:val="left"/>
        </w:tabs>
        <w:rPr>
          <w:sz w:val="20"/>
          <w:szCs w:val="20"/>
          <w:color w:val="auto"/>
        </w:rPr>
      </w:pPr>
      <w:r>
        <w:rPr>
          <w:rFonts w:ascii="Arial" w:cs="Arial" w:eastAsia="Arial" w:hAnsi="Arial"/>
          <w:sz w:val="14"/>
          <w:szCs w:val="14"/>
          <w:b w:val="1"/>
          <w:bCs w:val="1"/>
          <w:color w:val="auto"/>
        </w:rPr>
        <w:t xml:space="preserve">Continuing Operations–Diluted </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in millions ($)</w:t>
      </w:r>
      <w:r>
        <w:rPr>
          <w:sz w:val="20"/>
          <w:szCs w:val="20"/>
          <w:color w:val="auto"/>
        </w:rPr>
        <w:tab/>
      </w:r>
      <w:r>
        <w:rPr>
          <w:rFonts w:ascii="Arial" w:cs="Arial" w:eastAsia="Arial" w:hAnsi="Arial"/>
          <w:sz w:val="13"/>
          <w:szCs w:val="13"/>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665480" cy="1513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5480" cy="1513205"/>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315595</wp:posOffset>
            </wp:positionV>
            <wp:extent cx="626110" cy="1402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6110" cy="140208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211455</wp:posOffset>
            </wp:positionV>
            <wp:extent cx="560705" cy="16306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705" cy="1630680"/>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2140" w:space="720"/>
            <w:col w:w="8640"/>
          </w:cols>
          <w:pgMar w:left="220" w:top="308" w:right="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9"/>
          <w:szCs w:val="9"/>
          <w:color w:val="auto"/>
        </w:rPr>
        <w:t>Net Earnings from Continuing</w:t>
      </w:r>
    </w:p>
    <w:p>
      <w:pPr>
        <w:spacing w:after="0" w:line="30" w:lineRule="exact"/>
        <w:rPr>
          <w:sz w:val="20"/>
          <w:szCs w:val="20"/>
          <w:color w:val="auto"/>
        </w:rPr>
      </w:pPr>
    </w:p>
    <w:p>
      <w:pPr>
        <w:spacing w:after="0"/>
        <w:rPr>
          <w:sz w:val="20"/>
          <w:szCs w:val="20"/>
          <w:color w:val="auto"/>
        </w:rPr>
      </w:pPr>
      <w:r>
        <w:rPr>
          <w:rFonts w:ascii="Arial" w:cs="Arial" w:eastAsia="Arial" w:hAnsi="Arial"/>
          <w:sz w:val="9"/>
          <w:szCs w:val="9"/>
          <w:color w:val="auto"/>
        </w:rPr>
        <w:t>Operations decreased 55%, 8%</w:t>
      </w:r>
    </w:p>
    <w:p>
      <w:pPr>
        <w:spacing w:after="0" w:line="30" w:lineRule="exact"/>
        <w:rPr>
          <w:sz w:val="20"/>
          <w:szCs w:val="20"/>
          <w:color w:val="auto"/>
        </w:rPr>
      </w:pPr>
    </w:p>
    <w:p>
      <w:pPr>
        <w:spacing w:after="0"/>
        <w:rPr>
          <w:sz w:val="20"/>
          <w:szCs w:val="20"/>
          <w:color w:val="auto"/>
        </w:rPr>
      </w:pPr>
      <w:r>
        <w:rPr>
          <w:rFonts w:ascii="Arial" w:cs="Arial" w:eastAsia="Arial" w:hAnsi="Arial"/>
          <w:sz w:val="9"/>
          <w:szCs w:val="9"/>
          <w:color w:val="auto"/>
        </w:rPr>
        <w:t>excluding non-recurring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0"/>
          <w:szCs w:val="10"/>
          <w:color w:val="auto"/>
        </w:rPr>
        <w:t>Net Earnings Per Share from</w:t>
      </w:r>
    </w:p>
    <w:p>
      <w:pPr>
        <w:spacing w:after="0" w:line="19" w:lineRule="exact"/>
        <w:rPr>
          <w:sz w:val="20"/>
          <w:szCs w:val="20"/>
          <w:color w:val="auto"/>
        </w:rPr>
      </w:pPr>
    </w:p>
    <w:p>
      <w:pPr>
        <w:spacing w:after="0"/>
        <w:rPr>
          <w:sz w:val="20"/>
          <w:szCs w:val="20"/>
          <w:color w:val="auto"/>
        </w:rPr>
      </w:pPr>
      <w:r>
        <w:rPr>
          <w:rFonts w:ascii="Arial" w:cs="Arial" w:eastAsia="Arial" w:hAnsi="Arial"/>
          <w:sz w:val="9"/>
          <w:szCs w:val="9"/>
          <w:color w:val="auto"/>
        </w:rPr>
        <w:t>Continuing Operations – Diluted</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decreased 52%, 3% excluding</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non-recurring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9"/>
          <w:szCs w:val="9"/>
          <w:color w:val="auto"/>
        </w:rPr>
        <w:t>Emerging market revenue grew</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44% in 2008. Key expansion</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markets grew: India (+40%),</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China (+15%) and Eastern</w:t>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Europe (+38%).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9"/>
          <w:szCs w:val="9"/>
          <w:color w:val="auto"/>
        </w:rPr>
        <w:t>Debt as a percentage of total</w:t>
      </w:r>
    </w:p>
    <w:p>
      <w:pPr>
        <w:spacing w:after="0" w:line="30" w:lineRule="exact"/>
        <w:rPr>
          <w:sz w:val="20"/>
          <w:szCs w:val="20"/>
          <w:color w:val="auto"/>
        </w:rPr>
      </w:pPr>
    </w:p>
    <w:p>
      <w:pPr>
        <w:spacing w:after="0"/>
        <w:rPr>
          <w:sz w:val="20"/>
          <w:szCs w:val="20"/>
          <w:color w:val="auto"/>
        </w:rPr>
      </w:pPr>
      <w:r>
        <w:rPr>
          <w:rFonts w:ascii="Arial" w:cs="Arial" w:eastAsia="Arial" w:hAnsi="Arial"/>
          <w:sz w:val="9"/>
          <w:szCs w:val="9"/>
          <w:color w:val="auto"/>
        </w:rPr>
        <w:t>capitalization was 28% in 2008</w:t>
      </w:r>
    </w:p>
    <w:p>
      <w:pPr>
        <w:spacing w:after="0" w:line="30" w:lineRule="exact"/>
        <w:rPr>
          <w:sz w:val="20"/>
          <w:szCs w:val="20"/>
          <w:color w:val="auto"/>
        </w:rPr>
      </w:pPr>
    </w:p>
    <w:p>
      <w:pPr>
        <w:spacing w:after="0"/>
        <w:rPr>
          <w:sz w:val="20"/>
          <w:szCs w:val="20"/>
          <w:color w:val="auto"/>
        </w:rPr>
      </w:pPr>
      <w:r>
        <w:rPr>
          <w:rFonts w:ascii="Arial" w:cs="Arial" w:eastAsia="Arial" w:hAnsi="Arial"/>
          <w:sz w:val="9"/>
          <w:szCs w:val="9"/>
          <w:color w:val="auto"/>
        </w:rPr>
        <w:t>compared to 26% in 2007 and</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25% in 2006.</w:t>
      </w:r>
    </w:p>
    <w:p>
      <w:pPr>
        <w:spacing w:after="0" w:line="364" w:lineRule="exact"/>
        <w:rPr>
          <w:sz w:val="20"/>
          <w:szCs w:val="20"/>
          <w:color w:val="auto"/>
        </w:rPr>
      </w:pPr>
    </w:p>
    <w:p>
      <w:pPr>
        <w:sectPr>
          <w:pgSz w:w="11900" w:h="16838" w:orient="portrait"/>
          <w:cols w:equalWidth="0" w:num="4">
            <w:col w:w="2140" w:space="720"/>
            <w:col w:w="2160" w:space="720"/>
            <w:col w:w="2140" w:space="720"/>
            <w:col w:w="2900"/>
          </w:cols>
          <w:pgMar w:left="220" w:top="308" w:right="179" w:bottom="1440" w:gutter="0" w:footer="0" w:header="0"/>
          <w:type w:val="continuous"/>
        </w:sectPr>
      </w:pPr>
    </w:p>
    <w:p>
      <w:pPr>
        <w:spacing w:after="0" w:line="28" w:lineRule="exact"/>
        <w:rPr>
          <w:sz w:val="20"/>
          <w:szCs w:val="20"/>
          <w:color w:val="auto"/>
        </w:rPr>
      </w:pPr>
    </w:p>
    <w:p>
      <w:pPr>
        <w:jc w:val="both"/>
        <w:ind w:left="340" w:right="40" w:hanging="338"/>
        <w:spacing w:after="0" w:line="251" w:lineRule="auto"/>
        <w:tabs>
          <w:tab w:leader="none" w:pos="340" w:val="left"/>
        </w:tabs>
        <w:numPr>
          <w:ilvl w:val="0"/>
          <w:numId w:val="49"/>
        </w:numPr>
        <w:rPr>
          <w:rFonts w:ascii="Arial" w:cs="Arial" w:eastAsia="Arial" w:hAnsi="Arial"/>
          <w:sz w:val="10"/>
          <w:szCs w:val="10"/>
          <w:color w:val="auto"/>
        </w:rPr>
      </w:pPr>
      <w:r>
        <w:rPr>
          <w:rFonts w:ascii="Arial" w:cs="Arial" w:eastAsia="Arial" w:hAnsi="Arial"/>
          <w:sz w:val="10"/>
          <w:szCs w:val="10"/>
          <w:color w:val="auto"/>
        </w:rPr>
        <w:t>Revenues from Services includes fees received from our franchise offices of $34.5 million, $35.8 million, $35.7 million, $35.7 million and $30.9 million for 2004, 2005, 2006, 2007 and 2008, respectively. These fees are primarily based on revenues generated by the franchise offices, which were $1,487.1 million, $1,510.7 million, $1,497.0 million, $1,408.5 million and $1,148.1 million for 2004, 2005, 2006, 2007 and 2008, respectively. In the United States, where the majority of our franchises operate, Revenues from Services includes fees received from the related franchise operations of $25.0 million, $24.9 million, $24.4 million, $24.2 million and $17.7 million for 2004, 2005, 2006, 2007 and 2008, respectively. These fees are primarily based on revenues generated by the franchise operations, which were $1,181.5 million, $1,196.9 million, $1,146.1 million, $1,055.1 million and $746.2 million for 2004, 2005, 2006, 2007 and 2008, respectively.</w:t>
      </w:r>
    </w:p>
    <w:p>
      <w:pPr>
        <w:spacing w:after="0" w:line="83" w:lineRule="exact"/>
        <w:rPr>
          <w:rFonts w:ascii="Arial" w:cs="Arial" w:eastAsia="Arial" w:hAnsi="Arial"/>
          <w:sz w:val="10"/>
          <w:szCs w:val="10"/>
          <w:color w:val="auto"/>
        </w:rPr>
      </w:pPr>
    </w:p>
    <w:p>
      <w:pPr>
        <w:ind w:left="340" w:hanging="338"/>
        <w:spacing w:after="0"/>
        <w:tabs>
          <w:tab w:leader="none" w:pos="3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Amounts exclude the impact of the payroll tax modification in France, French legal reserve and reorganization charges. (See Note 1 to the consolidated financial statements for further information.)</w:t>
      </w:r>
    </w:p>
    <w:p>
      <w:pPr>
        <w:spacing w:after="0" w:line="99" w:lineRule="exact"/>
        <w:rPr>
          <w:rFonts w:ascii="Arial" w:cs="Arial" w:eastAsia="Arial" w:hAnsi="Arial"/>
          <w:sz w:val="11"/>
          <w:szCs w:val="11"/>
          <w:color w:val="auto"/>
        </w:rPr>
      </w:pPr>
    </w:p>
    <w:p>
      <w:pPr>
        <w:ind w:left="340" w:right="40" w:hanging="338"/>
        <w:spacing w:after="0" w:line="237" w:lineRule="auto"/>
        <w:tabs>
          <w:tab w:leader="none" w:pos="340" w:val="left"/>
        </w:tabs>
        <w:numPr>
          <w:ilvl w:val="0"/>
          <w:numId w:val="49"/>
        </w:numPr>
        <w:rPr>
          <w:rFonts w:ascii="Arial" w:cs="Arial" w:eastAsia="Arial" w:hAnsi="Arial"/>
          <w:sz w:val="11"/>
          <w:szCs w:val="11"/>
          <w:color w:val="auto"/>
        </w:rPr>
      </w:pPr>
      <w:r>
        <w:rPr>
          <w:rFonts w:ascii="Arial" w:cs="Arial" w:eastAsia="Arial" w:hAnsi="Arial"/>
          <w:sz w:val="11"/>
          <w:szCs w:val="11"/>
          <w:color w:val="auto"/>
        </w:rPr>
        <w:t>Amounts exclude the impact of the French business tax refund, French payroll tax modification, French legal reserve, goodwill and intangible asset impairment charge related to our investment in Right Management and the global reorganization charges. (See Note 1 to the consolidated financial statements for further information.)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38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Financial Highlights</w:t>
            </w:r>
          </w:p>
        </w:tc>
        <w:tc>
          <w:tcPr>
            <w:tcW w:w="38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380" w:type="dxa"/>
            <w:vAlign w:val="bottom"/>
            <w:vMerge w:val="continue"/>
          </w:tcPr>
          <w:p>
            <w:pPr>
              <w:spacing w:after="0"/>
              <w:rPr>
                <w:sz w:val="6"/>
                <w:szCs w:val="6"/>
                <w:color w:val="auto"/>
              </w:rPr>
            </w:pPr>
          </w:p>
        </w:tc>
        <w:tc>
          <w:tcPr>
            <w:tcW w:w="38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2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380" w:type="dxa"/>
            <w:vAlign w:val="bottom"/>
            <w:shd w:val="clear" w:color="auto" w:fill="808080"/>
          </w:tcPr>
          <w:p>
            <w:pPr>
              <w:spacing w:after="0"/>
              <w:rPr>
                <w:sz w:val="5"/>
                <w:szCs w:val="5"/>
                <w:color w:val="auto"/>
              </w:rPr>
            </w:pPr>
          </w:p>
        </w:tc>
        <w:tc>
          <w:tcPr>
            <w:tcW w:w="38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08" w:right="179" w:bottom="1440" w:gutter="0" w:footer="0" w:header="0"/>
          <w:type w:val="continuous"/>
        </w:sectPr>
      </w:pPr>
    </w:p>
    <w:bookmarkStart w:id="73" w:name="page74"/>
    <w:bookmarkEnd w:id="73"/>
    <w:p>
      <w:pPr>
        <w:ind w:left="10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-114300</wp:posOffset>
            </wp:positionV>
            <wp:extent cx="7279640" cy="2341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9640" cy="2341880"/>
                    </a:xfrm>
                    <a:prstGeom prst="rect">
                      <a:avLst/>
                    </a:prstGeom>
                    <a:noFill/>
                  </pic:spPr>
                </pic:pic>
              </a:graphicData>
            </a:graphic>
          </wp:anchor>
        </w:drawing>
      </w:r>
    </w:p>
    <w:p>
      <w:pPr>
        <w:sectPr>
          <w:pgSz w:w="11900" w:h="16838" w:orient="portrait"/>
          <w:cols w:equalWidth="0" w:num="1">
            <w:col w:w="10239"/>
          </w:cols>
          <w:pgMar w:left="2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60" w:hanging="1158"/>
        <w:spacing w:after="0"/>
        <w:tabs>
          <w:tab w:leader="none" w:pos="1160" w:val="left"/>
        </w:tabs>
        <w:numPr>
          <w:ilvl w:val="0"/>
          <w:numId w:val="50"/>
        </w:numPr>
        <w:rPr>
          <w:rFonts w:ascii="Arial" w:cs="Arial" w:eastAsia="Arial" w:hAnsi="Arial"/>
          <w:sz w:val="14"/>
          <w:szCs w:val="14"/>
          <w:b w:val="1"/>
          <w:bCs w:val="1"/>
          <w:u w:val="single" w:color="auto"/>
          <w:color w:val="0000EE"/>
        </w:rPr>
      </w:pPr>
      <w:hyperlink w:anchor="page75">
        <w:r>
          <w:rPr>
            <w:rFonts w:ascii="Arial" w:cs="Arial" w:eastAsia="Arial" w:hAnsi="Arial"/>
            <w:sz w:val="14"/>
            <w:szCs w:val="14"/>
            <w:b w:val="1"/>
            <w:bCs w:val="1"/>
            <w:u w:val="single" w:color="auto"/>
            <w:color w:val="0000EE"/>
          </w:rPr>
          <w:t>MANAGEMENT’S DISCUSSION &amp; ANALYSIS</w:t>
        </w:r>
      </w:hyperlink>
    </w:p>
    <w:p>
      <w:pPr>
        <w:spacing w:after="0" w:line="9" w:lineRule="exact"/>
        <w:rPr>
          <w:rFonts w:ascii="Arial" w:cs="Arial" w:eastAsia="Arial" w:hAnsi="Arial"/>
          <w:sz w:val="14"/>
          <w:szCs w:val="14"/>
          <w:b w:val="1"/>
          <w:bCs w:val="1"/>
          <w:u w:val="single" w:color="auto"/>
          <w:color w:val="0000EE"/>
        </w:rPr>
      </w:pPr>
    </w:p>
    <w:p>
      <w:pPr>
        <w:ind w:left="1160" w:hanging="1158"/>
        <w:spacing w:after="0" w:line="229" w:lineRule="auto"/>
        <w:tabs>
          <w:tab w:leader="none" w:pos="1160" w:val="left"/>
        </w:tabs>
        <w:numPr>
          <w:ilvl w:val="0"/>
          <w:numId w:val="50"/>
        </w:numPr>
        <w:rPr>
          <w:rFonts w:ascii="Arial" w:cs="Arial" w:eastAsia="Arial" w:hAnsi="Arial"/>
          <w:sz w:val="14"/>
          <w:szCs w:val="14"/>
          <w:b w:val="1"/>
          <w:bCs w:val="1"/>
          <w:u w:val="single" w:color="auto"/>
          <w:color w:val="0000EE"/>
        </w:rPr>
      </w:pPr>
      <w:hyperlink w:anchor="page76">
        <w:r>
          <w:rPr>
            <w:rFonts w:ascii="Arial" w:cs="Arial" w:eastAsia="Arial" w:hAnsi="Arial"/>
            <w:sz w:val="14"/>
            <w:szCs w:val="14"/>
            <w:b w:val="1"/>
            <w:bCs w:val="1"/>
            <w:u w:val="single" w:color="auto"/>
            <w:color w:val="0000EE"/>
          </w:rPr>
          <w:t>FINANCIAL MEASURES</w:t>
        </w:r>
      </w:hyperlink>
    </w:p>
    <w:p>
      <w:pPr>
        <w:ind w:left="1160" w:hanging="1158"/>
        <w:spacing w:after="0"/>
        <w:tabs>
          <w:tab w:leader="none" w:pos="1160" w:val="left"/>
        </w:tabs>
        <w:numPr>
          <w:ilvl w:val="0"/>
          <w:numId w:val="51"/>
        </w:numPr>
        <w:rPr>
          <w:rFonts w:ascii="Arial" w:cs="Arial" w:eastAsia="Arial" w:hAnsi="Arial"/>
          <w:sz w:val="13"/>
          <w:szCs w:val="13"/>
          <w:b w:val="1"/>
          <w:bCs w:val="1"/>
          <w:u w:val="single" w:color="auto"/>
          <w:color w:val="0000EE"/>
        </w:rPr>
      </w:pPr>
      <w:hyperlink w:anchor="page97">
        <w:r>
          <w:rPr>
            <w:rFonts w:ascii="Arial" w:cs="Arial" w:eastAsia="Arial" w:hAnsi="Arial"/>
            <w:sz w:val="13"/>
            <w:szCs w:val="13"/>
            <w:b w:val="1"/>
            <w:bCs w:val="1"/>
            <w:u w:val="single" w:color="auto"/>
            <w:color w:val="0000EE"/>
          </w:rPr>
          <w:t>MANAGEMENT REPORT ON INTERNAL CONTROL OVER FINANCIAL REPORTING</w:t>
        </w:r>
      </w:hyperlink>
    </w:p>
    <w:p>
      <w:pPr>
        <w:spacing w:after="0" w:line="4" w:lineRule="exact"/>
        <w:rPr>
          <w:rFonts w:ascii="Arial" w:cs="Arial" w:eastAsia="Arial" w:hAnsi="Arial"/>
          <w:sz w:val="13"/>
          <w:szCs w:val="13"/>
          <w:b w:val="1"/>
          <w:bCs w:val="1"/>
          <w:u w:val="single" w:color="auto"/>
          <w:color w:val="0000EE"/>
        </w:rPr>
      </w:pPr>
    </w:p>
    <w:p>
      <w:pPr>
        <w:ind w:left="1160" w:hanging="1158"/>
        <w:spacing w:after="0" w:line="229" w:lineRule="auto"/>
        <w:tabs>
          <w:tab w:leader="none" w:pos="1160" w:val="left"/>
        </w:tabs>
        <w:numPr>
          <w:ilvl w:val="0"/>
          <w:numId w:val="51"/>
        </w:numPr>
        <w:rPr>
          <w:rFonts w:ascii="Arial" w:cs="Arial" w:eastAsia="Arial" w:hAnsi="Arial"/>
          <w:sz w:val="14"/>
          <w:szCs w:val="14"/>
          <w:b w:val="1"/>
          <w:bCs w:val="1"/>
          <w:u w:val="single" w:color="auto"/>
          <w:color w:val="0000EE"/>
        </w:rPr>
      </w:pPr>
      <w:hyperlink w:anchor="page98">
        <w:r>
          <w:rPr>
            <w:rFonts w:ascii="Arial" w:cs="Arial" w:eastAsia="Arial" w:hAnsi="Arial"/>
            <w:sz w:val="14"/>
            <w:szCs w:val="14"/>
            <w:b w:val="1"/>
            <w:bCs w:val="1"/>
            <w:u w:val="single" w:color="auto"/>
            <w:color w:val="0000EE"/>
          </w:rPr>
          <w:t>REPORT OF INDEPENDENT REGISTERED PUBLIC ACCOUNTING FIRM</w:t>
        </w:r>
      </w:hyperlink>
    </w:p>
    <w:p>
      <w:pPr>
        <w:ind w:left="1160" w:hanging="1158"/>
        <w:spacing w:after="0" w:line="230" w:lineRule="auto"/>
        <w:tabs>
          <w:tab w:leader="none" w:pos="1160" w:val="left"/>
        </w:tabs>
        <w:numPr>
          <w:ilvl w:val="0"/>
          <w:numId w:val="52"/>
        </w:numPr>
        <w:rPr>
          <w:rFonts w:ascii="Arial" w:cs="Arial" w:eastAsia="Arial" w:hAnsi="Arial"/>
          <w:sz w:val="14"/>
          <w:szCs w:val="14"/>
          <w:b w:val="1"/>
          <w:bCs w:val="1"/>
          <w:u w:val="single" w:color="auto"/>
          <w:color w:val="0000EE"/>
        </w:rPr>
      </w:pPr>
      <w:hyperlink w:anchor="page100">
        <w:r>
          <w:rPr>
            <w:rFonts w:ascii="Arial" w:cs="Arial" w:eastAsia="Arial" w:hAnsi="Arial"/>
            <w:sz w:val="14"/>
            <w:szCs w:val="14"/>
            <w:b w:val="1"/>
            <w:bCs w:val="1"/>
            <w:u w:val="single" w:color="auto"/>
            <w:color w:val="0000EE"/>
          </w:rPr>
          <w:t>CONSOLIDATED STATEMENTS OF OPERATIONS</w:t>
        </w:r>
      </w:hyperlink>
    </w:p>
    <w:p>
      <w:pPr>
        <w:ind w:left="1160" w:hanging="1158"/>
        <w:spacing w:after="0" w:line="229" w:lineRule="auto"/>
        <w:tabs>
          <w:tab w:leader="none" w:pos="1160" w:val="left"/>
        </w:tabs>
        <w:numPr>
          <w:ilvl w:val="0"/>
          <w:numId w:val="52"/>
        </w:numPr>
        <w:rPr>
          <w:rFonts w:ascii="Arial" w:cs="Arial" w:eastAsia="Arial" w:hAnsi="Arial"/>
          <w:sz w:val="14"/>
          <w:szCs w:val="14"/>
          <w:b w:val="1"/>
          <w:bCs w:val="1"/>
          <w:u w:val="single" w:color="auto"/>
          <w:color w:val="0000EE"/>
        </w:rPr>
      </w:pPr>
      <w:hyperlink w:anchor="page101">
        <w:r>
          <w:rPr>
            <w:rFonts w:ascii="Arial" w:cs="Arial" w:eastAsia="Arial" w:hAnsi="Arial"/>
            <w:sz w:val="14"/>
            <w:szCs w:val="14"/>
            <w:b w:val="1"/>
            <w:bCs w:val="1"/>
            <w:u w:val="single" w:color="auto"/>
            <w:color w:val="0000EE"/>
          </w:rPr>
          <w:t>CONSOLIDATED BALANCE SHEETS</w:t>
        </w:r>
      </w:hyperlink>
    </w:p>
    <w:p>
      <w:pPr>
        <w:ind w:left="1160" w:hanging="1158"/>
        <w:spacing w:after="0" w:line="229" w:lineRule="auto"/>
        <w:tabs>
          <w:tab w:leader="none" w:pos="1160" w:val="left"/>
        </w:tabs>
        <w:numPr>
          <w:ilvl w:val="0"/>
          <w:numId w:val="52"/>
        </w:numPr>
        <w:rPr>
          <w:rFonts w:ascii="Arial" w:cs="Arial" w:eastAsia="Arial" w:hAnsi="Arial"/>
          <w:sz w:val="14"/>
          <w:szCs w:val="14"/>
          <w:b w:val="1"/>
          <w:bCs w:val="1"/>
          <w:u w:val="single" w:color="auto"/>
          <w:color w:val="0000EE"/>
        </w:rPr>
      </w:pPr>
      <w:hyperlink w:anchor="page102">
        <w:r>
          <w:rPr>
            <w:rFonts w:ascii="Arial" w:cs="Arial" w:eastAsia="Arial" w:hAnsi="Arial"/>
            <w:sz w:val="14"/>
            <w:szCs w:val="14"/>
            <w:b w:val="1"/>
            <w:bCs w:val="1"/>
            <w:u w:val="single" w:color="auto"/>
            <w:color w:val="0000EE"/>
          </w:rPr>
          <w:t>CONSOLIDATED STATEMENTS OF CASH FLOWS</w:t>
        </w:r>
      </w:hyperlink>
    </w:p>
    <w:p>
      <w:pPr>
        <w:ind w:left="1160" w:hanging="1158"/>
        <w:spacing w:after="0" w:line="229" w:lineRule="auto"/>
        <w:tabs>
          <w:tab w:leader="none" w:pos="1160" w:val="left"/>
        </w:tabs>
        <w:numPr>
          <w:ilvl w:val="0"/>
          <w:numId w:val="52"/>
        </w:numPr>
        <w:rPr>
          <w:rFonts w:ascii="Arial" w:cs="Arial" w:eastAsia="Arial" w:hAnsi="Arial"/>
          <w:sz w:val="14"/>
          <w:szCs w:val="14"/>
          <w:b w:val="1"/>
          <w:bCs w:val="1"/>
          <w:u w:val="single" w:color="auto"/>
          <w:color w:val="0000EE"/>
        </w:rPr>
      </w:pPr>
      <w:hyperlink w:anchor="page103">
        <w:r>
          <w:rPr>
            <w:rFonts w:ascii="Arial" w:cs="Arial" w:eastAsia="Arial" w:hAnsi="Arial"/>
            <w:sz w:val="14"/>
            <w:szCs w:val="14"/>
            <w:b w:val="1"/>
            <w:bCs w:val="1"/>
            <w:u w:val="single" w:color="auto"/>
            <w:color w:val="0000EE"/>
          </w:rPr>
          <w:t>CONSOLIDATED STATEMENTS OF SHAREHOLDERS’ EQUITY</w:t>
        </w:r>
      </w:hyperlink>
    </w:p>
    <w:p>
      <w:pPr>
        <w:ind w:left="1160" w:hanging="1158"/>
        <w:spacing w:after="0" w:line="229" w:lineRule="auto"/>
        <w:tabs>
          <w:tab w:leader="none" w:pos="1160" w:val="left"/>
        </w:tabs>
        <w:numPr>
          <w:ilvl w:val="0"/>
          <w:numId w:val="52"/>
        </w:numPr>
        <w:rPr>
          <w:rFonts w:ascii="Arial" w:cs="Arial" w:eastAsia="Arial" w:hAnsi="Arial"/>
          <w:sz w:val="14"/>
          <w:szCs w:val="14"/>
          <w:b w:val="1"/>
          <w:bCs w:val="1"/>
          <w:u w:val="single" w:color="auto"/>
          <w:color w:val="0000EE"/>
        </w:rPr>
      </w:pPr>
      <w:hyperlink w:anchor="page104">
        <w:r>
          <w:rPr>
            <w:rFonts w:ascii="Arial" w:cs="Arial" w:eastAsia="Arial" w:hAnsi="Arial"/>
            <w:sz w:val="14"/>
            <w:szCs w:val="14"/>
            <w:b w:val="1"/>
            <w:bCs w:val="1"/>
            <w:u w:val="single" w:color="auto"/>
            <w:color w:val="0000EE"/>
          </w:rPr>
          <w:t>NOTES TO CONSOLIDATED FINANCIAL STATEMENTS</w:t>
        </w:r>
      </w:hyperlink>
    </w:p>
    <w:p>
      <w:pPr>
        <w:spacing w:after="0" w:line="230" w:lineRule="auto"/>
        <w:tabs>
          <w:tab w:leader="none" w:pos="1140" w:val="left"/>
        </w:tabs>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t>72</w:t>
      </w:r>
      <w:r>
        <w:rPr>
          <w:sz w:val="20"/>
          <w:szCs w:val="20"/>
          <w:color w:val="auto"/>
        </w:rPr>
        <w:tab/>
      </w:r>
      <w:hyperlink w:anchor="page130">
        <w:r>
          <w:rPr>
            <w:rFonts w:ascii="Arial" w:cs="Arial" w:eastAsia="Arial" w:hAnsi="Arial"/>
            <w:sz w:val="14"/>
            <w:szCs w:val="14"/>
            <w:b w:val="1"/>
            <w:bCs w:val="1"/>
            <w:u w:val="single" w:color="auto"/>
            <w:color w:val="0000EE"/>
          </w:rPr>
          <w:t>SELECTED FINANCIAL DATA</w:t>
        </w:r>
      </w:hyperlink>
    </w:p>
    <w:p>
      <w:pPr>
        <w:ind w:left="1160" w:hanging="1158"/>
        <w:spacing w:after="0" w:line="230" w:lineRule="auto"/>
        <w:tabs>
          <w:tab w:leader="none" w:pos="1160" w:val="left"/>
        </w:tabs>
        <w:numPr>
          <w:ilvl w:val="0"/>
          <w:numId w:val="53"/>
        </w:numPr>
        <w:rPr>
          <w:rFonts w:ascii="Arial" w:cs="Arial" w:eastAsia="Arial" w:hAnsi="Arial"/>
          <w:sz w:val="14"/>
          <w:szCs w:val="14"/>
          <w:b w:val="1"/>
          <w:bCs w:val="1"/>
          <w:u w:val="single" w:color="auto"/>
          <w:color w:val="0000EE"/>
        </w:rPr>
      </w:pPr>
      <w:hyperlink w:anchor="page130">
        <w:r>
          <w:rPr>
            <w:rFonts w:ascii="Arial" w:cs="Arial" w:eastAsia="Arial" w:hAnsi="Arial"/>
            <w:sz w:val="14"/>
            <w:szCs w:val="14"/>
            <w:b w:val="1"/>
            <w:bCs w:val="1"/>
            <w:u w:val="single" w:color="auto"/>
            <w:color w:val="0000EE"/>
          </w:rPr>
          <w:t>PERFORMANCE GRAPH</w:t>
        </w:r>
      </w:hyperlink>
    </w:p>
    <w:p>
      <w:pPr>
        <w:ind w:left="1160" w:hanging="1158"/>
        <w:spacing w:after="0" w:line="229" w:lineRule="auto"/>
        <w:tabs>
          <w:tab w:leader="none" w:pos="1160" w:val="left"/>
        </w:tabs>
        <w:numPr>
          <w:ilvl w:val="0"/>
          <w:numId w:val="53"/>
        </w:numPr>
        <w:rPr>
          <w:rFonts w:ascii="Arial" w:cs="Arial" w:eastAsia="Arial" w:hAnsi="Arial"/>
          <w:sz w:val="14"/>
          <w:szCs w:val="14"/>
          <w:b w:val="1"/>
          <w:bCs w:val="1"/>
          <w:u w:val="single" w:color="auto"/>
          <w:color w:val="0000EE"/>
        </w:rPr>
      </w:pPr>
      <w:hyperlink w:anchor="page131">
        <w:r>
          <w:rPr>
            <w:rFonts w:ascii="Arial" w:cs="Arial" w:eastAsia="Arial" w:hAnsi="Arial"/>
            <w:sz w:val="14"/>
            <w:szCs w:val="14"/>
            <w:b w:val="1"/>
            <w:bCs w:val="1"/>
            <w:u w:val="single" w:color="auto"/>
            <w:color w:val="0000EE"/>
          </w:rPr>
          <w:t>PRINCIPLE OPERATING UNITS</w:t>
        </w:r>
      </w:hyperlink>
    </w:p>
    <w:p>
      <w:pPr>
        <w:ind w:left="1160" w:hanging="1158"/>
        <w:spacing w:after="0" w:line="229" w:lineRule="auto"/>
        <w:tabs>
          <w:tab w:leader="none" w:pos="1160" w:val="left"/>
        </w:tabs>
        <w:numPr>
          <w:ilvl w:val="0"/>
          <w:numId w:val="53"/>
        </w:numPr>
        <w:rPr>
          <w:rFonts w:ascii="Arial" w:cs="Arial" w:eastAsia="Arial" w:hAnsi="Arial"/>
          <w:sz w:val="14"/>
          <w:szCs w:val="14"/>
          <w:b w:val="1"/>
          <w:bCs w:val="1"/>
          <w:u w:val="single" w:color="auto"/>
          <w:color w:val="0000EE"/>
        </w:rPr>
      </w:pPr>
      <w:hyperlink w:anchor="page132">
        <w:r>
          <w:rPr>
            <w:rFonts w:ascii="Arial" w:cs="Arial" w:eastAsia="Arial" w:hAnsi="Arial"/>
            <w:sz w:val="14"/>
            <w:szCs w:val="14"/>
            <w:b w:val="1"/>
            <w:bCs w:val="1"/>
            <w:u w:val="single" w:color="auto"/>
            <w:color w:val="0000EE"/>
          </w:rPr>
          <w:t>CORPORATE INFORMATION</w:t>
        </w:r>
      </w:hyperlink>
    </w:p>
    <w:p>
      <w:pPr>
        <w:spacing w:after="0"/>
        <w:tabs>
          <w:tab w:leader="none" w:pos="1140" w:val="left"/>
        </w:tabs>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t>IBC</w:t>
      </w:r>
      <w:r>
        <w:rPr>
          <w:sz w:val="20"/>
          <w:szCs w:val="20"/>
          <w:color w:val="auto"/>
        </w:rPr>
        <w:tab/>
      </w:r>
      <w:hyperlink w:anchor="page133">
        <w:r>
          <w:rPr>
            <w:rFonts w:ascii="Arial" w:cs="Arial" w:eastAsia="Arial" w:hAnsi="Arial"/>
            <w:sz w:val="14"/>
            <w:szCs w:val="14"/>
            <w:b w:val="1"/>
            <w:bCs w:val="1"/>
            <w:u w:val="single" w:color="auto"/>
            <w:color w:val="0000EE"/>
          </w:rPr>
          <w:t>POWER AWARD</w:t>
        </w:r>
      </w:hyperlink>
    </w:p>
    <w:p>
      <w:pPr>
        <w:spacing w:after="0" w:line="20" w:lineRule="exact"/>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475615</wp:posOffset>
            </wp:positionV>
            <wp:extent cx="729869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0239"/>
          </w:cols>
          <w:pgMar w:left="220" w:top="114"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Business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40" w:firstLine="2866"/>
        <w:spacing w:after="0" w:line="256" w:lineRule="auto"/>
        <w:rPr>
          <w:sz w:val="20"/>
          <w:szCs w:val="20"/>
          <w:color w:val="auto"/>
        </w:rPr>
      </w:pPr>
      <w:r>
        <w:rPr>
          <w:rFonts w:ascii="Arial" w:cs="Arial" w:eastAsia="Arial" w:hAnsi="Arial"/>
          <w:sz w:val="13"/>
          <w:szCs w:val="13"/>
          <w:color w:val="auto"/>
        </w:rPr>
        <w:t>Manpower Inc. is a world leader in the employment services industry. Our global network of over 4,400 offices in 82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69" w:lineRule="exact"/>
        <w:rPr>
          <w:sz w:val="20"/>
          <w:szCs w:val="20"/>
          <w:color w:val="auto"/>
        </w:rPr>
      </w:pPr>
    </w:p>
    <w:p>
      <w:pPr>
        <w:ind w:right="40"/>
        <w:spacing w:after="0" w:line="265" w:lineRule="auto"/>
        <w:rPr>
          <w:sz w:val="20"/>
          <w:szCs w:val="20"/>
          <w:color w:val="auto"/>
        </w:rPr>
      </w:pPr>
      <w:r>
        <w:rPr>
          <w:rFonts w:ascii="Arial" w:cs="Arial" w:eastAsia="Arial" w:hAnsi="Arial"/>
          <w:sz w:val="13"/>
          <w:szCs w:val="13"/>
          <w:color w:val="auto"/>
        </w:rPr>
        <w:t>Manpower Inc.’s five major brands – Manpower, Manpower Professional, Elan, Jefferson Wells and Right Management – provide a comprehensive range of services for the entire employment and business cycle including:</w:t>
      </w:r>
    </w:p>
    <w:p>
      <w:pPr>
        <w:spacing w:after="0" w:line="348" w:lineRule="exact"/>
        <w:rPr>
          <w:sz w:val="20"/>
          <w:szCs w:val="20"/>
          <w:color w:val="auto"/>
        </w:rPr>
      </w:pPr>
    </w:p>
    <w:p>
      <w:pPr>
        <w:jc w:val="both"/>
        <w:ind w:left="420" w:right="40"/>
        <w:spacing w:after="0" w:line="282" w:lineRule="auto"/>
        <w:rPr>
          <w:sz w:val="20"/>
          <w:szCs w:val="20"/>
          <w:color w:val="auto"/>
        </w:rPr>
      </w:pPr>
      <w:r>
        <w:rPr>
          <w:rFonts w:ascii="Arial" w:cs="Arial" w:eastAsia="Arial" w:hAnsi="Arial"/>
          <w:sz w:val="13"/>
          <w:szCs w:val="13"/>
          <w:color w:val="auto"/>
        </w:rPr>
        <w:t>Permanent, temporary and contract recruitment – We find the best people for all types of jobs and industries at both the staff and professional levels under the Manpower, Manpower Professional and Elan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-203835</wp:posOffset>
            </wp:positionV>
            <wp:extent cx="57785" cy="57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07" w:lineRule="exact"/>
        <w:rPr>
          <w:sz w:val="20"/>
          <w:szCs w:val="20"/>
          <w:color w:val="auto"/>
        </w:rPr>
      </w:pPr>
    </w:p>
    <w:p>
      <w:pPr>
        <w:jc w:val="both"/>
        <w:ind w:left="420" w:right="40"/>
        <w:spacing w:after="0" w:line="282" w:lineRule="auto"/>
        <w:rPr>
          <w:sz w:val="20"/>
          <w:szCs w:val="20"/>
          <w:color w:val="auto"/>
        </w:rPr>
      </w:pPr>
      <w:r>
        <w:rPr>
          <w:rFonts w:ascii="Arial" w:cs="Arial" w:eastAsia="Arial" w:hAnsi="Arial"/>
          <w:sz w:val="13"/>
          <w:szCs w:val="13"/>
          <w:color w:val="auto"/>
        </w:rPr>
        <w:t>Employee assessment and selection – We provide a wide array of assessments to validate candidate skills and ensure a good fit between the client and the employee, which leads to higher employee retention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-203835</wp:posOffset>
            </wp:positionV>
            <wp:extent cx="57785" cy="577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07" w:lineRule="exact"/>
        <w:rPr>
          <w:sz w:val="20"/>
          <w:szCs w:val="20"/>
          <w:color w:val="auto"/>
        </w:rPr>
      </w:pPr>
    </w:p>
    <w:p>
      <w:pPr>
        <w:jc w:val="both"/>
        <w:ind w:left="420" w:right="40"/>
        <w:spacing w:after="0" w:line="282" w:lineRule="auto"/>
        <w:rPr>
          <w:sz w:val="20"/>
          <w:szCs w:val="20"/>
          <w:color w:val="auto"/>
        </w:rPr>
      </w:pPr>
      <w:r>
        <w:rPr>
          <w:rFonts w:ascii="Arial" w:cs="Arial" w:eastAsia="Arial" w:hAnsi="Arial"/>
          <w:sz w:val="13"/>
          <w:szCs w:val="13"/>
          <w:color w:val="auto"/>
        </w:rPr>
        <w:t>Training – We offer an extensive choice of training and development solutions that help our employees, associates and clients’ workforces to improve their skills and gain qualifications that will help them to succeed in the ever-changing world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-203835</wp:posOffset>
            </wp:positionV>
            <wp:extent cx="57785" cy="57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17" w:lineRule="exact"/>
        <w:rPr>
          <w:sz w:val="20"/>
          <w:szCs w:val="20"/>
          <w:color w:val="auto"/>
        </w:rPr>
      </w:pPr>
    </w:p>
    <w:p>
      <w:pPr>
        <w:jc w:val="both"/>
        <w:ind w:left="420" w:right="40"/>
        <w:spacing w:after="0" w:line="264" w:lineRule="auto"/>
        <w:rPr>
          <w:sz w:val="20"/>
          <w:szCs w:val="20"/>
          <w:color w:val="auto"/>
        </w:rPr>
      </w:pPr>
      <w:r>
        <w:rPr>
          <w:rFonts w:ascii="Arial" w:cs="Arial" w:eastAsia="Arial" w:hAnsi="Arial"/>
          <w:sz w:val="13"/>
          <w:szCs w:val="13"/>
          <w:color w:val="auto"/>
        </w:rPr>
        <w:t>Outplacement – Our Right Management brand is the world’s leading outplacement provider, helping our clients to better manage the human side of change by providing a positive way for employees who are transitioning out to make the right choice for the next step in their career. The countercyclical nature of the outplacement industry helps strengthen our portfolio during down economic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-294005</wp:posOffset>
            </wp:positionV>
            <wp:extent cx="57785" cy="577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29" w:lineRule="exact"/>
        <w:rPr>
          <w:sz w:val="20"/>
          <w:szCs w:val="20"/>
          <w:color w:val="auto"/>
        </w:rPr>
      </w:pPr>
    </w:p>
    <w:p>
      <w:pPr>
        <w:jc w:val="both"/>
        <w:ind w:left="420" w:right="40"/>
        <w:spacing w:after="0" w:line="264" w:lineRule="auto"/>
        <w:rPr>
          <w:sz w:val="20"/>
          <w:szCs w:val="20"/>
          <w:color w:val="auto"/>
        </w:rPr>
      </w:pPr>
      <w:r>
        <w:rPr>
          <w:rFonts w:ascii="Arial" w:cs="Arial" w:eastAsia="Arial" w:hAnsi="Arial"/>
          <w:sz w:val="13"/>
          <w:szCs w:val="13"/>
          <w:color w:val="auto"/>
        </w:rPr>
        <w:t>Outsourcing – Under Manpower Business Solutions (MBS), we provide clients with outsourcing services related to human resources functions primarily in the areas of large-scale recruiting and workforce-intensive initiatives that are outcome based, thereby sharing in the risk and reward with our clients. Our solutions include: task outsourcing, vendor management, onsite HR services and Recruitment Process Outsourcing (RPO), where we are one of the largest providers of permanent and contingent recruitment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-294005</wp:posOffset>
            </wp:positionV>
            <wp:extent cx="57785" cy="577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01" w:lineRule="exact"/>
        <w:rPr>
          <w:sz w:val="20"/>
          <w:szCs w:val="20"/>
          <w:color w:val="auto"/>
        </w:rPr>
      </w:pPr>
    </w:p>
    <w:p>
      <w:pPr>
        <w:jc w:val="both"/>
        <w:ind w:left="420" w:right="40"/>
        <w:spacing w:after="0" w:line="249" w:lineRule="auto"/>
        <w:rPr>
          <w:sz w:val="20"/>
          <w:szCs w:val="20"/>
          <w:color w:val="auto"/>
        </w:rPr>
      </w:pPr>
      <w:r>
        <w:rPr>
          <w:rFonts w:ascii="Arial" w:cs="Arial" w:eastAsia="Arial" w:hAnsi="Arial"/>
          <w:sz w:val="16"/>
          <w:szCs w:val="16"/>
          <w:color w:val="auto"/>
        </w:rPr>
        <w:t>Consulting – We are a leading global provider of integrated consulting solutions across the employment lifecycle. We help clients maximize the return on their human capital investments while assisting individuals to achieve their full potential. Our Right Management brand helps clients attract and assess top talent; develop and grow leaders; and engage and align people with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-327025</wp:posOffset>
            </wp:positionV>
            <wp:extent cx="57785" cy="577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32" w:lineRule="exact"/>
        <w:rPr>
          <w:sz w:val="20"/>
          <w:szCs w:val="20"/>
          <w:color w:val="auto"/>
        </w:rPr>
      </w:pPr>
    </w:p>
    <w:p>
      <w:pPr>
        <w:jc w:val="both"/>
        <w:ind w:left="420" w:right="40"/>
        <w:spacing w:after="0" w:line="257" w:lineRule="auto"/>
        <w:rPr>
          <w:sz w:val="20"/>
          <w:szCs w:val="20"/>
          <w:color w:val="auto"/>
        </w:rPr>
      </w:pPr>
      <w:r>
        <w:rPr>
          <w:rFonts w:ascii="Arial" w:cs="Arial" w:eastAsia="Arial" w:hAnsi="Arial"/>
          <w:sz w:val="16"/>
          <w:szCs w:val="16"/>
          <w:color w:val="auto"/>
        </w:rPr>
        <w:t>Professional Services – Our Jefferson Wells brand is a high-value alternative to public accounting firms and other consulting groups, delivering professional services in the areas of internal controls, tax, technology risk management, and 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This comprehensive and diverse business mix allows us to mitigate the cyclical effects of the national economies in which we operate.</w:t>
      </w:r>
    </w:p>
    <w:p>
      <w:pPr>
        <w:spacing w:after="0" w:line="18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Our leadership position also allows us to be a center for quality employment opportunities for people at all points in their career paths. In 2008, we found permanent and temporary jobs for four million people who worked to help our more than 400,000 clients meet their business objectives. Seasoned professionals, skilled laborers, mothers returning to work, elderly persons wanting to supplement pensions and disabled individuals – all turn to the Manpower group of companies for employment. Similarly, governments of the nations in which we operate look to us to help reduce unemployment and train the unemployed with skills they need to enter the workforce. In this way, our company is a bridge to permanent employment for those who desire it.</w:t>
      </w:r>
    </w:p>
    <w:p>
      <w:pPr>
        <w:spacing w:after="0" w:line="17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clients in the employment services industry itself.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114" w:right="1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Client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staffing services. Correspondingly, during periods of weak economic growth or economic contraction, the demand for our staffing services typically declines, while demand for our outplacement services typically accelerates.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During the last several years, secular trends toward greater workforce flexibility have had a favorable impact on demand for our staffing services in several markets. As companies attempt to increase the variability of their cost base, contemporary work solutions help them to effectively address the fluctuating demand for their products or services. Due to our industry’s dependence on economic factors, the inherent difficulty in forecasting the direction and strength of the economy and the short-term nature of staffing assignments, it is difficult to forecast future demand for our services with any certainty. As a result, we monitor a number of economic indicators, as well as recent business trends, to predict future revenue trends. Based upon these anticipated trends, we determine what level of personnel and office investments are necessary to take full advantage of growth opportunities.</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staffing business is organized and managed primarily on a geographic basis, with Jefferson Wells and Right Management operating as separate global business units. Each country and business unit generally has its own distinct operations, and is managed locally by its own management team. Each operation reports directly or indirectly through a regional manager, to a member of executive management. Given this reporting structure, all of our operations have been segregated into the following reporting segments: United States; France; Other EMEA (Europe, Middle East and Africa, excluding France and Italy); Italy; Jefferson Wells; Right Management; and Other Operations.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United States, France, Other EMEA, Italy and Other Operations segments derive a significant majority of their revenues from the placement of contingent workers. The remaining revenues within these segments are derived from other human resource services, including permanent employee recruitment, temporary and permanent employee testing, selection, and training and Recruitment Process Outsourcing. Jefferson Wells’ revenues are derived from services related to internal controls, tax, technology risk management, and finance and accounting. Right Management’s revenues are derived from outplacement and consulting services. Segment revenues represent sales to external clients. Due to the nature of our business, we generally do not have export or intersegment sales. We provide services to a wide variety of clients, none of which individually comprises a significant portion of revenue for us as a whole or for any segment.</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Financial Measures – Constant Currency And Organic Constant Currency</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Changes in our financial results include the impact of changes in foreign currency exchange rates and acquisitions.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27964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81"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18</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76" w:name="page77"/>
    <w:bookmarkEnd w:id="76"/>
    <w:p>
      <w:pPr>
        <w:jc w:val="both"/>
        <w:ind w:right="40"/>
        <w:spacing w:after="0" w:line="249" w:lineRule="auto"/>
        <w:rPr>
          <w:sz w:val="20"/>
          <w:szCs w:val="20"/>
          <w:color w:val="auto"/>
        </w:rPr>
      </w:pPr>
      <w:r>
        <w:rPr>
          <w:rFonts w:ascii="Arial" w:cs="Arial" w:eastAsia="Arial" w:hAnsi="Arial"/>
          <w:sz w:val="16"/>
          <w:szCs w:val="16"/>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67"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Constant currency and organic constant currency percent variances, along with a reconciliation of these amounts to certain of our reported results, are included on pages 26 and 27.</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Results Of Operations – Years Ended December 31, 2008, 2007 and 2006</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CONSOLIDATED RESULTS – 2008 COMPARED TO 2007</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selected consolidated financial data for 2008 as compared to 2007.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780" w:type="dxa"/>
            <w:vAlign w:val="bottom"/>
            <w:tcBorders>
              <w:right w:val="single" w:sz="8" w:color="4D8ABE"/>
            </w:tcBorders>
          </w:tcPr>
          <w:p>
            <w:pPr>
              <w:spacing w:after="0"/>
              <w:rPr>
                <w:sz w:val="14"/>
                <w:szCs w:val="14"/>
                <w:color w:val="auto"/>
              </w:rPr>
            </w:pPr>
          </w:p>
        </w:tc>
        <w:tc>
          <w:tcPr>
            <w:tcW w:w="100" w:type="dxa"/>
            <w:vAlign w:val="bottom"/>
            <w:shd w:val="clear" w:color="auto" w:fill="4D8ABE"/>
          </w:tcPr>
          <w:p>
            <w:pPr>
              <w:spacing w:after="0"/>
              <w:rPr>
                <w:sz w:val="14"/>
                <w:szCs w:val="14"/>
                <w:color w:val="auto"/>
              </w:rPr>
            </w:pPr>
          </w:p>
        </w:tc>
        <w:tc>
          <w:tcPr>
            <w:tcW w:w="800" w:type="dxa"/>
            <w:vAlign w:val="bottom"/>
            <w:shd w:val="clear" w:color="auto" w:fill="4D8ABE"/>
          </w:tcPr>
          <w:p>
            <w:pPr>
              <w:spacing w:after="0"/>
              <w:rPr>
                <w:sz w:val="14"/>
                <w:szCs w:val="14"/>
                <w:color w:val="auto"/>
              </w:rPr>
            </w:pPr>
          </w:p>
        </w:tc>
        <w:tc>
          <w:tcPr>
            <w:tcW w:w="240" w:type="dxa"/>
            <w:vAlign w:val="bottom"/>
            <w:tcBorders>
              <w:right w:val="single" w:sz="8" w:color="4D8ABE"/>
            </w:tcBorders>
            <w:shd w:val="clear" w:color="auto" w:fill="4D8AB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312"/>
              <w:spacing w:after="0"/>
              <w:rPr>
                <w:sz w:val="20"/>
                <w:szCs w:val="20"/>
                <w:color w:val="auto"/>
              </w:rPr>
            </w:pPr>
            <w:r>
              <w:rPr>
                <w:rFonts w:ascii="Arial" w:cs="Arial" w:eastAsia="Arial" w:hAnsi="Arial"/>
                <w:sz w:val="14"/>
                <w:szCs w:val="14"/>
                <w:color w:val="4D8ABE"/>
              </w:rPr>
              <w:t>Variance in</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color w:val="4D8ABE"/>
              </w:rPr>
              <w:t>Organic</w:t>
            </w:r>
          </w:p>
        </w:tc>
        <w:tc>
          <w:tcPr>
            <w:tcW w:w="0" w:type="dxa"/>
            <w:vAlign w:val="bottom"/>
          </w:tcPr>
          <w:p>
            <w:pPr>
              <w:spacing w:after="0"/>
              <w:rPr>
                <w:sz w:val="1"/>
                <w:szCs w:val="1"/>
                <w:color w:val="auto"/>
              </w:rPr>
            </w:pPr>
          </w:p>
        </w:tc>
      </w:tr>
      <w:tr>
        <w:trPr>
          <w:trHeight w:val="175"/>
        </w:trPr>
        <w:tc>
          <w:tcPr>
            <w:tcW w:w="5780" w:type="dxa"/>
            <w:vAlign w:val="bottom"/>
            <w:tcBorders>
              <w:right w:val="single" w:sz="8" w:color="4D8ABE"/>
            </w:tcBorders>
          </w:tcPr>
          <w:p>
            <w:pPr>
              <w:spacing w:after="0"/>
              <w:rPr>
                <w:sz w:val="15"/>
                <w:szCs w:val="15"/>
                <w:color w:val="auto"/>
              </w:rPr>
            </w:pPr>
          </w:p>
        </w:tc>
        <w:tc>
          <w:tcPr>
            <w:tcW w:w="100" w:type="dxa"/>
            <w:vAlign w:val="bottom"/>
            <w:shd w:val="clear" w:color="auto" w:fill="4D8ABE"/>
          </w:tcPr>
          <w:p>
            <w:pPr>
              <w:spacing w:after="0"/>
              <w:rPr>
                <w:sz w:val="15"/>
                <w:szCs w:val="15"/>
                <w:color w:val="auto"/>
              </w:rPr>
            </w:pPr>
          </w:p>
        </w:tc>
        <w:tc>
          <w:tcPr>
            <w:tcW w:w="800" w:type="dxa"/>
            <w:vAlign w:val="bottom"/>
            <w:vMerge w:val="restart"/>
            <w:shd w:val="clear" w:color="auto" w:fill="4D8ABE"/>
          </w:tcPr>
          <w:p>
            <w:pPr>
              <w:jc w:val="right"/>
              <w:spacing w:after="0"/>
              <w:rPr>
                <w:sz w:val="20"/>
                <w:szCs w:val="20"/>
                <w:color w:val="auto"/>
              </w:rPr>
            </w:pPr>
            <w:r>
              <w:rPr>
                <w:rFonts w:ascii="Arial" w:cs="Arial" w:eastAsia="Arial" w:hAnsi="Arial"/>
                <w:sz w:val="14"/>
                <w:szCs w:val="14"/>
                <w:b w:val="1"/>
                <w:bCs w:val="1"/>
                <w:color w:val="FFFFFF"/>
              </w:rPr>
              <w:t>2008</w:t>
            </w:r>
          </w:p>
        </w:tc>
        <w:tc>
          <w:tcPr>
            <w:tcW w:w="240" w:type="dxa"/>
            <w:vAlign w:val="bottom"/>
            <w:tcBorders>
              <w:right w:val="single" w:sz="8" w:color="4D8ABE"/>
            </w:tcBorders>
            <w:shd w:val="clear" w:color="auto" w:fill="4D8AB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jc w:val="right"/>
              <w:ind w:right="252"/>
              <w:spacing w:after="0"/>
              <w:rPr>
                <w:sz w:val="20"/>
                <w:szCs w:val="20"/>
                <w:color w:val="auto"/>
              </w:rPr>
            </w:pPr>
            <w:r>
              <w:rPr>
                <w:rFonts w:ascii="Arial" w:cs="Arial" w:eastAsia="Arial" w:hAnsi="Arial"/>
                <w:sz w:val="14"/>
                <w:szCs w:val="14"/>
                <w:color w:val="4D8ABE"/>
              </w:rPr>
              <w:t>Reported</w:t>
            </w:r>
          </w:p>
        </w:tc>
        <w:tc>
          <w:tcPr>
            <w:tcW w:w="1200" w:type="dxa"/>
            <w:vAlign w:val="bottom"/>
          </w:tcPr>
          <w:p>
            <w:pPr>
              <w:jc w:val="right"/>
              <w:ind w:right="312"/>
              <w:spacing w:after="0"/>
              <w:rPr>
                <w:sz w:val="20"/>
                <w:szCs w:val="20"/>
                <w:color w:val="auto"/>
              </w:rPr>
            </w:pPr>
            <w:r>
              <w:rPr>
                <w:rFonts w:ascii="Arial" w:cs="Arial" w:eastAsia="Arial" w:hAnsi="Arial"/>
                <w:sz w:val="14"/>
                <w:szCs w:val="14"/>
                <w:color w:val="4D8ABE"/>
              </w:rPr>
              <w:t>Constant</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color w:val="4D8ABE"/>
              </w:rPr>
              <w:t>Constant</w:t>
            </w:r>
          </w:p>
        </w:tc>
        <w:tc>
          <w:tcPr>
            <w:tcW w:w="0" w:type="dxa"/>
            <w:vAlign w:val="bottom"/>
          </w:tcPr>
          <w:p>
            <w:pPr>
              <w:spacing w:after="0"/>
              <w:rPr>
                <w:sz w:val="1"/>
                <w:szCs w:val="1"/>
                <w:color w:val="auto"/>
              </w:rPr>
            </w:pPr>
          </w:p>
        </w:tc>
      </w:tr>
      <w:tr>
        <w:trPr>
          <w:trHeight w:val="185"/>
        </w:trPr>
        <w:tc>
          <w:tcPr>
            <w:tcW w:w="578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(in millions, except per share data)</w:t>
            </w:r>
          </w:p>
        </w:tc>
        <w:tc>
          <w:tcPr>
            <w:tcW w:w="100" w:type="dxa"/>
            <w:vAlign w:val="bottom"/>
            <w:shd w:val="clear" w:color="auto" w:fill="4D8ABE"/>
          </w:tcPr>
          <w:p>
            <w:pPr>
              <w:spacing w:after="0"/>
              <w:rPr>
                <w:sz w:val="16"/>
                <w:szCs w:val="16"/>
                <w:color w:val="auto"/>
              </w:rPr>
            </w:pPr>
          </w:p>
        </w:tc>
        <w:tc>
          <w:tcPr>
            <w:tcW w:w="800" w:type="dxa"/>
            <w:vAlign w:val="bottom"/>
            <w:vMerge w:val="continue"/>
            <w:shd w:val="clear" w:color="auto" w:fill="4D8ABE"/>
          </w:tcPr>
          <w:p>
            <w:pPr>
              <w:spacing w:after="0"/>
              <w:rPr>
                <w:sz w:val="16"/>
                <w:szCs w:val="16"/>
                <w:color w:val="auto"/>
              </w:rPr>
            </w:pPr>
          </w:p>
        </w:tc>
        <w:tc>
          <w:tcPr>
            <w:tcW w:w="240" w:type="dxa"/>
            <w:vAlign w:val="bottom"/>
            <w:tcBorders>
              <w:right w:val="single" w:sz="8" w:color="4D8ABE"/>
            </w:tcBorders>
            <w:shd w:val="clear" w:color="auto" w:fill="4D8AB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color w:val="4D8ABE"/>
              </w:rPr>
              <w:t>2007</w:t>
            </w:r>
          </w:p>
        </w:tc>
        <w:tc>
          <w:tcPr>
            <w:tcW w:w="1120" w:type="dxa"/>
            <w:vAlign w:val="bottom"/>
          </w:tcPr>
          <w:p>
            <w:pPr>
              <w:jc w:val="right"/>
              <w:ind w:right="252"/>
              <w:spacing w:after="0"/>
              <w:rPr>
                <w:sz w:val="20"/>
                <w:szCs w:val="20"/>
                <w:color w:val="auto"/>
              </w:rPr>
            </w:pPr>
            <w:r>
              <w:rPr>
                <w:rFonts w:ascii="Arial" w:cs="Arial" w:eastAsia="Arial" w:hAnsi="Arial"/>
                <w:sz w:val="14"/>
                <w:szCs w:val="14"/>
                <w:color w:val="4D8ABE"/>
              </w:rPr>
              <w:t>Variance</w:t>
            </w:r>
          </w:p>
        </w:tc>
        <w:tc>
          <w:tcPr>
            <w:tcW w:w="1200" w:type="dxa"/>
            <w:vAlign w:val="bottom"/>
          </w:tcPr>
          <w:p>
            <w:pPr>
              <w:jc w:val="right"/>
              <w:ind w:right="312"/>
              <w:spacing w:after="0"/>
              <w:rPr>
                <w:sz w:val="20"/>
                <w:szCs w:val="20"/>
                <w:color w:val="auto"/>
              </w:rPr>
            </w:pPr>
            <w:r>
              <w:rPr>
                <w:rFonts w:ascii="Arial" w:cs="Arial" w:eastAsia="Arial" w:hAnsi="Arial"/>
                <w:sz w:val="14"/>
                <w:szCs w:val="14"/>
                <w:color w:val="4D8ABE"/>
              </w:rPr>
              <w:t>Currency</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color w:val="4D8ABE"/>
              </w:rPr>
              <w:t>Currency</w:t>
            </w:r>
          </w:p>
        </w:tc>
        <w:tc>
          <w:tcPr>
            <w:tcW w:w="0" w:type="dxa"/>
            <w:vAlign w:val="bottom"/>
          </w:tcPr>
          <w:p>
            <w:pPr>
              <w:spacing w:after="0"/>
              <w:rPr>
                <w:sz w:val="1"/>
                <w:szCs w:val="1"/>
                <w:color w:val="auto"/>
              </w:rPr>
            </w:pPr>
          </w:p>
        </w:tc>
      </w:tr>
      <w:tr>
        <w:trPr>
          <w:trHeight w:val="155"/>
        </w:trPr>
        <w:tc>
          <w:tcPr>
            <w:tcW w:w="5780" w:type="dxa"/>
            <w:vAlign w:val="bottom"/>
            <w:tcBorders>
              <w:top w:val="single" w:sz="8" w:color="4D8ABE"/>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Revenues from services</w:t>
            </w:r>
          </w:p>
        </w:tc>
        <w:tc>
          <w:tcPr>
            <w:tcW w:w="10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b w:val="1"/>
                <w:bCs w:val="1"/>
                <w:color w:val="4D8ABE"/>
              </w:rPr>
              <w:t>$</w:t>
            </w:r>
          </w:p>
        </w:tc>
        <w:tc>
          <w:tcPr>
            <w:tcW w:w="80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b w:val="1"/>
                <w:bCs w:val="1"/>
                <w:color w:val="4D8ABE"/>
              </w:rPr>
              <w:t>21,552.8</w:t>
            </w:r>
          </w:p>
        </w:tc>
        <w:tc>
          <w:tcPr>
            <w:tcW w:w="240" w:type="dxa"/>
            <w:vAlign w:val="bottom"/>
            <w:tcBorders>
              <w:top w:val="single" w:sz="8" w:color="4D8ABE"/>
              <w:right w:val="single" w:sz="8" w:color="4D8ABE"/>
            </w:tcBorders>
            <w:shd w:val="clear" w:color="auto" w:fill="E6EFFF"/>
          </w:tcPr>
          <w:p>
            <w:pPr>
              <w:spacing w:after="0"/>
              <w:rPr>
                <w:sz w:val="13"/>
                <w:szCs w:val="13"/>
                <w:color w:val="auto"/>
              </w:rPr>
            </w:pPr>
          </w:p>
        </w:tc>
        <w:tc>
          <w:tcPr>
            <w:tcW w:w="240" w:type="dxa"/>
            <w:vAlign w:val="bottom"/>
            <w:tcBorders>
              <w:top w:val="single" w:sz="8" w:color="4D8ABE"/>
              <w:left w:val="single" w:sz="8" w:color="E6EFFF"/>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4D8ABE"/>
            </w:tcBorders>
            <w:shd w:val="clear" w:color="auto" w:fill="E6EFFF"/>
          </w:tcPr>
          <w:p>
            <w:pPr>
              <w:jc w:val="right"/>
              <w:ind w:right="273"/>
              <w:spacing w:after="0" w:line="155" w:lineRule="exact"/>
              <w:rPr>
                <w:sz w:val="20"/>
                <w:szCs w:val="20"/>
                <w:color w:val="auto"/>
              </w:rPr>
            </w:pPr>
            <w:r>
              <w:rPr>
                <w:rFonts w:ascii="Arial" w:cs="Arial" w:eastAsia="Arial" w:hAnsi="Arial"/>
                <w:sz w:val="14"/>
                <w:szCs w:val="14"/>
                <w:color w:val="auto"/>
              </w:rPr>
              <w:t>20,500.3</w:t>
            </w:r>
          </w:p>
        </w:tc>
        <w:tc>
          <w:tcPr>
            <w:tcW w:w="1120" w:type="dxa"/>
            <w:vAlign w:val="bottom"/>
            <w:tcBorders>
              <w:top w:val="single" w:sz="8" w:color="4D8ABE"/>
            </w:tcBorders>
            <w:shd w:val="clear" w:color="auto" w:fill="E6EFFF"/>
          </w:tcPr>
          <w:p>
            <w:pPr>
              <w:jc w:val="right"/>
              <w:ind w:right="132"/>
              <w:spacing w:after="0" w:line="155" w:lineRule="exact"/>
              <w:rPr>
                <w:sz w:val="20"/>
                <w:szCs w:val="20"/>
                <w:color w:val="auto"/>
              </w:rPr>
            </w:pPr>
            <w:r>
              <w:rPr>
                <w:rFonts w:ascii="Arial" w:cs="Arial" w:eastAsia="Arial" w:hAnsi="Arial"/>
                <w:sz w:val="14"/>
                <w:szCs w:val="14"/>
                <w:color w:val="auto"/>
              </w:rPr>
              <w:t>5.1%</w:t>
            </w:r>
          </w:p>
        </w:tc>
        <w:tc>
          <w:tcPr>
            <w:tcW w:w="1200" w:type="dxa"/>
            <w:vAlign w:val="bottom"/>
            <w:tcBorders>
              <w:top w:val="single" w:sz="8" w:color="4D8ABE"/>
            </w:tcBorders>
            <w:shd w:val="clear" w:color="auto" w:fill="E6EFFF"/>
          </w:tcPr>
          <w:p>
            <w:pPr>
              <w:jc w:val="right"/>
              <w:ind w:right="192"/>
              <w:spacing w:after="0" w:line="155" w:lineRule="exact"/>
              <w:rPr>
                <w:sz w:val="20"/>
                <w:szCs w:val="20"/>
                <w:color w:val="auto"/>
              </w:rPr>
            </w:pPr>
            <w:r>
              <w:rPr>
                <w:rFonts w:ascii="Arial" w:cs="Arial" w:eastAsia="Arial" w:hAnsi="Arial"/>
                <w:sz w:val="14"/>
                <w:szCs w:val="14"/>
                <w:color w:val="auto"/>
              </w:rPr>
              <w:t>0.5%</w:t>
            </w:r>
          </w:p>
        </w:tc>
        <w:tc>
          <w:tcPr>
            <w:tcW w:w="76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(1.2</w:t>
            </w:r>
          </w:p>
        </w:tc>
        <w:tc>
          <w:tcPr>
            <w:tcW w:w="220" w:type="dxa"/>
            <w:vAlign w:val="bottom"/>
            <w:tcBorders>
              <w:top w:val="single" w:sz="8" w:color="E6EFFF"/>
            </w:tcBorders>
            <w:shd w:val="clear" w:color="auto" w:fill="E6EFFF"/>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5780" w:type="dxa"/>
            <w:vAlign w:val="bottom"/>
            <w:tcBorders>
              <w:bottom w:val="single" w:sz="8" w:color="auto"/>
              <w:right w:val="single" w:sz="8" w:color="4D8ABE"/>
            </w:tcBorders>
          </w:tcPr>
          <w:p>
            <w:pPr>
              <w:ind w:left="40"/>
              <w:spacing w:after="0"/>
              <w:rPr>
                <w:sz w:val="20"/>
                <w:szCs w:val="20"/>
                <w:color w:val="auto"/>
              </w:rPr>
            </w:pPr>
            <w:r>
              <w:rPr>
                <w:rFonts w:ascii="Arial" w:cs="Arial" w:eastAsia="Arial" w:hAnsi="Arial"/>
                <w:sz w:val="14"/>
                <w:szCs w:val="14"/>
                <w:color w:val="auto"/>
              </w:rPr>
              <w:t>Cost of services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D8ABE"/>
              </w:rPr>
              <w:t>17,450.2</w:t>
            </w:r>
          </w:p>
        </w:tc>
        <w:tc>
          <w:tcPr>
            <w:tcW w:w="240" w:type="dxa"/>
            <w:vAlign w:val="bottom"/>
            <w:tcBorders>
              <w:bottom w:val="single" w:sz="8" w:color="auto"/>
              <w:right w:val="single" w:sz="8" w:color="4D8ABE"/>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16,651.7</w:t>
            </w: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4.8</w:t>
            </w:r>
          </w:p>
        </w:tc>
        <w:tc>
          <w:tcPr>
            <w:tcW w:w="1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E6EF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Borders>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E6EFFF"/>
          </w:tcPr>
          <w:p>
            <w:pPr>
              <w:spacing w:after="0"/>
              <w:rPr>
                <w:sz w:val="13"/>
                <w:szCs w:val="13"/>
                <w:color w:val="auto"/>
              </w:rPr>
            </w:pPr>
          </w:p>
        </w:tc>
        <w:tc>
          <w:tcPr>
            <w:tcW w:w="1040" w:type="dxa"/>
            <w:vAlign w:val="bottom"/>
            <w:tcBorders>
              <w:right w:val="single" w:sz="8" w:color="4D8ABE"/>
            </w:tcBorders>
            <w:gridSpan w:val="2"/>
            <w:shd w:val="clear" w:color="auto" w:fill="E6EFFF"/>
          </w:tcPr>
          <w:p>
            <w:pPr>
              <w:jc w:val="right"/>
              <w:ind w:right="240"/>
              <w:spacing w:after="0" w:line="155" w:lineRule="exact"/>
              <w:rPr>
                <w:sz w:val="20"/>
                <w:szCs w:val="20"/>
                <w:color w:val="auto"/>
              </w:rPr>
            </w:pPr>
            <w:r>
              <w:rPr>
                <w:rFonts w:ascii="Arial" w:cs="Arial" w:eastAsia="Arial" w:hAnsi="Arial"/>
                <w:sz w:val="14"/>
                <w:szCs w:val="14"/>
                <w:b w:val="1"/>
                <w:bCs w:val="1"/>
                <w:color w:val="4D8ABE"/>
              </w:rPr>
              <w:t>4,102.6</w:t>
            </w:r>
          </w:p>
        </w:tc>
        <w:tc>
          <w:tcPr>
            <w:tcW w:w="240" w:type="dxa"/>
            <w:vAlign w:val="bottom"/>
            <w:tcBorders>
              <w:left w:val="single" w:sz="8" w:color="E6EFFF"/>
            </w:tcBorders>
            <w:shd w:val="clear" w:color="auto" w:fill="E6EFFF"/>
          </w:tcPr>
          <w:p>
            <w:pPr>
              <w:spacing w:after="0"/>
              <w:rPr>
                <w:sz w:val="13"/>
                <w:szCs w:val="13"/>
                <w:color w:val="auto"/>
              </w:rPr>
            </w:pPr>
          </w:p>
        </w:tc>
        <w:tc>
          <w:tcPr>
            <w:tcW w:w="1000" w:type="dxa"/>
            <w:vAlign w:val="bottom"/>
            <w:shd w:val="clear" w:color="auto" w:fill="E6EFFF"/>
          </w:tcPr>
          <w:p>
            <w:pPr>
              <w:jc w:val="right"/>
              <w:ind w:right="273"/>
              <w:spacing w:after="0" w:line="155" w:lineRule="exact"/>
              <w:rPr>
                <w:sz w:val="20"/>
                <w:szCs w:val="20"/>
                <w:color w:val="auto"/>
              </w:rPr>
            </w:pPr>
            <w:r>
              <w:rPr>
                <w:rFonts w:ascii="Arial" w:cs="Arial" w:eastAsia="Arial" w:hAnsi="Arial"/>
                <w:sz w:val="14"/>
                <w:szCs w:val="14"/>
                <w:color w:val="auto"/>
              </w:rPr>
              <w:t>3,848.6</w:t>
            </w:r>
          </w:p>
        </w:tc>
        <w:tc>
          <w:tcPr>
            <w:tcW w:w="1120" w:type="dxa"/>
            <w:vAlign w:val="bottom"/>
            <w:shd w:val="clear" w:color="auto" w:fill="E6EFFF"/>
          </w:tcPr>
          <w:p>
            <w:pPr>
              <w:jc w:val="right"/>
              <w:ind w:right="252"/>
              <w:spacing w:after="0" w:line="155" w:lineRule="exact"/>
              <w:rPr>
                <w:sz w:val="20"/>
                <w:szCs w:val="20"/>
                <w:color w:val="auto"/>
              </w:rPr>
            </w:pPr>
            <w:r>
              <w:rPr>
                <w:rFonts w:ascii="Arial" w:cs="Arial" w:eastAsia="Arial" w:hAnsi="Arial"/>
                <w:sz w:val="14"/>
                <w:szCs w:val="14"/>
                <w:color w:val="auto"/>
              </w:rPr>
              <w:t>6.6</w:t>
            </w:r>
          </w:p>
        </w:tc>
        <w:tc>
          <w:tcPr>
            <w:tcW w:w="1200" w:type="dxa"/>
            <w:vAlign w:val="bottom"/>
            <w:shd w:val="clear" w:color="auto" w:fill="E6EFFF"/>
          </w:tcPr>
          <w:p>
            <w:pPr>
              <w:jc w:val="right"/>
              <w:ind w:right="312"/>
              <w:spacing w:after="0" w:line="155" w:lineRule="exact"/>
              <w:rPr>
                <w:sz w:val="20"/>
                <w:szCs w:val="20"/>
                <w:color w:val="auto"/>
              </w:rPr>
            </w:pPr>
            <w:r>
              <w:rPr>
                <w:rFonts w:ascii="Arial" w:cs="Arial" w:eastAsia="Arial" w:hAnsi="Arial"/>
                <w:sz w:val="14"/>
                <w:szCs w:val="14"/>
                <w:color w:val="auto"/>
              </w:rPr>
              <w:t>2.3</w:t>
            </w:r>
          </w:p>
        </w:tc>
        <w:tc>
          <w:tcPr>
            <w:tcW w:w="760" w:type="dxa"/>
            <w:vAlign w:val="bottom"/>
            <w:shd w:val="clear" w:color="auto" w:fill="E6EFFF"/>
          </w:tcPr>
          <w:p>
            <w:pPr>
              <w:jc w:val="right"/>
              <w:spacing w:after="0" w:line="155" w:lineRule="exact"/>
              <w:rPr>
                <w:sz w:val="20"/>
                <w:szCs w:val="20"/>
                <w:color w:val="auto"/>
              </w:rPr>
            </w:pPr>
            <w:r>
              <w:rPr>
                <w:rFonts w:ascii="Arial" w:cs="Arial" w:eastAsia="Arial" w:hAnsi="Arial"/>
                <w:sz w:val="14"/>
                <w:szCs w:val="14"/>
                <w:color w:val="auto"/>
              </w:rPr>
              <w:t>(0.1</w:t>
            </w:r>
          </w:p>
        </w:tc>
        <w:tc>
          <w:tcPr>
            <w:tcW w:w="220" w:type="dxa"/>
            <w:vAlign w:val="bottom"/>
            <w:shd w:val="clear" w:color="auto" w:fill="E6EFFF"/>
          </w:tcPr>
          <w:p>
            <w:pPr>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5780" w:type="dxa"/>
            <w:vAlign w:val="bottom"/>
            <w:tcBorders>
              <w:right w:val="single" w:sz="8" w:color="4D8ABE"/>
            </w:tcBorders>
          </w:tcPr>
          <w:p>
            <w:pPr>
              <w:spacing w:after="0"/>
              <w:rPr>
                <w:sz w:val="20"/>
                <w:szCs w:val="20"/>
                <w:color w:val="auto"/>
              </w:rPr>
            </w:pPr>
            <w:r>
              <w:rPr>
                <w:rFonts w:ascii="Arial" w:cs="Arial" w:eastAsia="Arial" w:hAnsi="Arial"/>
                <w:sz w:val="12"/>
                <w:szCs w:val="12"/>
                <w:i w:val="1"/>
                <w:iCs w:val="1"/>
                <w:color w:val="auto"/>
              </w:rPr>
              <w:t>Gross profit margin</w:t>
            </w:r>
          </w:p>
        </w:tc>
        <w:tc>
          <w:tcPr>
            <w:tcW w:w="100" w:type="dxa"/>
            <w:vAlign w:val="bottom"/>
          </w:tcPr>
          <w:p>
            <w:pPr>
              <w:spacing w:after="0"/>
              <w:rPr>
                <w:sz w:val="14"/>
                <w:szCs w:val="14"/>
                <w:color w:val="auto"/>
              </w:rPr>
            </w:pPr>
          </w:p>
        </w:tc>
        <w:tc>
          <w:tcPr>
            <w:tcW w:w="1040" w:type="dxa"/>
            <w:vAlign w:val="bottom"/>
            <w:tcBorders>
              <w:right w:val="single" w:sz="8" w:color="4D8ABE"/>
            </w:tcBorders>
            <w:gridSpan w:val="2"/>
          </w:tcPr>
          <w:p>
            <w:pPr>
              <w:jc w:val="right"/>
              <w:ind w:right="120"/>
              <w:spacing w:after="0"/>
              <w:rPr>
                <w:sz w:val="20"/>
                <w:szCs w:val="20"/>
                <w:color w:val="auto"/>
              </w:rPr>
            </w:pPr>
            <w:r>
              <w:rPr>
                <w:rFonts w:ascii="Arial" w:cs="Arial" w:eastAsia="Arial" w:hAnsi="Arial"/>
                <w:sz w:val="12"/>
                <w:szCs w:val="12"/>
                <w:b w:val="1"/>
                <w:bCs w:val="1"/>
                <w:i w:val="1"/>
                <w:iCs w:val="1"/>
                <w:color w:val="4D8ABE"/>
              </w:rPr>
              <w:t>19.0</w:t>
            </w:r>
            <w:r>
              <w:rPr>
                <w:rFonts w:ascii="Arial" w:cs="Arial" w:eastAsia="Arial" w:hAnsi="Arial"/>
                <w:sz w:val="13"/>
                <w:szCs w:val="13"/>
                <w:b w:val="1"/>
                <w:bCs w:val="1"/>
                <w:i w:val="1"/>
                <w:iCs w:val="1"/>
                <w:color w:val="4D8ABE"/>
              </w:rPr>
              <w:t>%</w:t>
            </w:r>
          </w:p>
        </w:tc>
        <w:tc>
          <w:tcPr>
            <w:tcW w:w="240" w:type="dxa"/>
            <w:vAlign w:val="bottom"/>
          </w:tcPr>
          <w:p>
            <w:pPr>
              <w:spacing w:after="0"/>
              <w:rPr>
                <w:sz w:val="14"/>
                <w:szCs w:val="14"/>
                <w:color w:val="auto"/>
              </w:rPr>
            </w:pPr>
          </w:p>
        </w:tc>
        <w:tc>
          <w:tcPr>
            <w:tcW w:w="1000" w:type="dxa"/>
            <w:vAlign w:val="bottom"/>
          </w:tcPr>
          <w:p>
            <w:pPr>
              <w:jc w:val="right"/>
              <w:ind w:right="173"/>
              <w:spacing w:after="0"/>
              <w:rPr>
                <w:sz w:val="20"/>
                <w:szCs w:val="20"/>
                <w:color w:val="auto"/>
              </w:rPr>
            </w:pPr>
            <w:r>
              <w:rPr>
                <w:rFonts w:ascii="Arial" w:cs="Arial" w:eastAsia="Arial" w:hAnsi="Arial"/>
                <w:sz w:val="12"/>
                <w:szCs w:val="12"/>
                <w:i w:val="1"/>
                <w:iCs w:val="1"/>
                <w:color w:val="auto"/>
              </w:rPr>
              <w:t>18.8%</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80" w:type="dxa"/>
            <w:vAlign w:val="bottom"/>
            <w:tcBorders>
              <w:right w:val="single" w:sz="8" w:color="4D8ABE"/>
            </w:tcBorders>
            <w:shd w:val="clear" w:color="auto" w:fill="E6EFFF"/>
          </w:tcPr>
          <w:p>
            <w:pPr>
              <w:ind w:left="40"/>
              <w:spacing w:after="0"/>
              <w:rPr>
                <w:sz w:val="20"/>
                <w:szCs w:val="20"/>
                <w:color w:val="auto"/>
              </w:rPr>
            </w:pPr>
            <w:r>
              <w:rPr>
                <w:rFonts w:ascii="Arial" w:cs="Arial" w:eastAsia="Arial" w:hAnsi="Arial"/>
                <w:sz w:val="14"/>
                <w:szCs w:val="14"/>
                <w:color w:val="auto"/>
              </w:rPr>
              <w:t>Selling and administrative expenses,</w:t>
            </w:r>
          </w:p>
        </w:tc>
        <w:tc>
          <w:tcPr>
            <w:tcW w:w="10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240" w:type="dxa"/>
            <w:vAlign w:val="bottom"/>
            <w:tcBorders>
              <w:right w:val="single" w:sz="8" w:color="4D8ABE"/>
            </w:tcBorders>
            <w:shd w:val="clear" w:color="auto" w:fill="E6EFFF"/>
          </w:tcPr>
          <w:p>
            <w:pPr>
              <w:spacing w:after="0"/>
              <w:rPr>
                <w:sz w:val="14"/>
                <w:szCs w:val="14"/>
                <w:color w:val="auto"/>
              </w:rPr>
            </w:pPr>
          </w:p>
        </w:tc>
        <w:tc>
          <w:tcPr>
            <w:tcW w:w="240" w:type="dxa"/>
            <w:vAlign w:val="bottom"/>
            <w:tcBorders>
              <w:left w:val="single" w:sz="8" w:color="E6EFFF"/>
            </w:tcBorders>
            <w:shd w:val="clear" w:color="auto" w:fill="E6EFFF"/>
          </w:tcPr>
          <w:p>
            <w:pPr>
              <w:spacing w:after="0"/>
              <w:rPr>
                <w:sz w:val="14"/>
                <w:szCs w:val="14"/>
                <w:color w:val="auto"/>
              </w:rPr>
            </w:pPr>
          </w:p>
        </w:tc>
        <w:tc>
          <w:tcPr>
            <w:tcW w:w="100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20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80" w:type="dxa"/>
            <w:vAlign w:val="bottom"/>
            <w:tcBorders>
              <w:right w:val="single" w:sz="8" w:color="4D8ABE"/>
            </w:tcBorders>
          </w:tcPr>
          <w:p>
            <w:pPr>
              <w:ind w:left="200"/>
              <w:spacing w:after="0"/>
              <w:rPr>
                <w:sz w:val="20"/>
                <w:szCs w:val="20"/>
                <w:color w:val="auto"/>
              </w:rPr>
            </w:pPr>
            <w:r>
              <w:rPr>
                <w:rFonts w:ascii="Arial" w:cs="Arial" w:eastAsia="Arial" w:hAnsi="Arial"/>
                <w:sz w:val="14"/>
                <w:szCs w:val="14"/>
                <w:color w:val="auto"/>
              </w:rPr>
              <w:t>excluding impairment charge</w:t>
            </w:r>
          </w:p>
        </w:tc>
        <w:tc>
          <w:tcPr>
            <w:tcW w:w="100" w:type="dxa"/>
            <w:vAlign w:val="bottom"/>
          </w:tcPr>
          <w:p>
            <w:pPr>
              <w:spacing w:after="0"/>
              <w:rPr>
                <w:sz w:val="14"/>
                <w:szCs w:val="14"/>
                <w:color w:val="auto"/>
              </w:rPr>
            </w:pPr>
          </w:p>
        </w:tc>
        <w:tc>
          <w:tcPr>
            <w:tcW w:w="1040" w:type="dxa"/>
            <w:vAlign w:val="bottom"/>
            <w:tcBorders>
              <w:right w:val="single" w:sz="8" w:color="4D8ABE"/>
            </w:tcBorders>
            <w:gridSpan w:val="2"/>
          </w:tcPr>
          <w:p>
            <w:pPr>
              <w:jc w:val="right"/>
              <w:ind w:right="240"/>
              <w:spacing w:after="0"/>
              <w:rPr>
                <w:sz w:val="20"/>
                <w:szCs w:val="20"/>
                <w:color w:val="auto"/>
              </w:rPr>
            </w:pPr>
            <w:r>
              <w:rPr>
                <w:rFonts w:ascii="Arial" w:cs="Arial" w:eastAsia="Arial" w:hAnsi="Arial"/>
                <w:sz w:val="14"/>
                <w:szCs w:val="14"/>
                <w:b w:val="1"/>
                <w:bCs w:val="1"/>
                <w:color w:val="4D8ABE"/>
              </w:rPr>
              <w:t>3,430.3</w:t>
            </w:r>
          </w:p>
        </w:tc>
        <w:tc>
          <w:tcPr>
            <w:tcW w:w="24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color w:val="auto"/>
              </w:rPr>
              <w:t>3,023.2</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80" w:type="dxa"/>
            <w:vAlign w:val="bottom"/>
            <w:tcBorders>
              <w:bottom w:val="single" w:sz="8" w:color="auto"/>
              <w:right w:val="single" w:sz="8" w:color="4D8ABE"/>
            </w:tcBorders>
            <w:shd w:val="clear" w:color="auto" w:fill="E6EFFF"/>
          </w:tcPr>
          <w:p>
            <w:pPr>
              <w:ind w:left="40"/>
              <w:spacing w:after="0"/>
              <w:rPr>
                <w:sz w:val="20"/>
                <w:szCs w:val="20"/>
                <w:color w:val="auto"/>
              </w:rPr>
            </w:pPr>
            <w:r>
              <w:rPr>
                <w:rFonts w:ascii="Arial" w:cs="Arial" w:eastAsia="Arial" w:hAnsi="Arial"/>
                <w:sz w:val="14"/>
                <w:szCs w:val="14"/>
                <w:color w:val="auto"/>
              </w:rPr>
              <w:t>Goodwill and intangible asset impairment charge</w:t>
            </w:r>
          </w:p>
        </w:tc>
        <w:tc>
          <w:tcPr>
            <w:tcW w:w="100" w:type="dxa"/>
            <w:vAlign w:val="bottom"/>
            <w:tcBorders>
              <w:bottom w:val="single" w:sz="8" w:color="auto"/>
            </w:tcBorders>
            <w:shd w:val="clear" w:color="auto" w:fill="E6EFFF"/>
          </w:tcPr>
          <w:p>
            <w:pPr>
              <w:spacing w:after="0"/>
              <w:rPr>
                <w:sz w:val="14"/>
                <w:szCs w:val="14"/>
                <w:color w:val="auto"/>
              </w:rPr>
            </w:pPr>
          </w:p>
        </w:tc>
        <w:tc>
          <w:tcPr>
            <w:tcW w:w="1040" w:type="dxa"/>
            <w:vAlign w:val="bottom"/>
            <w:tcBorders>
              <w:bottom w:val="single" w:sz="8" w:color="auto"/>
              <w:right w:val="single" w:sz="8" w:color="4D8ABE"/>
            </w:tcBorders>
            <w:gridSpan w:val="2"/>
            <w:shd w:val="clear" w:color="auto" w:fill="E6EFFF"/>
          </w:tcPr>
          <w:p>
            <w:pPr>
              <w:jc w:val="right"/>
              <w:ind w:right="240"/>
              <w:spacing w:after="0"/>
              <w:rPr>
                <w:sz w:val="20"/>
                <w:szCs w:val="20"/>
                <w:color w:val="auto"/>
              </w:rPr>
            </w:pPr>
            <w:r>
              <w:rPr>
                <w:rFonts w:ascii="Arial" w:cs="Arial" w:eastAsia="Arial" w:hAnsi="Arial"/>
                <w:sz w:val="14"/>
                <w:szCs w:val="14"/>
                <w:b w:val="1"/>
                <w:bCs w:val="1"/>
                <w:color w:val="4D8ABE"/>
              </w:rPr>
              <w:t>163.1</w:t>
            </w:r>
          </w:p>
        </w:tc>
        <w:tc>
          <w:tcPr>
            <w:tcW w:w="240" w:type="dxa"/>
            <w:vAlign w:val="bottom"/>
            <w:tcBorders>
              <w:left w:val="single" w:sz="8" w:color="E6EFFF"/>
              <w:bottom w:val="single" w:sz="8" w:color="auto"/>
            </w:tcBorders>
            <w:shd w:val="clear" w:color="auto" w:fill="E6EFFF"/>
          </w:tcPr>
          <w:p>
            <w:pPr>
              <w:spacing w:after="0"/>
              <w:rPr>
                <w:sz w:val="14"/>
                <w:szCs w:val="14"/>
                <w:color w:val="auto"/>
              </w:rPr>
            </w:pPr>
          </w:p>
        </w:tc>
        <w:tc>
          <w:tcPr>
            <w:tcW w:w="1000" w:type="dxa"/>
            <w:vAlign w:val="bottom"/>
            <w:tcBorders>
              <w:bottom w:val="single" w:sz="8" w:color="auto"/>
            </w:tcBorders>
            <w:shd w:val="clear" w:color="auto" w:fill="E6EFFF"/>
          </w:tcPr>
          <w:p>
            <w:pPr>
              <w:jc w:val="right"/>
              <w:ind w:right="273"/>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6EFFF"/>
          </w:tcPr>
          <w:p>
            <w:pPr>
              <w:spacing w:after="0"/>
              <w:rPr>
                <w:sz w:val="14"/>
                <w:szCs w:val="14"/>
                <w:color w:val="auto"/>
              </w:rPr>
            </w:pPr>
          </w:p>
        </w:tc>
        <w:tc>
          <w:tcPr>
            <w:tcW w:w="1200" w:type="dxa"/>
            <w:vAlign w:val="bottom"/>
            <w:tcBorders>
              <w:bottom w:val="single" w:sz="8" w:color="auto"/>
            </w:tcBorders>
            <w:shd w:val="clear" w:color="auto" w:fill="E6EFFF"/>
          </w:tcPr>
          <w:p>
            <w:pPr>
              <w:spacing w:after="0"/>
              <w:rPr>
                <w:sz w:val="14"/>
                <w:szCs w:val="14"/>
                <w:color w:val="auto"/>
              </w:rPr>
            </w:pPr>
          </w:p>
        </w:tc>
        <w:tc>
          <w:tcPr>
            <w:tcW w:w="760" w:type="dxa"/>
            <w:vAlign w:val="bottom"/>
            <w:tcBorders>
              <w:bottom w:val="single" w:sz="8" w:color="auto"/>
            </w:tcBorders>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Borders>
              <w:right w:val="single" w:sz="8" w:color="4D8ABE"/>
            </w:tcBorders>
          </w:tcPr>
          <w:p>
            <w:pPr>
              <w:spacing w:after="0" w:line="155" w:lineRule="exact"/>
              <w:rPr>
                <w:sz w:val="20"/>
                <w:szCs w:val="20"/>
                <w:color w:val="auto"/>
              </w:rPr>
            </w:pPr>
            <w:r>
              <w:rPr>
                <w:rFonts w:ascii="Arial" w:cs="Arial" w:eastAsia="Arial" w:hAnsi="Arial"/>
                <w:sz w:val="14"/>
                <w:szCs w:val="14"/>
                <w:color w:val="auto"/>
              </w:rPr>
              <w:t>Selling and administrative expenses</w:t>
            </w:r>
          </w:p>
        </w:tc>
        <w:tc>
          <w:tcPr>
            <w:tcW w:w="100" w:type="dxa"/>
            <w:vAlign w:val="bottom"/>
          </w:tcPr>
          <w:p>
            <w:pPr>
              <w:spacing w:after="0"/>
              <w:rPr>
                <w:sz w:val="13"/>
                <w:szCs w:val="13"/>
                <w:color w:val="auto"/>
              </w:rPr>
            </w:pPr>
          </w:p>
        </w:tc>
        <w:tc>
          <w:tcPr>
            <w:tcW w:w="1040" w:type="dxa"/>
            <w:vAlign w:val="bottom"/>
            <w:tcBorders>
              <w:right w:val="single" w:sz="8" w:color="4D8ABE"/>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4D8ABE"/>
              </w:rPr>
              <w:t>3,593.4</w:t>
            </w:r>
          </w:p>
        </w:tc>
        <w:tc>
          <w:tcPr>
            <w:tcW w:w="240" w:type="dxa"/>
            <w:vAlign w:val="bottom"/>
          </w:tcPr>
          <w:p>
            <w:pPr>
              <w:spacing w:after="0"/>
              <w:rPr>
                <w:sz w:val="13"/>
                <w:szCs w:val="13"/>
                <w:color w:val="auto"/>
              </w:rPr>
            </w:pPr>
          </w:p>
        </w:tc>
        <w:tc>
          <w:tcPr>
            <w:tcW w:w="1000" w:type="dxa"/>
            <w:vAlign w:val="bottom"/>
          </w:tcPr>
          <w:p>
            <w:pPr>
              <w:jc w:val="right"/>
              <w:ind w:right="273"/>
              <w:spacing w:after="0" w:line="155" w:lineRule="exact"/>
              <w:rPr>
                <w:sz w:val="20"/>
                <w:szCs w:val="20"/>
                <w:color w:val="auto"/>
              </w:rPr>
            </w:pPr>
            <w:r>
              <w:rPr>
                <w:rFonts w:ascii="Arial" w:cs="Arial" w:eastAsia="Arial" w:hAnsi="Arial"/>
                <w:sz w:val="14"/>
                <w:szCs w:val="14"/>
                <w:color w:val="auto"/>
              </w:rPr>
              <w:t>3,023.2</w:t>
            </w:r>
          </w:p>
        </w:tc>
        <w:tc>
          <w:tcPr>
            <w:tcW w:w="112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18.9</w:t>
            </w:r>
          </w:p>
        </w:tc>
        <w:tc>
          <w:tcPr>
            <w:tcW w:w="1200" w:type="dxa"/>
            <w:vAlign w:val="bottom"/>
          </w:tcPr>
          <w:p>
            <w:pPr>
              <w:jc w:val="right"/>
              <w:ind w:right="312"/>
              <w:spacing w:after="0" w:line="155" w:lineRule="exact"/>
              <w:rPr>
                <w:sz w:val="20"/>
                <w:szCs w:val="20"/>
                <w:color w:val="auto"/>
              </w:rPr>
            </w:pPr>
            <w:r>
              <w:rPr>
                <w:rFonts w:ascii="Arial" w:cs="Arial" w:eastAsia="Arial" w:hAnsi="Arial"/>
                <w:sz w:val="14"/>
                <w:szCs w:val="14"/>
                <w:color w:val="auto"/>
              </w:rPr>
              <w:t>14.7</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780" w:type="dxa"/>
            <w:vAlign w:val="bottom"/>
            <w:tcBorders>
              <w:right w:val="single" w:sz="8" w:color="4D8ABE"/>
            </w:tcBorders>
            <w:shd w:val="clear" w:color="auto" w:fill="E6EFFF"/>
          </w:tcPr>
          <w:p>
            <w:pPr>
              <w:ind w:left="40"/>
              <w:spacing w:after="0"/>
              <w:rPr>
                <w:sz w:val="20"/>
                <w:szCs w:val="20"/>
                <w:color w:val="auto"/>
              </w:rPr>
            </w:pPr>
            <w:r>
              <w:rPr>
                <w:rFonts w:ascii="Arial" w:cs="Arial" w:eastAsia="Arial" w:hAnsi="Arial"/>
                <w:sz w:val="12"/>
                <w:szCs w:val="12"/>
                <w:i w:val="1"/>
                <w:iCs w:val="1"/>
                <w:color w:val="auto"/>
              </w:rPr>
              <w:t>Selling and administrative expenses as a % of revenues</w:t>
            </w:r>
          </w:p>
        </w:tc>
        <w:tc>
          <w:tcPr>
            <w:tcW w:w="100" w:type="dxa"/>
            <w:vAlign w:val="bottom"/>
            <w:shd w:val="clear" w:color="auto" w:fill="E6EFFF"/>
          </w:tcPr>
          <w:p>
            <w:pPr>
              <w:spacing w:after="0"/>
              <w:rPr>
                <w:sz w:val="14"/>
                <w:szCs w:val="14"/>
                <w:color w:val="auto"/>
              </w:rPr>
            </w:pPr>
          </w:p>
        </w:tc>
        <w:tc>
          <w:tcPr>
            <w:tcW w:w="1040" w:type="dxa"/>
            <w:vAlign w:val="bottom"/>
            <w:tcBorders>
              <w:right w:val="single" w:sz="8" w:color="4D8ABE"/>
            </w:tcBorders>
            <w:gridSpan w:val="2"/>
            <w:shd w:val="clear" w:color="auto" w:fill="E6EFFF"/>
          </w:tcPr>
          <w:p>
            <w:pPr>
              <w:jc w:val="right"/>
              <w:ind w:right="120"/>
              <w:spacing w:after="0"/>
              <w:rPr>
                <w:sz w:val="20"/>
                <w:szCs w:val="20"/>
                <w:color w:val="auto"/>
              </w:rPr>
            </w:pPr>
            <w:r>
              <w:rPr>
                <w:rFonts w:ascii="Arial" w:cs="Arial" w:eastAsia="Arial" w:hAnsi="Arial"/>
                <w:sz w:val="12"/>
                <w:szCs w:val="12"/>
                <w:b w:val="1"/>
                <w:bCs w:val="1"/>
                <w:i w:val="1"/>
                <w:iCs w:val="1"/>
                <w:color w:val="4D8ABE"/>
              </w:rPr>
              <w:t>16.7</w:t>
            </w:r>
            <w:r>
              <w:rPr>
                <w:rFonts w:ascii="Arial" w:cs="Arial" w:eastAsia="Arial" w:hAnsi="Arial"/>
                <w:sz w:val="13"/>
                <w:szCs w:val="13"/>
                <w:b w:val="1"/>
                <w:bCs w:val="1"/>
                <w:i w:val="1"/>
                <w:iCs w:val="1"/>
                <w:color w:val="4D8ABE"/>
              </w:rPr>
              <w:t>%</w:t>
            </w:r>
          </w:p>
        </w:tc>
        <w:tc>
          <w:tcPr>
            <w:tcW w:w="240" w:type="dxa"/>
            <w:vAlign w:val="bottom"/>
            <w:tcBorders>
              <w:left w:val="single" w:sz="8" w:color="E6EFFF"/>
            </w:tcBorders>
            <w:shd w:val="clear" w:color="auto" w:fill="E6EFFF"/>
          </w:tcPr>
          <w:p>
            <w:pPr>
              <w:spacing w:after="0"/>
              <w:rPr>
                <w:sz w:val="14"/>
                <w:szCs w:val="14"/>
                <w:color w:val="auto"/>
              </w:rPr>
            </w:pPr>
          </w:p>
        </w:tc>
        <w:tc>
          <w:tcPr>
            <w:tcW w:w="1000" w:type="dxa"/>
            <w:vAlign w:val="bottom"/>
            <w:shd w:val="clear" w:color="auto" w:fill="E6EFFF"/>
          </w:tcPr>
          <w:p>
            <w:pPr>
              <w:jc w:val="right"/>
              <w:ind w:right="173"/>
              <w:spacing w:after="0"/>
              <w:rPr>
                <w:sz w:val="20"/>
                <w:szCs w:val="20"/>
                <w:color w:val="auto"/>
              </w:rPr>
            </w:pPr>
            <w:r>
              <w:rPr>
                <w:rFonts w:ascii="Arial" w:cs="Arial" w:eastAsia="Arial" w:hAnsi="Arial"/>
                <w:sz w:val="12"/>
                <w:szCs w:val="12"/>
                <w:i w:val="1"/>
                <w:iCs w:val="1"/>
                <w:color w:val="auto"/>
              </w:rPr>
              <w:t>14.7%</w:t>
            </w:r>
          </w:p>
        </w:tc>
        <w:tc>
          <w:tcPr>
            <w:tcW w:w="1120" w:type="dxa"/>
            <w:vAlign w:val="bottom"/>
            <w:shd w:val="clear" w:color="auto" w:fill="E6EFFF"/>
          </w:tcPr>
          <w:p>
            <w:pPr>
              <w:spacing w:after="0"/>
              <w:rPr>
                <w:sz w:val="14"/>
                <w:szCs w:val="14"/>
                <w:color w:val="auto"/>
              </w:rPr>
            </w:pPr>
          </w:p>
        </w:tc>
        <w:tc>
          <w:tcPr>
            <w:tcW w:w="120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8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Operating profit</w:t>
            </w:r>
          </w:p>
        </w:tc>
        <w:tc>
          <w:tcPr>
            <w:tcW w:w="100" w:type="dxa"/>
            <w:vAlign w:val="bottom"/>
          </w:tcPr>
          <w:p>
            <w:pPr>
              <w:spacing w:after="0"/>
              <w:rPr>
                <w:sz w:val="14"/>
                <w:szCs w:val="14"/>
                <w:color w:val="auto"/>
              </w:rPr>
            </w:pPr>
          </w:p>
        </w:tc>
        <w:tc>
          <w:tcPr>
            <w:tcW w:w="1040" w:type="dxa"/>
            <w:vAlign w:val="bottom"/>
            <w:tcBorders>
              <w:right w:val="single" w:sz="8" w:color="4D8ABE"/>
            </w:tcBorders>
            <w:gridSpan w:val="2"/>
          </w:tcPr>
          <w:p>
            <w:pPr>
              <w:jc w:val="right"/>
              <w:ind w:right="240"/>
              <w:spacing w:after="0"/>
              <w:rPr>
                <w:sz w:val="20"/>
                <w:szCs w:val="20"/>
                <w:color w:val="auto"/>
              </w:rPr>
            </w:pPr>
            <w:r>
              <w:rPr>
                <w:rFonts w:ascii="Arial" w:cs="Arial" w:eastAsia="Arial" w:hAnsi="Arial"/>
                <w:sz w:val="14"/>
                <w:szCs w:val="14"/>
                <w:b w:val="1"/>
                <w:bCs w:val="1"/>
                <w:color w:val="4D8ABE"/>
              </w:rPr>
              <w:t>509.2</w:t>
            </w:r>
          </w:p>
        </w:tc>
        <w:tc>
          <w:tcPr>
            <w:tcW w:w="24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color w:val="auto"/>
              </w:rPr>
              <w:t>825.4</w:t>
            </w:r>
          </w:p>
        </w:tc>
        <w:tc>
          <w:tcPr>
            <w:tcW w:w="1120" w:type="dxa"/>
            <w:vAlign w:val="bottom"/>
          </w:tcPr>
          <w:p>
            <w:pPr>
              <w:jc w:val="right"/>
              <w:ind w:right="212"/>
              <w:spacing w:after="0"/>
              <w:rPr>
                <w:sz w:val="20"/>
                <w:szCs w:val="20"/>
                <w:color w:val="auto"/>
              </w:rPr>
            </w:pPr>
            <w:r>
              <w:rPr>
                <w:rFonts w:ascii="Arial" w:cs="Arial" w:eastAsia="Arial" w:hAnsi="Arial"/>
                <w:sz w:val="14"/>
                <w:szCs w:val="14"/>
                <w:color w:val="auto"/>
              </w:rPr>
              <w:t>(38.3)</w:t>
            </w:r>
          </w:p>
        </w:tc>
        <w:tc>
          <w:tcPr>
            <w:tcW w:w="1200" w:type="dxa"/>
            <w:vAlign w:val="bottom"/>
          </w:tcPr>
          <w:p>
            <w:pPr>
              <w:jc w:val="right"/>
              <w:ind w:right="272"/>
              <w:spacing w:after="0"/>
              <w:rPr>
                <w:sz w:val="20"/>
                <w:szCs w:val="20"/>
                <w:color w:val="auto"/>
              </w:rPr>
            </w:pPr>
            <w:r>
              <w:rPr>
                <w:rFonts w:ascii="Arial" w:cs="Arial" w:eastAsia="Arial" w:hAnsi="Arial"/>
                <w:sz w:val="14"/>
                <w:szCs w:val="14"/>
                <w:color w:val="auto"/>
              </w:rPr>
              <w:t>(42.9)</w:t>
            </w:r>
          </w:p>
        </w:tc>
        <w:tc>
          <w:tcPr>
            <w:tcW w:w="980" w:type="dxa"/>
            <w:vAlign w:val="bottom"/>
            <w:gridSpan w:val="2"/>
          </w:tcPr>
          <w:p>
            <w:pPr>
              <w:jc w:val="right"/>
              <w:ind w:right="112"/>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64"/>
        </w:trPr>
        <w:tc>
          <w:tcPr>
            <w:tcW w:w="57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2"/>
                <w:szCs w:val="12"/>
                <w:i w:val="1"/>
                <w:iCs w:val="1"/>
                <w:color w:val="auto"/>
              </w:rPr>
              <w:t>Operating profit margin</w:t>
            </w:r>
          </w:p>
        </w:tc>
        <w:tc>
          <w:tcPr>
            <w:tcW w:w="100" w:type="dxa"/>
            <w:vAlign w:val="bottom"/>
            <w:shd w:val="clear" w:color="auto" w:fill="E6EFFF"/>
          </w:tcPr>
          <w:p>
            <w:pPr>
              <w:spacing w:after="0"/>
              <w:rPr>
                <w:sz w:val="14"/>
                <w:szCs w:val="14"/>
                <w:color w:val="auto"/>
              </w:rPr>
            </w:pPr>
          </w:p>
        </w:tc>
        <w:tc>
          <w:tcPr>
            <w:tcW w:w="1040" w:type="dxa"/>
            <w:vAlign w:val="bottom"/>
            <w:tcBorders>
              <w:right w:val="single" w:sz="8" w:color="4D8ABE"/>
            </w:tcBorders>
            <w:gridSpan w:val="2"/>
            <w:shd w:val="clear" w:color="auto" w:fill="E6EFFF"/>
          </w:tcPr>
          <w:p>
            <w:pPr>
              <w:jc w:val="right"/>
              <w:ind w:right="120"/>
              <w:spacing w:after="0"/>
              <w:rPr>
                <w:sz w:val="20"/>
                <w:szCs w:val="20"/>
                <w:color w:val="auto"/>
              </w:rPr>
            </w:pPr>
            <w:r>
              <w:rPr>
                <w:rFonts w:ascii="Arial" w:cs="Arial" w:eastAsia="Arial" w:hAnsi="Arial"/>
                <w:sz w:val="12"/>
                <w:szCs w:val="12"/>
                <w:b w:val="1"/>
                <w:bCs w:val="1"/>
                <w:i w:val="1"/>
                <w:iCs w:val="1"/>
                <w:color w:val="4D8ABE"/>
              </w:rPr>
              <w:t>2.4</w:t>
            </w:r>
            <w:r>
              <w:rPr>
                <w:rFonts w:ascii="Arial" w:cs="Arial" w:eastAsia="Arial" w:hAnsi="Arial"/>
                <w:sz w:val="13"/>
                <w:szCs w:val="13"/>
                <w:b w:val="1"/>
                <w:bCs w:val="1"/>
                <w:i w:val="1"/>
                <w:iCs w:val="1"/>
                <w:color w:val="4D8ABE"/>
              </w:rPr>
              <w:t>%</w:t>
            </w:r>
          </w:p>
        </w:tc>
        <w:tc>
          <w:tcPr>
            <w:tcW w:w="240" w:type="dxa"/>
            <w:vAlign w:val="bottom"/>
            <w:tcBorders>
              <w:left w:val="single" w:sz="8" w:color="E6EFFF"/>
            </w:tcBorders>
            <w:shd w:val="clear" w:color="auto" w:fill="E6EFFF"/>
          </w:tcPr>
          <w:p>
            <w:pPr>
              <w:spacing w:after="0"/>
              <w:rPr>
                <w:sz w:val="14"/>
                <w:szCs w:val="14"/>
                <w:color w:val="auto"/>
              </w:rPr>
            </w:pPr>
          </w:p>
        </w:tc>
        <w:tc>
          <w:tcPr>
            <w:tcW w:w="1000" w:type="dxa"/>
            <w:vAlign w:val="bottom"/>
            <w:shd w:val="clear" w:color="auto" w:fill="E6EFFF"/>
          </w:tcPr>
          <w:p>
            <w:pPr>
              <w:jc w:val="right"/>
              <w:ind w:right="173"/>
              <w:spacing w:after="0"/>
              <w:rPr>
                <w:sz w:val="20"/>
                <w:szCs w:val="20"/>
                <w:color w:val="auto"/>
              </w:rPr>
            </w:pPr>
            <w:r>
              <w:rPr>
                <w:rFonts w:ascii="Arial" w:cs="Arial" w:eastAsia="Arial" w:hAnsi="Arial"/>
                <w:sz w:val="12"/>
                <w:szCs w:val="12"/>
                <w:i w:val="1"/>
                <w:iCs w:val="1"/>
                <w:color w:val="auto"/>
              </w:rPr>
              <w:t>4.0%</w:t>
            </w:r>
          </w:p>
        </w:tc>
        <w:tc>
          <w:tcPr>
            <w:tcW w:w="1120" w:type="dxa"/>
            <w:vAlign w:val="bottom"/>
            <w:shd w:val="clear" w:color="auto" w:fill="E6EFFF"/>
          </w:tcPr>
          <w:p>
            <w:pPr>
              <w:spacing w:after="0"/>
              <w:rPr>
                <w:sz w:val="14"/>
                <w:szCs w:val="14"/>
                <w:color w:val="auto"/>
              </w:rPr>
            </w:pPr>
          </w:p>
        </w:tc>
        <w:tc>
          <w:tcPr>
            <w:tcW w:w="120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80" w:type="dxa"/>
            <w:vAlign w:val="bottom"/>
            <w:tcBorders>
              <w:right w:val="single" w:sz="8" w:color="4D8ABE"/>
            </w:tcBorders>
          </w:tcPr>
          <w:p>
            <w:pPr>
              <w:ind w:left="40"/>
              <w:spacing w:after="0"/>
              <w:rPr>
                <w:sz w:val="20"/>
                <w:szCs w:val="20"/>
                <w:color w:val="auto"/>
              </w:rPr>
            </w:pPr>
            <w:r>
              <w:rPr>
                <w:rFonts w:ascii="Arial" w:cs="Arial" w:eastAsia="Arial" w:hAnsi="Arial"/>
                <w:sz w:val="14"/>
                <w:szCs w:val="14"/>
                <w:color w:val="auto"/>
              </w:rPr>
              <w:t>Net interest expense</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41.8</w:t>
            </w:r>
          </w:p>
        </w:tc>
        <w:tc>
          <w:tcPr>
            <w:tcW w:w="240" w:type="dxa"/>
            <w:vAlign w:val="bottom"/>
            <w:tcBorders>
              <w:right w:val="single" w:sz="8" w:color="4D8ABE"/>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color w:val="auto"/>
              </w:rPr>
              <w:t>29.0</w:t>
            </w:r>
          </w:p>
        </w:tc>
        <w:tc>
          <w:tcPr>
            <w:tcW w:w="1120" w:type="dxa"/>
            <w:vAlign w:val="bottom"/>
          </w:tcPr>
          <w:p>
            <w:pPr>
              <w:jc w:val="right"/>
              <w:ind w:right="252"/>
              <w:spacing w:after="0"/>
              <w:rPr>
                <w:sz w:val="20"/>
                <w:szCs w:val="20"/>
                <w:color w:val="auto"/>
              </w:rPr>
            </w:pPr>
            <w:r>
              <w:rPr>
                <w:rFonts w:ascii="Arial" w:cs="Arial" w:eastAsia="Arial" w:hAnsi="Arial"/>
                <w:sz w:val="14"/>
                <w:szCs w:val="14"/>
                <w:color w:val="auto"/>
              </w:rPr>
              <w:t>44.1</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80" w:type="dxa"/>
            <w:vAlign w:val="bottom"/>
            <w:tcBorders>
              <w:bottom w:val="single" w:sz="8" w:color="auto"/>
              <w:right w:val="single" w:sz="8" w:color="4D8ABE"/>
            </w:tcBorders>
            <w:shd w:val="clear" w:color="auto" w:fill="E6EFFF"/>
          </w:tcPr>
          <w:p>
            <w:pPr>
              <w:ind w:left="40"/>
              <w:spacing w:after="0"/>
              <w:rPr>
                <w:sz w:val="20"/>
                <w:szCs w:val="20"/>
                <w:color w:val="auto"/>
              </w:rPr>
            </w:pPr>
            <w:r>
              <w:rPr>
                <w:rFonts w:ascii="Arial" w:cs="Arial" w:eastAsia="Arial" w:hAnsi="Arial"/>
                <w:sz w:val="14"/>
                <w:szCs w:val="14"/>
                <w:color w:val="auto"/>
              </w:rPr>
              <w:t>Other expenses</w:t>
            </w:r>
          </w:p>
        </w:tc>
        <w:tc>
          <w:tcPr>
            <w:tcW w:w="100" w:type="dxa"/>
            <w:vAlign w:val="bottom"/>
            <w:tcBorders>
              <w:bottom w:val="single" w:sz="8" w:color="auto"/>
            </w:tcBorders>
            <w:shd w:val="clear" w:color="auto" w:fill="E6EFFF"/>
          </w:tcPr>
          <w:p>
            <w:pPr>
              <w:spacing w:after="0"/>
              <w:rPr>
                <w:sz w:val="14"/>
                <w:szCs w:val="14"/>
                <w:color w:val="auto"/>
              </w:rPr>
            </w:pPr>
          </w:p>
        </w:tc>
        <w:tc>
          <w:tcPr>
            <w:tcW w:w="1040" w:type="dxa"/>
            <w:vAlign w:val="bottom"/>
            <w:tcBorders>
              <w:bottom w:val="single" w:sz="8" w:color="auto"/>
              <w:right w:val="single" w:sz="8" w:color="4D8ABE"/>
            </w:tcBorders>
            <w:gridSpan w:val="2"/>
            <w:shd w:val="clear" w:color="auto" w:fill="E6EFFF"/>
          </w:tcPr>
          <w:p>
            <w:pPr>
              <w:jc w:val="right"/>
              <w:ind w:right="240"/>
              <w:spacing w:after="0"/>
              <w:rPr>
                <w:sz w:val="20"/>
                <w:szCs w:val="20"/>
                <w:color w:val="auto"/>
              </w:rPr>
            </w:pPr>
            <w:r>
              <w:rPr>
                <w:rFonts w:ascii="Arial" w:cs="Arial" w:eastAsia="Arial" w:hAnsi="Arial"/>
                <w:sz w:val="14"/>
                <w:szCs w:val="14"/>
                <w:b w:val="1"/>
                <w:bCs w:val="1"/>
                <w:color w:val="4D8ABE"/>
              </w:rPr>
              <w:t>9.1</w:t>
            </w:r>
          </w:p>
        </w:tc>
        <w:tc>
          <w:tcPr>
            <w:tcW w:w="240" w:type="dxa"/>
            <w:vAlign w:val="bottom"/>
            <w:tcBorders>
              <w:left w:val="single" w:sz="8" w:color="E6EFFF"/>
              <w:bottom w:val="single" w:sz="8" w:color="auto"/>
            </w:tcBorders>
            <w:shd w:val="clear" w:color="auto" w:fill="E6EFFF"/>
          </w:tcPr>
          <w:p>
            <w:pPr>
              <w:spacing w:after="0"/>
              <w:rPr>
                <w:sz w:val="14"/>
                <w:szCs w:val="14"/>
                <w:color w:val="auto"/>
              </w:rPr>
            </w:pPr>
          </w:p>
        </w:tc>
        <w:tc>
          <w:tcPr>
            <w:tcW w:w="1000" w:type="dxa"/>
            <w:vAlign w:val="bottom"/>
            <w:tcBorders>
              <w:bottom w:val="single" w:sz="8" w:color="auto"/>
            </w:tcBorders>
            <w:shd w:val="clear" w:color="auto" w:fill="E6EFFF"/>
          </w:tcPr>
          <w:p>
            <w:pPr>
              <w:jc w:val="right"/>
              <w:ind w:right="273"/>
              <w:spacing w:after="0"/>
              <w:rPr>
                <w:sz w:val="20"/>
                <w:szCs w:val="20"/>
                <w:color w:val="auto"/>
              </w:rPr>
            </w:pPr>
            <w:r>
              <w:rPr>
                <w:rFonts w:ascii="Arial" w:cs="Arial" w:eastAsia="Arial" w:hAnsi="Arial"/>
                <w:sz w:val="14"/>
                <w:szCs w:val="14"/>
                <w:color w:val="auto"/>
              </w:rPr>
              <w:t>5.2</w:t>
            </w:r>
          </w:p>
        </w:tc>
        <w:tc>
          <w:tcPr>
            <w:tcW w:w="1120" w:type="dxa"/>
            <w:vAlign w:val="bottom"/>
            <w:tcBorders>
              <w:bottom w:val="single" w:sz="8" w:color="auto"/>
            </w:tcBorders>
            <w:shd w:val="clear" w:color="auto" w:fill="E6EFFF"/>
          </w:tcPr>
          <w:p>
            <w:pPr>
              <w:jc w:val="right"/>
              <w:ind w:right="252"/>
              <w:spacing w:after="0"/>
              <w:rPr>
                <w:sz w:val="20"/>
                <w:szCs w:val="20"/>
                <w:color w:val="auto"/>
              </w:rPr>
            </w:pPr>
            <w:r>
              <w:rPr>
                <w:rFonts w:ascii="Arial" w:cs="Arial" w:eastAsia="Arial" w:hAnsi="Arial"/>
                <w:sz w:val="14"/>
                <w:szCs w:val="14"/>
                <w:color w:val="auto"/>
              </w:rPr>
              <w:t>75.0</w:t>
            </w:r>
          </w:p>
        </w:tc>
        <w:tc>
          <w:tcPr>
            <w:tcW w:w="1200" w:type="dxa"/>
            <w:vAlign w:val="bottom"/>
            <w:tcBorders>
              <w:bottom w:val="single" w:sz="8" w:color="auto"/>
            </w:tcBorders>
            <w:shd w:val="clear" w:color="auto" w:fill="E6EFFF"/>
          </w:tcPr>
          <w:p>
            <w:pPr>
              <w:spacing w:after="0"/>
              <w:rPr>
                <w:sz w:val="14"/>
                <w:szCs w:val="14"/>
                <w:color w:val="auto"/>
              </w:rPr>
            </w:pPr>
          </w:p>
        </w:tc>
        <w:tc>
          <w:tcPr>
            <w:tcW w:w="760" w:type="dxa"/>
            <w:vAlign w:val="bottom"/>
            <w:tcBorders>
              <w:bottom w:val="single" w:sz="8" w:color="auto"/>
            </w:tcBorders>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Borders>
              <w:right w:val="single" w:sz="8" w:color="4D8ABE"/>
            </w:tcBorders>
          </w:tcPr>
          <w:p>
            <w:pPr>
              <w:spacing w:after="0" w:line="155" w:lineRule="exact"/>
              <w:rPr>
                <w:sz w:val="20"/>
                <w:szCs w:val="20"/>
                <w:color w:val="auto"/>
              </w:rPr>
            </w:pPr>
            <w:r>
              <w:rPr>
                <w:rFonts w:ascii="Arial" w:cs="Arial" w:eastAsia="Arial" w:hAnsi="Arial"/>
                <w:sz w:val="14"/>
                <w:szCs w:val="14"/>
                <w:color w:val="auto"/>
              </w:rPr>
              <w:t>Earnings before income taxes</w:t>
            </w:r>
          </w:p>
        </w:tc>
        <w:tc>
          <w:tcPr>
            <w:tcW w:w="100" w:type="dxa"/>
            <w:vAlign w:val="bottom"/>
          </w:tcPr>
          <w:p>
            <w:pPr>
              <w:spacing w:after="0"/>
              <w:rPr>
                <w:sz w:val="13"/>
                <w:szCs w:val="13"/>
                <w:color w:val="auto"/>
              </w:rPr>
            </w:pPr>
          </w:p>
        </w:tc>
        <w:tc>
          <w:tcPr>
            <w:tcW w:w="1040" w:type="dxa"/>
            <w:vAlign w:val="bottom"/>
            <w:tcBorders>
              <w:right w:val="single" w:sz="8" w:color="4D8ABE"/>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4D8ABE"/>
              </w:rPr>
              <w:t>458.3</w:t>
            </w:r>
          </w:p>
        </w:tc>
        <w:tc>
          <w:tcPr>
            <w:tcW w:w="240" w:type="dxa"/>
            <w:vAlign w:val="bottom"/>
          </w:tcPr>
          <w:p>
            <w:pPr>
              <w:spacing w:after="0"/>
              <w:rPr>
                <w:sz w:val="13"/>
                <w:szCs w:val="13"/>
                <w:color w:val="auto"/>
              </w:rPr>
            </w:pPr>
          </w:p>
        </w:tc>
        <w:tc>
          <w:tcPr>
            <w:tcW w:w="1000" w:type="dxa"/>
            <w:vAlign w:val="bottom"/>
          </w:tcPr>
          <w:p>
            <w:pPr>
              <w:jc w:val="right"/>
              <w:ind w:right="273"/>
              <w:spacing w:after="0" w:line="155" w:lineRule="exact"/>
              <w:rPr>
                <w:sz w:val="20"/>
                <w:szCs w:val="20"/>
                <w:color w:val="auto"/>
              </w:rPr>
            </w:pPr>
            <w:r>
              <w:rPr>
                <w:rFonts w:ascii="Arial" w:cs="Arial" w:eastAsia="Arial" w:hAnsi="Arial"/>
                <w:sz w:val="14"/>
                <w:szCs w:val="14"/>
                <w:color w:val="auto"/>
              </w:rPr>
              <w:t>791.2</w:t>
            </w:r>
          </w:p>
        </w:tc>
        <w:tc>
          <w:tcPr>
            <w:tcW w:w="1120" w:type="dxa"/>
            <w:vAlign w:val="bottom"/>
          </w:tcPr>
          <w:p>
            <w:pPr>
              <w:jc w:val="right"/>
              <w:ind w:right="212"/>
              <w:spacing w:after="0" w:line="155" w:lineRule="exact"/>
              <w:rPr>
                <w:sz w:val="20"/>
                <w:szCs w:val="20"/>
                <w:color w:val="auto"/>
              </w:rPr>
            </w:pPr>
            <w:r>
              <w:rPr>
                <w:rFonts w:ascii="Arial" w:cs="Arial" w:eastAsia="Arial" w:hAnsi="Arial"/>
                <w:sz w:val="14"/>
                <w:szCs w:val="14"/>
                <w:color w:val="auto"/>
              </w:rPr>
              <w:t>(42.1)</w:t>
            </w:r>
          </w:p>
        </w:tc>
        <w:tc>
          <w:tcPr>
            <w:tcW w:w="1200" w:type="dxa"/>
            <w:vAlign w:val="bottom"/>
          </w:tcPr>
          <w:p>
            <w:pPr>
              <w:jc w:val="right"/>
              <w:ind w:right="272"/>
              <w:spacing w:after="0" w:line="155" w:lineRule="exact"/>
              <w:rPr>
                <w:sz w:val="20"/>
                <w:szCs w:val="20"/>
                <w:color w:val="auto"/>
              </w:rPr>
            </w:pPr>
            <w:r>
              <w:rPr>
                <w:rFonts w:ascii="Arial" w:cs="Arial" w:eastAsia="Arial" w:hAnsi="Arial"/>
                <w:sz w:val="14"/>
                <w:szCs w:val="14"/>
                <w:color w:val="auto"/>
              </w:rPr>
              <w:t>(48.0)</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780" w:type="dxa"/>
            <w:vAlign w:val="bottom"/>
            <w:tcBorders>
              <w:right w:val="single" w:sz="8" w:color="4D8ABE"/>
            </w:tcBorders>
            <w:shd w:val="clear" w:color="auto" w:fill="E6EFFF"/>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E6EFFF"/>
          </w:tcPr>
          <w:p>
            <w:pPr>
              <w:spacing w:after="0"/>
              <w:rPr>
                <w:sz w:val="14"/>
                <w:szCs w:val="14"/>
                <w:color w:val="auto"/>
              </w:rPr>
            </w:pPr>
          </w:p>
        </w:tc>
        <w:tc>
          <w:tcPr>
            <w:tcW w:w="1040" w:type="dxa"/>
            <w:vAlign w:val="bottom"/>
            <w:tcBorders>
              <w:right w:val="single" w:sz="8" w:color="4D8ABE"/>
            </w:tcBorders>
            <w:gridSpan w:val="2"/>
            <w:shd w:val="clear" w:color="auto" w:fill="E6EFFF"/>
          </w:tcPr>
          <w:p>
            <w:pPr>
              <w:jc w:val="right"/>
              <w:ind w:right="240"/>
              <w:spacing w:after="0"/>
              <w:rPr>
                <w:sz w:val="20"/>
                <w:szCs w:val="20"/>
                <w:color w:val="auto"/>
              </w:rPr>
            </w:pPr>
            <w:r>
              <w:rPr>
                <w:rFonts w:ascii="Arial" w:cs="Arial" w:eastAsia="Arial" w:hAnsi="Arial"/>
                <w:sz w:val="14"/>
                <w:szCs w:val="14"/>
                <w:b w:val="1"/>
                <w:bCs w:val="1"/>
                <w:color w:val="4D8ABE"/>
              </w:rPr>
              <w:t>239.4</w:t>
            </w:r>
          </w:p>
        </w:tc>
        <w:tc>
          <w:tcPr>
            <w:tcW w:w="240" w:type="dxa"/>
            <w:vAlign w:val="bottom"/>
            <w:tcBorders>
              <w:left w:val="single" w:sz="8" w:color="E6EFFF"/>
            </w:tcBorders>
            <w:shd w:val="clear" w:color="auto" w:fill="E6EFFF"/>
          </w:tcPr>
          <w:p>
            <w:pPr>
              <w:spacing w:after="0"/>
              <w:rPr>
                <w:sz w:val="14"/>
                <w:szCs w:val="14"/>
                <w:color w:val="auto"/>
              </w:rPr>
            </w:pPr>
          </w:p>
        </w:tc>
        <w:tc>
          <w:tcPr>
            <w:tcW w:w="1000" w:type="dxa"/>
            <w:vAlign w:val="bottom"/>
            <w:shd w:val="clear" w:color="auto" w:fill="E6EFFF"/>
          </w:tcPr>
          <w:p>
            <w:pPr>
              <w:jc w:val="right"/>
              <w:ind w:right="273"/>
              <w:spacing w:after="0"/>
              <w:rPr>
                <w:sz w:val="20"/>
                <w:szCs w:val="20"/>
                <w:color w:val="auto"/>
              </w:rPr>
            </w:pPr>
            <w:r>
              <w:rPr>
                <w:rFonts w:ascii="Arial" w:cs="Arial" w:eastAsia="Arial" w:hAnsi="Arial"/>
                <w:sz w:val="14"/>
                <w:szCs w:val="14"/>
                <w:color w:val="auto"/>
              </w:rPr>
              <w:t>306.5</w:t>
            </w:r>
          </w:p>
        </w:tc>
        <w:tc>
          <w:tcPr>
            <w:tcW w:w="1120" w:type="dxa"/>
            <w:vAlign w:val="bottom"/>
            <w:shd w:val="clear" w:color="auto" w:fill="E6EFFF"/>
          </w:tcPr>
          <w:p>
            <w:pPr>
              <w:jc w:val="right"/>
              <w:ind w:right="212"/>
              <w:spacing w:after="0"/>
              <w:rPr>
                <w:sz w:val="20"/>
                <w:szCs w:val="20"/>
                <w:color w:val="auto"/>
              </w:rPr>
            </w:pPr>
            <w:r>
              <w:rPr>
                <w:rFonts w:ascii="Arial" w:cs="Arial" w:eastAsia="Arial" w:hAnsi="Arial"/>
                <w:sz w:val="14"/>
                <w:szCs w:val="14"/>
                <w:color w:val="auto"/>
              </w:rPr>
              <w:t>(21.9)</w:t>
            </w:r>
          </w:p>
        </w:tc>
        <w:tc>
          <w:tcPr>
            <w:tcW w:w="120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80" w:type="dxa"/>
            <w:vAlign w:val="bottom"/>
            <w:tcBorders>
              <w:bottom w:val="single" w:sz="8" w:color="auto"/>
              <w:right w:val="single" w:sz="8" w:color="4D8ABE"/>
            </w:tcBorders>
          </w:tcPr>
          <w:p>
            <w:pPr>
              <w:ind w:left="40"/>
              <w:spacing w:after="0"/>
              <w:rPr>
                <w:sz w:val="20"/>
                <w:szCs w:val="20"/>
                <w:color w:val="auto"/>
              </w:rPr>
            </w:pPr>
            <w:r>
              <w:rPr>
                <w:rFonts w:ascii="Arial" w:cs="Arial" w:eastAsia="Arial" w:hAnsi="Arial"/>
                <w:sz w:val="12"/>
                <w:szCs w:val="12"/>
                <w:i w:val="1"/>
                <w:iCs w:val="1"/>
                <w:color w:val="auto"/>
              </w:rPr>
              <w:t>Effective income tax rate</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4D8ABE"/>
            </w:tcBorders>
            <w:gridSpan w:val="2"/>
          </w:tcPr>
          <w:p>
            <w:pPr>
              <w:jc w:val="right"/>
              <w:ind w:right="120"/>
              <w:spacing w:after="0"/>
              <w:rPr>
                <w:sz w:val="20"/>
                <w:szCs w:val="20"/>
                <w:color w:val="auto"/>
              </w:rPr>
            </w:pPr>
            <w:r>
              <w:rPr>
                <w:rFonts w:ascii="Arial" w:cs="Arial" w:eastAsia="Arial" w:hAnsi="Arial"/>
                <w:sz w:val="12"/>
                <w:szCs w:val="12"/>
                <w:b w:val="1"/>
                <w:bCs w:val="1"/>
                <w:i w:val="1"/>
                <w:iCs w:val="1"/>
                <w:color w:val="4D8ABE"/>
              </w:rPr>
              <w:t>52.2</w:t>
            </w:r>
            <w:r>
              <w:rPr>
                <w:rFonts w:ascii="Arial" w:cs="Arial" w:eastAsia="Arial" w:hAnsi="Arial"/>
                <w:sz w:val="13"/>
                <w:szCs w:val="13"/>
                <w:b w:val="1"/>
                <w:bCs w:val="1"/>
                <w:i w:val="1"/>
                <w:iCs w:val="1"/>
                <w:color w:val="4D8ABE"/>
              </w:rPr>
              <w:t>%</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i w:val="1"/>
                <w:iCs w:val="1"/>
                <w:color w:val="auto"/>
              </w:rPr>
              <w:t>38.7%</w:t>
            </w:r>
          </w:p>
        </w:tc>
        <w:tc>
          <w:tcPr>
            <w:tcW w:w="1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E6EF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Borders>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Net earnings</w:t>
            </w:r>
          </w:p>
        </w:tc>
        <w:tc>
          <w:tcPr>
            <w:tcW w:w="10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b w:val="1"/>
                <w:bCs w:val="1"/>
                <w:color w:val="4D8ABE"/>
              </w:rPr>
              <w:t>$</w:t>
            </w:r>
          </w:p>
        </w:tc>
        <w:tc>
          <w:tcPr>
            <w:tcW w:w="1040" w:type="dxa"/>
            <w:vAlign w:val="bottom"/>
            <w:tcBorders>
              <w:bottom w:val="single" w:sz="8" w:color="auto"/>
              <w:right w:val="single" w:sz="8" w:color="4D8ABE"/>
            </w:tcBorders>
            <w:gridSpan w:val="2"/>
            <w:shd w:val="clear" w:color="auto" w:fill="E6EFFF"/>
          </w:tcPr>
          <w:p>
            <w:pPr>
              <w:jc w:val="right"/>
              <w:ind w:right="240"/>
              <w:spacing w:after="0" w:line="155" w:lineRule="exact"/>
              <w:rPr>
                <w:sz w:val="20"/>
                <w:szCs w:val="20"/>
                <w:color w:val="auto"/>
              </w:rPr>
            </w:pPr>
            <w:r>
              <w:rPr>
                <w:rFonts w:ascii="Arial" w:cs="Arial" w:eastAsia="Arial" w:hAnsi="Arial"/>
                <w:sz w:val="14"/>
                <w:szCs w:val="14"/>
                <w:b w:val="1"/>
                <w:bCs w:val="1"/>
                <w:color w:val="4D8ABE"/>
              </w:rPr>
              <w:t>218.9</w:t>
            </w:r>
          </w:p>
        </w:tc>
        <w:tc>
          <w:tcPr>
            <w:tcW w:w="240" w:type="dxa"/>
            <w:vAlign w:val="bottom"/>
            <w:tcBorders>
              <w:left w:val="single" w:sz="8" w:color="E6EFFF"/>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6EFFF"/>
          </w:tcPr>
          <w:p>
            <w:pPr>
              <w:jc w:val="right"/>
              <w:ind w:right="273"/>
              <w:spacing w:after="0" w:line="155" w:lineRule="exact"/>
              <w:rPr>
                <w:sz w:val="20"/>
                <w:szCs w:val="20"/>
                <w:color w:val="auto"/>
              </w:rPr>
            </w:pPr>
            <w:r>
              <w:rPr>
                <w:rFonts w:ascii="Arial" w:cs="Arial" w:eastAsia="Arial" w:hAnsi="Arial"/>
                <w:sz w:val="14"/>
                <w:szCs w:val="14"/>
                <w:color w:val="auto"/>
              </w:rPr>
              <w:t>484.7</w:t>
            </w:r>
          </w:p>
        </w:tc>
        <w:tc>
          <w:tcPr>
            <w:tcW w:w="1120" w:type="dxa"/>
            <w:vAlign w:val="bottom"/>
            <w:tcBorders>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(54.8)%</w:t>
            </w:r>
          </w:p>
        </w:tc>
        <w:tc>
          <w:tcPr>
            <w:tcW w:w="1200" w:type="dxa"/>
            <w:vAlign w:val="bottom"/>
            <w:tcBorders>
              <w:bottom w:val="single" w:sz="8" w:color="auto"/>
            </w:tcBorders>
            <w:shd w:val="clear" w:color="auto" w:fill="E6EFFF"/>
          </w:tcPr>
          <w:p>
            <w:pPr>
              <w:jc w:val="right"/>
              <w:ind w:right="152"/>
              <w:spacing w:after="0" w:line="155" w:lineRule="exact"/>
              <w:rPr>
                <w:sz w:val="20"/>
                <w:szCs w:val="20"/>
                <w:color w:val="auto"/>
              </w:rPr>
            </w:pPr>
            <w:r>
              <w:rPr>
                <w:rFonts w:ascii="Arial" w:cs="Arial" w:eastAsia="Arial" w:hAnsi="Arial"/>
                <w:sz w:val="14"/>
                <w:szCs w:val="14"/>
                <w:color w:val="auto"/>
              </w:rPr>
              <w:t>(59.4)%</w:t>
            </w:r>
          </w:p>
        </w:tc>
        <w:tc>
          <w:tcPr>
            <w:tcW w:w="760" w:type="dxa"/>
            <w:vAlign w:val="bottom"/>
            <w:tcBorders>
              <w:bottom w:val="single" w:sz="8" w:color="auto"/>
            </w:tcBorders>
            <w:shd w:val="clear" w:color="auto" w:fill="E6EFFF"/>
          </w:tcPr>
          <w:p>
            <w:pPr>
              <w:spacing w:after="0"/>
              <w:rPr>
                <w:sz w:val="13"/>
                <w:szCs w:val="13"/>
                <w:color w:val="auto"/>
              </w:rPr>
            </w:pPr>
          </w:p>
        </w:tc>
        <w:tc>
          <w:tcPr>
            <w:tcW w:w="220" w:type="dxa"/>
            <w:vAlign w:val="bottom"/>
            <w:tcBorders>
              <w:bottom w:val="single" w:sz="8" w:color="E6EFFF"/>
            </w:tcBorders>
            <w:shd w:val="clear" w:color="auto" w:fill="E6EF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78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Net earnings per share - diluted</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4D8ABE"/>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4D8ABE"/>
              </w:rPr>
              <w:t>2.75</w:t>
            </w:r>
          </w:p>
        </w:tc>
        <w:tc>
          <w:tcPr>
            <w:tcW w:w="240" w:type="dxa"/>
            <w:vAlign w:val="bottom"/>
            <w:tcBorders>
              <w:right w:val="single" w:sz="8" w:color="4D8ABE"/>
            </w:tcBorders>
          </w:tcPr>
          <w:p>
            <w:pPr>
              <w:spacing w:after="0"/>
              <w:rPr>
                <w:sz w:val="14"/>
                <w:szCs w:val="14"/>
                <w:color w:val="auto"/>
              </w:rPr>
            </w:pPr>
          </w:p>
        </w:tc>
        <w:tc>
          <w:tcPr>
            <w:tcW w:w="240" w:type="dxa"/>
            <w:vAlign w:val="bottom"/>
            <w:tcBorders>
              <w:left w:val="single" w:sz="8" w:color="4D8ABE"/>
            </w:tcBorders>
          </w:tcPr>
          <w:p>
            <w:pPr>
              <w:jc w:val="right"/>
              <w:ind w:right="7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73"/>
              <w:spacing w:after="0"/>
              <w:rPr>
                <w:sz w:val="20"/>
                <w:szCs w:val="20"/>
                <w:color w:val="auto"/>
              </w:rPr>
            </w:pPr>
            <w:r>
              <w:rPr>
                <w:rFonts w:ascii="Arial" w:cs="Arial" w:eastAsia="Arial" w:hAnsi="Arial"/>
                <w:sz w:val="14"/>
                <w:szCs w:val="14"/>
                <w:color w:val="auto"/>
              </w:rPr>
              <w:t>5.73</w:t>
            </w:r>
          </w:p>
        </w:tc>
        <w:tc>
          <w:tcPr>
            <w:tcW w:w="1120" w:type="dxa"/>
            <w:vAlign w:val="bottom"/>
          </w:tcPr>
          <w:p>
            <w:pPr>
              <w:jc w:val="right"/>
              <w:ind w:right="92"/>
              <w:spacing w:after="0"/>
              <w:rPr>
                <w:sz w:val="20"/>
                <w:szCs w:val="20"/>
                <w:color w:val="auto"/>
              </w:rPr>
            </w:pPr>
            <w:r>
              <w:rPr>
                <w:rFonts w:ascii="Arial" w:cs="Arial" w:eastAsia="Arial" w:hAnsi="Arial"/>
                <w:sz w:val="14"/>
                <w:szCs w:val="14"/>
                <w:color w:val="auto"/>
              </w:rPr>
              <w:t>(52.0)%</w:t>
            </w:r>
          </w:p>
        </w:tc>
        <w:tc>
          <w:tcPr>
            <w:tcW w:w="1200" w:type="dxa"/>
            <w:vAlign w:val="bottom"/>
          </w:tcPr>
          <w:p>
            <w:pPr>
              <w:jc w:val="right"/>
              <w:ind w:right="152"/>
              <w:spacing w:after="0"/>
              <w:rPr>
                <w:sz w:val="20"/>
                <w:szCs w:val="20"/>
                <w:color w:val="auto"/>
              </w:rPr>
            </w:pPr>
            <w:r>
              <w:rPr>
                <w:rFonts w:ascii="Arial" w:cs="Arial" w:eastAsia="Arial" w:hAnsi="Arial"/>
                <w:sz w:val="14"/>
                <w:szCs w:val="14"/>
                <w:color w:val="auto"/>
              </w:rPr>
              <w:t>(56.7)%</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Weighted average shares - diluted</w:t>
            </w:r>
          </w:p>
        </w:tc>
        <w:tc>
          <w:tcPr>
            <w:tcW w:w="100" w:type="dxa"/>
            <w:vAlign w:val="bottom"/>
            <w:tcBorders>
              <w:bottom w:val="single" w:sz="8" w:color="auto"/>
            </w:tcBorders>
            <w:shd w:val="clear" w:color="auto" w:fill="E6EFFF"/>
          </w:tcPr>
          <w:p>
            <w:pPr>
              <w:spacing w:after="0"/>
              <w:rPr>
                <w:sz w:val="14"/>
                <w:szCs w:val="14"/>
                <w:color w:val="auto"/>
              </w:rPr>
            </w:pPr>
          </w:p>
        </w:tc>
        <w:tc>
          <w:tcPr>
            <w:tcW w:w="8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b w:val="1"/>
                <w:bCs w:val="1"/>
                <w:color w:val="4D8ABE"/>
              </w:rPr>
              <w:t>79.7</w:t>
            </w:r>
          </w:p>
        </w:tc>
        <w:tc>
          <w:tcPr>
            <w:tcW w:w="240" w:type="dxa"/>
            <w:vAlign w:val="bottom"/>
            <w:tcBorders>
              <w:bottom w:val="single" w:sz="8" w:color="auto"/>
              <w:right w:val="single" w:sz="8" w:color="4D8ABE"/>
            </w:tcBorders>
            <w:shd w:val="clear" w:color="auto" w:fill="E6EFFF"/>
          </w:tcPr>
          <w:p>
            <w:pPr>
              <w:spacing w:after="0"/>
              <w:rPr>
                <w:sz w:val="14"/>
                <w:szCs w:val="14"/>
                <w:color w:val="auto"/>
              </w:rPr>
            </w:pPr>
          </w:p>
        </w:tc>
        <w:tc>
          <w:tcPr>
            <w:tcW w:w="240" w:type="dxa"/>
            <w:vAlign w:val="bottom"/>
            <w:tcBorders>
              <w:left w:val="single" w:sz="8" w:color="4D8ABE"/>
              <w:bottom w:val="single" w:sz="8" w:color="auto"/>
            </w:tcBorders>
            <w:shd w:val="clear" w:color="auto" w:fill="E6EFFF"/>
          </w:tcPr>
          <w:p>
            <w:pPr>
              <w:spacing w:after="0"/>
              <w:rPr>
                <w:sz w:val="14"/>
                <w:szCs w:val="14"/>
                <w:color w:val="auto"/>
              </w:rPr>
            </w:pPr>
          </w:p>
        </w:tc>
        <w:tc>
          <w:tcPr>
            <w:tcW w:w="1000" w:type="dxa"/>
            <w:vAlign w:val="bottom"/>
            <w:tcBorders>
              <w:bottom w:val="single" w:sz="8" w:color="auto"/>
            </w:tcBorders>
            <w:shd w:val="clear" w:color="auto" w:fill="E6EFFF"/>
          </w:tcPr>
          <w:p>
            <w:pPr>
              <w:jc w:val="right"/>
              <w:ind w:right="273"/>
              <w:spacing w:after="0"/>
              <w:rPr>
                <w:sz w:val="20"/>
                <w:szCs w:val="20"/>
                <w:color w:val="auto"/>
              </w:rPr>
            </w:pPr>
            <w:r>
              <w:rPr>
                <w:rFonts w:ascii="Arial" w:cs="Arial" w:eastAsia="Arial" w:hAnsi="Arial"/>
                <w:sz w:val="14"/>
                <w:szCs w:val="14"/>
                <w:color w:val="auto"/>
              </w:rPr>
              <w:t>84.6</w:t>
            </w:r>
          </w:p>
        </w:tc>
        <w:tc>
          <w:tcPr>
            <w:tcW w:w="1120" w:type="dxa"/>
            <w:vAlign w:val="bottom"/>
            <w:tcBorders>
              <w:bottom w:val="single" w:sz="8" w:color="auto"/>
            </w:tcBorders>
            <w:shd w:val="clear" w:color="auto" w:fill="E6EFFF"/>
          </w:tcPr>
          <w:p>
            <w:pPr>
              <w:jc w:val="right"/>
              <w:ind w:right="212"/>
              <w:spacing w:after="0"/>
              <w:rPr>
                <w:sz w:val="20"/>
                <w:szCs w:val="20"/>
                <w:color w:val="auto"/>
              </w:rPr>
            </w:pPr>
            <w:r>
              <w:rPr>
                <w:rFonts w:ascii="Arial" w:cs="Arial" w:eastAsia="Arial" w:hAnsi="Arial"/>
                <w:sz w:val="14"/>
                <w:szCs w:val="14"/>
                <w:color w:val="auto"/>
              </w:rPr>
              <w:t>(5.8)</w:t>
            </w:r>
          </w:p>
        </w:tc>
        <w:tc>
          <w:tcPr>
            <w:tcW w:w="1200" w:type="dxa"/>
            <w:vAlign w:val="bottom"/>
            <w:tcBorders>
              <w:bottom w:val="single" w:sz="8" w:color="auto"/>
            </w:tcBorders>
            <w:shd w:val="clear" w:color="auto" w:fill="E6EFFF"/>
          </w:tcPr>
          <w:p>
            <w:pPr>
              <w:spacing w:after="0"/>
              <w:rPr>
                <w:sz w:val="14"/>
                <w:szCs w:val="14"/>
                <w:color w:val="auto"/>
              </w:rPr>
            </w:pPr>
          </w:p>
        </w:tc>
        <w:tc>
          <w:tcPr>
            <w:tcW w:w="760" w:type="dxa"/>
            <w:vAlign w:val="bottom"/>
            <w:tcBorders>
              <w:bottom w:val="single" w:sz="8" w:color="auto"/>
            </w:tcBorders>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increase in Revenues from Services is primarily attributable to:</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4.6% increase due to the impact of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1.7% increase due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jc w:val="both"/>
        <w:ind w:left="420" w:right="40"/>
        <w:spacing w:after="0" w:line="249" w:lineRule="auto"/>
        <w:rPr>
          <w:sz w:val="20"/>
          <w:szCs w:val="20"/>
          <w:color w:val="auto"/>
        </w:rPr>
      </w:pPr>
      <w:r>
        <w:rPr>
          <w:rFonts w:ascii="Arial" w:cs="Arial" w:eastAsia="Arial" w:hAnsi="Arial"/>
          <w:sz w:val="16"/>
          <w:szCs w:val="16"/>
          <w:color w:val="auto"/>
        </w:rPr>
        <w:t>increased demand for services in most of our markets, including Other EMEA, Italy, Right Management and Other Operations, where revenues increased 8.1%, 0.5%, 9.3% and 6.9%, respectively, on a constant currency basis, offset by decreased demand in the U.S., France and Jefferson Wells where revenues declined 0.9%, 8.7%, and 12.4%, respectively, on a constant currency basis;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-327025</wp:posOffset>
            </wp:positionV>
            <wp:extent cx="57785" cy="57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growth in our permanent recruitment business which increased 14.3% on a consolidated basis in 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increase in Gross Profit is primarily attributed to:</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4.3% increase due to the impact of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 increase of $48.2 million due to a business tax refund in France related to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39 basis point (+0.39%) improvement in the gross profit margin in our temporary recruitment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jc w:val="both"/>
        <w:ind w:left="420" w:right="40"/>
        <w:spacing w:after="0" w:line="246" w:lineRule="auto"/>
        <w:rPr>
          <w:sz w:val="20"/>
          <w:szCs w:val="20"/>
          <w:color w:val="auto"/>
        </w:rPr>
      </w:pPr>
      <w:r>
        <w:rPr>
          <w:rFonts w:ascii="Arial" w:cs="Arial" w:eastAsia="Arial" w:hAnsi="Arial"/>
          <w:sz w:val="16"/>
          <w:szCs w:val="16"/>
          <w:color w:val="auto"/>
        </w:rPr>
        <w:t>offset by a decrease in the impact from a modification to the calculation of payroll taxes in France, which reduced the amount of payroll taxes in each year. (See Note 1 to the consolidated financial statements for further information.) The impact of this modification was an increase in Gross Profit of $68.2 million in 2008 related to the modification of payroll taxes for 2005, and $157.1 million in 2007, related to the modification of payroll taxes for 2006 and the first nine months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-442595</wp:posOffset>
            </wp:positionV>
            <wp:extent cx="57785" cy="577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overall 20 basis point (+0.20%) increase in Gross Profit Margin is attributed to:</w:t>
      </w:r>
    </w:p>
    <w:p>
      <w:pPr>
        <w:spacing w:after="0" w:line="165" w:lineRule="exact"/>
        <w:rPr>
          <w:sz w:val="20"/>
          <w:szCs w:val="20"/>
          <w:color w:val="auto"/>
        </w:rPr>
      </w:pPr>
    </w:p>
    <w:p>
      <w:pPr>
        <w:ind w:left="420"/>
        <w:spacing w:after="0" w:line="257" w:lineRule="auto"/>
        <w:rPr>
          <w:sz w:val="20"/>
          <w:szCs w:val="20"/>
          <w:color w:val="auto"/>
        </w:rPr>
      </w:pPr>
      <w:r>
        <w:rPr>
          <w:rFonts w:ascii="Arial" w:cs="Arial" w:eastAsia="Arial" w:hAnsi="Arial"/>
          <w:sz w:val="16"/>
          <w:szCs w:val="16"/>
          <w:color w:val="auto"/>
        </w:rPr>
        <w:t>a 39 basis point (+0.39%) increase in our temporary recruitment business margin as we were able to maintain pricing despite the difficult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22 basis point (+0.22%) increase due to the business tax refund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 18 basis point (+0.18%) increase due to the 14.3% growth in our permanent recruitment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45 basis point (-0.45%) decrease due to the lower impact of the French payroll tax modification in 2008;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line="257" w:lineRule="auto"/>
        <w:rPr>
          <w:sz w:val="20"/>
          <w:szCs w:val="20"/>
          <w:color w:val="auto"/>
        </w:rPr>
      </w:pPr>
      <w:r>
        <w:rPr>
          <w:rFonts w:ascii="Arial" w:cs="Arial" w:eastAsia="Arial" w:hAnsi="Arial"/>
          <w:sz w:val="16"/>
          <w:szCs w:val="16"/>
          <w:color w:val="auto"/>
        </w:rPr>
        <w:t>a 14 basis point (-0.14%) decrease due to a lesser amount of revenues coming from our specialty business where the gross profit margin is generally higher than the Company average, as these businesses grew relatively slower than the remainder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Acquisitions did not have a significant impact on Gross Profit Margin.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18.9% increase in Selling and Administrative Expenses in 2008, or 14.7% increase in constant currency is due to:</w:t>
      </w:r>
    </w:p>
    <w:p>
      <w:pPr>
        <w:spacing w:after="0" w:line="165" w:lineRule="exact"/>
        <w:rPr>
          <w:sz w:val="20"/>
          <w:szCs w:val="20"/>
          <w:color w:val="auto"/>
        </w:rPr>
      </w:pPr>
    </w:p>
    <w:p>
      <w:pPr>
        <w:ind w:left="420"/>
        <w:spacing w:after="0" w:line="257" w:lineRule="auto"/>
        <w:rPr>
          <w:sz w:val="20"/>
          <w:szCs w:val="20"/>
          <w:color w:val="auto"/>
        </w:rPr>
      </w:pPr>
      <w:r>
        <w:rPr>
          <w:rFonts w:ascii="Arial" w:cs="Arial" w:eastAsia="Arial" w:hAnsi="Arial"/>
          <w:sz w:val="16"/>
          <w:szCs w:val="16"/>
          <w:color w:val="auto"/>
        </w:rPr>
        <w:t>a $163.1 million goodwill and intangible asset impairment charge recorded in the third quarter related to Right Management (see Note 1 to the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1" w:lineRule="exact"/>
        <w:rPr>
          <w:sz w:val="20"/>
          <w:szCs w:val="20"/>
          <w:color w:val="auto"/>
        </w:rPr>
      </w:pPr>
    </w:p>
    <w:p>
      <w:pPr>
        <w:ind w:left="420"/>
        <w:spacing w:after="0" w:line="257" w:lineRule="auto"/>
        <w:rPr>
          <w:sz w:val="20"/>
          <w:szCs w:val="20"/>
          <w:color w:val="auto"/>
        </w:rPr>
      </w:pPr>
      <w:r>
        <w:rPr>
          <w:rFonts w:ascii="Arial" w:cs="Arial" w:eastAsia="Arial" w:hAnsi="Arial"/>
          <w:sz w:val="16"/>
          <w:szCs w:val="16"/>
          <w:color w:val="auto"/>
        </w:rPr>
        <w:t>$54.1 million of costs for a legal reserve recorded in the second quarter related to the French competition investigation compared to the $15.0 million recorded in 2007 (see Note 14 to the consolidated financial statements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$37.2 million of global reorganization charges for severance and other office closure costs recorded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7.3% increase in expenses in constant currency, primarily related to personnel costs and continued investments in certain markets;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line="257" w:lineRule="auto"/>
        <w:rPr>
          <w:sz w:val="20"/>
          <w:szCs w:val="20"/>
          <w:color w:val="auto"/>
        </w:rPr>
      </w:pPr>
      <w:r>
        <w:rPr>
          <w:rFonts w:ascii="Arial" w:cs="Arial" w:eastAsia="Arial" w:hAnsi="Arial"/>
          <w:sz w:val="16"/>
          <w:szCs w:val="16"/>
          <w:color w:val="auto"/>
        </w:rPr>
        <w:t>certain items included in the 2007 Selling and Administrative Expenses that did not recur in 2008, including a $7.5 million charge related to the payroll tax modification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Selling and Administrative Expenses as a percent of revenue increased by 2.0% (+200 basis points) in 2008 compared to 2007. The change in Selling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as a percent of revenue consists of:</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76 basis point (+0.76%) impact due to the goodwill and intangible asset impairment charge related to Right Management recorded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line="257" w:lineRule="auto"/>
        <w:rPr>
          <w:sz w:val="20"/>
          <w:szCs w:val="20"/>
          <w:color w:val="auto"/>
        </w:rPr>
      </w:pPr>
      <w:r>
        <w:rPr>
          <w:rFonts w:ascii="Arial" w:cs="Arial" w:eastAsia="Arial" w:hAnsi="Arial"/>
          <w:sz w:val="16"/>
          <w:szCs w:val="16"/>
          <w:color w:val="auto"/>
        </w:rPr>
        <w:t>a 25 basis point (+0.25%) impact due to the legal reserve recorded related to the French competition investigation recognized in 2008, compared to a 7 basis point (+0.07%) impact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17 basis point (+0.17%) impact due to the global reorganization charges recorded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4 basis point (-0.04%) decline related to costs recorded in 2007 associated with the payroll tax modification in France;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line="257" w:lineRule="auto"/>
        <w:rPr>
          <w:sz w:val="20"/>
          <w:szCs w:val="20"/>
          <w:color w:val="auto"/>
        </w:rPr>
      </w:pPr>
      <w:r>
        <w:rPr>
          <w:rFonts w:ascii="Arial" w:cs="Arial" w:eastAsia="Arial" w:hAnsi="Arial"/>
          <w:sz w:val="16"/>
          <w:szCs w:val="16"/>
          <w:color w:val="auto"/>
        </w:rPr>
        <w:t>an 86 basis point (+0.86%) increase due primarily to the deleveraging of expenses, as we did not decrease expenses in line with the slowing revenue levels later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0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Interest and Other Expense is comprised of interest, foreign exchange gains and losses and other miscellaneous non-operating income and expenses. Interest and Other Expense was $50.9 million in 2008 compared to $34.2 million in 2007. Net Interest Expense increased $12.8 million to $41.8 million in 2008 from $29.0 million in 2007, due primarily to our Euro-denominated interest expense being translated into U.S. Dollars at a higher rate in 2008 compared to 2007. Foreign exchange gains and losses primarily result from intercompany transactions between our foreign subsidiaries and the U.S. Foreign exchange gains were $2.9 million in 2008 compared to $0.6 million in 2007. Other expense consists of bank fees and other non-operating expenses and in 2008, was $12.0 million compared to $5.8 million in 2007.</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provided for income taxes at an effective rate of 52.2% for 2008 compared to an effective rate of 38.7% for 2007. The 2008 rate is higher due to the impact of the non-deductible goodwill and intangible asset impairment charge related to Right Management and certain discrete items including the non-deductible French legal reserve. Excluding the impairment charge and these discrete items, our effective tax rate for 2008 was 37.5% . This 37.5% rate is higher than the U.S. Federal statutory rate of 35% due primarily to the impact of valuation allowances recorded for non-U.S. net operating losses, U.S. state income taxes and the income tax cost associated with additional cash repatriations from our non-U.S.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7964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80"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20</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Net Earnings Per Share– Diluted decreased 52.0% to $2.75 in 2008 compared to $5.73 in 2007. This decrease includes: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lesser impact from the modification to the payroll tax calculation in France, a $44.8 million, net of tax decrease, or $0.50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increased expense for the French competition investigation, a $35.0 million, net of tax decrease, or $0.45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goodwill and intangible asset impairment charge, a $154.6 million, net of tax decrease, or $1.94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2004 business tax refund in France, a $28.3 million, net of tax increase, or $0.36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global reorganization costs recorded in the fourth quarter of 2008, a $27.2 million, net of tax decrease, or $0.34 per diluted share;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higher foreign currency exchange rates, a $0.37 per diluted share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3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Weighted Average Shares – Diluted decreased 5.8% to 79.7 million in 2008 from 84.6 million in 2007. This decline is primarily a result of our repurchase of 2.2 million shares and 6.1 million shares of our common stock during 2008 and 2007, respectively, and an increase in the total anti-dilutive shares excluded from the calculation in 2008 compared to 2007.</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CONSOLIDATED RESULTS – 2007 COMPARED TO 2006</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selected consolidated financial data for 2007 as compared to 2006.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jc w:val="right"/>
              <w:ind w:right="293"/>
              <w:spacing w:after="0"/>
              <w:rPr>
                <w:sz w:val="20"/>
                <w:szCs w:val="20"/>
                <w:color w:val="auto"/>
              </w:rPr>
            </w:pPr>
            <w:r>
              <w:rPr>
                <w:rFonts w:ascii="Arial" w:cs="Arial" w:eastAsia="Arial" w:hAnsi="Arial"/>
                <w:sz w:val="13"/>
                <w:szCs w:val="13"/>
                <w:color w:val="4D8ABE"/>
              </w:rPr>
              <w:t>Variance in</w:t>
            </w:r>
          </w:p>
        </w:tc>
        <w:tc>
          <w:tcPr>
            <w:tcW w:w="1000" w:type="dxa"/>
            <w:vAlign w:val="bottom"/>
            <w:gridSpan w:val="2"/>
          </w:tcPr>
          <w:p>
            <w:pPr>
              <w:jc w:val="right"/>
              <w:ind w:right="152"/>
              <w:spacing w:after="0"/>
              <w:rPr>
                <w:sz w:val="20"/>
                <w:szCs w:val="20"/>
                <w:color w:val="auto"/>
              </w:rPr>
            </w:pPr>
            <w:r>
              <w:rPr>
                <w:rFonts w:ascii="Arial" w:cs="Arial" w:eastAsia="Arial" w:hAnsi="Arial"/>
                <w:sz w:val="13"/>
                <w:szCs w:val="13"/>
                <w:color w:val="4D8ABE"/>
              </w:rPr>
              <w:t>Organic</w:t>
            </w:r>
          </w:p>
        </w:tc>
      </w:tr>
      <w:tr>
        <w:trPr>
          <w:trHeight w:val="164"/>
        </w:trPr>
        <w:tc>
          <w:tcPr>
            <w:tcW w:w="4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253"/>
              <w:spacing w:after="0"/>
              <w:rPr>
                <w:sz w:val="20"/>
                <w:szCs w:val="20"/>
                <w:color w:val="auto"/>
              </w:rPr>
            </w:pPr>
            <w:r>
              <w:rPr>
                <w:rFonts w:ascii="Arial" w:cs="Arial" w:eastAsia="Arial" w:hAnsi="Arial"/>
                <w:sz w:val="13"/>
                <w:szCs w:val="13"/>
                <w:color w:val="4D8ABE"/>
              </w:rPr>
              <w:t>Reported</w:t>
            </w:r>
          </w:p>
        </w:tc>
        <w:tc>
          <w:tcPr>
            <w:tcW w:w="1180" w:type="dxa"/>
            <w:vAlign w:val="bottom"/>
          </w:tcPr>
          <w:p>
            <w:pPr>
              <w:jc w:val="right"/>
              <w:ind w:right="293"/>
              <w:spacing w:after="0"/>
              <w:rPr>
                <w:sz w:val="20"/>
                <w:szCs w:val="20"/>
                <w:color w:val="auto"/>
              </w:rPr>
            </w:pPr>
            <w:r>
              <w:rPr>
                <w:rFonts w:ascii="Arial" w:cs="Arial" w:eastAsia="Arial" w:hAnsi="Arial"/>
                <w:sz w:val="13"/>
                <w:szCs w:val="13"/>
                <w:color w:val="4D8ABE"/>
              </w:rPr>
              <w:t>Constant</w:t>
            </w:r>
          </w:p>
        </w:tc>
        <w:tc>
          <w:tcPr>
            <w:tcW w:w="1000" w:type="dxa"/>
            <w:vAlign w:val="bottom"/>
            <w:gridSpan w:val="2"/>
          </w:tcPr>
          <w:p>
            <w:pPr>
              <w:jc w:val="right"/>
              <w:ind w:right="152"/>
              <w:spacing w:after="0"/>
              <w:rPr>
                <w:sz w:val="20"/>
                <w:szCs w:val="20"/>
                <w:color w:val="auto"/>
              </w:rPr>
            </w:pPr>
            <w:r>
              <w:rPr>
                <w:rFonts w:ascii="Arial" w:cs="Arial" w:eastAsia="Arial" w:hAnsi="Arial"/>
                <w:sz w:val="13"/>
                <w:szCs w:val="13"/>
                <w:color w:val="4D8ABE"/>
              </w:rPr>
              <w:t>Constant</w:t>
            </w:r>
          </w:p>
        </w:tc>
      </w:tr>
      <w:tr>
        <w:trPr>
          <w:trHeight w:val="165"/>
        </w:trPr>
        <w:tc>
          <w:tcPr>
            <w:tcW w:w="4640" w:type="dxa"/>
            <w:vAlign w:val="bottom"/>
          </w:tcPr>
          <w:p>
            <w:pPr>
              <w:spacing w:after="0"/>
              <w:rPr>
                <w:sz w:val="20"/>
                <w:szCs w:val="20"/>
                <w:color w:val="auto"/>
              </w:rPr>
            </w:pPr>
            <w:r>
              <w:rPr>
                <w:rFonts w:ascii="Arial" w:cs="Arial" w:eastAsia="Arial" w:hAnsi="Arial"/>
                <w:sz w:val="13"/>
                <w:szCs w:val="13"/>
                <w:color w:val="4D8ABE"/>
              </w:rPr>
              <w:t>(in millions except per share data)</w:t>
            </w:r>
          </w:p>
        </w:tc>
        <w:tc>
          <w:tcPr>
            <w:tcW w:w="136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4D8ABE"/>
              </w:rPr>
              <w:t>2007</w:t>
            </w:r>
          </w:p>
        </w:tc>
        <w:tc>
          <w:tcPr>
            <w:tcW w:w="30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color w:val="4D8ABE"/>
              </w:rPr>
              <w:t>2006</w:t>
            </w:r>
          </w:p>
        </w:tc>
        <w:tc>
          <w:tcPr>
            <w:tcW w:w="1120" w:type="dxa"/>
            <w:vAlign w:val="bottom"/>
          </w:tcPr>
          <w:p>
            <w:pPr>
              <w:jc w:val="right"/>
              <w:ind w:right="253"/>
              <w:spacing w:after="0"/>
              <w:rPr>
                <w:sz w:val="20"/>
                <w:szCs w:val="20"/>
                <w:color w:val="auto"/>
              </w:rPr>
            </w:pPr>
            <w:r>
              <w:rPr>
                <w:rFonts w:ascii="Arial" w:cs="Arial" w:eastAsia="Arial" w:hAnsi="Arial"/>
                <w:sz w:val="13"/>
                <w:szCs w:val="13"/>
                <w:color w:val="4D8ABE"/>
              </w:rPr>
              <w:t>Variance</w:t>
            </w:r>
          </w:p>
        </w:tc>
        <w:tc>
          <w:tcPr>
            <w:tcW w:w="1180" w:type="dxa"/>
            <w:vAlign w:val="bottom"/>
          </w:tcPr>
          <w:p>
            <w:pPr>
              <w:jc w:val="right"/>
              <w:ind w:right="293"/>
              <w:spacing w:after="0"/>
              <w:rPr>
                <w:sz w:val="20"/>
                <w:szCs w:val="20"/>
                <w:color w:val="auto"/>
              </w:rPr>
            </w:pPr>
            <w:r>
              <w:rPr>
                <w:rFonts w:ascii="Arial" w:cs="Arial" w:eastAsia="Arial" w:hAnsi="Arial"/>
                <w:sz w:val="13"/>
                <w:szCs w:val="13"/>
                <w:color w:val="4D8ABE"/>
              </w:rPr>
              <w:t>Currency</w:t>
            </w:r>
          </w:p>
        </w:tc>
        <w:tc>
          <w:tcPr>
            <w:tcW w:w="1000" w:type="dxa"/>
            <w:vAlign w:val="bottom"/>
            <w:gridSpan w:val="2"/>
          </w:tcPr>
          <w:p>
            <w:pPr>
              <w:jc w:val="right"/>
              <w:ind w:right="152"/>
              <w:spacing w:after="0"/>
              <w:rPr>
                <w:sz w:val="20"/>
                <w:szCs w:val="20"/>
                <w:color w:val="auto"/>
              </w:rPr>
            </w:pPr>
            <w:r>
              <w:rPr>
                <w:rFonts w:ascii="Arial" w:cs="Arial" w:eastAsia="Arial" w:hAnsi="Arial"/>
                <w:sz w:val="13"/>
                <w:szCs w:val="13"/>
                <w:color w:val="4D8ABE"/>
              </w:rPr>
              <w:t>Currency</w:t>
            </w:r>
          </w:p>
        </w:tc>
      </w:tr>
      <w:tr>
        <w:trPr>
          <w:trHeight w:val="155"/>
        </w:trPr>
        <w:tc>
          <w:tcPr>
            <w:tcW w:w="4640" w:type="dxa"/>
            <w:vAlign w:val="bottom"/>
            <w:tcBorders>
              <w:top w:val="single" w:sz="8" w:color="4D8ABE"/>
            </w:tcBorders>
            <w:shd w:val="clear" w:color="auto" w:fill="E6EFFF"/>
          </w:tcPr>
          <w:p>
            <w:pPr>
              <w:spacing w:after="0"/>
              <w:rPr>
                <w:sz w:val="20"/>
                <w:szCs w:val="20"/>
                <w:color w:val="auto"/>
              </w:rPr>
            </w:pPr>
            <w:r>
              <w:rPr>
                <w:rFonts w:ascii="Arial" w:cs="Arial" w:eastAsia="Arial" w:hAnsi="Arial"/>
                <w:sz w:val="13"/>
                <w:szCs w:val="13"/>
                <w:color w:val="auto"/>
              </w:rPr>
              <w:t>Revenues from services</w:t>
            </w:r>
          </w:p>
        </w:tc>
        <w:tc>
          <w:tcPr>
            <w:tcW w:w="1360" w:type="dxa"/>
            <w:vAlign w:val="bottom"/>
            <w:tcBorders>
              <w:top w:val="single" w:sz="8" w:color="4D8ABE"/>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4D8ABE"/>
            </w:tcBorders>
            <w:shd w:val="clear" w:color="auto" w:fill="E6EFFF"/>
          </w:tcPr>
          <w:p>
            <w:pPr>
              <w:jc w:val="right"/>
              <w:ind w:right="94"/>
              <w:spacing w:after="0" w:line="155" w:lineRule="exact"/>
              <w:rPr>
                <w:sz w:val="20"/>
                <w:szCs w:val="20"/>
                <w:color w:val="auto"/>
              </w:rPr>
            </w:pPr>
            <w:r>
              <w:rPr>
                <w:rFonts w:ascii="Arial" w:cs="Arial" w:eastAsia="Arial" w:hAnsi="Arial"/>
                <w:sz w:val="14"/>
                <w:szCs w:val="14"/>
                <w:color w:val="auto"/>
              </w:rPr>
              <w:t>20,500.3</w:t>
            </w:r>
          </w:p>
        </w:tc>
        <w:tc>
          <w:tcPr>
            <w:tcW w:w="300" w:type="dxa"/>
            <w:vAlign w:val="bottom"/>
            <w:tcBorders>
              <w:top w:val="single" w:sz="8" w:color="4D8ABE"/>
            </w:tcBorders>
            <w:shd w:val="clear" w:color="auto" w:fill="E6EFFF"/>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4D8ABE"/>
            </w:tcBorders>
            <w:shd w:val="clear" w:color="auto" w:fill="E6EFFF"/>
          </w:tcPr>
          <w:p>
            <w:pPr>
              <w:jc w:val="right"/>
              <w:ind w:right="274"/>
              <w:spacing w:after="0" w:line="155" w:lineRule="exact"/>
              <w:rPr>
                <w:sz w:val="20"/>
                <w:szCs w:val="20"/>
                <w:color w:val="auto"/>
              </w:rPr>
            </w:pPr>
            <w:r>
              <w:rPr>
                <w:rFonts w:ascii="Arial" w:cs="Arial" w:eastAsia="Arial" w:hAnsi="Arial"/>
                <w:sz w:val="14"/>
                <w:szCs w:val="14"/>
                <w:color w:val="auto"/>
              </w:rPr>
              <w:t>17,562.5</w:t>
            </w:r>
          </w:p>
        </w:tc>
        <w:tc>
          <w:tcPr>
            <w:tcW w:w="1120" w:type="dxa"/>
            <w:vAlign w:val="bottom"/>
            <w:tcBorders>
              <w:top w:val="single" w:sz="8" w:color="4D8ABE"/>
            </w:tcBorders>
            <w:shd w:val="clear" w:color="auto" w:fill="E6EFFF"/>
          </w:tcPr>
          <w:p>
            <w:pPr>
              <w:jc w:val="right"/>
              <w:ind w:right="133"/>
              <w:spacing w:after="0"/>
              <w:rPr>
                <w:sz w:val="20"/>
                <w:szCs w:val="20"/>
                <w:color w:val="auto"/>
              </w:rPr>
            </w:pPr>
            <w:r>
              <w:rPr>
                <w:rFonts w:ascii="Arial" w:cs="Arial" w:eastAsia="Arial" w:hAnsi="Arial"/>
                <w:sz w:val="13"/>
                <w:szCs w:val="13"/>
                <w:color w:val="auto"/>
              </w:rPr>
              <w:t>16.7%</w:t>
            </w:r>
          </w:p>
        </w:tc>
        <w:tc>
          <w:tcPr>
            <w:tcW w:w="1180" w:type="dxa"/>
            <w:vAlign w:val="bottom"/>
            <w:tcBorders>
              <w:top w:val="single" w:sz="8" w:color="4D8ABE"/>
            </w:tcBorders>
            <w:shd w:val="clear" w:color="auto" w:fill="E6EFFF"/>
          </w:tcPr>
          <w:p>
            <w:pPr>
              <w:jc w:val="right"/>
              <w:ind w:right="173"/>
              <w:spacing w:after="0"/>
              <w:rPr>
                <w:sz w:val="20"/>
                <w:szCs w:val="20"/>
                <w:color w:val="auto"/>
              </w:rPr>
            </w:pPr>
            <w:r>
              <w:rPr>
                <w:rFonts w:ascii="Arial" w:cs="Arial" w:eastAsia="Arial" w:hAnsi="Arial"/>
                <w:sz w:val="13"/>
                <w:szCs w:val="13"/>
                <w:color w:val="auto"/>
              </w:rPr>
              <w:t>9.0%</w:t>
            </w:r>
          </w:p>
        </w:tc>
        <w:tc>
          <w:tcPr>
            <w:tcW w:w="780" w:type="dxa"/>
            <w:vAlign w:val="bottom"/>
            <w:tcBorders>
              <w:top w:val="single" w:sz="8" w:color="4D8ABE"/>
            </w:tcBorders>
            <w:shd w:val="clear" w:color="auto" w:fill="E6EFFF"/>
          </w:tcPr>
          <w:p>
            <w:pPr>
              <w:jc w:val="right"/>
              <w:spacing w:after="0"/>
              <w:rPr>
                <w:sz w:val="20"/>
                <w:szCs w:val="20"/>
                <w:color w:val="auto"/>
              </w:rPr>
            </w:pPr>
            <w:r>
              <w:rPr>
                <w:rFonts w:ascii="Arial" w:cs="Arial" w:eastAsia="Arial" w:hAnsi="Arial"/>
                <w:sz w:val="13"/>
                <w:szCs w:val="13"/>
                <w:color w:val="auto"/>
              </w:rPr>
              <w:t>8.7</w:t>
            </w:r>
          </w:p>
        </w:tc>
        <w:tc>
          <w:tcPr>
            <w:tcW w:w="220" w:type="dxa"/>
            <w:vAlign w:val="bottom"/>
            <w:tcBorders>
              <w:top w:val="single" w:sz="8" w:color="E6EFFF"/>
            </w:tcBorders>
            <w:shd w:val="clear" w:color="auto" w:fill="E6EFFF"/>
          </w:tcPr>
          <w:p>
            <w:pPr>
              <w:jc w:val="right"/>
              <w:ind w:right="32"/>
              <w:spacing w:after="0" w:line="145" w:lineRule="exact"/>
              <w:rPr>
                <w:sz w:val="20"/>
                <w:szCs w:val="20"/>
                <w:color w:val="auto"/>
              </w:rPr>
            </w:pPr>
            <w:r>
              <w:rPr>
                <w:rFonts w:ascii="Arial" w:cs="Arial" w:eastAsia="Arial" w:hAnsi="Arial"/>
                <w:sz w:val="14"/>
                <w:szCs w:val="14"/>
                <w:color w:val="auto"/>
                <w:w w:val="79"/>
              </w:rPr>
              <w:t>%</w:t>
            </w:r>
          </w:p>
        </w:tc>
      </w:tr>
      <w:tr>
        <w:trPr>
          <w:trHeight w:val="164"/>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Cost of services</w:t>
            </w:r>
          </w:p>
        </w:tc>
        <w:tc>
          <w:tcPr>
            <w:tcW w:w="1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16,651.7</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14,416.5</w:t>
            </w:r>
          </w:p>
        </w:tc>
        <w:tc>
          <w:tcPr>
            <w:tcW w:w="11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15.5</w:t>
            </w:r>
          </w:p>
        </w:tc>
        <w:tc>
          <w:tcPr>
            <w:tcW w:w="1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E6EFFF"/>
            </w:tcBorders>
          </w:tcPr>
          <w:p>
            <w:pPr>
              <w:spacing w:after="0"/>
              <w:rPr>
                <w:sz w:val="14"/>
                <w:szCs w:val="14"/>
                <w:color w:val="auto"/>
              </w:rPr>
            </w:pPr>
          </w:p>
        </w:tc>
      </w:tr>
      <w:tr>
        <w:trPr>
          <w:trHeight w:val="155"/>
        </w:trPr>
        <w:tc>
          <w:tcPr>
            <w:tcW w:w="4640" w:type="dxa"/>
            <w:vAlign w:val="bottom"/>
            <w:shd w:val="clear" w:color="auto" w:fill="E6EFFF"/>
          </w:tcPr>
          <w:p>
            <w:pPr>
              <w:spacing w:after="0"/>
              <w:rPr>
                <w:sz w:val="20"/>
                <w:szCs w:val="20"/>
                <w:color w:val="auto"/>
              </w:rPr>
            </w:pPr>
            <w:r>
              <w:rPr>
                <w:rFonts w:ascii="Arial" w:cs="Arial" w:eastAsia="Arial" w:hAnsi="Arial"/>
                <w:sz w:val="13"/>
                <w:szCs w:val="13"/>
                <w:color w:val="auto"/>
              </w:rPr>
              <w:t>Gross profit</w:t>
            </w:r>
          </w:p>
        </w:tc>
        <w:tc>
          <w:tcPr>
            <w:tcW w:w="1360" w:type="dxa"/>
            <w:vAlign w:val="bottom"/>
            <w:shd w:val="clear" w:color="auto" w:fill="E6EFFF"/>
          </w:tcPr>
          <w:p>
            <w:pPr>
              <w:spacing w:after="0"/>
              <w:rPr>
                <w:sz w:val="13"/>
                <w:szCs w:val="13"/>
                <w:color w:val="auto"/>
              </w:rPr>
            </w:pPr>
          </w:p>
        </w:tc>
        <w:tc>
          <w:tcPr>
            <w:tcW w:w="840" w:type="dxa"/>
            <w:vAlign w:val="bottom"/>
            <w:shd w:val="clear" w:color="auto" w:fill="E6EFFF"/>
          </w:tcPr>
          <w:p>
            <w:pPr>
              <w:jc w:val="right"/>
              <w:ind w:right="94"/>
              <w:spacing w:after="0"/>
              <w:rPr>
                <w:sz w:val="20"/>
                <w:szCs w:val="20"/>
                <w:color w:val="auto"/>
              </w:rPr>
            </w:pPr>
            <w:r>
              <w:rPr>
                <w:rFonts w:ascii="Arial" w:cs="Arial" w:eastAsia="Arial" w:hAnsi="Arial"/>
                <w:sz w:val="13"/>
                <w:szCs w:val="13"/>
                <w:color w:val="auto"/>
              </w:rPr>
              <w:t>3,848.6</w:t>
            </w:r>
          </w:p>
        </w:tc>
        <w:tc>
          <w:tcPr>
            <w:tcW w:w="300" w:type="dxa"/>
            <w:vAlign w:val="bottom"/>
            <w:shd w:val="clear" w:color="auto" w:fill="E6EFFF"/>
          </w:tcPr>
          <w:p>
            <w:pPr>
              <w:spacing w:after="0"/>
              <w:rPr>
                <w:sz w:val="13"/>
                <w:szCs w:val="13"/>
                <w:color w:val="auto"/>
              </w:rPr>
            </w:pPr>
          </w:p>
        </w:tc>
        <w:tc>
          <w:tcPr>
            <w:tcW w:w="1020" w:type="dxa"/>
            <w:vAlign w:val="bottom"/>
            <w:shd w:val="clear" w:color="auto" w:fill="E6EFFF"/>
          </w:tcPr>
          <w:p>
            <w:pPr>
              <w:jc w:val="right"/>
              <w:ind w:right="274"/>
              <w:spacing w:after="0"/>
              <w:rPr>
                <w:sz w:val="20"/>
                <w:szCs w:val="20"/>
                <w:color w:val="auto"/>
              </w:rPr>
            </w:pPr>
            <w:r>
              <w:rPr>
                <w:rFonts w:ascii="Arial" w:cs="Arial" w:eastAsia="Arial" w:hAnsi="Arial"/>
                <w:sz w:val="13"/>
                <w:szCs w:val="13"/>
                <w:color w:val="auto"/>
              </w:rPr>
              <w:t>3,146.0</w:t>
            </w:r>
          </w:p>
        </w:tc>
        <w:tc>
          <w:tcPr>
            <w:tcW w:w="112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22.3</w:t>
            </w:r>
          </w:p>
        </w:tc>
        <w:tc>
          <w:tcPr>
            <w:tcW w:w="118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14.7</w:t>
            </w:r>
          </w:p>
        </w:tc>
        <w:tc>
          <w:tcPr>
            <w:tcW w:w="78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r>
      <w:tr>
        <w:trPr>
          <w:trHeight w:val="162"/>
        </w:trPr>
        <w:tc>
          <w:tcPr>
            <w:tcW w:w="4640" w:type="dxa"/>
            <w:vAlign w:val="bottom"/>
          </w:tcPr>
          <w:p>
            <w:pPr>
              <w:spacing w:after="0"/>
              <w:rPr>
                <w:sz w:val="20"/>
                <w:szCs w:val="20"/>
                <w:color w:val="auto"/>
              </w:rPr>
            </w:pPr>
            <w:r>
              <w:rPr>
                <w:rFonts w:ascii="Arial" w:cs="Arial" w:eastAsia="Arial" w:hAnsi="Arial"/>
                <w:sz w:val="12"/>
                <w:szCs w:val="12"/>
                <w:i w:val="1"/>
                <w:iCs w:val="1"/>
                <w:color w:val="auto"/>
              </w:rPr>
              <w:t>Gross profit margin</w:t>
            </w:r>
          </w:p>
        </w:tc>
        <w:tc>
          <w:tcPr>
            <w:tcW w:w="1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i w:val="1"/>
                <w:iCs w:val="1"/>
                <w:color w:val="auto"/>
              </w:rPr>
              <w:t>18.8%</w:t>
            </w:r>
          </w:p>
        </w:tc>
        <w:tc>
          <w:tcPr>
            <w:tcW w:w="300" w:type="dxa"/>
            <w:vAlign w:val="bottom"/>
          </w:tcPr>
          <w:p>
            <w:pPr>
              <w:spacing w:after="0"/>
              <w:rPr>
                <w:sz w:val="14"/>
                <w:szCs w:val="14"/>
                <w:color w:val="auto"/>
              </w:rPr>
            </w:pPr>
          </w:p>
        </w:tc>
        <w:tc>
          <w:tcPr>
            <w:tcW w:w="1020" w:type="dxa"/>
            <w:vAlign w:val="bottom"/>
          </w:tcPr>
          <w:p>
            <w:pPr>
              <w:jc w:val="right"/>
              <w:ind w:right="174"/>
              <w:spacing w:after="0"/>
              <w:rPr>
                <w:sz w:val="20"/>
                <w:szCs w:val="20"/>
                <w:color w:val="auto"/>
              </w:rPr>
            </w:pPr>
            <w:r>
              <w:rPr>
                <w:rFonts w:ascii="Arial" w:cs="Arial" w:eastAsia="Arial" w:hAnsi="Arial"/>
                <w:sz w:val="12"/>
                <w:szCs w:val="12"/>
                <w:i w:val="1"/>
                <w:iCs w:val="1"/>
                <w:color w:val="auto"/>
              </w:rPr>
              <w:t>17.9%</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4640" w:type="dxa"/>
            <w:vAlign w:val="bottom"/>
            <w:shd w:val="clear" w:color="auto" w:fill="E6EFFF"/>
          </w:tcPr>
          <w:p>
            <w:pPr>
              <w:ind w:left="120"/>
              <w:spacing w:after="0"/>
              <w:rPr>
                <w:sz w:val="20"/>
                <w:szCs w:val="20"/>
                <w:color w:val="auto"/>
              </w:rPr>
            </w:pPr>
            <w:r>
              <w:rPr>
                <w:rFonts w:ascii="Arial" w:cs="Arial" w:eastAsia="Arial" w:hAnsi="Arial"/>
                <w:sz w:val="13"/>
                <w:szCs w:val="13"/>
                <w:color w:val="auto"/>
              </w:rPr>
              <w:t>Selling and administrative expenses</w:t>
            </w:r>
          </w:p>
        </w:tc>
        <w:tc>
          <w:tcPr>
            <w:tcW w:w="1360" w:type="dxa"/>
            <w:vAlign w:val="bottom"/>
            <w:shd w:val="clear" w:color="auto" w:fill="E6EFFF"/>
          </w:tcPr>
          <w:p>
            <w:pPr>
              <w:spacing w:after="0"/>
              <w:rPr>
                <w:sz w:val="14"/>
                <w:szCs w:val="14"/>
                <w:color w:val="auto"/>
              </w:rPr>
            </w:pPr>
          </w:p>
        </w:tc>
        <w:tc>
          <w:tcPr>
            <w:tcW w:w="840" w:type="dxa"/>
            <w:vAlign w:val="bottom"/>
            <w:shd w:val="clear" w:color="auto" w:fill="E6EFFF"/>
          </w:tcPr>
          <w:p>
            <w:pPr>
              <w:jc w:val="right"/>
              <w:ind w:right="94"/>
              <w:spacing w:after="0"/>
              <w:rPr>
                <w:sz w:val="20"/>
                <w:szCs w:val="20"/>
                <w:color w:val="auto"/>
              </w:rPr>
            </w:pPr>
            <w:r>
              <w:rPr>
                <w:rFonts w:ascii="Arial" w:cs="Arial" w:eastAsia="Arial" w:hAnsi="Arial"/>
                <w:sz w:val="13"/>
                <w:szCs w:val="13"/>
                <w:color w:val="auto"/>
              </w:rPr>
              <w:t>3,023.2</w:t>
            </w:r>
          </w:p>
        </w:tc>
        <w:tc>
          <w:tcPr>
            <w:tcW w:w="300" w:type="dxa"/>
            <w:vAlign w:val="bottom"/>
            <w:shd w:val="clear" w:color="auto" w:fill="E6EFFF"/>
          </w:tcPr>
          <w:p>
            <w:pPr>
              <w:spacing w:after="0"/>
              <w:rPr>
                <w:sz w:val="14"/>
                <w:szCs w:val="14"/>
                <w:color w:val="auto"/>
              </w:rPr>
            </w:pPr>
          </w:p>
        </w:tc>
        <w:tc>
          <w:tcPr>
            <w:tcW w:w="1020" w:type="dxa"/>
            <w:vAlign w:val="bottom"/>
            <w:shd w:val="clear" w:color="auto" w:fill="E6EFFF"/>
          </w:tcPr>
          <w:p>
            <w:pPr>
              <w:jc w:val="right"/>
              <w:ind w:right="274"/>
              <w:spacing w:after="0"/>
              <w:rPr>
                <w:sz w:val="20"/>
                <w:szCs w:val="20"/>
                <w:color w:val="auto"/>
              </w:rPr>
            </w:pPr>
            <w:r>
              <w:rPr>
                <w:rFonts w:ascii="Arial" w:cs="Arial" w:eastAsia="Arial" w:hAnsi="Arial"/>
                <w:sz w:val="13"/>
                <w:szCs w:val="13"/>
                <w:color w:val="auto"/>
              </w:rPr>
              <w:t>2,613.9</w:t>
            </w:r>
          </w:p>
        </w:tc>
        <w:tc>
          <w:tcPr>
            <w:tcW w:w="112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15.7</w:t>
            </w:r>
          </w:p>
        </w:tc>
        <w:tc>
          <w:tcPr>
            <w:tcW w:w="118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8.9</w:t>
            </w:r>
          </w:p>
        </w:tc>
        <w:tc>
          <w:tcPr>
            <w:tcW w:w="78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2"/>
        </w:trPr>
        <w:tc>
          <w:tcPr>
            <w:tcW w:w="4640" w:type="dxa"/>
            <w:vAlign w:val="bottom"/>
            <w:tcBorders>
              <w:bottom w:val="single" w:sz="8" w:color="auto"/>
            </w:tcBorders>
          </w:tcPr>
          <w:p>
            <w:pPr>
              <w:ind w:left="100"/>
              <w:spacing w:after="0"/>
              <w:rPr>
                <w:sz w:val="20"/>
                <w:szCs w:val="20"/>
                <w:color w:val="auto"/>
              </w:rPr>
            </w:pPr>
            <w:r>
              <w:rPr>
                <w:rFonts w:ascii="Arial" w:cs="Arial" w:eastAsia="Arial" w:hAnsi="Arial"/>
                <w:sz w:val="12"/>
                <w:szCs w:val="12"/>
                <w:i w:val="1"/>
                <w:iCs w:val="1"/>
                <w:color w:val="auto"/>
              </w:rPr>
              <w:t>Selling and administrative expenses as a % of revenue</w:t>
            </w:r>
          </w:p>
        </w:tc>
        <w:tc>
          <w:tcPr>
            <w:tcW w:w="1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i w:val="1"/>
                <w:iCs w:val="1"/>
                <w:color w:val="auto"/>
              </w:rPr>
              <w:t>14.7%</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2"/>
                <w:szCs w:val="12"/>
                <w:i w:val="1"/>
                <w:iCs w:val="1"/>
                <w:color w:val="auto"/>
              </w:rPr>
              <w:t>14.9%</w:t>
            </w:r>
          </w:p>
        </w:tc>
        <w:tc>
          <w:tcPr>
            <w:tcW w:w="1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E6EFFF"/>
            </w:tcBorders>
          </w:tcPr>
          <w:p>
            <w:pPr>
              <w:spacing w:after="0"/>
              <w:rPr>
                <w:sz w:val="14"/>
                <w:szCs w:val="14"/>
                <w:color w:val="auto"/>
              </w:rPr>
            </w:pPr>
          </w:p>
        </w:tc>
      </w:tr>
      <w:tr>
        <w:trPr>
          <w:trHeight w:val="157"/>
        </w:trPr>
        <w:tc>
          <w:tcPr>
            <w:tcW w:w="4640" w:type="dxa"/>
            <w:vAlign w:val="bottom"/>
            <w:shd w:val="clear" w:color="auto" w:fill="E6EFFF"/>
          </w:tcPr>
          <w:p>
            <w:pPr>
              <w:spacing w:after="0"/>
              <w:rPr>
                <w:sz w:val="20"/>
                <w:szCs w:val="20"/>
                <w:color w:val="auto"/>
              </w:rPr>
            </w:pPr>
            <w:r>
              <w:rPr>
                <w:rFonts w:ascii="Arial" w:cs="Arial" w:eastAsia="Arial" w:hAnsi="Arial"/>
                <w:sz w:val="13"/>
                <w:szCs w:val="13"/>
                <w:color w:val="auto"/>
              </w:rPr>
              <w:t>Operating profit</w:t>
            </w:r>
          </w:p>
        </w:tc>
        <w:tc>
          <w:tcPr>
            <w:tcW w:w="1360" w:type="dxa"/>
            <w:vAlign w:val="bottom"/>
            <w:shd w:val="clear" w:color="auto" w:fill="E6EFFF"/>
          </w:tcPr>
          <w:p>
            <w:pPr>
              <w:spacing w:after="0"/>
              <w:rPr>
                <w:sz w:val="13"/>
                <w:szCs w:val="13"/>
                <w:color w:val="auto"/>
              </w:rPr>
            </w:pPr>
          </w:p>
        </w:tc>
        <w:tc>
          <w:tcPr>
            <w:tcW w:w="840" w:type="dxa"/>
            <w:vAlign w:val="bottom"/>
            <w:shd w:val="clear" w:color="auto" w:fill="E6EFFF"/>
          </w:tcPr>
          <w:p>
            <w:pPr>
              <w:jc w:val="right"/>
              <w:ind w:right="94"/>
              <w:spacing w:after="0"/>
              <w:rPr>
                <w:sz w:val="20"/>
                <w:szCs w:val="20"/>
                <w:color w:val="auto"/>
              </w:rPr>
            </w:pPr>
            <w:r>
              <w:rPr>
                <w:rFonts w:ascii="Arial" w:cs="Arial" w:eastAsia="Arial" w:hAnsi="Arial"/>
                <w:sz w:val="13"/>
                <w:szCs w:val="13"/>
                <w:color w:val="auto"/>
              </w:rPr>
              <w:t>825.4</w:t>
            </w:r>
          </w:p>
        </w:tc>
        <w:tc>
          <w:tcPr>
            <w:tcW w:w="300" w:type="dxa"/>
            <w:vAlign w:val="bottom"/>
            <w:shd w:val="clear" w:color="auto" w:fill="E6EFFF"/>
          </w:tcPr>
          <w:p>
            <w:pPr>
              <w:spacing w:after="0"/>
              <w:rPr>
                <w:sz w:val="13"/>
                <w:szCs w:val="13"/>
                <w:color w:val="auto"/>
              </w:rPr>
            </w:pPr>
          </w:p>
        </w:tc>
        <w:tc>
          <w:tcPr>
            <w:tcW w:w="1020" w:type="dxa"/>
            <w:vAlign w:val="bottom"/>
            <w:shd w:val="clear" w:color="auto" w:fill="E6EFFF"/>
          </w:tcPr>
          <w:p>
            <w:pPr>
              <w:jc w:val="right"/>
              <w:ind w:right="274"/>
              <w:spacing w:after="0"/>
              <w:rPr>
                <w:sz w:val="20"/>
                <w:szCs w:val="20"/>
                <w:color w:val="auto"/>
              </w:rPr>
            </w:pPr>
            <w:r>
              <w:rPr>
                <w:rFonts w:ascii="Arial" w:cs="Arial" w:eastAsia="Arial" w:hAnsi="Arial"/>
                <w:sz w:val="13"/>
                <w:szCs w:val="13"/>
                <w:color w:val="auto"/>
              </w:rPr>
              <w:t>532.1</w:t>
            </w:r>
          </w:p>
        </w:tc>
        <w:tc>
          <w:tcPr>
            <w:tcW w:w="112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55.1</w:t>
            </w:r>
          </w:p>
        </w:tc>
        <w:tc>
          <w:tcPr>
            <w:tcW w:w="118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43.3</w:t>
            </w:r>
          </w:p>
        </w:tc>
        <w:tc>
          <w:tcPr>
            <w:tcW w:w="7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42.2</w:t>
            </w:r>
          </w:p>
        </w:tc>
        <w:tc>
          <w:tcPr>
            <w:tcW w:w="220" w:type="dxa"/>
            <w:vAlign w:val="bottom"/>
            <w:shd w:val="clear" w:color="auto" w:fill="E6EFFF"/>
          </w:tcPr>
          <w:p>
            <w:pPr>
              <w:spacing w:after="0"/>
              <w:rPr>
                <w:sz w:val="13"/>
                <w:szCs w:val="13"/>
                <w:color w:val="auto"/>
              </w:rPr>
            </w:pPr>
          </w:p>
        </w:tc>
      </w:tr>
      <w:tr>
        <w:trPr>
          <w:trHeight w:val="162"/>
        </w:trPr>
        <w:tc>
          <w:tcPr>
            <w:tcW w:w="4640" w:type="dxa"/>
            <w:vAlign w:val="bottom"/>
          </w:tcPr>
          <w:p>
            <w:pPr>
              <w:spacing w:after="0"/>
              <w:rPr>
                <w:sz w:val="20"/>
                <w:szCs w:val="20"/>
                <w:color w:val="auto"/>
              </w:rPr>
            </w:pPr>
            <w:r>
              <w:rPr>
                <w:rFonts w:ascii="Arial" w:cs="Arial" w:eastAsia="Arial" w:hAnsi="Arial"/>
                <w:sz w:val="12"/>
                <w:szCs w:val="12"/>
                <w:i w:val="1"/>
                <w:iCs w:val="1"/>
                <w:color w:val="auto"/>
              </w:rPr>
              <w:t>Operating profit margin</w:t>
            </w:r>
          </w:p>
        </w:tc>
        <w:tc>
          <w:tcPr>
            <w:tcW w:w="1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i w:val="1"/>
                <w:iCs w:val="1"/>
                <w:color w:val="auto"/>
              </w:rPr>
              <w:t>4.0%</w:t>
            </w:r>
          </w:p>
        </w:tc>
        <w:tc>
          <w:tcPr>
            <w:tcW w:w="300" w:type="dxa"/>
            <w:vAlign w:val="bottom"/>
          </w:tcPr>
          <w:p>
            <w:pPr>
              <w:spacing w:after="0"/>
              <w:rPr>
                <w:sz w:val="14"/>
                <w:szCs w:val="14"/>
                <w:color w:val="auto"/>
              </w:rPr>
            </w:pPr>
          </w:p>
        </w:tc>
        <w:tc>
          <w:tcPr>
            <w:tcW w:w="1020" w:type="dxa"/>
            <w:vAlign w:val="bottom"/>
          </w:tcPr>
          <w:p>
            <w:pPr>
              <w:jc w:val="right"/>
              <w:ind w:right="174"/>
              <w:spacing w:after="0"/>
              <w:rPr>
                <w:sz w:val="20"/>
                <w:szCs w:val="20"/>
                <w:color w:val="auto"/>
              </w:rPr>
            </w:pPr>
            <w:r>
              <w:rPr>
                <w:rFonts w:ascii="Arial" w:cs="Arial" w:eastAsia="Arial" w:hAnsi="Arial"/>
                <w:sz w:val="12"/>
                <w:szCs w:val="12"/>
                <w:i w:val="1"/>
                <w:iCs w:val="1"/>
                <w:color w:val="auto"/>
              </w:rPr>
              <w:t>3.0%</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4640" w:type="dxa"/>
            <w:vAlign w:val="bottom"/>
            <w:shd w:val="clear" w:color="auto" w:fill="E6EFFF"/>
          </w:tcPr>
          <w:p>
            <w:pPr>
              <w:ind w:left="120"/>
              <w:spacing w:after="0"/>
              <w:rPr>
                <w:sz w:val="20"/>
                <w:szCs w:val="20"/>
                <w:color w:val="auto"/>
              </w:rPr>
            </w:pPr>
            <w:r>
              <w:rPr>
                <w:rFonts w:ascii="Arial" w:cs="Arial" w:eastAsia="Arial" w:hAnsi="Arial"/>
                <w:sz w:val="13"/>
                <w:szCs w:val="13"/>
                <w:color w:val="auto"/>
              </w:rPr>
              <w:t>Net interest expense</w:t>
            </w:r>
          </w:p>
        </w:tc>
        <w:tc>
          <w:tcPr>
            <w:tcW w:w="1360" w:type="dxa"/>
            <w:vAlign w:val="bottom"/>
            <w:shd w:val="clear" w:color="auto" w:fill="E6EFFF"/>
          </w:tcPr>
          <w:p>
            <w:pPr>
              <w:spacing w:after="0"/>
              <w:rPr>
                <w:sz w:val="14"/>
                <w:szCs w:val="14"/>
                <w:color w:val="auto"/>
              </w:rPr>
            </w:pPr>
          </w:p>
        </w:tc>
        <w:tc>
          <w:tcPr>
            <w:tcW w:w="840" w:type="dxa"/>
            <w:vAlign w:val="bottom"/>
            <w:shd w:val="clear" w:color="auto" w:fill="E6EFFF"/>
          </w:tcPr>
          <w:p>
            <w:pPr>
              <w:jc w:val="right"/>
              <w:ind w:right="94"/>
              <w:spacing w:after="0"/>
              <w:rPr>
                <w:sz w:val="20"/>
                <w:szCs w:val="20"/>
                <w:color w:val="auto"/>
              </w:rPr>
            </w:pPr>
            <w:r>
              <w:rPr>
                <w:rFonts w:ascii="Arial" w:cs="Arial" w:eastAsia="Arial" w:hAnsi="Arial"/>
                <w:sz w:val="13"/>
                <w:szCs w:val="13"/>
                <w:color w:val="auto"/>
              </w:rPr>
              <w:t>29.0</w:t>
            </w:r>
          </w:p>
        </w:tc>
        <w:tc>
          <w:tcPr>
            <w:tcW w:w="300" w:type="dxa"/>
            <w:vAlign w:val="bottom"/>
            <w:shd w:val="clear" w:color="auto" w:fill="E6EFFF"/>
          </w:tcPr>
          <w:p>
            <w:pPr>
              <w:spacing w:after="0"/>
              <w:rPr>
                <w:sz w:val="14"/>
                <w:szCs w:val="14"/>
                <w:color w:val="auto"/>
              </w:rPr>
            </w:pPr>
          </w:p>
        </w:tc>
        <w:tc>
          <w:tcPr>
            <w:tcW w:w="1020" w:type="dxa"/>
            <w:vAlign w:val="bottom"/>
            <w:shd w:val="clear" w:color="auto" w:fill="E6EFFF"/>
          </w:tcPr>
          <w:p>
            <w:pPr>
              <w:jc w:val="right"/>
              <w:ind w:right="274"/>
              <w:spacing w:after="0"/>
              <w:rPr>
                <w:sz w:val="20"/>
                <w:szCs w:val="20"/>
                <w:color w:val="auto"/>
              </w:rPr>
            </w:pPr>
            <w:r>
              <w:rPr>
                <w:rFonts w:ascii="Arial" w:cs="Arial" w:eastAsia="Arial" w:hAnsi="Arial"/>
                <w:sz w:val="13"/>
                <w:szCs w:val="13"/>
                <w:color w:val="auto"/>
              </w:rPr>
              <w:t>35.8</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(19.0)</w:t>
            </w:r>
          </w:p>
        </w:tc>
        <w:tc>
          <w:tcPr>
            <w:tcW w:w="118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Other expenses</w:t>
            </w:r>
          </w:p>
        </w:tc>
        <w:tc>
          <w:tcPr>
            <w:tcW w:w="1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5.2</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14.4</w:t>
            </w: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(63.9)</w:t>
            </w:r>
          </w:p>
        </w:tc>
        <w:tc>
          <w:tcPr>
            <w:tcW w:w="1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E6EFFF"/>
            </w:tcBorders>
          </w:tcPr>
          <w:p>
            <w:pPr>
              <w:spacing w:after="0"/>
              <w:rPr>
                <w:sz w:val="14"/>
                <w:szCs w:val="14"/>
                <w:color w:val="auto"/>
              </w:rPr>
            </w:pPr>
          </w:p>
        </w:tc>
      </w:tr>
      <w:tr>
        <w:trPr>
          <w:trHeight w:val="155"/>
        </w:trPr>
        <w:tc>
          <w:tcPr>
            <w:tcW w:w="4640" w:type="dxa"/>
            <w:vAlign w:val="bottom"/>
            <w:shd w:val="clear" w:color="auto" w:fill="E6EFFF"/>
          </w:tcPr>
          <w:p>
            <w:pPr>
              <w:spacing w:after="0"/>
              <w:rPr>
                <w:sz w:val="20"/>
                <w:szCs w:val="20"/>
                <w:color w:val="auto"/>
              </w:rPr>
            </w:pPr>
            <w:r>
              <w:rPr>
                <w:rFonts w:ascii="Arial" w:cs="Arial" w:eastAsia="Arial" w:hAnsi="Arial"/>
                <w:sz w:val="13"/>
                <w:szCs w:val="13"/>
                <w:color w:val="auto"/>
              </w:rPr>
              <w:t>Earnings before income taxes and discontinued operations</w:t>
            </w:r>
          </w:p>
        </w:tc>
        <w:tc>
          <w:tcPr>
            <w:tcW w:w="1360" w:type="dxa"/>
            <w:vAlign w:val="bottom"/>
            <w:shd w:val="clear" w:color="auto" w:fill="E6EFFF"/>
          </w:tcPr>
          <w:p>
            <w:pPr>
              <w:spacing w:after="0"/>
              <w:rPr>
                <w:sz w:val="13"/>
                <w:szCs w:val="13"/>
                <w:color w:val="auto"/>
              </w:rPr>
            </w:pPr>
          </w:p>
        </w:tc>
        <w:tc>
          <w:tcPr>
            <w:tcW w:w="840" w:type="dxa"/>
            <w:vAlign w:val="bottom"/>
            <w:shd w:val="clear" w:color="auto" w:fill="E6EFFF"/>
          </w:tcPr>
          <w:p>
            <w:pPr>
              <w:jc w:val="right"/>
              <w:ind w:right="94"/>
              <w:spacing w:after="0"/>
              <w:rPr>
                <w:sz w:val="20"/>
                <w:szCs w:val="20"/>
                <w:color w:val="auto"/>
              </w:rPr>
            </w:pPr>
            <w:r>
              <w:rPr>
                <w:rFonts w:ascii="Arial" w:cs="Arial" w:eastAsia="Arial" w:hAnsi="Arial"/>
                <w:sz w:val="13"/>
                <w:szCs w:val="13"/>
                <w:color w:val="auto"/>
              </w:rPr>
              <w:t>791.2</w:t>
            </w:r>
          </w:p>
        </w:tc>
        <w:tc>
          <w:tcPr>
            <w:tcW w:w="300" w:type="dxa"/>
            <w:vAlign w:val="bottom"/>
            <w:shd w:val="clear" w:color="auto" w:fill="E6EFFF"/>
          </w:tcPr>
          <w:p>
            <w:pPr>
              <w:spacing w:after="0"/>
              <w:rPr>
                <w:sz w:val="13"/>
                <w:szCs w:val="13"/>
                <w:color w:val="auto"/>
              </w:rPr>
            </w:pPr>
          </w:p>
        </w:tc>
        <w:tc>
          <w:tcPr>
            <w:tcW w:w="1020" w:type="dxa"/>
            <w:vAlign w:val="bottom"/>
            <w:shd w:val="clear" w:color="auto" w:fill="E6EFFF"/>
          </w:tcPr>
          <w:p>
            <w:pPr>
              <w:jc w:val="right"/>
              <w:ind w:right="274"/>
              <w:spacing w:after="0"/>
              <w:rPr>
                <w:sz w:val="20"/>
                <w:szCs w:val="20"/>
                <w:color w:val="auto"/>
              </w:rPr>
            </w:pPr>
            <w:r>
              <w:rPr>
                <w:rFonts w:ascii="Arial" w:cs="Arial" w:eastAsia="Arial" w:hAnsi="Arial"/>
                <w:sz w:val="13"/>
                <w:szCs w:val="13"/>
                <w:color w:val="auto"/>
              </w:rPr>
              <w:t>481.9</w:t>
            </w:r>
          </w:p>
        </w:tc>
        <w:tc>
          <w:tcPr>
            <w:tcW w:w="112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64.2</w:t>
            </w:r>
          </w:p>
        </w:tc>
        <w:tc>
          <w:tcPr>
            <w:tcW w:w="118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52.7</w:t>
            </w:r>
          </w:p>
        </w:tc>
        <w:tc>
          <w:tcPr>
            <w:tcW w:w="78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r>
      <w:tr>
        <w:trPr>
          <w:trHeight w:val="164"/>
        </w:trPr>
        <w:tc>
          <w:tcPr>
            <w:tcW w:w="4640" w:type="dxa"/>
            <w:vAlign w:val="bottom"/>
          </w:tcPr>
          <w:p>
            <w:pPr>
              <w:ind w:left="120"/>
              <w:spacing w:after="0"/>
              <w:rPr>
                <w:sz w:val="20"/>
                <w:szCs w:val="20"/>
                <w:color w:val="auto"/>
              </w:rPr>
            </w:pPr>
            <w:r>
              <w:rPr>
                <w:rFonts w:ascii="Arial" w:cs="Arial" w:eastAsia="Arial" w:hAnsi="Arial"/>
                <w:sz w:val="13"/>
                <w:szCs w:val="13"/>
                <w:color w:val="auto"/>
              </w:rPr>
              <w:t>Provision for income taxes</w:t>
            </w:r>
          </w:p>
        </w:tc>
        <w:tc>
          <w:tcPr>
            <w:tcW w:w="136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306.5</w:t>
            </w:r>
          </w:p>
        </w:tc>
        <w:tc>
          <w:tcPr>
            <w:tcW w:w="30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color w:val="auto"/>
              </w:rPr>
              <w:t>176.2</w:t>
            </w:r>
          </w:p>
        </w:tc>
        <w:tc>
          <w:tcPr>
            <w:tcW w:w="1120" w:type="dxa"/>
            <w:vAlign w:val="bottom"/>
          </w:tcPr>
          <w:p>
            <w:pPr>
              <w:jc w:val="right"/>
              <w:ind w:right="253"/>
              <w:spacing w:after="0"/>
              <w:rPr>
                <w:sz w:val="20"/>
                <w:szCs w:val="20"/>
                <w:color w:val="auto"/>
              </w:rPr>
            </w:pPr>
            <w:r>
              <w:rPr>
                <w:rFonts w:ascii="Arial" w:cs="Arial" w:eastAsia="Arial" w:hAnsi="Arial"/>
                <w:sz w:val="13"/>
                <w:szCs w:val="13"/>
                <w:color w:val="auto"/>
              </w:rPr>
              <w:t>73.9</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4640" w:type="dxa"/>
            <w:vAlign w:val="bottom"/>
            <w:tcBorders>
              <w:bottom w:val="single" w:sz="8" w:color="auto"/>
            </w:tcBorders>
            <w:shd w:val="clear" w:color="auto" w:fill="E6EFFF"/>
          </w:tcPr>
          <w:p>
            <w:pPr>
              <w:ind w:left="100"/>
              <w:spacing w:after="0"/>
              <w:rPr>
                <w:sz w:val="20"/>
                <w:szCs w:val="20"/>
                <w:color w:val="auto"/>
              </w:rPr>
            </w:pPr>
            <w:r>
              <w:rPr>
                <w:rFonts w:ascii="Arial" w:cs="Arial" w:eastAsia="Arial" w:hAnsi="Arial"/>
                <w:sz w:val="12"/>
                <w:szCs w:val="12"/>
                <w:i w:val="1"/>
                <w:iCs w:val="1"/>
                <w:color w:val="auto"/>
              </w:rPr>
              <w:t>Effective income tax rate</w:t>
            </w:r>
          </w:p>
        </w:tc>
        <w:tc>
          <w:tcPr>
            <w:tcW w:w="1360" w:type="dxa"/>
            <w:vAlign w:val="bottom"/>
            <w:tcBorders>
              <w:bottom w:val="single" w:sz="8" w:color="auto"/>
            </w:tcBorders>
            <w:shd w:val="clear" w:color="auto" w:fill="E6EFFF"/>
          </w:tcPr>
          <w:p>
            <w:pPr>
              <w:spacing w:after="0"/>
              <w:rPr>
                <w:sz w:val="14"/>
                <w:szCs w:val="14"/>
                <w:color w:val="auto"/>
              </w:rPr>
            </w:pPr>
          </w:p>
        </w:tc>
        <w:tc>
          <w:tcPr>
            <w:tcW w:w="8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2"/>
                <w:szCs w:val="12"/>
                <w:i w:val="1"/>
                <w:iCs w:val="1"/>
                <w:color w:val="auto"/>
              </w:rPr>
              <w:t>38.7%</w:t>
            </w:r>
          </w:p>
        </w:tc>
        <w:tc>
          <w:tcPr>
            <w:tcW w:w="300" w:type="dxa"/>
            <w:vAlign w:val="bottom"/>
            <w:tcBorders>
              <w:bottom w:val="single" w:sz="8" w:color="auto"/>
            </w:tcBorders>
            <w:shd w:val="clear" w:color="auto" w:fill="E6EFFF"/>
          </w:tcPr>
          <w:p>
            <w:pPr>
              <w:spacing w:after="0"/>
              <w:rPr>
                <w:sz w:val="14"/>
                <w:szCs w:val="14"/>
                <w:color w:val="auto"/>
              </w:rPr>
            </w:pPr>
          </w:p>
        </w:tc>
        <w:tc>
          <w:tcPr>
            <w:tcW w:w="1020" w:type="dxa"/>
            <w:vAlign w:val="bottom"/>
            <w:tcBorders>
              <w:bottom w:val="single" w:sz="8" w:color="auto"/>
            </w:tcBorders>
            <w:shd w:val="clear" w:color="auto" w:fill="E6EFFF"/>
          </w:tcPr>
          <w:p>
            <w:pPr>
              <w:jc w:val="right"/>
              <w:ind w:right="174"/>
              <w:spacing w:after="0"/>
              <w:rPr>
                <w:sz w:val="20"/>
                <w:szCs w:val="20"/>
                <w:color w:val="auto"/>
              </w:rPr>
            </w:pPr>
            <w:r>
              <w:rPr>
                <w:rFonts w:ascii="Arial" w:cs="Arial" w:eastAsia="Arial" w:hAnsi="Arial"/>
                <w:sz w:val="12"/>
                <w:szCs w:val="12"/>
                <w:i w:val="1"/>
                <w:iCs w:val="1"/>
                <w:color w:val="auto"/>
              </w:rPr>
              <w:t>36.6%</w:t>
            </w:r>
          </w:p>
        </w:tc>
        <w:tc>
          <w:tcPr>
            <w:tcW w:w="1120" w:type="dxa"/>
            <w:vAlign w:val="bottom"/>
            <w:tcBorders>
              <w:bottom w:val="single" w:sz="8" w:color="auto"/>
            </w:tcBorders>
            <w:shd w:val="clear" w:color="auto" w:fill="E6EFFF"/>
          </w:tcPr>
          <w:p>
            <w:pPr>
              <w:spacing w:after="0"/>
              <w:rPr>
                <w:sz w:val="14"/>
                <w:szCs w:val="14"/>
                <w:color w:val="auto"/>
              </w:rPr>
            </w:pPr>
          </w:p>
        </w:tc>
        <w:tc>
          <w:tcPr>
            <w:tcW w:w="1180" w:type="dxa"/>
            <w:vAlign w:val="bottom"/>
            <w:tcBorders>
              <w:bottom w:val="single" w:sz="8" w:color="auto"/>
            </w:tcBorders>
            <w:shd w:val="clear" w:color="auto" w:fill="E6EFFF"/>
          </w:tcPr>
          <w:p>
            <w:pPr>
              <w:spacing w:after="0"/>
              <w:rPr>
                <w:sz w:val="14"/>
                <w:szCs w:val="14"/>
                <w:color w:val="auto"/>
              </w:rPr>
            </w:pPr>
          </w:p>
        </w:tc>
        <w:tc>
          <w:tcPr>
            <w:tcW w:w="780" w:type="dxa"/>
            <w:vAlign w:val="bottom"/>
            <w:tcBorders>
              <w:bottom w:val="single" w:sz="8" w:color="auto"/>
            </w:tcBorders>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57"/>
        </w:trPr>
        <w:tc>
          <w:tcPr>
            <w:tcW w:w="4640" w:type="dxa"/>
            <w:vAlign w:val="bottom"/>
          </w:tcPr>
          <w:p>
            <w:pPr>
              <w:spacing w:after="0"/>
              <w:rPr>
                <w:sz w:val="20"/>
                <w:szCs w:val="20"/>
                <w:color w:val="auto"/>
              </w:rPr>
            </w:pPr>
            <w:r>
              <w:rPr>
                <w:rFonts w:ascii="Arial" w:cs="Arial" w:eastAsia="Arial" w:hAnsi="Arial"/>
                <w:sz w:val="13"/>
                <w:szCs w:val="13"/>
                <w:color w:val="auto"/>
              </w:rPr>
              <w:t>Net earnings from continuing operations</w:t>
            </w:r>
          </w:p>
        </w:tc>
        <w:tc>
          <w:tcPr>
            <w:tcW w:w="1360" w:type="dxa"/>
            <w:vAlign w:val="bottom"/>
          </w:tcPr>
          <w:p>
            <w:pPr>
              <w:spacing w:after="0"/>
              <w:rPr>
                <w:sz w:val="13"/>
                <w:szCs w:val="13"/>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484.7</w:t>
            </w:r>
          </w:p>
        </w:tc>
        <w:tc>
          <w:tcPr>
            <w:tcW w:w="300" w:type="dxa"/>
            <w:vAlign w:val="bottom"/>
          </w:tcPr>
          <w:p>
            <w:pPr>
              <w:spacing w:after="0"/>
              <w:rPr>
                <w:sz w:val="13"/>
                <w:szCs w:val="13"/>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color w:val="auto"/>
              </w:rPr>
              <w:t>305.7</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58.6%</w:t>
            </w:r>
          </w:p>
        </w:tc>
        <w:tc>
          <w:tcPr>
            <w:tcW w:w="1180" w:type="dxa"/>
            <w:vAlign w:val="bottom"/>
          </w:tcPr>
          <w:p>
            <w:pPr>
              <w:jc w:val="right"/>
              <w:ind w:right="173"/>
              <w:spacing w:after="0"/>
              <w:rPr>
                <w:sz w:val="20"/>
                <w:szCs w:val="20"/>
                <w:color w:val="auto"/>
              </w:rPr>
            </w:pPr>
            <w:r>
              <w:rPr>
                <w:rFonts w:ascii="Arial" w:cs="Arial" w:eastAsia="Arial" w:hAnsi="Arial"/>
                <w:sz w:val="13"/>
                <w:szCs w:val="13"/>
                <w:color w:val="auto"/>
              </w:rPr>
              <w:t>47.4%</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4"/>
        </w:trPr>
        <w:tc>
          <w:tcPr>
            <w:tcW w:w="46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3"/>
                <w:szCs w:val="13"/>
                <w:color w:val="auto"/>
              </w:rPr>
              <w:t>Income from discontinued operations, net of income taxes</w:t>
            </w:r>
          </w:p>
        </w:tc>
        <w:tc>
          <w:tcPr>
            <w:tcW w:w="1360" w:type="dxa"/>
            <w:vAlign w:val="bottom"/>
            <w:tcBorders>
              <w:bottom w:val="single" w:sz="8" w:color="auto"/>
            </w:tcBorders>
            <w:shd w:val="clear" w:color="auto" w:fill="E6EFFF"/>
          </w:tcPr>
          <w:p>
            <w:pPr>
              <w:spacing w:after="0"/>
              <w:rPr>
                <w:sz w:val="14"/>
                <w:szCs w:val="14"/>
                <w:color w:val="auto"/>
              </w:rPr>
            </w:pPr>
          </w:p>
        </w:tc>
        <w:tc>
          <w:tcPr>
            <w:tcW w:w="840" w:type="dxa"/>
            <w:vAlign w:val="bottom"/>
            <w:tcBorders>
              <w:bottom w:val="single" w:sz="8" w:color="auto"/>
            </w:tcBorders>
            <w:shd w:val="clear" w:color="auto" w:fill="E6EFFF"/>
          </w:tcPr>
          <w:p>
            <w:pPr>
              <w:jc w:val="right"/>
              <w:ind w:right="94"/>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E6EFFF"/>
          </w:tcPr>
          <w:p>
            <w:pPr>
              <w:spacing w:after="0"/>
              <w:rPr>
                <w:sz w:val="14"/>
                <w:szCs w:val="14"/>
                <w:color w:val="auto"/>
              </w:rPr>
            </w:pPr>
          </w:p>
        </w:tc>
        <w:tc>
          <w:tcPr>
            <w:tcW w:w="1020" w:type="dxa"/>
            <w:vAlign w:val="bottom"/>
            <w:tcBorders>
              <w:bottom w:val="single" w:sz="8" w:color="auto"/>
            </w:tcBorders>
            <w:shd w:val="clear" w:color="auto" w:fill="E6EFFF"/>
          </w:tcPr>
          <w:p>
            <w:pPr>
              <w:jc w:val="right"/>
              <w:ind w:right="274"/>
              <w:spacing w:after="0"/>
              <w:rPr>
                <w:sz w:val="20"/>
                <w:szCs w:val="20"/>
                <w:color w:val="auto"/>
              </w:rPr>
            </w:pPr>
            <w:r>
              <w:rPr>
                <w:rFonts w:ascii="Arial" w:cs="Arial" w:eastAsia="Arial" w:hAnsi="Arial"/>
                <w:sz w:val="13"/>
                <w:szCs w:val="13"/>
                <w:color w:val="auto"/>
              </w:rPr>
              <w:t>92.3</w:t>
            </w:r>
          </w:p>
        </w:tc>
        <w:tc>
          <w:tcPr>
            <w:tcW w:w="1120" w:type="dxa"/>
            <w:vAlign w:val="bottom"/>
            <w:tcBorders>
              <w:bottom w:val="single" w:sz="8" w:color="auto"/>
            </w:tcBorders>
            <w:shd w:val="clear" w:color="auto" w:fill="E6EFFF"/>
          </w:tcPr>
          <w:p>
            <w:pPr>
              <w:spacing w:after="0"/>
              <w:rPr>
                <w:sz w:val="14"/>
                <w:szCs w:val="14"/>
                <w:color w:val="auto"/>
              </w:rPr>
            </w:pPr>
          </w:p>
        </w:tc>
        <w:tc>
          <w:tcPr>
            <w:tcW w:w="1180" w:type="dxa"/>
            <w:vAlign w:val="bottom"/>
            <w:tcBorders>
              <w:bottom w:val="single" w:sz="8" w:color="auto"/>
            </w:tcBorders>
            <w:shd w:val="clear" w:color="auto" w:fill="E6EFFF"/>
          </w:tcPr>
          <w:p>
            <w:pPr>
              <w:spacing w:after="0"/>
              <w:rPr>
                <w:sz w:val="14"/>
                <w:szCs w:val="14"/>
                <w:color w:val="auto"/>
              </w:rPr>
            </w:pPr>
          </w:p>
        </w:tc>
        <w:tc>
          <w:tcPr>
            <w:tcW w:w="780" w:type="dxa"/>
            <w:vAlign w:val="bottom"/>
            <w:tcBorders>
              <w:bottom w:val="single" w:sz="8" w:color="auto"/>
            </w:tcBorders>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56"/>
        </w:trPr>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Net earnings</w:t>
            </w:r>
          </w:p>
        </w:tc>
        <w:tc>
          <w:tcPr>
            <w:tcW w:w="136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color w:val="auto"/>
              </w:rPr>
              <w:t>484.7</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color w:val="auto"/>
              </w:rPr>
              <w:t>398.0</w:t>
            </w:r>
          </w:p>
        </w:tc>
        <w:tc>
          <w:tcPr>
            <w:tcW w:w="1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E6EFFF"/>
            </w:tcBorders>
          </w:tcPr>
          <w:p>
            <w:pPr>
              <w:spacing w:after="0"/>
              <w:rPr>
                <w:sz w:val="13"/>
                <w:szCs w:val="13"/>
                <w:color w:val="auto"/>
              </w:rPr>
            </w:pPr>
          </w:p>
        </w:tc>
      </w:tr>
      <w:tr>
        <w:trPr>
          <w:trHeight w:val="164"/>
        </w:trPr>
        <w:tc>
          <w:tcPr>
            <w:tcW w:w="4640" w:type="dxa"/>
            <w:vAlign w:val="bottom"/>
            <w:shd w:val="clear" w:color="auto" w:fill="E6EFFF"/>
          </w:tcPr>
          <w:p>
            <w:pPr>
              <w:spacing w:after="0"/>
              <w:rPr>
                <w:sz w:val="20"/>
                <w:szCs w:val="20"/>
                <w:color w:val="auto"/>
              </w:rPr>
            </w:pPr>
            <w:r>
              <w:rPr>
                <w:rFonts w:ascii="Arial" w:cs="Arial" w:eastAsia="Arial" w:hAnsi="Arial"/>
                <w:sz w:val="13"/>
                <w:szCs w:val="13"/>
                <w:color w:val="auto"/>
              </w:rPr>
              <w:t>Net earnings per share - diluted:</w:t>
            </w:r>
          </w:p>
        </w:tc>
        <w:tc>
          <w:tcPr>
            <w:tcW w:w="1360" w:type="dxa"/>
            <w:vAlign w:val="bottom"/>
            <w:shd w:val="clear" w:color="auto" w:fill="E6EFFF"/>
          </w:tcPr>
          <w:p>
            <w:pPr>
              <w:spacing w:after="0"/>
              <w:rPr>
                <w:sz w:val="14"/>
                <w:szCs w:val="14"/>
                <w:color w:val="auto"/>
              </w:rPr>
            </w:pPr>
          </w:p>
        </w:tc>
        <w:tc>
          <w:tcPr>
            <w:tcW w:w="840" w:type="dxa"/>
            <w:vAlign w:val="bottom"/>
            <w:shd w:val="clear" w:color="auto" w:fill="E6EFFF"/>
          </w:tcPr>
          <w:p>
            <w:pPr>
              <w:spacing w:after="0"/>
              <w:rPr>
                <w:sz w:val="14"/>
                <w:szCs w:val="14"/>
                <w:color w:val="auto"/>
              </w:rPr>
            </w:pPr>
          </w:p>
        </w:tc>
        <w:tc>
          <w:tcPr>
            <w:tcW w:w="30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18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74"/>
        </w:trPr>
        <w:tc>
          <w:tcPr>
            <w:tcW w:w="4640" w:type="dxa"/>
            <w:vAlign w:val="bottom"/>
          </w:tcPr>
          <w:p>
            <w:pPr>
              <w:ind w:left="120"/>
              <w:spacing w:after="0"/>
              <w:rPr>
                <w:sz w:val="20"/>
                <w:szCs w:val="20"/>
                <w:color w:val="auto"/>
              </w:rPr>
            </w:pPr>
            <w:r>
              <w:rPr>
                <w:rFonts w:ascii="Arial" w:cs="Arial" w:eastAsia="Arial" w:hAnsi="Arial"/>
                <w:sz w:val="13"/>
                <w:szCs w:val="13"/>
                <w:color w:val="auto"/>
              </w:rPr>
              <w:t>Continuing operations</w:t>
            </w:r>
          </w:p>
        </w:tc>
        <w:tc>
          <w:tcPr>
            <w:tcW w:w="13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4"/>
              <w:spacing w:after="0"/>
              <w:rPr>
                <w:sz w:val="20"/>
                <w:szCs w:val="20"/>
                <w:color w:val="auto"/>
              </w:rPr>
            </w:pPr>
            <w:r>
              <w:rPr>
                <w:rFonts w:ascii="Arial" w:cs="Arial" w:eastAsia="Arial" w:hAnsi="Arial"/>
                <w:sz w:val="14"/>
                <w:szCs w:val="14"/>
                <w:color w:val="auto"/>
              </w:rPr>
              <w:t>5.73</w:t>
            </w:r>
          </w:p>
        </w:tc>
        <w:tc>
          <w:tcPr>
            <w:tcW w:w="3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74"/>
              <w:spacing w:after="0"/>
              <w:rPr>
                <w:sz w:val="20"/>
                <w:szCs w:val="20"/>
                <w:color w:val="auto"/>
              </w:rPr>
            </w:pPr>
            <w:r>
              <w:rPr>
                <w:rFonts w:ascii="Arial" w:cs="Arial" w:eastAsia="Arial" w:hAnsi="Arial"/>
                <w:sz w:val="14"/>
                <w:szCs w:val="14"/>
                <w:color w:val="auto"/>
              </w:rPr>
              <w:t>3.48</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64.7%</w:t>
            </w:r>
          </w:p>
        </w:tc>
        <w:tc>
          <w:tcPr>
            <w:tcW w:w="1180" w:type="dxa"/>
            <w:vAlign w:val="bottom"/>
          </w:tcPr>
          <w:p>
            <w:pPr>
              <w:jc w:val="right"/>
              <w:ind w:right="173"/>
              <w:spacing w:after="0"/>
              <w:rPr>
                <w:sz w:val="20"/>
                <w:szCs w:val="20"/>
                <w:color w:val="auto"/>
              </w:rPr>
            </w:pPr>
            <w:r>
              <w:rPr>
                <w:rFonts w:ascii="Arial" w:cs="Arial" w:eastAsia="Arial" w:hAnsi="Arial"/>
                <w:sz w:val="13"/>
                <w:szCs w:val="13"/>
                <w:color w:val="auto"/>
              </w:rPr>
              <w:t>53.2%</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4"/>
        </w:trPr>
        <w:tc>
          <w:tcPr>
            <w:tcW w:w="4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4"/>
        </w:trPr>
        <w:tc>
          <w:tcPr>
            <w:tcW w:w="4640" w:type="dxa"/>
            <w:vAlign w:val="bottom"/>
            <w:tcBorders>
              <w:bottom w:val="single" w:sz="8" w:color="auto"/>
            </w:tcBorders>
            <w:shd w:val="clear" w:color="auto" w:fill="E6EFFF"/>
          </w:tcPr>
          <w:p>
            <w:pPr>
              <w:ind w:left="120"/>
              <w:spacing w:after="0"/>
              <w:rPr>
                <w:sz w:val="20"/>
                <w:szCs w:val="20"/>
                <w:color w:val="auto"/>
              </w:rPr>
            </w:pPr>
            <w:r>
              <w:rPr>
                <w:rFonts w:ascii="Arial" w:cs="Arial" w:eastAsia="Arial" w:hAnsi="Arial"/>
                <w:sz w:val="13"/>
                <w:szCs w:val="13"/>
                <w:color w:val="auto"/>
              </w:rPr>
              <w:t>Discontinued operations</w:t>
            </w:r>
          </w:p>
        </w:tc>
        <w:tc>
          <w:tcPr>
            <w:tcW w:w="1360" w:type="dxa"/>
            <w:vAlign w:val="bottom"/>
            <w:tcBorders>
              <w:bottom w:val="single" w:sz="8" w:color="auto"/>
            </w:tcBorders>
            <w:shd w:val="clear" w:color="auto" w:fill="E6EFFF"/>
          </w:tcPr>
          <w:p>
            <w:pPr>
              <w:spacing w:after="0"/>
              <w:rPr>
                <w:sz w:val="14"/>
                <w:szCs w:val="14"/>
                <w:color w:val="auto"/>
              </w:rPr>
            </w:pPr>
          </w:p>
        </w:tc>
        <w:tc>
          <w:tcPr>
            <w:tcW w:w="840" w:type="dxa"/>
            <w:vAlign w:val="bottom"/>
            <w:tcBorders>
              <w:bottom w:val="single" w:sz="8" w:color="auto"/>
            </w:tcBorders>
            <w:shd w:val="clear" w:color="auto" w:fill="E6EFFF"/>
          </w:tcPr>
          <w:p>
            <w:pPr>
              <w:jc w:val="right"/>
              <w:ind w:right="94"/>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E6EFFF"/>
          </w:tcPr>
          <w:p>
            <w:pPr>
              <w:spacing w:after="0"/>
              <w:rPr>
                <w:sz w:val="14"/>
                <w:szCs w:val="14"/>
                <w:color w:val="auto"/>
              </w:rPr>
            </w:pPr>
          </w:p>
        </w:tc>
        <w:tc>
          <w:tcPr>
            <w:tcW w:w="1020" w:type="dxa"/>
            <w:vAlign w:val="bottom"/>
            <w:tcBorders>
              <w:bottom w:val="single" w:sz="8" w:color="auto"/>
            </w:tcBorders>
            <w:shd w:val="clear" w:color="auto" w:fill="E6EFFF"/>
          </w:tcPr>
          <w:p>
            <w:pPr>
              <w:jc w:val="right"/>
              <w:ind w:right="274"/>
              <w:spacing w:after="0"/>
              <w:rPr>
                <w:sz w:val="20"/>
                <w:szCs w:val="20"/>
                <w:color w:val="auto"/>
              </w:rPr>
            </w:pPr>
            <w:r>
              <w:rPr>
                <w:rFonts w:ascii="Arial" w:cs="Arial" w:eastAsia="Arial" w:hAnsi="Arial"/>
                <w:sz w:val="13"/>
                <w:szCs w:val="13"/>
                <w:color w:val="auto"/>
              </w:rPr>
              <w:t>1.06</w:t>
            </w:r>
          </w:p>
        </w:tc>
        <w:tc>
          <w:tcPr>
            <w:tcW w:w="1120" w:type="dxa"/>
            <w:vAlign w:val="bottom"/>
            <w:tcBorders>
              <w:bottom w:val="single" w:sz="8" w:color="auto"/>
            </w:tcBorders>
            <w:shd w:val="clear" w:color="auto" w:fill="E6EFFF"/>
          </w:tcPr>
          <w:p>
            <w:pPr>
              <w:spacing w:after="0"/>
              <w:rPr>
                <w:sz w:val="14"/>
                <w:szCs w:val="14"/>
                <w:color w:val="auto"/>
              </w:rPr>
            </w:pPr>
          </w:p>
        </w:tc>
        <w:tc>
          <w:tcPr>
            <w:tcW w:w="1180" w:type="dxa"/>
            <w:vAlign w:val="bottom"/>
            <w:tcBorders>
              <w:bottom w:val="single" w:sz="8" w:color="auto"/>
            </w:tcBorders>
            <w:shd w:val="clear" w:color="auto" w:fill="E6EFFF"/>
          </w:tcPr>
          <w:p>
            <w:pPr>
              <w:spacing w:after="0"/>
              <w:rPr>
                <w:sz w:val="14"/>
                <w:szCs w:val="14"/>
                <w:color w:val="auto"/>
              </w:rPr>
            </w:pPr>
          </w:p>
        </w:tc>
        <w:tc>
          <w:tcPr>
            <w:tcW w:w="780" w:type="dxa"/>
            <w:vAlign w:val="bottom"/>
            <w:tcBorders>
              <w:bottom w:val="single" w:sz="8" w:color="auto"/>
            </w:tcBorders>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56"/>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Total</w:t>
            </w:r>
          </w:p>
        </w:tc>
        <w:tc>
          <w:tcPr>
            <w:tcW w:w="136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color w:val="auto"/>
              </w:rPr>
              <w:t>5.73</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color w:val="auto"/>
              </w:rPr>
              <w:t>4.54</w:t>
            </w:r>
          </w:p>
        </w:tc>
        <w:tc>
          <w:tcPr>
            <w:tcW w:w="1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E6EFFF"/>
            </w:tcBorders>
          </w:tcPr>
          <w:p>
            <w:pPr>
              <w:spacing w:after="0"/>
              <w:rPr>
                <w:sz w:val="13"/>
                <w:szCs w:val="13"/>
                <w:color w:val="auto"/>
              </w:rPr>
            </w:pPr>
          </w:p>
        </w:tc>
      </w:tr>
      <w:tr>
        <w:trPr>
          <w:trHeight w:val="164"/>
        </w:trPr>
        <w:tc>
          <w:tcPr>
            <w:tcW w:w="46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3"/>
                <w:szCs w:val="13"/>
                <w:color w:val="auto"/>
              </w:rPr>
              <w:t>Weighted average shares - diluted</w:t>
            </w:r>
          </w:p>
        </w:tc>
        <w:tc>
          <w:tcPr>
            <w:tcW w:w="1360" w:type="dxa"/>
            <w:vAlign w:val="bottom"/>
            <w:tcBorders>
              <w:bottom w:val="single" w:sz="8" w:color="auto"/>
            </w:tcBorders>
            <w:shd w:val="clear" w:color="auto" w:fill="E6EFFF"/>
          </w:tcPr>
          <w:p>
            <w:pPr>
              <w:spacing w:after="0"/>
              <w:rPr>
                <w:sz w:val="14"/>
                <w:szCs w:val="14"/>
                <w:color w:val="auto"/>
              </w:rPr>
            </w:pPr>
          </w:p>
        </w:tc>
        <w:tc>
          <w:tcPr>
            <w:tcW w:w="840" w:type="dxa"/>
            <w:vAlign w:val="bottom"/>
            <w:tcBorders>
              <w:bottom w:val="single" w:sz="8" w:color="auto"/>
            </w:tcBorders>
            <w:shd w:val="clear" w:color="auto" w:fill="E6EFFF"/>
          </w:tcPr>
          <w:p>
            <w:pPr>
              <w:jc w:val="right"/>
              <w:ind w:right="94"/>
              <w:spacing w:after="0"/>
              <w:rPr>
                <w:sz w:val="20"/>
                <w:szCs w:val="20"/>
                <w:color w:val="auto"/>
              </w:rPr>
            </w:pPr>
            <w:r>
              <w:rPr>
                <w:rFonts w:ascii="Arial" w:cs="Arial" w:eastAsia="Arial" w:hAnsi="Arial"/>
                <w:sz w:val="13"/>
                <w:szCs w:val="13"/>
                <w:color w:val="auto"/>
              </w:rPr>
              <w:t>84.6</w:t>
            </w:r>
          </w:p>
        </w:tc>
        <w:tc>
          <w:tcPr>
            <w:tcW w:w="300" w:type="dxa"/>
            <w:vAlign w:val="bottom"/>
            <w:tcBorders>
              <w:bottom w:val="single" w:sz="8" w:color="auto"/>
            </w:tcBorders>
            <w:shd w:val="clear" w:color="auto" w:fill="E6EFFF"/>
          </w:tcPr>
          <w:p>
            <w:pPr>
              <w:spacing w:after="0"/>
              <w:rPr>
                <w:sz w:val="14"/>
                <w:szCs w:val="14"/>
                <w:color w:val="auto"/>
              </w:rPr>
            </w:pPr>
          </w:p>
        </w:tc>
        <w:tc>
          <w:tcPr>
            <w:tcW w:w="1020" w:type="dxa"/>
            <w:vAlign w:val="bottom"/>
            <w:tcBorders>
              <w:bottom w:val="single" w:sz="8" w:color="auto"/>
            </w:tcBorders>
            <w:shd w:val="clear" w:color="auto" w:fill="E6EFFF"/>
          </w:tcPr>
          <w:p>
            <w:pPr>
              <w:jc w:val="right"/>
              <w:ind w:right="274"/>
              <w:spacing w:after="0"/>
              <w:rPr>
                <w:sz w:val="20"/>
                <w:szCs w:val="20"/>
                <w:color w:val="auto"/>
              </w:rPr>
            </w:pPr>
            <w:r>
              <w:rPr>
                <w:rFonts w:ascii="Arial" w:cs="Arial" w:eastAsia="Arial" w:hAnsi="Arial"/>
                <w:sz w:val="13"/>
                <w:szCs w:val="13"/>
                <w:color w:val="auto"/>
              </w:rPr>
              <w:t>87.7</w:t>
            </w:r>
          </w:p>
        </w:tc>
        <w:tc>
          <w:tcPr>
            <w:tcW w:w="1120" w:type="dxa"/>
            <w:vAlign w:val="bottom"/>
            <w:tcBorders>
              <w:bottom w:val="single" w:sz="8" w:color="auto"/>
            </w:tcBorders>
            <w:shd w:val="clear" w:color="auto" w:fill="E6EFFF"/>
          </w:tcPr>
          <w:p>
            <w:pPr>
              <w:jc w:val="right"/>
              <w:ind w:right="93"/>
              <w:spacing w:after="0"/>
              <w:rPr>
                <w:sz w:val="20"/>
                <w:szCs w:val="20"/>
                <w:color w:val="auto"/>
              </w:rPr>
            </w:pPr>
            <w:r>
              <w:rPr>
                <w:rFonts w:ascii="Arial" w:cs="Arial" w:eastAsia="Arial" w:hAnsi="Arial"/>
                <w:sz w:val="13"/>
                <w:szCs w:val="13"/>
                <w:color w:val="auto"/>
              </w:rPr>
              <w:t>(3.6)%</w:t>
            </w:r>
          </w:p>
        </w:tc>
        <w:tc>
          <w:tcPr>
            <w:tcW w:w="1180" w:type="dxa"/>
            <w:vAlign w:val="bottom"/>
            <w:tcBorders>
              <w:bottom w:val="single" w:sz="8" w:color="auto"/>
            </w:tcBorders>
            <w:shd w:val="clear" w:color="auto" w:fill="E6EFFF"/>
          </w:tcPr>
          <w:p>
            <w:pPr>
              <w:spacing w:after="0"/>
              <w:rPr>
                <w:sz w:val="14"/>
                <w:szCs w:val="14"/>
                <w:color w:val="auto"/>
              </w:rPr>
            </w:pPr>
          </w:p>
        </w:tc>
        <w:tc>
          <w:tcPr>
            <w:tcW w:w="780" w:type="dxa"/>
            <w:vAlign w:val="bottom"/>
            <w:tcBorders>
              <w:bottom w:val="single" w:sz="8" w:color="auto"/>
            </w:tcBorders>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increase in revenue is primarily attributable to:</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7.7% increase due to the impact of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0.3% increase due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right="40"/>
        <w:spacing w:after="0" w:line="257" w:lineRule="auto"/>
        <w:rPr>
          <w:sz w:val="20"/>
          <w:szCs w:val="20"/>
          <w:color w:val="auto"/>
        </w:rPr>
      </w:pPr>
      <w:r>
        <w:rPr>
          <w:rFonts w:ascii="Arial" w:cs="Arial" w:eastAsia="Arial" w:hAnsi="Arial"/>
          <w:sz w:val="16"/>
          <w:szCs w:val="16"/>
          <w:color w:val="auto"/>
        </w:rPr>
        <w:t>increased demand for our services in most of our markets, including France, Other EMEA, Italy, Right Management and Other Operations, where revenues increased 7.0%, 18.5%, 13.0%, 1.3% and 10.5%, respectively, on a constant currency basis;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solid growth in our permanent recruitment business which increased 33.9% on a consolidated basis in 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3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Included in the increase in Gross Profit is a 7.6% increase due to currency and a 5.0% increase due to a modification to the calculation of payroll taxes in France, which reduced the amount of payroll taxes, retroactive to January 1, 2006, through September 30, 2007 by $157.1 million. (See Note 1 to the consolidated financial statements for further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overall 90 basis point (+0.90%) change in Gross Profit Margin is made up of the following components: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77 basis point (+0.77%) increase due to the modification to the calculation of payroll taxes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line="257" w:lineRule="auto"/>
        <w:rPr>
          <w:sz w:val="20"/>
          <w:szCs w:val="20"/>
          <w:color w:val="auto"/>
        </w:rPr>
      </w:pPr>
      <w:r>
        <w:rPr>
          <w:rFonts w:ascii="Arial" w:cs="Arial" w:eastAsia="Arial" w:hAnsi="Arial"/>
          <w:sz w:val="16"/>
          <w:szCs w:val="16"/>
          <w:color w:val="auto"/>
        </w:rPr>
        <w:t>a 10 basis point (+0.10%) increase in temporary recruitment business margin as a result of improved pricing in some markets, including France, and improved margins in other markets as a result of lower direct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30 basis point (+0.30%) increase in our permanent recruitment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line="257" w:lineRule="auto"/>
        <w:rPr>
          <w:sz w:val="20"/>
          <w:szCs w:val="20"/>
          <w:color w:val="auto"/>
        </w:rPr>
      </w:pPr>
      <w:r>
        <w:rPr>
          <w:rFonts w:ascii="Arial" w:cs="Arial" w:eastAsia="Arial" w:hAnsi="Arial"/>
          <w:sz w:val="16"/>
          <w:szCs w:val="16"/>
          <w:color w:val="auto"/>
        </w:rPr>
        <w:t>a 27 basis point (-0.27%) decline due to a change in mix of services provided, primarily due to a relatively lesser amount of revenues coming from Jefferson Wells and Right Management where the gross profit margin is generally higher than the company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-213360</wp:posOffset>
            </wp:positionV>
            <wp:extent cx="57785" cy="577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0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Included in the increase in Selling and Administrative Expenses is a 6.8% increase due to currency and $7.5 million related to the modification to the payroll tax calculation in France. Included in Selling and Administrative Expenses for 2006 were $15.9 million of reorganization charges and $9.2 million of global cost reduction project costs.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Selling and Administrative Expenses as a percent of revenue decreased by 0.2% (-20 basis points) in 2007. The change in Selling and Administrative Expenses as a percent of revenue is made up of the following components: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4 basis point (+0.04%) increase due to the modification to the calculation of payroll taxes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14 basis point (-0.14%) decline due to reorganization charges and global cost reduction project costs recognized in 2006;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-80010</wp:posOffset>
            </wp:positionV>
            <wp:extent cx="57785" cy="577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6" w:lineRule="exact"/>
        <w:rPr>
          <w:sz w:val="20"/>
          <w:szCs w:val="20"/>
          <w:color w:val="auto"/>
        </w:rPr>
      </w:pPr>
    </w:p>
    <w:p>
      <w:pPr>
        <w:jc w:val="both"/>
        <w:ind w:left="420"/>
        <w:spacing w:after="0" w:line="249" w:lineRule="auto"/>
        <w:rPr>
          <w:sz w:val="20"/>
          <w:szCs w:val="20"/>
          <w:color w:val="auto"/>
        </w:rPr>
      </w:pPr>
      <w:r>
        <w:rPr>
          <w:rFonts w:ascii="Arial" w:cs="Arial" w:eastAsia="Arial" w:hAnsi="Arial"/>
          <w:sz w:val="16"/>
          <w:szCs w:val="16"/>
          <w:color w:val="auto"/>
        </w:rPr>
        <w:t>a 10 basis point (-0.10%) decline due primarily to the favorable impact of our cost control efforts and productivity gains, as we have been able to increase the billable hours from our temporary recruitment business, as well as the number of our permanent placements, without a similar increase in branch headcount. This favorable impact was offset by continued investments in certain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-327025</wp:posOffset>
            </wp:positionV>
            <wp:extent cx="57785" cy="577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1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Interest and Other Expense is comprised of interest, foreign exchange gains and losses, and other miscellaneous non-operating income and expenses. Interest and Other Expense was expense of $34.2 million in 2007 compared to $50.2 million in 2006. Net Interest Expense decreased $6.8 million to $29.0 million in 2007 from $35.8 million in 2006, as increases in interest expense were offset by higher interest income as a result of our higher cash levels. Foreign exchange gains and losses primarily result from intercompany transactions between our foreign subsidiaries and the U.S. Foreign exchange gains were $0.6 million in 2007 compared to losses of $3.2 million in 2006. Other expense consists of bank fees and other non-operating expenses and, in 2007, was $5.8 million compared to $11.2 million in 2006.</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provided for income taxes from continuing operations at a rate of 38.7% in 2007 and 36.6% in 2006. The 2007 rate is higher than the 2006 rate primarily due to the income tax cost associated with additional anticipated cash repatriations from our foreign subsidiaries, additional valuation allowances recorded for non-U.S. net operating losses, and the lower tax cost in 2006 of the reorganization charges and the costs related to our global cost reduction initiative. Our 2007 annual effective tax rate is higher than the U.S. Federal statutory rate of 35% due primarily to the impact of valuation allowances recorded for non-U.S. net operating losses, U.S. state income taxes and other permanent items.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Net Earnings Per Share From Continuing Operations – Diluted increased 64.7% to $5.73 in 2007 compared to $3.48 in 2006. This increase includes:</w:t>
      </w:r>
    </w:p>
    <w:p>
      <w:pPr>
        <w:spacing w:after="0" w:line="165" w:lineRule="exact"/>
        <w:rPr>
          <w:sz w:val="20"/>
          <w:szCs w:val="20"/>
          <w:color w:val="auto"/>
        </w:rPr>
      </w:pPr>
    </w:p>
    <w:p>
      <w:pPr>
        <w:ind w:left="420" w:right="1360"/>
        <w:spacing w:after="0" w:line="499" w:lineRule="auto"/>
        <w:rPr>
          <w:sz w:val="20"/>
          <w:szCs w:val="20"/>
          <w:color w:val="auto"/>
        </w:rPr>
      </w:pPr>
      <w:r>
        <w:rPr>
          <w:rFonts w:ascii="Arial" w:cs="Arial" w:eastAsia="Arial" w:hAnsi="Arial"/>
          <w:sz w:val="16"/>
          <w:szCs w:val="16"/>
          <w:color w:val="auto"/>
        </w:rPr>
        <w:t>the retroactive modification to the payroll tax calculation in France, a $88.6 million, net of tax increase, or $1.05 per diluted share; and higher foreign currency exchange rates, a $0.35 per diluted share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-448945</wp:posOffset>
            </wp:positionV>
            <wp:extent cx="57785" cy="577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-213995</wp:posOffset>
            </wp:positionV>
            <wp:extent cx="57785" cy="577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Weighted Average Shares – Diluted decreased 3.6% to 84.6 million in 2007 from 87.7 million in 2006. This decline is primarily a result of our repurchase of 6.1 million shares of our common stock during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27964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70"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color w:val="4D8ABE"/>
        </w:rPr>
        <w:t>SEGMENT RESULTS</w:t>
      </w:r>
    </w:p>
    <w:p>
      <w:pPr>
        <w:spacing w:after="0" w:line="203" w:lineRule="exact"/>
        <w:rPr>
          <w:sz w:val="20"/>
          <w:szCs w:val="20"/>
          <w:color w:val="auto"/>
        </w:rPr>
      </w:pPr>
    </w:p>
    <w:p>
      <w:pPr>
        <w:jc w:val="both"/>
        <w:ind w:right="40"/>
        <w:spacing w:after="0" w:line="252" w:lineRule="auto"/>
        <w:rPr>
          <w:sz w:val="20"/>
          <w:szCs w:val="20"/>
          <w:color w:val="auto"/>
        </w:rPr>
      </w:pPr>
      <w:r>
        <w:rPr>
          <w:sz w:val="1"/>
          <w:szCs w:val="1"/>
          <w:color w:val="auto"/>
        </w:rPr>
        <w:drawing>
          <wp:inline distT="0" distB="0" distL="0" distR="0">
            <wp:extent cx="1421765" cy="152654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21765" cy="1526540"/>
                    </a:xfrm>
                    <a:prstGeom prst="rect">
                      <a:avLst/>
                    </a:prstGeom>
                    <a:noFill/>
                    <a:ln>
                      <a:noFill/>
                    </a:ln>
                  </pic:spPr>
                </pic:pic>
              </a:graphicData>
            </a:graphic>
          </wp:inline>
        </w:drawing>
      </w:r>
      <w:r>
        <w:rPr>
          <w:rFonts w:ascii="Arial" w:cs="Arial" w:eastAsia="Arial" w:hAnsi="Arial"/>
          <w:sz w:val="13"/>
          <w:szCs w:val="13"/>
          <w:b w:val="1"/>
          <w:bCs w:val="1"/>
          <w:color w:val="939598"/>
        </w:rPr>
        <w:t xml:space="preserve">United States – </w:t>
      </w:r>
      <w:r>
        <w:rPr>
          <w:rFonts w:ascii="Arial" w:cs="Arial" w:eastAsia="Arial" w:hAnsi="Arial"/>
          <w:sz w:val="13"/>
          <w:szCs w:val="13"/>
          <w:color w:val="000000"/>
        </w:rPr>
        <w:t>The U.S. Operation is comprised of 547 Company-owned branch offices and 240 stand alone franchise offices. Revenues in the U.S.</w:t>
      </w:r>
      <w:r>
        <w:rPr>
          <w:rFonts w:ascii="Arial" w:cs="Arial" w:eastAsia="Arial" w:hAnsi="Arial"/>
          <w:sz w:val="13"/>
          <w:szCs w:val="13"/>
          <w:b w:val="1"/>
          <w:bCs w:val="1"/>
          <w:color w:val="939598"/>
        </w:rPr>
        <w:t xml:space="preserve"> </w:t>
      </w:r>
      <w:r>
        <w:rPr>
          <w:rFonts w:ascii="Arial" w:cs="Arial" w:eastAsia="Arial" w:hAnsi="Arial"/>
          <w:sz w:val="13"/>
          <w:szCs w:val="13"/>
          <w:color w:val="000000"/>
        </w:rPr>
        <w:t>consist of sales of services by our Company-owned branch offices and fees from our franchise operations. Revenues for the year were $1.9 billion, a decrease of 0.9% . Excluding acquisitions, revenues decreased 11.3% . Franchise fees were $17.7 million in 2008, and are primarily based on revenues generated by the franchise network, which were $0.7 billion in 2008.</w:t>
      </w:r>
    </w:p>
    <w:p>
      <w:pPr>
        <w:spacing w:after="0" w:line="177" w:lineRule="exact"/>
        <w:rPr>
          <w:sz w:val="20"/>
          <w:szCs w:val="20"/>
          <w:color w:val="auto"/>
        </w:rPr>
      </w:pPr>
    </w:p>
    <w:p>
      <w:pPr>
        <w:jc w:val="both"/>
        <w:ind w:right="40"/>
        <w:spacing w:after="0" w:line="253" w:lineRule="auto"/>
        <w:rPr>
          <w:sz w:val="20"/>
          <w:szCs w:val="20"/>
          <w:color w:val="auto"/>
        </w:rPr>
      </w:pPr>
      <w:r>
        <w:rPr>
          <w:rFonts w:ascii="Arial" w:cs="Arial" w:eastAsia="Arial" w:hAnsi="Arial"/>
          <w:sz w:val="13"/>
          <w:szCs w:val="13"/>
          <w:color w:val="auto"/>
        </w:rPr>
        <w:t>Revenues contracted consistently throughout the year on an organic basis, with a further slowing in the fourth quarter. The slowing demand for our services was seen primarily in our core temporary recruitment business as we experienced year-over-year declines in demand for our light industrial and industrial skilled workers and for skilled office workers. The professional temporary recruitment business continued to see relatively better trends compared to the core staffing part of the business with revenue growth through the first half of the year and overall annual growth of 8.0% . Our permanent recruitment business remained flat with prior year, primarily due to acquisitions. Excluding acquisitions, permanent recruitment revenue declined 21.0% in 2008.</w:t>
      </w:r>
    </w:p>
    <w:p>
      <w:pPr>
        <w:spacing w:after="0" w:line="171" w:lineRule="exact"/>
        <w:rPr>
          <w:sz w:val="20"/>
          <w:szCs w:val="20"/>
          <w:color w:val="auto"/>
        </w:rPr>
      </w:pPr>
    </w:p>
    <w:p>
      <w:pPr>
        <w:jc w:val="both"/>
        <w:ind w:right="40"/>
        <w:spacing w:after="0" w:line="265" w:lineRule="auto"/>
        <w:rPr>
          <w:sz w:val="20"/>
          <w:szCs w:val="20"/>
          <w:color w:val="auto"/>
        </w:rPr>
      </w:pPr>
      <w:r>
        <w:rPr>
          <w:rFonts w:ascii="Arial" w:cs="Arial" w:eastAsia="Arial" w:hAnsi="Arial"/>
          <w:sz w:val="13"/>
          <w:szCs w:val="13"/>
          <w:color w:val="auto"/>
        </w:rPr>
        <w:t>The Gross Profit Margin decreased compared to 2007 due to a decrease in temporary staffing margins, due to increased labor and workers' compensation costs, partially offset by a decrease in payroll taxes. Acquisitions had a minimal impact on Gross Profit Margin in 2008.</w:t>
      </w:r>
    </w:p>
    <w:p>
      <w:pPr>
        <w:spacing w:after="0" w:line="163" w:lineRule="exact"/>
        <w:rPr>
          <w:sz w:val="20"/>
          <w:szCs w:val="20"/>
          <w:color w:val="auto"/>
        </w:rPr>
      </w:pPr>
    </w:p>
    <w:p>
      <w:pPr>
        <w:jc w:val="both"/>
        <w:ind w:right="40"/>
        <w:spacing w:after="0" w:line="256" w:lineRule="auto"/>
        <w:rPr>
          <w:sz w:val="20"/>
          <w:szCs w:val="20"/>
          <w:color w:val="auto"/>
        </w:rPr>
      </w:pPr>
      <w:r>
        <w:rPr>
          <w:rFonts w:ascii="Arial" w:cs="Arial" w:eastAsia="Arial" w:hAnsi="Arial"/>
          <w:sz w:val="13"/>
          <w:szCs w:val="13"/>
          <w:color w:val="auto"/>
        </w:rPr>
        <w:t>Selling and Administrative Expenses increased 11.9% during the year primarily due to the impact of acquisitions. Excluding acquisitions, Selling and Administrative Expenses increased 0.5% as expenses were well controlled in response to the slowing revenue levels. Included in Selling and Administrative Expenses is $2.5 million of reorganization costs in the fourth quarter of 2008, primarily related to severance and office closures.</w:t>
      </w:r>
    </w:p>
    <w:p>
      <w:pPr>
        <w:spacing w:after="0" w:line="161"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Operating Unit Profit (“OUP”) for the year decreased 59.8% to $32.2 million. OUP Margin was 1.7% and 4.1% of Revenues in 2008 and 2007, respectively. The OUP Margin declined in 2008 due to the deleveraging effect of the revenue decline, as revenues have declined more than expenses. Acquisitions did not impact OUP Margin in 2008. (For the definition of OUP, refer to Note 15 to the consolidated financial statements.)</w:t>
      </w:r>
    </w:p>
    <w:p>
      <w:pPr>
        <w:spacing w:after="0" w:line="172" w:lineRule="exact"/>
        <w:rPr>
          <w:sz w:val="20"/>
          <w:szCs w:val="20"/>
          <w:color w:val="auto"/>
        </w:rPr>
      </w:pPr>
    </w:p>
    <w:p>
      <w:pPr>
        <w:jc w:val="both"/>
        <w:ind w:right="40"/>
        <w:spacing w:after="0"/>
        <w:rPr>
          <w:sz w:val="20"/>
          <w:szCs w:val="20"/>
          <w:color w:val="auto"/>
        </w:rPr>
      </w:pPr>
      <w:r>
        <w:rPr>
          <w:sz w:val="1"/>
          <w:szCs w:val="1"/>
          <w:color w:val="auto"/>
        </w:rPr>
        <w:drawing>
          <wp:inline distT="0" distB="0" distL="0" distR="0">
            <wp:extent cx="1435100" cy="148082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35100" cy="1480820"/>
                    </a:xfrm>
                    <a:prstGeom prst="rect">
                      <a:avLst/>
                    </a:prstGeom>
                    <a:noFill/>
                    <a:ln>
                      <a:noFill/>
                    </a:ln>
                  </pic:spPr>
                </pic:pic>
              </a:graphicData>
            </a:graphic>
          </wp:inline>
        </w:drawing>
      </w:r>
      <w:r>
        <w:rPr>
          <w:rFonts w:ascii="Arial" w:cs="Arial" w:eastAsia="Arial" w:hAnsi="Arial"/>
          <w:sz w:val="13"/>
          <w:szCs w:val="13"/>
          <w:b w:val="1"/>
          <w:bCs w:val="1"/>
          <w:color w:val="939598"/>
        </w:rPr>
        <w:t xml:space="preserve">France – </w:t>
      </w:r>
      <w:r>
        <w:rPr>
          <w:rFonts w:ascii="Arial" w:cs="Arial" w:eastAsia="Arial" w:hAnsi="Arial"/>
          <w:sz w:val="13"/>
          <w:szCs w:val="13"/>
          <w:color w:val="000000"/>
        </w:rPr>
        <w:t>Revenues in France decreased 1.3%, or 8.7% in constant currency, to $6.9 billion. There was a slight local currency revenue growth of 1.5% in</w:t>
      </w:r>
      <w:r>
        <w:rPr>
          <w:rFonts w:ascii="Arial" w:cs="Arial" w:eastAsia="Arial" w:hAnsi="Arial"/>
          <w:sz w:val="13"/>
          <w:szCs w:val="13"/>
          <w:b w:val="1"/>
          <w:bCs w:val="1"/>
          <w:color w:val="939598"/>
        </w:rPr>
        <w:t xml:space="preserve"> </w:t>
      </w:r>
      <w:r>
        <w:rPr>
          <w:rFonts w:ascii="Arial" w:cs="Arial" w:eastAsia="Arial" w:hAnsi="Arial"/>
          <w:sz w:val="13"/>
          <w:szCs w:val="13"/>
          <w:color w:val="000000"/>
        </w:rPr>
        <w:t>the first quarter of 2008, however revenues began to contract in the second quarter and slowed through the year, with contraction of 21.0% in the fourth quarter of 2008. This contraction is due to a continued slowing in the demand for our services as a result of the softening in the manufacturing and construction industry, which is a large portion of the temporary recruitment industry in France.</w:t>
      </w:r>
    </w:p>
    <w:p>
      <w:pPr>
        <w:spacing w:after="0" w:line="354" w:lineRule="exact"/>
        <w:rPr>
          <w:sz w:val="20"/>
          <w:szCs w:val="20"/>
          <w:color w:val="auto"/>
        </w:rPr>
      </w:pPr>
    </w:p>
    <w:p>
      <w:pPr>
        <w:jc w:val="both"/>
        <w:ind w:right="40"/>
        <w:spacing w:after="0" w:line="251" w:lineRule="auto"/>
        <w:rPr>
          <w:sz w:val="20"/>
          <w:szCs w:val="20"/>
          <w:color w:val="auto"/>
        </w:rPr>
      </w:pPr>
      <w:r>
        <w:rPr>
          <w:rFonts w:ascii="Arial" w:cs="Arial" w:eastAsia="Arial" w:hAnsi="Arial"/>
          <w:sz w:val="13"/>
          <w:szCs w:val="13"/>
          <w:color w:val="auto"/>
        </w:rPr>
        <w:t>The Gross Profit Margin was flat with that reported in 2007, however there are a number of unusual items impacting both years. Included in the 2008 and 2007 Gross Profit Margins is the impact of the modification to the calculation of payroll taxes recorded in each year. The impact of this modification was an increase in Gross Profit of $68.2 million in 2008, related to 2005 payroll taxes, and $157.1 million in 2007, related to payroll taxes for 2006 and the first nine months of 2007. Also included in the 2008 Gross Profit is $48.2 million for a business tax refund received related to 2004. Excluding the payroll tax modifications and business tax refund, Gross Profit Margin increased in 2008 compared to 2007, primarily as a result of the increased permanent recruitment business. Despite the softening market, permanent recruitment fees increased 77.2%, or 64.0% in constant currency, as a result of our continued focus on and investments in this business.</w:t>
      </w:r>
    </w:p>
    <w:p>
      <w:pPr>
        <w:spacing w:after="0" w:line="174" w:lineRule="exact"/>
        <w:rPr>
          <w:sz w:val="20"/>
          <w:szCs w:val="20"/>
          <w:color w:val="auto"/>
        </w:rPr>
      </w:pPr>
    </w:p>
    <w:p>
      <w:pPr>
        <w:jc w:val="both"/>
        <w:ind w:right="40"/>
        <w:spacing w:after="0" w:line="252" w:lineRule="auto"/>
        <w:rPr>
          <w:sz w:val="20"/>
          <w:szCs w:val="20"/>
          <w:color w:val="auto"/>
        </w:rPr>
      </w:pPr>
      <w:r>
        <w:rPr>
          <w:rFonts w:ascii="Arial" w:cs="Arial" w:eastAsia="Arial" w:hAnsi="Arial"/>
          <w:sz w:val="13"/>
          <w:szCs w:val="13"/>
          <w:color w:val="auto"/>
        </w:rPr>
        <w:t>Selling and Administrative Expenses increased 4.2% in constant currency due primarily to expenses recorded for a legal reserve related to the French competition investigation (see Note 14 to the consolidated financial statements for further information) of $54.1 million (€34.7 million) in 2008 and $15.0 million (€10.3 million) in 2007. We also recorded $2.7 million of reorganization charges related to office closures in 2008 and $7.5 million of expense related to the payroll tax modification in 2007. Other expenses were well controlled, in response to the slowing demand for services, and showed minimal increase. Selling and Administrative Expenses as a percent of revenues increased in 2008 compared to 2007 due to continued investments in the permanent recruitment business.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2" w:right="1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OUP was $299.0 million, a decrease of 23.4% (26.9% in constant currency) from the prior year. OUP Margin was 4.3%, a decrease from 5.6% in 2007. Included in 2008 OUP is the impact of the modification to the payroll tax calculation, the legal reserve related to the competition investigation, the 2004 business tax refund and the reorganization costs. The net impact of these items was an increase to OUP of $59.6 million, or an 86 basis point (+0.86%) increase in 2008 OUP Margin. Included in 2007 OUP is the impact of the retroactive modification to the payroll tax calculation related to 2006 and the first nine months of 2007 and the legal reserve related to the competition investigation. The net impact of these items was an increase to OUP of $134.6 million, or a 192 basis point (1.92%) increase in 2007 OUP Margin. The remaining 24 basis point (-0.24%) decrease in OUP Margin is the result of expense deleveraging.</w:t>
      </w:r>
    </w:p>
    <w:p>
      <w:pPr>
        <w:spacing w:after="0" w:line="358" w:lineRule="exact"/>
        <w:rPr>
          <w:sz w:val="20"/>
          <w:szCs w:val="20"/>
          <w:color w:val="auto"/>
        </w:rPr>
      </w:pPr>
    </w:p>
    <w:p>
      <w:pPr>
        <w:jc w:val="both"/>
        <w:ind w:left="2540"/>
        <w:spacing w:after="0" w:line="258" w:lineRule="auto"/>
        <w:rPr>
          <w:sz w:val="20"/>
          <w:szCs w:val="20"/>
          <w:color w:val="auto"/>
        </w:rPr>
      </w:pPr>
      <w:r>
        <w:rPr>
          <w:rFonts w:ascii="Arial" w:cs="Arial" w:eastAsia="Arial" w:hAnsi="Arial"/>
          <w:sz w:val="13"/>
          <w:szCs w:val="13"/>
          <w:b w:val="1"/>
          <w:bCs w:val="1"/>
          <w:color w:val="939598"/>
        </w:rPr>
        <w:t xml:space="preserve">Other EMEA – </w:t>
      </w:r>
      <w:r>
        <w:rPr>
          <w:rFonts w:ascii="Arial" w:cs="Arial" w:eastAsia="Arial" w:hAnsi="Arial"/>
          <w:sz w:val="13"/>
          <w:szCs w:val="13"/>
          <w:color w:val="000000"/>
        </w:rPr>
        <w:t>The Other EMEA region includes operations throughout Europe, the Middle East and Africa (excluding France and Italy), which covers</w:t>
      </w:r>
      <w:r>
        <w:rPr>
          <w:rFonts w:ascii="Arial" w:cs="Arial" w:eastAsia="Arial" w:hAnsi="Arial"/>
          <w:sz w:val="13"/>
          <w:szCs w:val="13"/>
          <w:b w:val="1"/>
          <w:bCs w:val="1"/>
          <w:color w:val="939598"/>
        </w:rPr>
        <w:t xml:space="preserve"> </w:t>
      </w:r>
      <w:r>
        <w:rPr>
          <w:rFonts w:ascii="Arial" w:cs="Arial" w:eastAsia="Arial" w:hAnsi="Arial"/>
          <w:sz w:val="13"/>
          <w:szCs w:val="13"/>
          <w:color w:val="000000"/>
        </w:rPr>
        <w:t>a total of 28 countries delivering services through approximately 1,285 offices. In addition to employment services delivered under the Manpower and Manpower Professional brands, this region also includes Elan, which is a leading IT recruitment and managed services firm operating across 16 countries in the region, and Brook Street, which provides recruitment services in the U.K. The largest operations in this segment are in the Nordics, Elan, U.K. and Germany which comprise 18.9%, 17.1%, 13.5% and 11.1% of Other EMEA Revenues,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-507365</wp:posOffset>
            </wp:positionV>
            <wp:extent cx="1383030" cy="1526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83030" cy="1526540"/>
                    </a:xfrm>
                    <a:prstGeom prst="rect">
                      <a:avLst/>
                    </a:prstGeom>
                    <a:noFill/>
                  </pic:spPr>
                </pic:pic>
              </a:graphicData>
            </a:graphic>
          </wp:anchor>
        </w:drawing>
      </w:r>
    </w:p>
    <w:p>
      <w:pPr>
        <w:spacing w:after="0" w:line="148" w:lineRule="exact"/>
        <w:rPr>
          <w:sz w:val="20"/>
          <w:szCs w:val="20"/>
          <w:color w:val="auto"/>
        </w:rPr>
      </w:pPr>
    </w:p>
    <w:p>
      <w:pPr>
        <w:jc w:val="both"/>
        <w:ind w:left="2540"/>
        <w:spacing w:after="0" w:line="253" w:lineRule="auto"/>
        <w:rPr>
          <w:sz w:val="20"/>
          <w:szCs w:val="20"/>
          <w:color w:val="auto"/>
        </w:rPr>
      </w:pPr>
      <w:r>
        <w:rPr>
          <w:rFonts w:ascii="Arial" w:cs="Arial" w:eastAsia="Arial" w:hAnsi="Arial"/>
          <w:sz w:val="13"/>
          <w:szCs w:val="13"/>
          <w:color w:val="auto"/>
        </w:rPr>
        <w:t>Revenues in Other EMEA increased 10.2% in 2008 to $7.4 billion, or 8.1% in constant currency. In April of 2008, we acquired Vitae, a leading professional placement firm in the Netherlands. Excluding the acquisition of Vitae, revenues increased 6.5% for the year. Local currency revenue growth was experienced in most major markets, with the highest growth rates reported by Elan (+25.6%), the Netherlands (+20.5%), Brook Street (+10.2%) and Belgium (+8.0%), offset by declining revenues in Spain (-20.0%) and the Nordics (-1.3%) .</w:t>
      </w:r>
    </w:p>
    <w:p>
      <w:pPr>
        <w:spacing w:after="0" w:line="171" w:lineRule="exact"/>
        <w:rPr>
          <w:sz w:val="20"/>
          <w:szCs w:val="20"/>
          <w:color w:val="auto"/>
        </w:rPr>
      </w:pPr>
    </w:p>
    <w:p>
      <w:pPr>
        <w:jc w:val="both"/>
        <w:ind w:left="2540"/>
        <w:spacing w:after="0" w:line="253" w:lineRule="auto"/>
        <w:rPr>
          <w:sz w:val="20"/>
          <w:szCs w:val="20"/>
          <w:color w:val="auto"/>
        </w:rPr>
      </w:pPr>
      <w:r>
        <w:rPr>
          <w:rFonts w:ascii="Arial" w:cs="Arial" w:eastAsia="Arial" w:hAnsi="Arial"/>
          <w:sz w:val="13"/>
          <w:szCs w:val="13"/>
          <w:color w:val="auto"/>
        </w:rPr>
        <w:t>Revenue growth accelerated in the first half of the year, with growth of 16.1% in constant currency, then gradually declined through the remainder of the year, with a contraction of 4.3% in the fourth quarter in constant currency. Permanent recruitment fees increased 12.4%, or 8.1% in constant currency, as a result of our continued focus on this business. However, this business also showed a significant slowdown through the year, with constant currency growth of 23.2% in the first half of the year, and a contraction of 17.3% in the fourth quarter.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Gross Profit Margin increased from the prior year due to the increase in the permanent recruitment business, our continued focus on improved pricing for our temporary recruitment business, and the acquisition of Vitae, which had a 40 basis points (0.40%) favorable impact on Gross Profit Margin for the year.</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Selling and Administrative Expenses increased 16.1%, or 12.8% in constant currency, primarily due to the need to support the increased business volumes for much of the year. Excluding the acquisition of Vitae, Selling and Administrative Expenses increased 12.1%, or 9.1% in constant currency. Included in Selling and Administrative Expenses is $20.6 million of reorganization costs recorded in the fourth quarter of 2008 related to employee severance costs and closure costs for 100 offices. Expenses as a percent of revenues had improved through the first three quarters of the year, but worsened in the fourth quarter due to the reorganization costs and the expense deleveraging due to the decline in revenues.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OUP was $249.5 million, a decrease of 2.8%, or 6.4% in constant currency. The OUP Margin decreased to 3.4% from 3.8% in 2007 due to expense deleveraging, as expenses grew faster than revenues as we continued to invest in our strategic initiatives. The acquisition of Vitae did not have a significant impact on OUP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727964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76"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24</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82" w:name="page83"/>
    <w:bookmarkEnd w:id="82"/>
    <w:p>
      <w:pPr>
        <w:jc w:val="both"/>
        <w:ind w:right="40"/>
        <w:spacing w:after="0" w:line="252" w:lineRule="auto"/>
        <w:rPr>
          <w:sz w:val="20"/>
          <w:szCs w:val="20"/>
          <w:color w:val="auto"/>
        </w:rPr>
      </w:pPr>
      <w:r>
        <w:rPr>
          <w:sz w:val="1"/>
          <w:szCs w:val="1"/>
          <w:color w:val="auto"/>
        </w:rPr>
        <w:drawing>
          <wp:inline distT="0" distB="0" distL="0" distR="0">
            <wp:extent cx="1402080" cy="150685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02080" cy="1506855"/>
                    </a:xfrm>
                    <a:prstGeom prst="rect">
                      <a:avLst/>
                    </a:prstGeom>
                    <a:noFill/>
                    <a:ln>
                      <a:noFill/>
                    </a:ln>
                  </pic:spPr>
                </pic:pic>
              </a:graphicData>
            </a:graphic>
          </wp:inline>
        </w:drawing>
      </w:r>
      <w:r>
        <w:rPr>
          <w:rFonts w:ascii="Arial" w:cs="Arial" w:eastAsia="Arial" w:hAnsi="Arial"/>
          <w:sz w:val="13"/>
          <w:szCs w:val="13"/>
          <w:b w:val="1"/>
          <w:bCs w:val="1"/>
          <w:color w:val="939598"/>
        </w:rPr>
        <w:t xml:space="preserve">Italy – </w:t>
      </w:r>
      <w:r>
        <w:rPr>
          <w:rFonts w:ascii="Arial" w:cs="Arial" w:eastAsia="Arial" w:hAnsi="Arial"/>
          <w:sz w:val="13"/>
          <w:szCs w:val="13"/>
          <w:color w:val="000000"/>
        </w:rPr>
        <w:t>Revenues in Italy increased 8.7% in 2008 to $1.5 billion, or 0.5% in constant currency. The revenue growth rates were strong in the first quarter with</w:t>
      </w:r>
      <w:r>
        <w:rPr>
          <w:rFonts w:ascii="Arial" w:cs="Arial" w:eastAsia="Arial" w:hAnsi="Arial"/>
          <w:sz w:val="13"/>
          <w:szCs w:val="13"/>
          <w:b w:val="1"/>
          <w:bCs w:val="1"/>
          <w:color w:val="939598"/>
        </w:rPr>
        <w:t xml:space="preserve"> </w:t>
      </w:r>
      <w:r>
        <w:rPr>
          <w:rFonts w:ascii="Arial" w:cs="Arial" w:eastAsia="Arial" w:hAnsi="Arial"/>
          <w:sz w:val="13"/>
          <w:szCs w:val="13"/>
          <w:color w:val="000000"/>
        </w:rPr>
        <w:t>15.0% growth in constant currency, but declined during the year to a contraction of 18.3% in constant currency in the fourth quarter as demand for our services continued to decline. Permanent recruitment revenues increased 28.5%, or 18.8% in constant currency, from the prior year.</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Gross Profit Margin improved in 2008 compared to 2007 due to the growth in the permanent recruitment business.</w:t>
      </w:r>
    </w:p>
    <w:p>
      <w:pPr>
        <w:spacing w:after="0" w:line="189" w:lineRule="exact"/>
        <w:rPr>
          <w:sz w:val="20"/>
          <w:szCs w:val="20"/>
          <w:color w:val="auto"/>
        </w:rPr>
      </w:pPr>
    </w:p>
    <w:p>
      <w:pPr>
        <w:jc w:val="both"/>
        <w:ind w:right="40"/>
        <w:spacing w:after="0" w:line="265" w:lineRule="auto"/>
        <w:rPr>
          <w:sz w:val="20"/>
          <w:szCs w:val="20"/>
          <w:color w:val="auto"/>
        </w:rPr>
      </w:pPr>
      <w:r>
        <w:rPr>
          <w:rFonts w:ascii="Arial" w:cs="Arial" w:eastAsia="Arial" w:hAnsi="Arial"/>
          <w:sz w:val="13"/>
          <w:szCs w:val="13"/>
          <w:color w:val="auto"/>
        </w:rPr>
        <w:t>Selling and Administrative Expenses increased 11.1%, or 3.1% in constant currency primarily due to an increase in personnel costs. While expenses as a percent of revenues improved for the first nine months of the year, we saw expense deleveraging in the fourth quarter and for the year due to the revenue declines in the fourth quarter.</w:t>
      </w:r>
    </w:p>
    <w:p>
      <w:pPr>
        <w:spacing w:after="0" w:line="163" w:lineRule="exact"/>
        <w:rPr>
          <w:sz w:val="20"/>
          <w:szCs w:val="20"/>
          <w:color w:val="auto"/>
        </w:rPr>
      </w:pPr>
    </w:p>
    <w:p>
      <w:pPr>
        <w:jc w:val="both"/>
        <w:ind w:right="40"/>
        <w:spacing w:after="0" w:line="265" w:lineRule="auto"/>
        <w:rPr>
          <w:sz w:val="20"/>
          <w:szCs w:val="20"/>
          <w:color w:val="auto"/>
        </w:rPr>
      </w:pPr>
      <w:r>
        <w:rPr>
          <w:rFonts w:ascii="Arial" w:cs="Arial" w:eastAsia="Arial" w:hAnsi="Arial"/>
          <w:sz w:val="13"/>
          <w:szCs w:val="13"/>
          <w:color w:val="auto"/>
        </w:rPr>
        <w:t>OUP was $120.3 million, an increase of 16.0%, or 7.3% in constant currency. The OUP Margin increased to 7.9% from 7.4% in 2007, as the increase in Gross Profit Margin more than offset the impact of expense deleveraging.</w:t>
      </w:r>
    </w:p>
    <w:p>
      <w:pPr>
        <w:spacing w:after="0" w:line="345" w:lineRule="exact"/>
        <w:rPr>
          <w:sz w:val="20"/>
          <w:szCs w:val="20"/>
          <w:color w:val="auto"/>
        </w:rPr>
      </w:pPr>
    </w:p>
    <w:p>
      <w:pPr>
        <w:jc w:val="both"/>
        <w:ind w:right="40"/>
        <w:spacing w:after="0" w:line="252" w:lineRule="auto"/>
        <w:rPr>
          <w:sz w:val="20"/>
          <w:szCs w:val="20"/>
          <w:color w:val="auto"/>
        </w:rPr>
      </w:pPr>
      <w:r>
        <w:rPr>
          <w:sz w:val="1"/>
          <w:szCs w:val="1"/>
          <w:color w:val="auto"/>
        </w:rPr>
        <w:drawing>
          <wp:inline distT="0" distB="0" distL="0" distR="0">
            <wp:extent cx="1435100" cy="159829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35100" cy="1598295"/>
                    </a:xfrm>
                    <a:prstGeom prst="rect">
                      <a:avLst/>
                    </a:prstGeom>
                    <a:noFill/>
                    <a:ln>
                      <a:noFill/>
                    </a:ln>
                  </pic:spPr>
                </pic:pic>
              </a:graphicData>
            </a:graphic>
          </wp:inline>
        </w:drawing>
      </w:r>
      <w:r>
        <w:rPr>
          <w:rFonts w:ascii="Arial" w:cs="Arial" w:eastAsia="Arial" w:hAnsi="Arial"/>
          <w:sz w:val="13"/>
          <w:szCs w:val="13"/>
          <w:b w:val="1"/>
          <w:bCs w:val="1"/>
          <w:color w:val="939598"/>
        </w:rPr>
        <w:t xml:space="preserve">Jefferson Wells – </w:t>
      </w:r>
      <w:r>
        <w:rPr>
          <w:rFonts w:ascii="Arial" w:cs="Arial" w:eastAsia="Arial" w:hAnsi="Arial"/>
          <w:sz w:val="13"/>
          <w:szCs w:val="13"/>
          <w:color w:val="000000"/>
        </w:rPr>
        <w:t>Jefferson Wells delivers professional services in the areas of internal audit, technology risk management, tax, and finance and</w:t>
      </w:r>
      <w:r>
        <w:rPr>
          <w:rFonts w:ascii="Arial" w:cs="Arial" w:eastAsia="Arial" w:hAnsi="Arial"/>
          <w:sz w:val="13"/>
          <w:szCs w:val="13"/>
          <w:b w:val="1"/>
          <w:bCs w:val="1"/>
          <w:color w:val="939598"/>
        </w:rPr>
        <w:t xml:space="preserve"> </w:t>
      </w:r>
      <w:r>
        <w:rPr>
          <w:rFonts w:ascii="Arial" w:cs="Arial" w:eastAsia="Arial" w:hAnsi="Arial"/>
          <w:sz w:val="13"/>
          <w:szCs w:val="13"/>
          <w:color w:val="000000"/>
        </w:rPr>
        <w:t>accounting. Our services are provided through 36 offices, which include major U.S. metropolitan markets, Toronto, three European cities, South Africa and Hong Kong. A portion of employees assigned by Jefferson Wells are full-time company employees and therefore employee utilization is a significant factor in maintaining Gross Profit Margins.</w:t>
      </w:r>
    </w:p>
    <w:p>
      <w:pPr>
        <w:spacing w:after="0" w:line="177" w:lineRule="exact"/>
        <w:rPr>
          <w:sz w:val="20"/>
          <w:szCs w:val="20"/>
          <w:color w:val="auto"/>
        </w:rPr>
      </w:pPr>
    </w:p>
    <w:p>
      <w:pPr>
        <w:jc w:val="both"/>
        <w:ind w:right="40"/>
        <w:spacing w:after="0" w:line="265" w:lineRule="auto"/>
        <w:rPr>
          <w:sz w:val="20"/>
          <w:szCs w:val="20"/>
          <w:color w:val="auto"/>
        </w:rPr>
      </w:pPr>
      <w:r>
        <w:rPr>
          <w:rFonts w:ascii="Arial" w:cs="Arial" w:eastAsia="Arial" w:hAnsi="Arial"/>
          <w:sz w:val="13"/>
          <w:szCs w:val="13"/>
          <w:color w:val="auto"/>
        </w:rPr>
        <w:t>Revenues decreased during the year, to $291.0 million from $332.0 million in 2007, due primarily to clients spending less given the current economic conditions. We saw weakening demand throughout the year, with a decline of 4.7% in the first quarter and a decline of 21.8% in the fourth quarter.</w:t>
      </w:r>
    </w:p>
    <w:p>
      <w:pPr>
        <w:spacing w:after="0" w:line="156"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The Gross Profit Margin has declined from the 2007 level due primarily to the lower utilization of our professional staff given the decrease in revenues. We continually evaluate the portion of employees who are full-time to ensure it is appropriate given business volumes. In the current economic environment, we have transitioned a number of employees into project-based roles in the fourth quarter to reduce our fixed costs.</w:t>
      </w:r>
    </w:p>
    <w:p>
      <w:pPr>
        <w:spacing w:after="0" w:line="167"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Selling and Administrative Expenses decreased 8.8% in 2008 compared to 2007 due to lower office costs, as we are reducing costs in response to the softening demand. As we adjusted our network in light of the current environment, we recorded $7.8 million of reorganization costs in the fourth quarter of 2008 for severance and other office closure charges. We recorded $4.0 million of reorganization costs in the fourth quarter of 2007 related to severance and other office closure costs.</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2008 OUP was a loss of $19.6 million compared to a loss of $5.2 million in 2007, as expense reductions could not fully compensate for the declines in Revenues and Gross Profit.</w:t>
      </w:r>
    </w:p>
    <w:p>
      <w:pPr>
        <w:spacing w:after="0" w:line="152" w:lineRule="exact"/>
        <w:rPr>
          <w:sz w:val="20"/>
          <w:szCs w:val="20"/>
          <w:color w:val="auto"/>
        </w:rPr>
      </w:pPr>
    </w:p>
    <w:p>
      <w:pPr>
        <w:ind w:right="2500"/>
        <w:spacing w:after="0" w:line="291" w:lineRule="auto"/>
        <w:rPr>
          <w:sz w:val="20"/>
          <w:szCs w:val="20"/>
          <w:color w:val="auto"/>
        </w:rPr>
      </w:pPr>
      <w:r>
        <w:rPr>
          <w:rFonts w:ascii="Arial" w:cs="Arial" w:eastAsia="Arial" w:hAnsi="Arial"/>
          <w:sz w:val="13"/>
          <w:szCs w:val="13"/>
          <w:b w:val="1"/>
          <w:bCs w:val="1"/>
          <w:color w:val="939598"/>
        </w:rPr>
        <w:t xml:space="preserve">Right Management – </w:t>
      </w:r>
      <w:r>
        <w:rPr>
          <w:rFonts w:ascii="Arial" w:cs="Arial" w:eastAsia="Arial" w:hAnsi="Arial"/>
          <w:sz w:val="13"/>
          <w:szCs w:val="13"/>
          <w:color w:val="000000"/>
        </w:rPr>
        <w:t>Right Management is the world’s leading provider of integrated human capital consulting services and solutions across the</w:t>
      </w:r>
      <w:r>
        <w:rPr>
          <w:rFonts w:ascii="Arial" w:cs="Arial" w:eastAsia="Arial" w:hAnsi="Arial"/>
          <w:sz w:val="13"/>
          <w:szCs w:val="13"/>
          <w:b w:val="1"/>
          <w:bCs w:val="1"/>
          <w:color w:val="939598"/>
        </w:rPr>
        <w:t xml:space="preserve"> </w:t>
      </w:r>
      <w:r>
        <w:rPr>
          <w:rFonts w:ascii="Arial" w:cs="Arial" w:eastAsia="Arial" w:hAnsi="Arial"/>
          <w:sz w:val="13"/>
          <w:szCs w:val="13"/>
          <w:color w:val="000000"/>
        </w:rPr>
        <w:t>employment lifecycle operating through 283 offices in 51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-220980</wp:posOffset>
            </wp:positionV>
            <wp:extent cx="1337310" cy="14871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37310" cy="1487170"/>
                    </a:xfrm>
                    <a:prstGeom prst="rect">
                      <a:avLst/>
                    </a:prstGeom>
                    <a:noFill/>
                  </pic:spPr>
                </pic:pic>
              </a:graphicData>
            </a:graphic>
          </wp:anchor>
        </w:drawing>
      </w:r>
    </w:p>
    <w:p>
      <w:pPr>
        <w:spacing w:after="0" w:line="127" w:lineRule="exact"/>
        <w:rPr>
          <w:sz w:val="20"/>
          <w:szCs w:val="20"/>
          <w:color w:val="auto"/>
        </w:rPr>
      </w:pPr>
    </w:p>
    <w:p>
      <w:pPr>
        <w:ind w:right="2500"/>
        <w:spacing w:after="0" w:line="265" w:lineRule="auto"/>
        <w:rPr>
          <w:sz w:val="20"/>
          <w:szCs w:val="20"/>
          <w:color w:val="auto"/>
        </w:rPr>
      </w:pPr>
      <w:r>
        <w:rPr>
          <w:rFonts w:ascii="Arial" w:cs="Arial" w:eastAsia="Arial" w:hAnsi="Arial"/>
          <w:sz w:val="13"/>
          <w:szCs w:val="13"/>
          <w:color w:val="auto"/>
        </w:rPr>
        <w:t>Revenues increased 9.7% in 2008 to $449.7 million, or 9.3% in constant currency, as the demand for our counter-cyclical outplacement services has grown considerably in the current economic environment.</w:t>
      </w:r>
    </w:p>
    <w:p>
      <w:pPr>
        <w:spacing w:after="0" w:line="163" w:lineRule="exact"/>
        <w:rPr>
          <w:sz w:val="20"/>
          <w:szCs w:val="20"/>
          <w:color w:val="auto"/>
        </w:rPr>
      </w:pPr>
    </w:p>
    <w:p>
      <w:pPr>
        <w:ind w:right="2500"/>
        <w:spacing w:after="0" w:line="265" w:lineRule="auto"/>
        <w:rPr>
          <w:sz w:val="20"/>
          <w:szCs w:val="20"/>
          <w:color w:val="auto"/>
        </w:rPr>
      </w:pPr>
      <w:r>
        <w:rPr>
          <w:rFonts w:ascii="Arial" w:cs="Arial" w:eastAsia="Arial" w:hAnsi="Arial"/>
          <w:sz w:val="13"/>
          <w:szCs w:val="13"/>
          <w:color w:val="auto"/>
        </w:rPr>
        <w:t>The Gross Profit Margin improved in 2008 primarily due to improved utilization of staff as a result of the increase in business, as well as improved management of variable direct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139" w:right="1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Selling and Administrative Costs increased 11.5%, or 11.2% in constant currency, from 2007 to support the increased revenue levels. As a percent of revenue, expenses increased slightly for the year.</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2008 OUP was $44.6 million compared to $34.6 million in 2007, an increase of 29.0%, or 30.2% in constant currency. The OUP Margin increased to 9.9% from 8.4% in 2007 due primarily to the increase in Gross Profit Margin.</w:t>
      </w:r>
    </w:p>
    <w:p>
      <w:pPr>
        <w:spacing w:after="0" w:line="152" w:lineRule="exact"/>
        <w:rPr>
          <w:sz w:val="20"/>
          <w:szCs w:val="20"/>
          <w:color w:val="auto"/>
        </w:rPr>
      </w:pPr>
    </w:p>
    <w:p>
      <w:pPr>
        <w:jc w:val="both"/>
        <w:ind w:left="2620"/>
        <w:spacing w:after="0" w:line="279" w:lineRule="auto"/>
        <w:rPr>
          <w:sz w:val="20"/>
          <w:szCs w:val="20"/>
          <w:color w:val="auto"/>
        </w:rPr>
      </w:pPr>
      <w:r>
        <w:rPr>
          <w:rFonts w:ascii="Arial" w:cs="Arial" w:eastAsia="Arial" w:hAnsi="Arial"/>
          <w:sz w:val="13"/>
          <w:szCs w:val="13"/>
          <w:b w:val="1"/>
          <w:bCs w:val="1"/>
          <w:color w:val="939598"/>
        </w:rPr>
        <w:t xml:space="preserve">Other Operations – </w:t>
      </w:r>
      <w:r>
        <w:rPr>
          <w:rFonts w:ascii="Arial" w:cs="Arial" w:eastAsia="Arial" w:hAnsi="Arial"/>
          <w:sz w:val="13"/>
          <w:szCs w:val="13"/>
          <w:color w:val="000000"/>
        </w:rPr>
        <w:t>The Other Operations segment includes our operations in the Asia Pacific region, Canada, Mexico and South America,</w:t>
      </w:r>
      <w:r>
        <w:rPr>
          <w:rFonts w:ascii="Arial" w:cs="Arial" w:eastAsia="Arial" w:hAnsi="Arial"/>
          <w:sz w:val="13"/>
          <w:szCs w:val="13"/>
          <w:b w:val="1"/>
          <w:bCs w:val="1"/>
          <w:color w:val="939598"/>
        </w:rPr>
        <w:t xml:space="preserve"> </w:t>
      </w:r>
      <w:r>
        <w:rPr>
          <w:rFonts w:ascii="Arial" w:cs="Arial" w:eastAsia="Arial" w:hAnsi="Arial"/>
          <w:sz w:val="13"/>
          <w:szCs w:val="13"/>
          <w:color w:val="000000"/>
        </w:rPr>
        <w:t>delivering service through 579 offices. Our largest country operation within this segment is Japan, which accounts for 35.7% of the segment’s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-211455</wp:posOffset>
            </wp:positionV>
            <wp:extent cx="1428750" cy="1545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28750" cy="1545590"/>
                    </a:xfrm>
                    <a:prstGeom prst="rect">
                      <a:avLst/>
                    </a:prstGeom>
                    <a:noFill/>
                  </pic:spPr>
                </pic:pic>
              </a:graphicData>
            </a:graphic>
          </wp:anchor>
        </w:drawing>
      </w:r>
    </w:p>
    <w:p>
      <w:pPr>
        <w:spacing w:after="0" w:line="296" w:lineRule="exact"/>
        <w:rPr>
          <w:sz w:val="20"/>
          <w:szCs w:val="20"/>
          <w:color w:val="auto"/>
        </w:rPr>
      </w:pPr>
    </w:p>
    <w:p>
      <w:pPr>
        <w:jc w:val="both"/>
        <w:ind w:left="2620"/>
        <w:spacing w:after="0" w:line="251" w:lineRule="auto"/>
        <w:rPr>
          <w:sz w:val="20"/>
          <w:szCs w:val="20"/>
          <w:color w:val="auto"/>
        </w:rPr>
      </w:pPr>
      <w:r>
        <w:rPr>
          <w:rFonts w:ascii="Arial" w:cs="Arial" w:eastAsia="Arial" w:hAnsi="Arial"/>
          <w:sz w:val="13"/>
          <w:szCs w:val="13"/>
          <w:color w:val="auto"/>
        </w:rPr>
        <w:t>Revenues in the segment improved 13.4% to $3.0 billion, or 6.9% in constant currency. Revenue increases were experienced in many of our major markets in this segment, including Argentina (+38.8%), Japan (+4.2%) and Mexico (+3.1%), offset by revenue declines in Australia (-4.0%) . Revenue was strong in the first half of the year, with 10.8% growth in constant currency, but began to slow down during the second half of the year with only 1.2% constant currency revenue growth in the fourth quarter. In our emerging markets, India continued to show strong revenue growth throughout the year, while China had very strong growth in the first half of the year, but contracted in the second half of 2008. Permanent recruitment revenues increased 20.5%, or 14.8% in constant currency, as a result of the ongoing investment in this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Gross Profit Margin in 2008 remained flat with 2007. The margin was favorably impacted by higher permanent recruitment business and a shift in the mix of business toward those countries and services with higher gross profit margins. This was offset by a decrease in Gross Profit Margin in Japan, as they have not been able to pass on increases in social security costs for their associates in the current market environment.</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Selling and Administrative Expenses increased 21.6%, or 15.0% in constant currency, to support the increased revenue levels, investments in office openings and the permanent recruitment business in certain markets. Included in Selling and Administrative Expenses is $1.6 million of reorganization costs for severances and other office closure costs recorded in the fourth quarter. Expenses as a percent of revenues increased in 2008 compared to 2007, particularly in the fourth quarter where we saw expense deleveraging as a result of the slowdown in revenues.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OUP decreased 25.9%, or 34.4% in constant currency. The OUP Margin decreased to 1.8% in 2008 compared to 2.8% in 2007, due to the increase in Selling and Administrative Expenses.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Financial Measures – Constant Currency And Organic Constant Currency Reconciliation</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Certain constant currency and organic constant currency percent variances are discussed throughout this annual report. A reconciliation to the percent variances calculated based on our annual financial results is provided below. (See Constant Currency And Organic Constant Currency on pages 18 and 19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727964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76"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26</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jc w:val="right"/>
              <w:ind w:right="293"/>
              <w:spacing w:after="0"/>
              <w:rPr>
                <w:sz w:val="20"/>
                <w:szCs w:val="20"/>
                <w:color w:val="auto"/>
              </w:rPr>
            </w:pPr>
            <w:r>
              <w:rPr>
                <w:rFonts w:ascii="Arial" w:cs="Arial" w:eastAsia="Arial" w:hAnsi="Arial"/>
                <w:sz w:val="13"/>
                <w:szCs w:val="13"/>
                <w:color w:val="4D8ABE"/>
              </w:rPr>
              <w:t>Impact of</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4"/>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293"/>
              <w:spacing w:after="0"/>
              <w:rPr>
                <w:sz w:val="20"/>
                <w:szCs w:val="20"/>
                <w:color w:val="auto"/>
              </w:rPr>
            </w:pPr>
            <w:r>
              <w:rPr>
                <w:rFonts w:ascii="Arial" w:cs="Arial" w:eastAsia="Arial" w:hAnsi="Arial"/>
                <w:sz w:val="13"/>
                <w:szCs w:val="13"/>
                <w:color w:val="4D8ABE"/>
              </w:rPr>
              <w:t>Acquisitions/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4D8ABE"/>
              </w:rPr>
              <w:t>Reported</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3"/>
                <w:szCs w:val="13"/>
                <w:color w:val="4D8ABE"/>
              </w:rPr>
              <w:t>Variance in</w:t>
            </w:r>
          </w:p>
        </w:tc>
        <w:tc>
          <w:tcPr>
            <w:tcW w:w="1220" w:type="dxa"/>
            <w:vAlign w:val="bottom"/>
          </w:tcPr>
          <w:p>
            <w:pPr>
              <w:jc w:val="right"/>
              <w:ind w:right="293"/>
              <w:spacing w:after="0"/>
              <w:rPr>
                <w:sz w:val="20"/>
                <w:szCs w:val="20"/>
                <w:color w:val="auto"/>
              </w:rPr>
            </w:pPr>
            <w:r>
              <w:rPr>
                <w:rFonts w:ascii="Arial" w:cs="Arial" w:eastAsia="Arial" w:hAnsi="Arial"/>
                <w:sz w:val="13"/>
                <w:szCs w:val="13"/>
                <w:color w:val="4D8ABE"/>
              </w:rPr>
              <w:t>Dispositions</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4D8ABE"/>
              </w:rPr>
              <w:t>Organic</w:t>
            </w: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4D8ABE"/>
              </w:rPr>
              <w:t>Amounts represent 2008</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4D8ABE"/>
              </w:rPr>
              <w:t>Amount</w:t>
            </w:r>
          </w:p>
        </w:tc>
        <w:tc>
          <w:tcPr>
            <w:tcW w:w="1200" w:type="dxa"/>
            <w:vAlign w:val="bottom"/>
          </w:tcPr>
          <w:p>
            <w:pPr>
              <w:jc w:val="right"/>
              <w:ind w:right="313"/>
              <w:spacing w:after="0"/>
              <w:rPr>
                <w:sz w:val="20"/>
                <w:szCs w:val="20"/>
                <w:color w:val="auto"/>
              </w:rPr>
            </w:pPr>
            <w:r>
              <w:rPr>
                <w:rFonts w:ascii="Arial" w:cs="Arial" w:eastAsia="Arial" w:hAnsi="Arial"/>
                <w:sz w:val="13"/>
                <w:szCs w:val="13"/>
                <w:color w:val="4D8ABE"/>
              </w:rPr>
              <w:t>Reported</w:t>
            </w:r>
          </w:p>
        </w:tc>
        <w:tc>
          <w:tcPr>
            <w:tcW w:w="1060" w:type="dxa"/>
            <w:vAlign w:val="bottom"/>
          </w:tcPr>
          <w:p>
            <w:pPr>
              <w:jc w:val="right"/>
              <w:ind w:right="233"/>
              <w:spacing w:after="0"/>
              <w:rPr>
                <w:sz w:val="20"/>
                <w:szCs w:val="20"/>
                <w:color w:val="auto"/>
              </w:rPr>
            </w:pPr>
            <w:r>
              <w:rPr>
                <w:rFonts w:ascii="Arial" w:cs="Arial" w:eastAsia="Arial" w:hAnsi="Arial"/>
                <w:sz w:val="13"/>
                <w:szCs w:val="13"/>
                <w:color w:val="4D8ABE"/>
              </w:rPr>
              <w:t>Impact of</w:t>
            </w:r>
          </w:p>
        </w:tc>
        <w:tc>
          <w:tcPr>
            <w:tcW w:w="1120" w:type="dxa"/>
            <w:vAlign w:val="bottom"/>
          </w:tcPr>
          <w:p>
            <w:pPr>
              <w:jc w:val="right"/>
              <w:ind w:right="213"/>
              <w:spacing w:after="0"/>
              <w:rPr>
                <w:sz w:val="20"/>
                <w:szCs w:val="20"/>
                <w:color w:val="auto"/>
              </w:rPr>
            </w:pPr>
            <w:r>
              <w:rPr>
                <w:rFonts w:ascii="Arial" w:cs="Arial" w:eastAsia="Arial" w:hAnsi="Arial"/>
                <w:sz w:val="13"/>
                <w:szCs w:val="13"/>
                <w:color w:val="4D8ABE"/>
              </w:rPr>
              <w:t>Constant</w:t>
            </w:r>
          </w:p>
        </w:tc>
        <w:tc>
          <w:tcPr>
            <w:tcW w:w="1220" w:type="dxa"/>
            <w:vAlign w:val="bottom"/>
          </w:tcPr>
          <w:p>
            <w:pPr>
              <w:jc w:val="right"/>
              <w:ind w:right="293"/>
              <w:spacing w:after="0"/>
              <w:rPr>
                <w:sz w:val="20"/>
                <w:szCs w:val="20"/>
                <w:color w:val="auto"/>
              </w:rPr>
            </w:pPr>
            <w:r>
              <w:rPr>
                <w:rFonts w:ascii="Arial" w:cs="Arial" w:eastAsia="Arial" w:hAnsi="Arial"/>
                <w:sz w:val="13"/>
                <w:szCs w:val="13"/>
                <w:color w:val="4D8ABE"/>
              </w:rPr>
              <w:t>(in Constant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4D8ABE"/>
              </w:rPr>
              <w:t>Constant</w:t>
            </w:r>
          </w:p>
        </w:tc>
      </w:tr>
      <w:tr>
        <w:trPr>
          <w:trHeight w:val="165"/>
        </w:trPr>
        <w:tc>
          <w:tcPr>
            <w:tcW w:w="3720" w:type="dxa"/>
            <w:vAlign w:val="bottom"/>
          </w:tcPr>
          <w:p>
            <w:pPr>
              <w:spacing w:after="0"/>
              <w:rPr>
                <w:sz w:val="20"/>
                <w:szCs w:val="20"/>
                <w:color w:val="auto"/>
              </w:rPr>
            </w:pPr>
            <w:r>
              <w:rPr>
                <w:rFonts w:ascii="Arial" w:cs="Arial" w:eastAsia="Arial" w:hAnsi="Arial"/>
                <w:sz w:val="13"/>
                <w:szCs w:val="13"/>
                <w:color w:val="4D8ABE"/>
              </w:rPr>
              <w:t>Percentages represent 2008 compared to 2007</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4D8ABE"/>
              </w:rPr>
              <w:t>(in millions)</w:t>
            </w:r>
          </w:p>
        </w:tc>
        <w:tc>
          <w:tcPr>
            <w:tcW w:w="1200" w:type="dxa"/>
            <w:vAlign w:val="bottom"/>
          </w:tcPr>
          <w:p>
            <w:pPr>
              <w:jc w:val="right"/>
              <w:ind w:right="313"/>
              <w:spacing w:after="0"/>
              <w:rPr>
                <w:sz w:val="20"/>
                <w:szCs w:val="20"/>
                <w:color w:val="auto"/>
              </w:rPr>
            </w:pPr>
            <w:r>
              <w:rPr>
                <w:rFonts w:ascii="Arial" w:cs="Arial" w:eastAsia="Arial" w:hAnsi="Arial"/>
                <w:sz w:val="13"/>
                <w:szCs w:val="13"/>
                <w:color w:val="4D8ABE"/>
              </w:rPr>
              <w:t>Variance</w:t>
            </w:r>
          </w:p>
        </w:tc>
        <w:tc>
          <w:tcPr>
            <w:tcW w:w="1060" w:type="dxa"/>
            <w:vAlign w:val="bottom"/>
          </w:tcPr>
          <w:p>
            <w:pPr>
              <w:jc w:val="right"/>
              <w:ind w:right="233"/>
              <w:spacing w:after="0"/>
              <w:rPr>
                <w:sz w:val="20"/>
                <w:szCs w:val="20"/>
                <w:color w:val="auto"/>
              </w:rPr>
            </w:pPr>
            <w:r>
              <w:rPr>
                <w:rFonts w:ascii="Arial" w:cs="Arial" w:eastAsia="Arial" w:hAnsi="Arial"/>
                <w:sz w:val="13"/>
                <w:szCs w:val="13"/>
                <w:color w:val="4D8ABE"/>
              </w:rPr>
              <w:t>Currency</w:t>
            </w:r>
          </w:p>
        </w:tc>
        <w:tc>
          <w:tcPr>
            <w:tcW w:w="1120" w:type="dxa"/>
            <w:vAlign w:val="bottom"/>
          </w:tcPr>
          <w:p>
            <w:pPr>
              <w:jc w:val="right"/>
              <w:ind w:right="213"/>
              <w:spacing w:after="0"/>
              <w:rPr>
                <w:sz w:val="20"/>
                <w:szCs w:val="20"/>
                <w:color w:val="auto"/>
              </w:rPr>
            </w:pPr>
            <w:r>
              <w:rPr>
                <w:rFonts w:ascii="Arial" w:cs="Arial" w:eastAsia="Arial" w:hAnsi="Arial"/>
                <w:sz w:val="13"/>
                <w:szCs w:val="13"/>
                <w:color w:val="4D8ABE"/>
              </w:rPr>
              <w:t>Currency</w:t>
            </w:r>
          </w:p>
        </w:tc>
        <w:tc>
          <w:tcPr>
            <w:tcW w:w="1220" w:type="dxa"/>
            <w:vAlign w:val="bottom"/>
          </w:tcPr>
          <w:p>
            <w:pPr>
              <w:jc w:val="right"/>
              <w:ind w:right="293"/>
              <w:spacing w:after="0"/>
              <w:rPr>
                <w:sz w:val="20"/>
                <w:szCs w:val="20"/>
                <w:color w:val="auto"/>
              </w:rPr>
            </w:pPr>
            <w:r>
              <w:rPr>
                <w:rFonts w:ascii="Arial" w:cs="Arial" w:eastAsia="Arial" w:hAnsi="Arial"/>
                <w:sz w:val="13"/>
                <w:szCs w:val="13"/>
                <w:color w:val="4D8ABE"/>
              </w:rPr>
              <w:t>Currency)</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4D8ABE"/>
              </w:rPr>
              <w:t>Currency</w:t>
            </w:r>
          </w:p>
        </w:tc>
      </w:tr>
      <w:tr>
        <w:trPr>
          <w:trHeight w:val="155"/>
        </w:trPr>
        <w:tc>
          <w:tcPr>
            <w:tcW w:w="3720" w:type="dxa"/>
            <w:vAlign w:val="bottom"/>
            <w:tcBorders>
              <w:top w:val="single" w:sz="8" w:color="4D8ABE"/>
            </w:tcBorders>
          </w:tcPr>
          <w:p>
            <w:pPr>
              <w:spacing w:after="0"/>
              <w:rPr>
                <w:sz w:val="20"/>
                <w:szCs w:val="20"/>
                <w:color w:val="auto"/>
              </w:rPr>
            </w:pPr>
            <w:r>
              <w:rPr>
                <w:rFonts w:ascii="Arial" w:cs="Arial" w:eastAsia="Arial" w:hAnsi="Arial"/>
                <w:sz w:val="13"/>
                <w:szCs w:val="13"/>
                <w:b w:val="1"/>
                <w:bCs w:val="1"/>
                <w:color w:val="939598"/>
              </w:rPr>
              <w:t>Revenues from Services</w:t>
            </w:r>
          </w:p>
        </w:tc>
        <w:tc>
          <w:tcPr>
            <w:tcW w:w="1060" w:type="dxa"/>
            <w:vAlign w:val="bottom"/>
            <w:tcBorders>
              <w:top w:val="single" w:sz="8" w:color="4D8ABE"/>
            </w:tcBorders>
          </w:tcPr>
          <w:p>
            <w:pPr>
              <w:spacing w:after="0"/>
              <w:rPr>
                <w:sz w:val="13"/>
                <w:szCs w:val="13"/>
                <w:color w:val="auto"/>
              </w:rPr>
            </w:pPr>
          </w:p>
        </w:tc>
        <w:tc>
          <w:tcPr>
            <w:tcW w:w="1080" w:type="dxa"/>
            <w:vAlign w:val="bottom"/>
            <w:tcBorders>
              <w:top w:val="single" w:sz="8" w:color="4D8ABE"/>
            </w:tcBorders>
          </w:tcPr>
          <w:p>
            <w:pPr>
              <w:spacing w:after="0"/>
              <w:rPr>
                <w:sz w:val="13"/>
                <w:szCs w:val="13"/>
                <w:color w:val="auto"/>
              </w:rPr>
            </w:pPr>
          </w:p>
        </w:tc>
        <w:tc>
          <w:tcPr>
            <w:tcW w:w="1200" w:type="dxa"/>
            <w:vAlign w:val="bottom"/>
            <w:tcBorders>
              <w:top w:val="single" w:sz="8" w:color="4D8ABE"/>
            </w:tcBorders>
          </w:tcPr>
          <w:p>
            <w:pPr>
              <w:spacing w:after="0"/>
              <w:rPr>
                <w:sz w:val="13"/>
                <w:szCs w:val="13"/>
                <w:color w:val="auto"/>
              </w:rPr>
            </w:pPr>
          </w:p>
        </w:tc>
        <w:tc>
          <w:tcPr>
            <w:tcW w:w="1060" w:type="dxa"/>
            <w:vAlign w:val="bottom"/>
            <w:tcBorders>
              <w:top w:val="single" w:sz="8" w:color="4D8ABE"/>
            </w:tcBorders>
          </w:tcPr>
          <w:p>
            <w:pPr>
              <w:spacing w:after="0"/>
              <w:rPr>
                <w:sz w:val="13"/>
                <w:szCs w:val="13"/>
                <w:color w:val="auto"/>
              </w:rPr>
            </w:pPr>
          </w:p>
        </w:tc>
        <w:tc>
          <w:tcPr>
            <w:tcW w:w="1120" w:type="dxa"/>
            <w:vAlign w:val="bottom"/>
            <w:tcBorders>
              <w:top w:val="single" w:sz="8" w:color="4D8ABE"/>
            </w:tcBorders>
          </w:tcPr>
          <w:p>
            <w:pPr>
              <w:spacing w:after="0"/>
              <w:rPr>
                <w:sz w:val="13"/>
                <w:szCs w:val="13"/>
                <w:color w:val="auto"/>
              </w:rPr>
            </w:pPr>
          </w:p>
        </w:tc>
        <w:tc>
          <w:tcPr>
            <w:tcW w:w="1220" w:type="dxa"/>
            <w:vAlign w:val="bottom"/>
            <w:tcBorders>
              <w:top w:val="single" w:sz="8" w:color="4D8ABE"/>
            </w:tcBorders>
          </w:tcPr>
          <w:p>
            <w:pPr>
              <w:spacing w:after="0"/>
              <w:rPr>
                <w:sz w:val="13"/>
                <w:szCs w:val="13"/>
                <w:color w:val="auto"/>
              </w:rPr>
            </w:pPr>
          </w:p>
        </w:tc>
        <w:tc>
          <w:tcPr>
            <w:tcW w:w="78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r>
      <w:tr>
        <w:trPr>
          <w:trHeight w:val="164"/>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United States</w:t>
            </w:r>
          </w:p>
        </w:tc>
        <w:tc>
          <w:tcPr>
            <w:tcW w:w="1060" w:type="dxa"/>
            <w:vAlign w:val="bottom"/>
            <w:shd w:val="clear" w:color="auto" w:fill="E6EFFF"/>
          </w:tcPr>
          <w:p>
            <w:pPr>
              <w:jc w:val="right"/>
              <w:ind w:right="12"/>
              <w:spacing w:after="0"/>
              <w:rPr>
                <w:sz w:val="20"/>
                <w:szCs w:val="20"/>
                <w:color w:val="auto"/>
              </w:rPr>
            </w:pPr>
            <w:r>
              <w:rPr>
                <w:rFonts w:ascii="Arial" w:cs="Arial" w:eastAsia="Arial" w:hAnsi="Arial"/>
                <w:sz w:val="14"/>
                <w:szCs w:val="14"/>
                <w:color w:val="auto"/>
              </w:rPr>
              <w:t>$</w:t>
            </w: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4"/>
                <w:szCs w:val="14"/>
                <w:color w:val="auto"/>
              </w:rPr>
              <w:t>1,945.4</w:t>
            </w:r>
          </w:p>
        </w:tc>
        <w:tc>
          <w:tcPr>
            <w:tcW w:w="1200" w:type="dxa"/>
            <w:vAlign w:val="bottom"/>
            <w:shd w:val="clear" w:color="auto" w:fill="E6EFFF"/>
          </w:tcPr>
          <w:p>
            <w:pPr>
              <w:jc w:val="right"/>
              <w:ind w:right="153"/>
              <w:spacing w:after="0"/>
              <w:rPr>
                <w:sz w:val="20"/>
                <w:szCs w:val="20"/>
                <w:color w:val="auto"/>
              </w:rPr>
            </w:pPr>
            <w:r>
              <w:rPr>
                <w:rFonts w:ascii="Arial" w:cs="Arial" w:eastAsia="Arial" w:hAnsi="Arial"/>
                <w:sz w:val="13"/>
                <w:szCs w:val="13"/>
                <w:color w:val="auto"/>
              </w:rPr>
              <w:t>(0.9)%</w:t>
            </w:r>
          </w:p>
        </w:tc>
        <w:tc>
          <w:tcPr>
            <w:tcW w:w="1060" w:type="dxa"/>
            <w:vAlign w:val="bottom"/>
            <w:shd w:val="clear" w:color="auto" w:fill="E6EFFF"/>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(0.9)%</w:t>
            </w:r>
          </w:p>
        </w:tc>
        <w:tc>
          <w:tcPr>
            <w:tcW w:w="122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10.4%</w:t>
            </w:r>
          </w:p>
        </w:tc>
        <w:tc>
          <w:tcPr>
            <w:tcW w:w="1000" w:type="dxa"/>
            <w:vAlign w:val="bottom"/>
            <w:gridSpan w:val="2"/>
            <w:shd w:val="clear" w:color="auto" w:fill="E6EFFF"/>
          </w:tcPr>
          <w:p>
            <w:pPr>
              <w:jc w:val="right"/>
              <w:ind w:right="20"/>
              <w:spacing w:after="0"/>
              <w:rPr>
                <w:sz w:val="20"/>
                <w:szCs w:val="20"/>
                <w:color w:val="auto"/>
              </w:rPr>
            </w:pPr>
            <w:r>
              <w:rPr>
                <w:rFonts w:ascii="Arial" w:cs="Arial" w:eastAsia="Arial" w:hAnsi="Arial"/>
                <w:sz w:val="14"/>
                <w:szCs w:val="14"/>
                <w:color w:val="auto"/>
              </w:rPr>
              <w:t>(11.3)%</w:t>
            </w: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France</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6,935.6</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(1.3)</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7.4</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(8.7)</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(8.7)</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Other EMEA</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7,437.7</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10.2</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2.1</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8.1</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1.6</w:t>
            </w:r>
          </w:p>
        </w:tc>
        <w:tc>
          <w:tcPr>
            <w:tcW w:w="1000" w:type="dxa"/>
            <w:vAlign w:val="bottom"/>
            <w:gridSpan w:val="2"/>
            <w:shd w:val="clear" w:color="auto" w:fill="E6EFFF"/>
          </w:tcPr>
          <w:p>
            <w:pPr>
              <w:jc w:val="right"/>
              <w:ind w:right="180"/>
              <w:spacing w:after="0"/>
              <w:rPr>
                <w:sz w:val="20"/>
                <w:szCs w:val="20"/>
                <w:color w:val="auto"/>
              </w:rPr>
            </w:pPr>
            <w:r>
              <w:rPr>
                <w:rFonts w:ascii="Arial" w:cs="Arial" w:eastAsia="Arial" w:hAnsi="Arial"/>
                <w:sz w:val="13"/>
                <w:szCs w:val="13"/>
                <w:color w:val="auto"/>
              </w:rPr>
              <w:t>6.5</w:t>
            </w: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Italy</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1,519.5</w:t>
            </w:r>
          </w:p>
        </w:tc>
        <w:tc>
          <w:tcPr>
            <w:tcW w:w="1200" w:type="dxa"/>
            <w:vAlign w:val="bottom"/>
          </w:tcPr>
          <w:p>
            <w:pPr>
              <w:jc w:val="right"/>
              <w:ind w:right="313"/>
              <w:spacing w:after="0"/>
              <w:rPr>
                <w:sz w:val="20"/>
                <w:szCs w:val="20"/>
                <w:color w:val="auto"/>
              </w:rPr>
            </w:pPr>
            <w:r>
              <w:rPr>
                <w:rFonts w:ascii="Arial" w:cs="Arial" w:eastAsia="Arial" w:hAnsi="Arial"/>
                <w:sz w:val="13"/>
                <w:szCs w:val="13"/>
                <w:color w:val="auto"/>
              </w:rPr>
              <w:t>8.7</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8.2</w:t>
            </w:r>
          </w:p>
        </w:tc>
        <w:tc>
          <w:tcPr>
            <w:tcW w:w="1120" w:type="dxa"/>
            <w:vAlign w:val="bottom"/>
          </w:tcPr>
          <w:p>
            <w:pPr>
              <w:jc w:val="right"/>
              <w:ind w:right="213"/>
              <w:spacing w:after="0"/>
              <w:rPr>
                <w:sz w:val="20"/>
                <w:szCs w:val="20"/>
                <w:color w:val="auto"/>
              </w:rPr>
            </w:pPr>
            <w:r>
              <w:rPr>
                <w:rFonts w:ascii="Arial" w:cs="Arial" w:eastAsia="Arial" w:hAnsi="Arial"/>
                <w:sz w:val="13"/>
                <w:szCs w:val="13"/>
                <w:color w:val="auto"/>
              </w:rPr>
              <w:t>0.5</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0.5</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Jefferson Wells</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291.0</w:t>
            </w:r>
          </w:p>
        </w:tc>
        <w:tc>
          <w:tcPr>
            <w:tcW w:w="1200" w:type="dxa"/>
            <w:vAlign w:val="bottom"/>
            <w:shd w:val="clear" w:color="auto" w:fill="E6EFFF"/>
          </w:tcPr>
          <w:p>
            <w:pPr>
              <w:jc w:val="right"/>
              <w:ind w:right="273"/>
              <w:spacing w:after="0"/>
              <w:rPr>
                <w:sz w:val="20"/>
                <w:szCs w:val="20"/>
                <w:color w:val="auto"/>
              </w:rPr>
            </w:pPr>
            <w:r>
              <w:rPr>
                <w:rFonts w:ascii="Arial" w:cs="Arial" w:eastAsia="Arial" w:hAnsi="Arial"/>
                <w:sz w:val="13"/>
                <w:szCs w:val="13"/>
                <w:color w:val="auto"/>
              </w:rPr>
              <w:t>(12.4)</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w:t>
            </w:r>
          </w:p>
        </w:tc>
        <w:tc>
          <w:tcPr>
            <w:tcW w:w="112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(12.4)</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0.2</w:t>
            </w:r>
          </w:p>
        </w:tc>
        <w:tc>
          <w:tcPr>
            <w:tcW w:w="1000" w:type="dxa"/>
            <w:vAlign w:val="bottom"/>
            <w:gridSpan w:val="2"/>
            <w:shd w:val="clear" w:color="auto" w:fill="E6EFFF"/>
          </w:tcPr>
          <w:p>
            <w:pPr>
              <w:jc w:val="right"/>
              <w:ind w:right="140"/>
              <w:spacing w:after="0"/>
              <w:rPr>
                <w:sz w:val="20"/>
                <w:szCs w:val="20"/>
                <w:color w:val="auto"/>
              </w:rPr>
            </w:pPr>
            <w:r>
              <w:rPr>
                <w:rFonts w:ascii="Arial" w:cs="Arial" w:eastAsia="Arial" w:hAnsi="Arial"/>
                <w:sz w:val="13"/>
                <w:szCs w:val="13"/>
                <w:color w:val="auto"/>
              </w:rPr>
              <w:t>(12.6)</w:t>
            </w: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Right Management</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449.7</w:t>
            </w:r>
          </w:p>
        </w:tc>
        <w:tc>
          <w:tcPr>
            <w:tcW w:w="1200" w:type="dxa"/>
            <w:vAlign w:val="bottom"/>
          </w:tcPr>
          <w:p>
            <w:pPr>
              <w:jc w:val="right"/>
              <w:ind w:right="313"/>
              <w:spacing w:after="0"/>
              <w:rPr>
                <w:sz w:val="20"/>
                <w:szCs w:val="20"/>
                <w:color w:val="auto"/>
              </w:rPr>
            </w:pPr>
            <w:r>
              <w:rPr>
                <w:rFonts w:ascii="Arial" w:cs="Arial" w:eastAsia="Arial" w:hAnsi="Arial"/>
                <w:sz w:val="13"/>
                <w:szCs w:val="13"/>
                <w:color w:val="auto"/>
              </w:rPr>
              <w:t>9.7</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0.4</w:t>
            </w:r>
          </w:p>
        </w:tc>
        <w:tc>
          <w:tcPr>
            <w:tcW w:w="1120" w:type="dxa"/>
            <w:vAlign w:val="bottom"/>
          </w:tcPr>
          <w:p>
            <w:pPr>
              <w:jc w:val="right"/>
              <w:ind w:right="213"/>
              <w:spacing w:after="0"/>
              <w:rPr>
                <w:sz w:val="20"/>
                <w:szCs w:val="20"/>
                <w:color w:val="auto"/>
              </w:rPr>
            </w:pPr>
            <w:r>
              <w:rPr>
                <w:rFonts w:ascii="Arial" w:cs="Arial" w:eastAsia="Arial" w:hAnsi="Arial"/>
                <w:sz w:val="13"/>
                <w:szCs w:val="13"/>
                <w:color w:val="auto"/>
              </w:rPr>
              <w:t>9.3</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0.5</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8.8</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Other Operations</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2,973.9</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13.4</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6.5</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6.9</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0.9</w:t>
            </w:r>
          </w:p>
        </w:tc>
        <w:tc>
          <w:tcPr>
            <w:tcW w:w="1000" w:type="dxa"/>
            <w:vAlign w:val="bottom"/>
            <w:gridSpan w:val="2"/>
            <w:shd w:val="clear" w:color="auto" w:fill="E6EFFF"/>
          </w:tcPr>
          <w:p>
            <w:pPr>
              <w:jc w:val="right"/>
              <w:ind w:right="180"/>
              <w:spacing w:after="0"/>
              <w:rPr>
                <w:sz w:val="20"/>
                <w:szCs w:val="20"/>
                <w:color w:val="auto"/>
              </w:rPr>
            </w:pPr>
            <w:r>
              <w:rPr>
                <w:rFonts w:ascii="Arial" w:cs="Arial" w:eastAsia="Arial" w:hAnsi="Arial"/>
                <w:sz w:val="13"/>
                <w:szCs w:val="13"/>
                <w:color w:val="auto"/>
              </w:rPr>
              <w:t>6.0</w:t>
            </w:r>
          </w:p>
        </w:tc>
      </w:tr>
      <w:tr>
        <w:trPr>
          <w:trHeight w:val="154"/>
        </w:trPr>
        <w:tc>
          <w:tcPr>
            <w:tcW w:w="37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Manpower Inc.</w:t>
            </w:r>
          </w:p>
        </w:tc>
        <w:tc>
          <w:tcPr>
            <w:tcW w:w="10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53"/>
              <w:spacing w:after="0"/>
              <w:rPr>
                <w:sz w:val="20"/>
                <w:szCs w:val="20"/>
                <w:color w:val="auto"/>
              </w:rPr>
            </w:pPr>
            <w:r>
              <w:rPr>
                <w:rFonts w:ascii="Arial" w:cs="Arial" w:eastAsia="Arial" w:hAnsi="Arial"/>
                <w:sz w:val="13"/>
                <w:szCs w:val="13"/>
                <w:color w:val="auto"/>
              </w:rPr>
              <w:t>21,552.8</w:t>
            </w:r>
          </w:p>
        </w:tc>
        <w:tc>
          <w:tcPr>
            <w:tcW w:w="1200" w:type="dxa"/>
            <w:vAlign w:val="bottom"/>
            <w:tcBorders>
              <w:top w:val="single" w:sz="8" w:color="auto"/>
            </w:tcBorders>
          </w:tcPr>
          <w:p>
            <w:pPr>
              <w:jc w:val="right"/>
              <w:ind w:right="313"/>
              <w:spacing w:after="0"/>
              <w:rPr>
                <w:sz w:val="20"/>
                <w:szCs w:val="20"/>
                <w:color w:val="auto"/>
              </w:rPr>
            </w:pPr>
            <w:r>
              <w:rPr>
                <w:rFonts w:ascii="Arial" w:cs="Arial" w:eastAsia="Arial" w:hAnsi="Arial"/>
                <w:sz w:val="13"/>
                <w:szCs w:val="13"/>
                <w:color w:val="auto"/>
              </w:rPr>
              <w:t>5.1</w:t>
            </w:r>
          </w:p>
        </w:tc>
        <w:tc>
          <w:tcPr>
            <w:tcW w:w="106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auto"/>
              </w:rPr>
              <w:t>4.6</w:t>
            </w:r>
          </w:p>
        </w:tc>
        <w:tc>
          <w:tcPr>
            <w:tcW w:w="1120" w:type="dxa"/>
            <w:vAlign w:val="bottom"/>
            <w:tcBorders>
              <w:top w:val="single" w:sz="8" w:color="auto"/>
            </w:tcBorders>
          </w:tcPr>
          <w:p>
            <w:pPr>
              <w:jc w:val="right"/>
              <w:ind w:right="213"/>
              <w:spacing w:after="0"/>
              <w:rPr>
                <w:sz w:val="20"/>
                <w:szCs w:val="20"/>
                <w:color w:val="auto"/>
              </w:rPr>
            </w:pPr>
            <w:r>
              <w:rPr>
                <w:rFonts w:ascii="Arial" w:cs="Arial" w:eastAsia="Arial" w:hAnsi="Arial"/>
                <w:sz w:val="13"/>
                <w:szCs w:val="13"/>
                <w:color w:val="auto"/>
              </w:rPr>
              <w:t>0.5</w:t>
            </w:r>
          </w:p>
        </w:tc>
        <w:tc>
          <w:tcPr>
            <w:tcW w:w="1220" w:type="dxa"/>
            <w:vAlign w:val="bottom"/>
            <w:tcBorders>
              <w:top w:val="single" w:sz="8" w:color="auto"/>
            </w:tcBorders>
          </w:tcPr>
          <w:p>
            <w:pPr>
              <w:jc w:val="right"/>
              <w:ind w:right="293"/>
              <w:spacing w:after="0"/>
              <w:rPr>
                <w:sz w:val="20"/>
                <w:szCs w:val="20"/>
                <w:color w:val="auto"/>
              </w:rPr>
            </w:pPr>
            <w:r>
              <w:rPr>
                <w:rFonts w:ascii="Arial" w:cs="Arial" w:eastAsia="Arial" w:hAnsi="Arial"/>
                <w:sz w:val="13"/>
                <w:szCs w:val="13"/>
                <w:color w:val="auto"/>
              </w:rPr>
              <w:t>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b w:val="1"/>
                <w:bCs w:val="1"/>
                <w:color w:val="939598"/>
              </w:rPr>
              <w:t>Gross Profit - Manpower Inc.</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4,102.6</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6.6</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4.3</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2.3</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2.4</w:t>
            </w:r>
          </w:p>
        </w:tc>
        <w:tc>
          <w:tcPr>
            <w:tcW w:w="1000" w:type="dxa"/>
            <w:vAlign w:val="bottom"/>
            <w:gridSpan w:val="2"/>
            <w:shd w:val="clear" w:color="auto" w:fill="E6EFFF"/>
          </w:tcPr>
          <w:p>
            <w:pPr>
              <w:jc w:val="right"/>
              <w:ind w:right="140"/>
              <w:spacing w:after="0"/>
              <w:rPr>
                <w:sz w:val="20"/>
                <w:szCs w:val="20"/>
                <w:color w:val="auto"/>
              </w:rPr>
            </w:pPr>
            <w:r>
              <w:rPr>
                <w:rFonts w:ascii="Arial" w:cs="Arial" w:eastAsia="Arial" w:hAnsi="Arial"/>
                <w:sz w:val="13"/>
                <w:szCs w:val="13"/>
                <w:color w:val="auto"/>
              </w:rPr>
              <w:t>(0.1)</w:t>
            </w:r>
          </w:p>
        </w:tc>
      </w:tr>
      <w:tr>
        <w:trPr>
          <w:trHeight w:val="164"/>
        </w:trPr>
        <w:tc>
          <w:tcPr>
            <w:tcW w:w="3720" w:type="dxa"/>
            <w:vAlign w:val="bottom"/>
            <w:shd w:val="clear" w:color="auto" w:fill="E6EFFF"/>
          </w:tcPr>
          <w:p>
            <w:pPr>
              <w:spacing w:after="0"/>
              <w:rPr>
                <w:sz w:val="20"/>
                <w:szCs w:val="20"/>
                <w:color w:val="auto"/>
              </w:rPr>
            </w:pPr>
            <w:r>
              <w:rPr>
                <w:rFonts w:ascii="Arial" w:cs="Arial" w:eastAsia="Arial" w:hAnsi="Arial"/>
                <w:sz w:val="13"/>
                <w:szCs w:val="13"/>
                <w:b w:val="1"/>
                <w:bCs w:val="1"/>
                <w:color w:val="939598"/>
              </w:rPr>
              <w:t>Operating Unit Profit</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spacing w:after="0"/>
              <w:rPr>
                <w:sz w:val="14"/>
                <w:szCs w:val="14"/>
                <w:color w:val="auto"/>
              </w:rPr>
            </w:pPr>
          </w:p>
        </w:tc>
        <w:tc>
          <w:tcPr>
            <w:tcW w:w="1200" w:type="dxa"/>
            <w:vAlign w:val="bottom"/>
            <w:shd w:val="clear" w:color="auto" w:fill="E6EFFF"/>
          </w:tcPr>
          <w:p>
            <w:pPr>
              <w:spacing w:after="0"/>
              <w:rPr>
                <w:sz w:val="14"/>
                <w:szCs w:val="14"/>
                <w:color w:val="auto"/>
              </w:rPr>
            </w:pPr>
          </w:p>
        </w:tc>
        <w:tc>
          <w:tcPr>
            <w:tcW w:w="106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22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United States</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32.2</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(59.8)</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(59.8)</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2.9</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(62.7)</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France</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299.0</w:t>
            </w:r>
          </w:p>
        </w:tc>
        <w:tc>
          <w:tcPr>
            <w:tcW w:w="1200" w:type="dxa"/>
            <w:vAlign w:val="bottom"/>
            <w:shd w:val="clear" w:color="auto" w:fill="E6EFFF"/>
          </w:tcPr>
          <w:p>
            <w:pPr>
              <w:jc w:val="right"/>
              <w:ind w:right="273"/>
              <w:spacing w:after="0"/>
              <w:rPr>
                <w:sz w:val="20"/>
                <w:szCs w:val="20"/>
                <w:color w:val="auto"/>
              </w:rPr>
            </w:pPr>
            <w:r>
              <w:rPr>
                <w:rFonts w:ascii="Arial" w:cs="Arial" w:eastAsia="Arial" w:hAnsi="Arial"/>
                <w:sz w:val="13"/>
                <w:szCs w:val="13"/>
                <w:color w:val="auto"/>
              </w:rPr>
              <w:t>(23.4)</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3.5</w:t>
            </w:r>
          </w:p>
        </w:tc>
        <w:tc>
          <w:tcPr>
            <w:tcW w:w="112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(26.9)</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E6EFFF"/>
          </w:tcPr>
          <w:p>
            <w:pPr>
              <w:jc w:val="right"/>
              <w:ind w:right="140"/>
              <w:spacing w:after="0"/>
              <w:rPr>
                <w:sz w:val="20"/>
                <w:szCs w:val="20"/>
                <w:color w:val="auto"/>
              </w:rPr>
            </w:pPr>
            <w:r>
              <w:rPr>
                <w:rFonts w:ascii="Arial" w:cs="Arial" w:eastAsia="Arial" w:hAnsi="Arial"/>
                <w:sz w:val="13"/>
                <w:szCs w:val="13"/>
                <w:color w:val="auto"/>
              </w:rPr>
              <w:t>(26.9)</w:t>
            </w: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Other EMEA</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249.5</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(2.8)</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3.6</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(6.4)</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3.1</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(9.5)</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Italy</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120.3</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16.0</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8.7</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7.3</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E6EFFF"/>
          </w:tcPr>
          <w:p>
            <w:pPr>
              <w:jc w:val="right"/>
              <w:ind w:right="180"/>
              <w:spacing w:after="0"/>
              <w:rPr>
                <w:sz w:val="20"/>
                <w:szCs w:val="20"/>
                <w:color w:val="auto"/>
              </w:rPr>
            </w:pPr>
            <w:r>
              <w:rPr>
                <w:rFonts w:ascii="Arial" w:cs="Arial" w:eastAsia="Arial" w:hAnsi="Arial"/>
                <w:sz w:val="13"/>
                <w:szCs w:val="13"/>
                <w:color w:val="auto"/>
              </w:rPr>
              <w:t>7.3</w:t>
            </w: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Jefferson Wells</w:t>
            </w:r>
          </w:p>
        </w:tc>
        <w:tc>
          <w:tcPr>
            <w:tcW w:w="106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3"/>
                <w:szCs w:val="13"/>
                <w:color w:val="auto"/>
              </w:rPr>
              <w:t>(19.6)</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(278.2)</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(278.2)</w:t>
            </w:r>
          </w:p>
        </w:tc>
        <w:tc>
          <w:tcPr>
            <w:tcW w:w="1220" w:type="dxa"/>
            <w:vAlign w:val="bottom"/>
          </w:tcPr>
          <w:p>
            <w:pPr>
              <w:jc w:val="right"/>
              <w:ind w:right="253"/>
              <w:spacing w:after="0"/>
              <w:rPr>
                <w:sz w:val="20"/>
                <w:szCs w:val="20"/>
                <w:color w:val="auto"/>
              </w:rPr>
            </w:pPr>
            <w:r>
              <w:rPr>
                <w:rFonts w:ascii="Arial" w:cs="Arial" w:eastAsia="Arial" w:hAnsi="Arial"/>
                <w:sz w:val="13"/>
                <w:szCs w:val="13"/>
                <w:color w:val="auto"/>
              </w:rPr>
              <w:t>(5.1)</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(273.1)</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Right Management</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44.6</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29.0</w:t>
            </w:r>
          </w:p>
        </w:tc>
        <w:tc>
          <w:tcPr>
            <w:tcW w:w="1060" w:type="dxa"/>
            <w:vAlign w:val="bottom"/>
            <w:shd w:val="clear" w:color="auto" w:fill="E6EFFF"/>
          </w:tcPr>
          <w:p>
            <w:pPr>
              <w:jc w:val="right"/>
              <w:ind w:right="193"/>
              <w:spacing w:after="0"/>
              <w:rPr>
                <w:sz w:val="20"/>
                <w:szCs w:val="20"/>
                <w:color w:val="auto"/>
              </w:rPr>
            </w:pPr>
            <w:r>
              <w:rPr>
                <w:rFonts w:ascii="Arial" w:cs="Arial" w:eastAsia="Arial" w:hAnsi="Arial"/>
                <w:sz w:val="13"/>
                <w:szCs w:val="13"/>
                <w:color w:val="auto"/>
              </w:rPr>
              <w:t>(1.2)</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30.2</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1.7</w:t>
            </w:r>
          </w:p>
        </w:tc>
        <w:tc>
          <w:tcPr>
            <w:tcW w:w="7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28.5</w:t>
            </w:r>
          </w:p>
        </w:tc>
        <w:tc>
          <w:tcPr>
            <w:tcW w:w="220" w:type="dxa"/>
            <w:vAlign w:val="bottom"/>
            <w:shd w:val="clear" w:color="auto" w:fill="E6EFFF"/>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Other Operations</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54.5</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(25.9)</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8.5</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(34.4)</w:t>
            </w:r>
          </w:p>
        </w:tc>
        <w:tc>
          <w:tcPr>
            <w:tcW w:w="1220" w:type="dxa"/>
            <w:vAlign w:val="bottom"/>
          </w:tcPr>
          <w:p>
            <w:pPr>
              <w:jc w:val="right"/>
              <w:ind w:right="253"/>
              <w:spacing w:after="0"/>
              <w:rPr>
                <w:sz w:val="20"/>
                <w:szCs w:val="20"/>
                <w:color w:val="auto"/>
              </w:rPr>
            </w:pPr>
            <w:r>
              <w:rPr>
                <w:rFonts w:ascii="Arial" w:cs="Arial" w:eastAsia="Arial" w:hAnsi="Arial"/>
                <w:sz w:val="13"/>
                <w:szCs w:val="13"/>
                <w:color w:val="auto"/>
              </w:rPr>
              <w:t>(6.3)</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(28.1)</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b w:val="1"/>
                <w:bCs w:val="1"/>
                <w:color w:val="939598"/>
              </w:rPr>
              <w:t>Operating Profit - Manpower Inc.</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509.2</w:t>
            </w:r>
          </w:p>
        </w:tc>
        <w:tc>
          <w:tcPr>
            <w:tcW w:w="1200" w:type="dxa"/>
            <w:vAlign w:val="bottom"/>
            <w:shd w:val="clear" w:color="auto" w:fill="E6EFFF"/>
          </w:tcPr>
          <w:p>
            <w:pPr>
              <w:jc w:val="right"/>
              <w:ind w:right="273"/>
              <w:spacing w:after="0"/>
              <w:rPr>
                <w:sz w:val="20"/>
                <w:szCs w:val="20"/>
                <w:color w:val="auto"/>
              </w:rPr>
            </w:pPr>
            <w:r>
              <w:rPr>
                <w:rFonts w:ascii="Arial" w:cs="Arial" w:eastAsia="Arial" w:hAnsi="Arial"/>
                <w:sz w:val="13"/>
                <w:szCs w:val="13"/>
                <w:color w:val="auto"/>
              </w:rPr>
              <w:t>(38.3)</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4.6</w:t>
            </w:r>
          </w:p>
        </w:tc>
        <w:tc>
          <w:tcPr>
            <w:tcW w:w="112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(42.9)</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0.7</w:t>
            </w:r>
          </w:p>
        </w:tc>
        <w:tc>
          <w:tcPr>
            <w:tcW w:w="1000" w:type="dxa"/>
            <w:vAlign w:val="bottom"/>
            <w:gridSpan w:val="2"/>
            <w:shd w:val="clear" w:color="auto" w:fill="E6EFFF"/>
          </w:tcPr>
          <w:p>
            <w:pPr>
              <w:jc w:val="right"/>
              <w:ind w:right="140"/>
              <w:spacing w:after="0"/>
              <w:rPr>
                <w:sz w:val="20"/>
                <w:szCs w:val="20"/>
                <w:color w:val="auto"/>
              </w:rPr>
            </w:pPr>
            <w:r>
              <w:rPr>
                <w:rFonts w:ascii="Arial" w:cs="Arial" w:eastAsia="Arial" w:hAnsi="Arial"/>
                <w:sz w:val="13"/>
                <w:szCs w:val="13"/>
                <w:color w:val="auto"/>
              </w:rPr>
              <w:t>(43.6)</w:t>
            </w:r>
          </w:p>
        </w:tc>
      </w:tr>
      <w:tr>
        <w:trPr>
          <w:trHeight w:val="318"/>
        </w:trPr>
        <w:tc>
          <w:tcPr>
            <w:tcW w:w="37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93"/>
              <w:spacing w:after="0"/>
              <w:rPr>
                <w:sz w:val="20"/>
                <w:szCs w:val="20"/>
                <w:color w:val="auto"/>
              </w:rPr>
            </w:pPr>
            <w:r>
              <w:rPr>
                <w:rFonts w:ascii="Arial" w:cs="Arial" w:eastAsia="Arial" w:hAnsi="Arial"/>
                <w:sz w:val="13"/>
                <w:szCs w:val="13"/>
                <w:color w:val="4D8ABE"/>
              </w:rPr>
              <w:t>Impact of</w:t>
            </w: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64"/>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jc w:val="right"/>
              <w:ind w:right="293"/>
              <w:spacing w:after="0"/>
              <w:rPr>
                <w:sz w:val="20"/>
                <w:szCs w:val="20"/>
                <w:color w:val="auto"/>
              </w:rPr>
            </w:pPr>
            <w:r>
              <w:rPr>
                <w:rFonts w:ascii="Arial" w:cs="Arial" w:eastAsia="Arial" w:hAnsi="Arial"/>
                <w:sz w:val="13"/>
                <w:szCs w:val="13"/>
                <w:color w:val="4D8ABE"/>
              </w:rPr>
              <w:t>Acquisitions/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4D8ABE"/>
              </w:rPr>
              <w:t>Reported</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3"/>
                <w:szCs w:val="13"/>
                <w:color w:val="4D8ABE"/>
              </w:rPr>
              <w:t>Variance in</w:t>
            </w:r>
          </w:p>
        </w:tc>
        <w:tc>
          <w:tcPr>
            <w:tcW w:w="1220" w:type="dxa"/>
            <w:vAlign w:val="bottom"/>
          </w:tcPr>
          <w:p>
            <w:pPr>
              <w:jc w:val="right"/>
              <w:ind w:right="293"/>
              <w:spacing w:after="0"/>
              <w:rPr>
                <w:sz w:val="20"/>
                <w:szCs w:val="20"/>
                <w:color w:val="auto"/>
              </w:rPr>
            </w:pPr>
            <w:r>
              <w:rPr>
                <w:rFonts w:ascii="Arial" w:cs="Arial" w:eastAsia="Arial" w:hAnsi="Arial"/>
                <w:sz w:val="13"/>
                <w:szCs w:val="13"/>
                <w:color w:val="4D8ABE"/>
              </w:rPr>
              <w:t>Dispositions</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4D8ABE"/>
              </w:rPr>
              <w:t>Organic</w:t>
            </w: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4D8ABE"/>
              </w:rPr>
              <w:t>Amounts represent 2007</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4D8ABE"/>
              </w:rPr>
              <w:t>Amount</w:t>
            </w:r>
          </w:p>
        </w:tc>
        <w:tc>
          <w:tcPr>
            <w:tcW w:w="1200" w:type="dxa"/>
            <w:vAlign w:val="bottom"/>
          </w:tcPr>
          <w:p>
            <w:pPr>
              <w:jc w:val="right"/>
              <w:ind w:right="313"/>
              <w:spacing w:after="0"/>
              <w:rPr>
                <w:sz w:val="20"/>
                <w:szCs w:val="20"/>
                <w:color w:val="auto"/>
              </w:rPr>
            </w:pPr>
            <w:r>
              <w:rPr>
                <w:rFonts w:ascii="Arial" w:cs="Arial" w:eastAsia="Arial" w:hAnsi="Arial"/>
                <w:sz w:val="13"/>
                <w:szCs w:val="13"/>
                <w:color w:val="4D8ABE"/>
              </w:rPr>
              <w:t>Reported</w:t>
            </w:r>
          </w:p>
        </w:tc>
        <w:tc>
          <w:tcPr>
            <w:tcW w:w="1060" w:type="dxa"/>
            <w:vAlign w:val="bottom"/>
          </w:tcPr>
          <w:p>
            <w:pPr>
              <w:jc w:val="right"/>
              <w:ind w:right="233"/>
              <w:spacing w:after="0"/>
              <w:rPr>
                <w:sz w:val="20"/>
                <w:szCs w:val="20"/>
                <w:color w:val="auto"/>
              </w:rPr>
            </w:pPr>
            <w:r>
              <w:rPr>
                <w:rFonts w:ascii="Arial" w:cs="Arial" w:eastAsia="Arial" w:hAnsi="Arial"/>
                <w:sz w:val="13"/>
                <w:szCs w:val="13"/>
                <w:color w:val="4D8ABE"/>
              </w:rPr>
              <w:t>Impact of</w:t>
            </w:r>
          </w:p>
        </w:tc>
        <w:tc>
          <w:tcPr>
            <w:tcW w:w="1120" w:type="dxa"/>
            <w:vAlign w:val="bottom"/>
          </w:tcPr>
          <w:p>
            <w:pPr>
              <w:jc w:val="right"/>
              <w:ind w:right="213"/>
              <w:spacing w:after="0"/>
              <w:rPr>
                <w:sz w:val="20"/>
                <w:szCs w:val="20"/>
                <w:color w:val="auto"/>
              </w:rPr>
            </w:pPr>
            <w:r>
              <w:rPr>
                <w:rFonts w:ascii="Arial" w:cs="Arial" w:eastAsia="Arial" w:hAnsi="Arial"/>
                <w:sz w:val="13"/>
                <w:szCs w:val="13"/>
                <w:color w:val="4D8ABE"/>
              </w:rPr>
              <w:t>Constant</w:t>
            </w:r>
          </w:p>
        </w:tc>
        <w:tc>
          <w:tcPr>
            <w:tcW w:w="1220" w:type="dxa"/>
            <w:vAlign w:val="bottom"/>
          </w:tcPr>
          <w:p>
            <w:pPr>
              <w:jc w:val="right"/>
              <w:ind w:right="293"/>
              <w:spacing w:after="0"/>
              <w:rPr>
                <w:sz w:val="20"/>
                <w:szCs w:val="20"/>
                <w:color w:val="auto"/>
              </w:rPr>
            </w:pPr>
            <w:r>
              <w:rPr>
                <w:rFonts w:ascii="Arial" w:cs="Arial" w:eastAsia="Arial" w:hAnsi="Arial"/>
                <w:sz w:val="13"/>
                <w:szCs w:val="13"/>
                <w:color w:val="4D8ABE"/>
              </w:rPr>
              <w:t>(in Constant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4D8ABE"/>
              </w:rPr>
              <w:t>Constant</w:t>
            </w:r>
          </w:p>
        </w:tc>
      </w:tr>
      <w:tr>
        <w:trPr>
          <w:trHeight w:val="165"/>
        </w:trPr>
        <w:tc>
          <w:tcPr>
            <w:tcW w:w="3720" w:type="dxa"/>
            <w:vAlign w:val="bottom"/>
          </w:tcPr>
          <w:p>
            <w:pPr>
              <w:spacing w:after="0"/>
              <w:rPr>
                <w:sz w:val="20"/>
                <w:szCs w:val="20"/>
                <w:color w:val="auto"/>
              </w:rPr>
            </w:pPr>
            <w:r>
              <w:rPr>
                <w:rFonts w:ascii="Arial" w:cs="Arial" w:eastAsia="Arial" w:hAnsi="Arial"/>
                <w:sz w:val="13"/>
                <w:szCs w:val="13"/>
                <w:color w:val="4D8ABE"/>
              </w:rPr>
              <w:t>Percentages represent 2007 compared to 2006</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4D8ABE"/>
              </w:rPr>
              <w:t>(in millions)</w:t>
            </w:r>
          </w:p>
        </w:tc>
        <w:tc>
          <w:tcPr>
            <w:tcW w:w="1200" w:type="dxa"/>
            <w:vAlign w:val="bottom"/>
          </w:tcPr>
          <w:p>
            <w:pPr>
              <w:jc w:val="right"/>
              <w:ind w:right="313"/>
              <w:spacing w:after="0"/>
              <w:rPr>
                <w:sz w:val="20"/>
                <w:szCs w:val="20"/>
                <w:color w:val="auto"/>
              </w:rPr>
            </w:pPr>
            <w:r>
              <w:rPr>
                <w:rFonts w:ascii="Arial" w:cs="Arial" w:eastAsia="Arial" w:hAnsi="Arial"/>
                <w:sz w:val="13"/>
                <w:szCs w:val="13"/>
                <w:color w:val="4D8ABE"/>
              </w:rPr>
              <w:t>Variance</w:t>
            </w:r>
          </w:p>
        </w:tc>
        <w:tc>
          <w:tcPr>
            <w:tcW w:w="1060" w:type="dxa"/>
            <w:vAlign w:val="bottom"/>
          </w:tcPr>
          <w:p>
            <w:pPr>
              <w:jc w:val="right"/>
              <w:ind w:right="233"/>
              <w:spacing w:after="0"/>
              <w:rPr>
                <w:sz w:val="20"/>
                <w:szCs w:val="20"/>
                <w:color w:val="auto"/>
              </w:rPr>
            </w:pPr>
            <w:r>
              <w:rPr>
                <w:rFonts w:ascii="Arial" w:cs="Arial" w:eastAsia="Arial" w:hAnsi="Arial"/>
                <w:sz w:val="13"/>
                <w:szCs w:val="13"/>
                <w:color w:val="4D8ABE"/>
              </w:rPr>
              <w:t>Currency</w:t>
            </w:r>
          </w:p>
        </w:tc>
        <w:tc>
          <w:tcPr>
            <w:tcW w:w="1120" w:type="dxa"/>
            <w:vAlign w:val="bottom"/>
          </w:tcPr>
          <w:p>
            <w:pPr>
              <w:jc w:val="right"/>
              <w:ind w:right="213"/>
              <w:spacing w:after="0"/>
              <w:rPr>
                <w:sz w:val="20"/>
                <w:szCs w:val="20"/>
                <w:color w:val="auto"/>
              </w:rPr>
            </w:pPr>
            <w:r>
              <w:rPr>
                <w:rFonts w:ascii="Arial" w:cs="Arial" w:eastAsia="Arial" w:hAnsi="Arial"/>
                <w:sz w:val="13"/>
                <w:szCs w:val="13"/>
                <w:color w:val="4D8ABE"/>
              </w:rPr>
              <w:t>Currency</w:t>
            </w:r>
          </w:p>
        </w:tc>
        <w:tc>
          <w:tcPr>
            <w:tcW w:w="1220" w:type="dxa"/>
            <w:vAlign w:val="bottom"/>
          </w:tcPr>
          <w:p>
            <w:pPr>
              <w:jc w:val="right"/>
              <w:ind w:right="293"/>
              <w:spacing w:after="0"/>
              <w:rPr>
                <w:sz w:val="20"/>
                <w:szCs w:val="20"/>
                <w:color w:val="auto"/>
              </w:rPr>
            </w:pPr>
            <w:r>
              <w:rPr>
                <w:rFonts w:ascii="Arial" w:cs="Arial" w:eastAsia="Arial" w:hAnsi="Arial"/>
                <w:sz w:val="13"/>
                <w:szCs w:val="13"/>
                <w:color w:val="4D8ABE"/>
              </w:rPr>
              <w:t>Currency)</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4D8ABE"/>
              </w:rPr>
              <w:t>Currency</w:t>
            </w:r>
          </w:p>
        </w:tc>
      </w:tr>
      <w:tr>
        <w:trPr>
          <w:trHeight w:val="155"/>
        </w:trPr>
        <w:tc>
          <w:tcPr>
            <w:tcW w:w="3720" w:type="dxa"/>
            <w:vAlign w:val="bottom"/>
            <w:tcBorders>
              <w:top w:val="single" w:sz="8" w:color="4D8ABE"/>
            </w:tcBorders>
          </w:tcPr>
          <w:p>
            <w:pPr>
              <w:spacing w:after="0"/>
              <w:rPr>
                <w:sz w:val="20"/>
                <w:szCs w:val="20"/>
                <w:color w:val="auto"/>
              </w:rPr>
            </w:pPr>
            <w:r>
              <w:rPr>
                <w:rFonts w:ascii="Arial" w:cs="Arial" w:eastAsia="Arial" w:hAnsi="Arial"/>
                <w:sz w:val="13"/>
                <w:szCs w:val="13"/>
                <w:b w:val="1"/>
                <w:bCs w:val="1"/>
                <w:color w:val="939598"/>
              </w:rPr>
              <w:t>Revenues from Services</w:t>
            </w:r>
          </w:p>
        </w:tc>
        <w:tc>
          <w:tcPr>
            <w:tcW w:w="1060" w:type="dxa"/>
            <w:vAlign w:val="bottom"/>
            <w:tcBorders>
              <w:top w:val="single" w:sz="8" w:color="4D8ABE"/>
            </w:tcBorders>
          </w:tcPr>
          <w:p>
            <w:pPr>
              <w:spacing w:after="0"/>
              <w:rPr>
                <w:sz w:val="13"/>
                <w:szCs w:val="13"/>
                <w:color w:val="auto"/>
              </w:rPr>
            </w:pPr>
          </w:p>
        </w:tc>
        <w:tc>
          <w:tcPr>
            <w:tcW w:w="1080" w:type="dxa"/>
            <w:vAlign w:val="bottom"/>
            <w:tcBorders>
              <w:top w:val="single" w:sz="8" w:color="4D8ABE"/>
            </w:tcBorders>
          </w:tcPr>
          <w:p>
            <w:pPr>
              <w:spacing w:after="0"/>
              <w:rPr>
                <w:sz w:val="13"/>
                <w:szCs w:val="13"/>
                <w:color w:val="auto"/>
              </w:rPr>
            </w:pPr>
          </w:p>
        </w:tc>
        <w:tc>
          <w:tcPr>
            <w:tcW w:w="1200" w:type="dxa"/>
            <w:vAlign w:val="bottom"/>
            <w:tcBorders>
              <w:top w:val="single" w:sz="8" w:color="4D8ABE"/>
            </w:tcBorders>
          </w:tcPr>
          <w:p>
            <w:pPr>
              <w:spacing w:after="0"/>
              <w:rPr>
                <w:sz w:val="13"/>
                <w:szCs w:val="13"/>
                <w:color w:val="auto"/>
              </w:rPr>
            </w:pPr>
          </w:p>
        </w:tc>
        <w:tc>
          <w:tcPr>
            <w:tcW w:w="1060" w:type="dxa"/>
            <w:vAlign w:val="bottom"/>
            <w:tcBorders>
              <w:top w:val="single" w:sz="8" w:color="4D8ABE"/>
            </w:tcBorders>
          </w:tcPr>
          <w:p>
            <w:pPr>
              <w:spacing w:after="0"/>
              <w:rPr>
                <w:sz w:val="13"/>
                <w:szCs w:val="13"/>
                <w:color w:val="auto"/>
              </w:rPr>
            </w:pPr>
          </w:p>
        </w:tc>
        <w:tc>
          <w:tcPr>
            <w:tcW w:w="1120" w:type="dxa"/>
            <w:vAlign w:val="bottom"/>
            <w:tcBorders>
              <w:top w:val="single" w:sz="8" w:color="4D8ABE"/>
            </w:tcBorders>
          </w:tcPr>
          <w:p>
            <w:pPr>
              <w:spacing w:after="0"/>
              <w:rPr>
                <w:sz w:val="13"/>
                <w:szCs w:val="13"/>
                <w:color w:val="auto"/>
              </w:rPr>
            </w:pPr>
          </w:p>
        </w:tc>
        <w:tc>
          <w:tcPr>
            <w:tcW w:w="1220" w:type="dxa"/>
            <w:vAlign w:val="bottom"/>
            <w:tcBorders>
              <w:top w:val="single" w:sz="8" w:color="4D8ABE"/>
            </w:tcBorders>
          </w:tcPr>
          <w:p>
            <w:pPr>
              <w:spacing w:after="0"/>
              <w:rPr>
                <w:sz w:val="13"/>
                <w:szCs w:val="13"/>
                <w:color w:val="auto"/>
              </w:rPr>
            </w:pPr>
          </w:p>
        </w:tc>
        <w:tc>
          <w:tcPr>
            <w:tcW w:w="78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r>
      <w:tr>
        <w:trPr>
          <w:trHeight w:val="164"/>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United States</w:t>
            </w:r>
          </w:p>
        </w:tc>
        <w:tc>
          <w:tcPr>
            <w:tcW w:w="1060" w:type="dxa"/>
            <w:vAlign w:val="bottom"/>
            <w:shd w:val="clear" w:color="auto" w:fill="E6EFFF"/>
          </w:tcPr>
          <w:p>
            <w:pPr>
              <w:jc w:val="right"/>
              <w:ind w:right="12"/>
              <w:spacing w:after="0"/>
              <w:rPr>
                <w:sz w:val="20"/>
                <w:szCs w:val="20"/>
                <w:color w:val="auto"/>
              </w:rPr>
            </w:pPr>
            <w:r>
              <w:rPr>
                <w:rFonts w:ascii="Arial" w:cs="Arial" w:eastAsia="Arial" w:hAnsi="Arial"/>
                <w:sz w:val="14"/>
                <w:szCs w:val="14"/>
                <w:color w:val="auto"/>
              </w:rPr>
              <w:t>$</w:t>
            </w: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4"/>
                <w:szCs w:val="14"/>
                <w:color w:val="auto"/>
              </w:rPr>
              <w:t>1,962.2</w:t>
            </w:r>
          </w:p>
        </w:tc>
        <w:tc>
          <w:tcPr>
            <w:tcW w:w="1200" w:type="dxa"/>
            <w:vAlign w:val="bottom"/>
            <w:shd w:val="clear" w:color="auto" w:fill="E6EFFF"/>
          </w:tcPr>
          <w:p>
            <w:pPr>
              <w:jc w:val="right"/>
              <w:ind w:right="153"/>
              <w:spacing w:after="0"/>
              <w:rPr>
                <w:sz w:val="20"/>
                <w:szCs w:val="20"/>
                <w:color w:val="auto"/>
              </w:rPr>
            </w:pPr>
            <w:r>
              <w:rPr>
                <w:rFonts w:ascii="Arial" w:cs="Arial" w:eastAsia="Arial" w:hAnsi="Arial"/>
                <w:sz w:val="13"/>
                <w:szCs w:val="13"/>
                <w:color w:val="auto"/>
              </w:rPr>
              <w:t>(7.2)%</w:t>
            </w:r>
          </w:p>
        </w:tc>
        <w:tc>
          <w:tcPr>
            <w:tcW w:w="1060" w:type="dxa"/>
            <w:vAlign w:val="bottom"/>
            <w:shd w:val="clear" w:color="auto" w:fill="E6EFFF"/>
          </w:tcPr>
          <w:p>
            <w:pPr>
              <w:jc w:val="right"/>
              <w:ind w:right="113"/>
              <w:spacing w:after="0"/>
              <w:rPr>
                <w:sz w:val="20"/>
                <w:szCs w:val="20"/>
                <w:color w:val="auto"/>
              </w:rPr>
            </w:pPr>
            <w:r>
              <w:rPr>
                <w:rFonts w:ascii="Arial" w:cs="Arial" w:eastAsia="Arial" w:hAnsi="Arial"/>
                <w:sz w:val="13"/>
                <w:szCs w:val="13"/>
                <w:color w:val="auto"/>
              </w:rPr>
              <w:t>—%</w:t>
            </w:r>
          </w:p>
        </w:tc>
        <w:tc>
          <w:tcPr>
            <w:tcW w:w="112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(7.2)%</w:t>
            </w:r>
          </w:p>
        </w:tc>
        <w:tc>
          <w:tcPr>
            <w:tcW w:w="122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2.4%</w:t>
            </w:r>
          </w:p>
        </w:tc>
        <w:tc>
          <w:tcPr>
            <w:tcW w:w="1000" w:type="dxa"/>
            <w:vAlign w:val="bottom"/>
            <w:gridSpan w:val="2"/>
            <w:shd w:val="clear" w:color="auto" w:fill="E6EFFF"/>
          </w:tcPr>
          <w:p>
            <w:pPr>
              <w:jc w:val="right"/>
              <w:ind w:right="20"/>
              <w:spacing w:after="0"/>
              <w:rPr>
                <w:sz w:val="20"/>
                <w:szCs w:val="20"/>
                <w:color w:val="auto"/>
              </w:rPr>
            </w:pPr>
            <w:r>
              <w:rPr>
                <w:rFonts w:ascii="Arial" w:cs="Arial" w:eastAsia="Arial" w:hAnsi="Arial"/>
                <w:sz w:val="14"/>
                <w:szCs w:val="14"/>
                <w:color w:val="auto"/>
              </w:rPr>
              <w:t>(9.6)%</w:t>
            </w: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France</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7,025.3</w:t>
            </w:r>
          </w:p>
        </w:tc>
        <w:tc>
          <w:tcPr>
            <w:tcW w:w="1200" w:type="dxa"/>
            <w:vAlign w:val="bottom"/>
          </w:tcPr>
          <w:p>
            <w:pPr>
              <w:jc w:val="right"/>
              <w:ind w:right="313"/>
              <w:spacing w:after="0"/>
              <w:rPr>
                <w:sz w:val="20"/>
                <w:szCs w:val="20"/>
                <w:color w:val="auto"/>
              </w:rPr>
            </w:pPr>
            <w:r>
              <w:rPr>
                <w:rFonts w:ascii="Arial" w:cs="Arial" w:eastAsia="Arial" w:hAnsi="Arial"/>
                <w:sz w:val="13"/>
                <w:szCs w:val="13"/>
                <w:color w:val="auto"/>
              </w:rPr>
              <w:t>16.7</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9.7</w:t>
            </w:r>
          </w:p>
        </w:tc>
        <w:tc>
          <w:tcPr>
            <w:tcW w:w="1120" w:type="dxa"/>
            <w:vAlign w:val="bottom"/>
          </w:tcPr>
          <w:p>
            <w:pPr>
              <w:jc w:val="right"/>
              <w:ind w:right="213"/>
              <w:spacing w:after="0"/>
              <w:rPr>
                <w:sz w:val="20"/>
                <w:szCs w:val="20"/>
                <w:color w:val="auto"/>
              </w:rPr>
            </w:pPr>
            <w:r>
              <w:rPr>
                <w:rFonts w:ascii="Arial" w:cs="Arial" w:eastAsia="Arial" w:hAnsi="Arial"/>
                <w:sz w:val="13"/>
                <w:szCs w:val="13"/>
                <w:color w:val="auto"/>
              </w:rPr>
              <w:t>7.0</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7.0</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Other EMEA</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6,750.4</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29.1</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10.6</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18.5</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18.5</w:t>
            </w:r>
          </w:p>
        </w:tc>
        <w:tc>
          <w:tcPr>
            <w:tcW w:w="220" w:type="dxa"/>
            <w:vAlign w:val="bottom"/>
            <w:shd w:val="clear" w:color="auto" w:fill="E6EFFF"/>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Italy</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1,398.1</w:t>
            </w:r>
          </w:p>
        </w:tc>
        <w:tc>
          <w:tcPr>
            <w:tcW w:w="1200" w:type="dxa"/>
            <w:vAlign w:val="bottom"/>
          </w:tcPr>
          <w:p>
            <w:pPr>
              <w:jc w:val="right"/>
              <w:ind w:right="313"/>
              <w:spacing w:after="0"/>
              <w:rPr>
                <w:sz w:val="20"/>
                <w:szCs w:val="20"/>
                <w:color w:val="auto"/>
              </w:rPr>
            </w:pPr>
            <w:r>
              <w:rPr>
                <w:rFonts w:ascii="Arial" w:cs="Arial" w:eastAsia="Arial" w:hAnsi="Arial"/>
                <w:sz w:val="13"/>
                <w:szCs w:val="13"/>
                <w:color w:val="auto"/>
              </w:rPr>
              <w:t>23.4</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10.4</w:t>
            </w:r>
          </w:p>
        </w:tc>
        <w:tc>
          <w:tcPr>
            <w:tcW w:w="1120" w:type="dxa"/>
            <w:vAlign w:val="bottom"/>
          </w:tcPr>
          <w:p>
            <w:pPr>
              <w:jc w:val="right"/>
              <w:ind w:right="213"/>
              <w:spacing w:after="0"/>
              <w:rPr>
                <w:sz w:val="20"/>
                <w:szCs w:val="20"/>
                <w:color w:val="auto"/>
              </w:rPr>
            </w:pPr>
            <w:r>
              <w:rPr>
                <w:rFonts w:ascii="Arial" w:cs="Arial" w:eastAsia="Arial" w:hAnsi="Arial"/>
                <w:sz w:val="13"/>
                <w:szCs w:val="13"/>
                <w:color w:val="auto"/>
              </w:rPr>
              <w:t>13.0</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13.0</w:t>
            </w:r>
          </w:p>
        </w:tc>
        <w:tc>
          <w:tcPr>
            <w:tcW w:w="220" w:type="dxa"/>
            <w:vAlign w:val="bottom"/>
          </w:tcPr>
          <w:p>
            <w:pPr>
              <w:spacing w:after="0"/>
              <w:rPr>
                <w:sz w:val="14"/>
                <w:szCs w:val="14"/>
                <w:color w:val="auto"/>
              </w:rPr>
            </w:pP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Jefferson Wells</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332.0</w:t>
            </w:r>
          </w:p>
        </w:tc>
        <w:tc>
          <w:tcPr>
            <w:tcW w:w="1200" w:type="dxa"/>
            <w:vAlign w:val="bottom"/>
            <w:shd w:val="clear" w:color="auto" w:fill="E6EFFF"/>
          </w:tcPr>
          <w:p>
            <w:pPr>
              <w:jc w:val="right"/>
              <w:ind w:right="273"/>
              <w:spacing w:after="0"/>
              <w:rPr>
                <w:sz w:val="20"/>
                <w:szCs w:val="20"/>
                <w:color w:val="auto"/>
              </w:rPr>
            </w:pPr>
            <w:r>
              <w:rPr>
                <w:rFonts w:ascii="Arial" w:cs="Arial" w:eastAsia="Arial" w:hAnsi="Arial"/>
                <w:sz w:val="13"/>
                <w:szCs w:val="13"/>
                <w:color w:val="auto"/>
              </w:rPr>
              <w:t>(11.0)</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w:t>
            </w:r>
          </w:p>
        </w:tc>
        <w:tc>
          <w:tcPr>
            <w:tcW w:w="112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(11.0)</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E6EFFF"/>
          </w:tcPr>
          <w:p>
            <w:pPr>
              <w:jc w:val="right"/>
              <w:ind w:right="140"/>
              <w:spacing w:after="0"/>
              <w:rPr>
                <w:sz w:val="20"/>
                <w:szCs w:val="20"/>
                <w:color w:val="auto"/>
              </w:rPr>
            </w:pPr>
            <w:r>
              <w:rPr>
                <w:rFonts w:ascii="Arial" w:cs="Arial" w:eastAsia="Arial" w:hAnsi="Arial"/>
                <w:sz w:val="13"/>
                <w:szCs w:val="13"/>
                <w:color w:val="auto"/>
              </w:rPr>
              <w:t>(11.0)</w:t>
            </w: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Right Management</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409.9</w:t>
            </w:r>
          </w:p>
        </w:tc>
        <w:tc>
          <w:tcPr>
            <w:tcW w:w="1200" w:type="dxa"/>
            <w:vAlign w:val="bottom"/>
          </w:tcPr>
          <w:p>
            <w:pPr>
              <w:jc w:val="right"/>
              <w:ind w:right="313"/>
              <w:spacing w:after="0"/>
              <w:rPr>
                <w:sz w:val="20"/>
                <w:szCs w:val="20"/>
                <w:color w:val="auto"/>
              </w:rPr>
            </w:pPr>
            <w:r>
              <w:rPr>
                <w:rFonts w:ascii="Arial" w:cs="Arial" w:eastAsia="Arial" w:hAnsi="Arial"/>
                <w:sz w:val="13"/>
                <w:szCs w:val="13"/>
                <w:color w:val="auto"/>
              </w:rPr>
              <w:t>5.8</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4.5</w:t>
            </w:r>
          </w:p>
        </w:tc>
        <w:tc>
          <w:tcPr>
            <w:tcW w:w="1120" w:type="dxa"/>
            <w:vAlign w:val="bottom"/>
          </w:tcPr>
          <w:p>
            <w:pPr>
              <w:jc w:val="right"/>
              <w:ind w:right="213"/>
              <w:spacing w:after="0"/>
              <w:rPr>
                <w:sz w:val="20"/>
                <w:szCs w:val="20"/>
                <w:color w:val="auto"/>
              </w:rPr>
            </w:pPr>
            <w:r>
              <w:rPr>
                <w:rFonts w:ascii="Arial" w:cs="Arial" w:eastAsia="Arial" w:hAnsi="Arial"/>
                <w:sz w:val="13"/>
                <w:szCs w:val="13"/>
                <w:color w:val="auto"/>
              </w:rPr>
              <w:t>1.3</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2.9</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(1.6)</w:t>
            </w:r>
          </w:p>
        </w:tc>
      </w:tr>
      <w:tr>
        <w:trPr>
          <w:trHeight w:val="164"/>
        </w:trPr>
        <w:tc>
          <w:tcPr>
            <w:tcW w:w="37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3"/>
                <w:szCs w:val="13"/>
                <w:color w:val="auto"/>
              </w:rPr>
              <w:t>Other Operations</w:t>
            </w:r>
          </w:p>
        </w:tc>
        <w:tc>
          <w:tcPr>
            <w:tcW w:w="1060" w:type="dxa"/>
            <w:vAlign w:val="bottom"/>
            <w:tcBorders>
              <w:bottom w:val="single" w:sz="8" w:color="auto"/>
            </w:tcBorders>
            <w:shd w:val="clear" w:color="auto" w:fill="E6EFFF"/>
          </w:tcPr>
          <w:p>
            <w:pPr>
              <w:spacing w:after="0"/>
              <w:rPr>
                <w:sz w:val="14"/>
                <w:szCs w:val="14"/>
                <w:color w:val="auto"/>
              </w:rPr>
            </w:pPr>
          </w:p>
        </w:tc>
        <w:tc>
          <w:tcPr>
            <w:tcW w:w="1080" w:type="dxa"/>
            <w:vAlign w:val="bottom"/>
            <w:tcBorders>
              <w:bottom w:val="single" w:sz="8" w:color="auto"/>
            </w:tcBorders>
            <w:shd w:val="clear" w:color="auto" w:fill="E6EFFF"/>
          </w:tcPr>
          <w:p>
            <w:pPr>
              <w:jc w:val="right"/>
              <w:ind w:right="253"/>
              <w:spacing w:after="0"/>
              <w:rPr>
                <w:sz w:val="20"/>
                <w:szCs w:val="20"/>
                <w:color w:val="auto"/>
              </w:rPr>
            </w:pPr>
            <w:r>
              <w:rPr>
                <w:rFonts w:ascii="Arial" w:cs="Arial" w:eastAsia="Arial" w:hAnsi="Arial"/>
                <w:sz w:val="13"/>
                <w:szCs w:val="13"/>
                <w:color w:val="auto"/>
              </w:rPr>
              <w:t>2,622.4</w:t>
            </w:r>
          </w:p>
        </w:tc>
        <w:tc>
          <w:tcPr>
            <w:tcW w:w="1200" w:type="dxa"/>
            <w:vAlign w:val="bottom"/>
            <w:tcBorders>
              <w:bottom w:val="single" w:sz="8" w:color="auto"/>
            </w:tcBorders>
            <w:shd w:val="clear" w:color="auto" w:fill="E6EFFF"/>
          </w:tcPr>
          <w:p>
            <w:pPr>
              <w:jc w:val="right"/>
              <w:ind w:right="313"/>
              <w:spacing w:after="0"/>
              <w:rPr>
                <w:sz w:val="20"/>
                <w:szCs w:val="20"/>
                <w:color w:val="auto"/>
              </w:rPr>
            </w:pPr>
            <w:r>
              <w:rPr>
                <w:rFonts w:ascii="Arial" w:cs="Arial" w:eastAsia="Arial" w:hAnsi="Arial"/>
                <w:sz w:val="13"/>
                <w:szCs w:val="13"/>
                <w:color w:val="auto"/>
              </w:rPr>
              <w:t>13.8</w:t>
            </w:r>
          </w:p>
        </w:tc>
        <w:tc>
          <w:tcPr>
            <w:tcW w:w="1060" w:type="dxa"/>
            <w:vAlign w:val="bottom"/>
            <w:tcBorders>
              <w:bottom w:val="single" w:sz="8" w:color="auto"/>
            </w:tcBorders>
            <w:shd w:val="clear" w:color="auto" w:fill="E6EFFF"/>
          </w:tcPr>
          <w:p>
            <w:pPr>
              <w:jc w:val="right"/>
              <w:ind w:right="233"/>
              <w:spacing w:after="0"/>
              <w:rPr>
                <w:sz w:val="20"/>
                <w:szCs w:val="20"/>
                <w:color w:val="auto"/>
              </w:rPr>
            </w:pPr>
            <w:r>
              <w:rPr>
                <w:rFonts w:ascii="Arial" w:cs="Arial" w:eastAsia="Arial" w:hAnsi="Arial"/>
                <w:sz w:val="13"/>
                <w:szCs w:val="13"/>
                <w:color w:val="auto"/>
              </w:rPr>
              <w:t>3.3</w:t>
            </w:r>
          </w:p>
        </w:tc>
        <w:tc>
          <w:tcPr>
            <w:tcW w:w="1120" w:type="dxa"/>
            <w:vAlign w:val="bottom"/>
            <w:tcBorders>
              <w:bottom w:val="single" w:sz="8" w:color="auto"/>
            </w:tcBorders>
            <w:shd w:val="clear" w:color="auto" w:fill="E6EFFF"/>
          </w:tcPr>
          <w:p>
            <w:pPr>
              <w:jc w:val="right"/>
              <w:ind w:right="213"/>
              <w:spacing w:after="0"/>
              <w:rPr>
                <w:sz w:val="20"/>
                <w:szCs w:val="20"/>
                <w:color w:val="auto"/>
              </w:rPr>
            </w:pPr>
            <w:r>
              <w:rPr>
                <w:rFonts w:ascii="Arial" w:cs="Arial" w:eastAsia="Arial" w:hAnsi="Arial"/>
                <w:sz w:val="13"/>
                <w:szCs w:val="13"/>
                <w:color w:val="auto"/>
              </w:rPr>
              <w:t>10.5</w:t>
            </w:r>
          </w:p>
        </w:tc>
        <w:tc>
          <w:tcPr>
            <w:tcW w:w="1220" w:type="dxa"/>
            <w:vAlign w:val="bottom"/>
            <w:tcBorders>
              <w:bottom w:val="single" w:sz="8" w:color="auto"/>
            </w:tcBorders>
            <w:shd w:val="clear" w:color="auto" w:fill="E6EFFF"/>
          </w:tcPr>
          <w:p>
            <w:pPr>
              <w:jc w:val="right"/>
              <w:ind w:right="29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10.5</w:t>
            </w:r>
          </w:p>
        </w:tc>
        <w:tc>
          <w:tcPr>
            <w:tcW w:w="220" w:type="dxa"/>
            <w:vAlign w:val="bottom"/>
            <w:shd w:val="clear" w:color="auto" w:fill="E6EFFF"/>
          </w:tcPr>
          <w:p>
            <w:pPr>
              <w:spacing w:after="0"/>
              <w:rPr>
                <w:sz w:val="14"/>
                <w:szCs w:val="14"/>
                <w:color w:val="auto"/>
              </w:rPr>
            </w:pPr>
          </w:p>
        </w:tc>
      </w:tr>
      <w:tr>
        <w:trPr>
          <w:trHeight w:val="155"/>
        </w:trPr>
        <w:tc>
          <w:tcPr>
            <w:tcW w:w="3720" w:type="dxa"/>
            <w:vAlign w:val="bottom"/>
          </w:tcPr>
          <w:p>
            <w:pPr>
              <w:spacing w:after="0"/>
              <w:rPr>
                <w:sz w:val="20"/>
                <w:szCs w:val="20"/>
                <w:color w:val="auto"/>
              </w:rPr>
            </w:pPr>
            <w:r>
              <w:rPr>
                <w:rFonts w:ascii="Arial" w:cs="Arial" w:eastAsia="Arial" w:hAnsi="Arial"/>
                <w:sz w:val="13"/>
                <w:szCs w:val="13"/>
                <w:color w:val="auto"/>
              </w:rPr>
              <w:t>Manpower Inc.</w:t>
            </w:r>
          </w:p>
        </w:tc>
        <w:tc>
          <w:tcPr>
            <w:tcW w:w="1060" w:type="dxa"/>
            <w:vAlign w:val="bottom"/>
          </w:tcPr>
          <w:p>
            <w:pPr>
              <w:spacing w:after="0"/>
              <w:rPr>
                <w:sz w:val="13"/>
                <w:szCs w:val="13"/>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20,500.3</w:t>
            </w:r>
          </w:p>
        </w:tc>
        <w:tc>
          <w:tcPr>
            <w:tcW w:w="1200" w:type="dxa"/>
            <w:vAlign w:val="bottom"/>
          </w:tcPr>
          <w:p>
            <w:pPr>
              <w:jc w:val="right"/>
              <w:ind w:right="313"/>
              <w:spacing w:after="0"/>
              <w:rPr>
                <w:sz w:val="20"/>
                <w:szCs w:val="20"/>
                <w:color w:val="auto"/>
              </w:rPr>
            </w:pPr>
            <w:r>
              <w:rPr>
                <w:rFonts w:ascii="Arial" w:cs="Arial" w:eastAsia="Arial" w:hAnsi="Arial"/>
                <w:sz w:val="13"/>
                <w:szCs w:val="13"/>
                <w:color w:val="auto"/>
              </w:rPr>
              <w:t>16.7</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7.7</w:t>
            </w:r>
          </w:p>
        </w:tc>
        <w:tc>
          <w:tcPr>
            <w:tcW w:w="1120" w:type="dxa"/>
            <w:vAlign w:val="bottom"/>
          </w:tcPr>
          <w:p>
            <w:pPr>
              <w:jc w:val="right"/>
              <w:ind w:right="213"/>
              <w:spacing w:after="0"/>
              <w:rPr>
                <w:sz w:val="20"/>
                <w:szCs w:val="20"/>
                <w:color w:val="auto"/>
              </w:rPr>
            </w:pPr>
            <w:r>
              <w:rPr>
                <w:rFonts w:ascii="Arial" w:cs="Arial" w:eastAsia="Arial" w:hAnsi="Arial"/>
                <w:sz w:val="13"/>
                <w:szCs w:val="13"/>
                <w:color w:val="auto"/>
              </w:rPr>
              <w:t>9.0</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0.3</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8.7</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b w:val="1"/>
                <w:bCs w:val="1"/>
                <w:color w:val="939598"/>
              </w:rPr>
              <w:t>Gross Profit - Manpower Inc.</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3,848.6</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22.3</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7.6</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14.7</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0.5</w:t>
            </w:r>
          </w:p>
        </w:tc>
        <w:tc>
          <w:tcPr>
            <w:tcW w:w="7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14.2</w:t>
            </w:r>
          </w:p>
        </w:tc>
        <w:tc>
          <w:tcPr>
            <w:tcW w:w="220" w:type="dxa"/>
            <w:vAlign w:val="bottom"/>
            <w:shd w:val="clear" w:color="auto" w:fill="E6EFFF"/>
          </w:tcPr>
          <w:p>
            <w:pPr>
              <w:spacing w:after="0"/>
              <w:rPr>
                <w:sz w:val="14"/>
                <w:szCs w:val="14"/>
                <w:color w:val="auto"/>
              </w:rPr>
            </w:pPr>
          </w:p>
        </w:tc>
      </w:tr>
      <w:tr>
        <w:trPr>
          <w:trHeight w:val="164"/>
        </w:trPr>
        <w:tc>
          <w:tcPr>
            <w:tcW w:w="3720" w:type="dxa"/>
            <w:vAlign w:val="bottom"/>
            <w:shd w:val="clear" w:color="auto" w:fill="E6EFFF"/>
          </w:tcPr>
          <w:p>
            <w:pPr>
              <w:spacing w:after="0"/>
              <w:rPr>
                <w:sz w:val="20"/>
                <w:szCs w:val="20"/>
                <w:color w:val="auto"/>
              </w:rPr>
            </w:pPr>
            <w:r>
              <w:rPr>
                <w:rFonts w:ascii="Arial" w:cs="Arial" w:eastAsia="Arial" w:hAnsi="Arial"/>
                <w:sz w:val="13"/>
                <w:szCs w:val="13"/>
                <w:b w:val="1"/>
                <w:bCs w:val="1"/>
                <w:color w:val="939598"/>
              </w:rPr>
              <w:t>Operating Unit Profit</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spacing w:after="0"/>
              <w:rPr>
                <w:sz w:val="14"/>
                <w:szCs w:val="14"/>
                <w:color w:val="auto"/>
              </w:rPr>
            </w:pPr>
          </w:p>
        </w:tc>
        <w:tc>
          <w:tcPr>
            <w:tcW w:w="1200" w:type="dxa"/>
            <w:vAlign w:val="bottom"/>
            <w:shd w:val="clear" w:color="auto" w:fill="E6EFFF"/>
          </w:tcPr>
          <w:p>
            <w:pPr>
              <w:spacing w:after="0"/>
              <w:rPr>
                <w:sz w:val="14"/>
                <w:szCs w:val="14"/>
                <w:color w:val="auto"/>
              </w:rPr>
            </w:pPr>
          </w:p>
        </w:tc>
        <w:tc>
          <w:tcPr>
            <w:tcW w:w="106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122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United States</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80.1</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(8.3)</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(8.3)</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3.9</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(12.2)</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France</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390.3</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92.0</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14.6</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77.4</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77.4</w:t>
            </w:r>
          </w:p>
        </w:tc>
        <w:tc>
          <w:tcPr>
            <w:tcW w:w="220" w:type="dxa"/>
            <w:vAlign w:val="bottom"/>
            <w:shd w:val="clear" w:color="auto" w:fill="E6EFFF"/>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Other EMEA</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256.7</w:t>
            </w:r>
          </w:p>
        </w:tc>
        <w:tc>
          <w:tcPr>
            <w:tcW w:w="1200" w:type="dxa"/>
            <w:vAlign w:val="bottom"/>
          </w:tcPr>
          <w:p>
            <w:pPr>
              <w:jc w:val="right"/>
              <w:ind w:right="313"/>
              <w:spacing w:after="0"/>
              <w:rPr>
                <w:sz w:val="20"/>
                <w:szCs w:val="20"/>
                <w:color w:val="auto"/>
              </w:rPr>
            </w:pPr>
            <w:r>
              <w:rPr>
                <w:rFonts w:ascii="Arial" w:cs="Arial" w:eastAsia="Arial" w:hAnsi="Arial"/>
                <w:sz w:val="13"/>
                <w:szCs w:val="13"/>
                <w:color w:val="auto"/>
              </w:rPr>
              <w:t>63.8</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13.7</w:t>
            </w:r>
          </w:p>
        </w:tc>
        <w:tc>
          <w:tcPr>
            <w:tcW w:w="1120" w:type="dxa"/>
            <w:vAlign w:val="bottom"/>
          </w:tcPr>
          <w:p>
            <w:pPr>
              <w:jc w:val="right"/>
              <w:ind w:right="213"/>
              <w:spacing w:after="0"/>
              <w:rPr>
                <w:sz w:val="20"/>
                <w:szCs w:val="20"/>
                <w:color w:val="auto"/>
              </w:rPr>
            </w:pPr>
            <w:r>
              <w:rPr>
                <w:rFonts w:ascii="Arial" w:cs="Arial" w:eastAsia="Arial" w:hAnsi="Arial"/>
                <w:sz w:val="13"/>
                <w:szCs w:val="13"/>
                <w:color w:val="auto"/>
              </w:rPr>
              <w:t>50.1</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50.1</w:t>
            </w:r>
          </w:p>
        </w:tc>
        <w:tc>
          <w:tcPr>
            <w:tcW w:w="220" w:type="dxa"/>
            <w:vAlign w:val="bottom"/>
          </w:tcPr>
          <w:p>
            <w:pPr>
              <w:spacing w:after="0"/>
              <w:rPr>
                <w:sz w:val="14"/>
                <w:szCs w:val="14"/>
                <w:color w:val="auto"/>
              </w:rPr>
            </w:pP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Italy</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103.7</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63.3</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14.2</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49.1</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49.1</w:t>
            </w:r>
          </w:p>
        </w:tc>
        <w:tc>
          <w:tcPr>
            <w:tcW w:w="220" w:type="dxa"/>
            <w:vAlign w:val="bottom"/>
            <w:shd w:val="clear" w:color="auto" w:fill="E6EFFF"/>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Jefferson Wells</w:t>
            </w:r>
          </w:p>
        </w:tc>
        <w:tc>
          <w:tcPr>
            <w:tcW w:w="1060" w:type="dxa"/>
            <w:vAlign w:val="bottom"/>
          </w:tcPr>
          <w:p>
            <w:pPr>
              <w:spacing w:after="0"/>
              <w:rPr>
                <w:sz w:val="14"/>
                <w:szCs w:val="14"/>
                <w:color w:val="auto"/>
              </w:rPr>
            </w:pPr>
          </w:p>
        </w:tc>
        <w:tc>
          <w:tcPr>
            <w:tcW w:w="1080" w:type="dxa"/>
            <w:vAlign w:val="bottom"/>
          </w:tcPr>
          <w:p>
            <w:pPr>
              <w:jc w:val="right"/>
              <w:ind w:right="213"/>
              <w:spacing w:after="0"/>
              <w:rPr>
                <w:sz w:val="20"/>
                <w:szCs w:val="20"/>
                <w:color w:val="auto"/>
              </w:rPr>
            </w:pPr>
            <w:r>
              <w:rPr>
                <w:rFonts w:ascii="Arial" w:cs="Arial" w:eastAsia="Arial" w:hAnsi="Arial"/>
                <w:sz w:val="13"/>
                <w:szCs w:val="13"/>
                <w:color w:val="auto"/>
              </w:rPr>
              <w:t>(5.2)</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(116.2)</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(116.2)</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(116.2)</w:t>
            </w:r>
          </w:p>
        </w:tc>
      </w:tr>
      <w:tr>
        <w:trPr>
          <w:trHeight w:val="165"/>
        </w:trPr>
        <w:tc>
          <w:tcPr>
            <w:tcW w:w="3720" w:type="dxa"/>
            <w:vAlign w:val="bottom"/>
            <w:shd w:val="clear" w:color="auto" w:fill="E6EFFF"/>
          </w:tcPr>
          <w:p>
            <w:pPr>
              <w:spacing w:after="0"/>
              <w:rPr>
                <w:sz w:val="20"/>
                <w:szCs w:val="20"/>
                <w:color w:val="auto"/>
              </w:rPr>
            </w:pPr>
            <w:r>
              <w:rPr>
                <w:rFonts w:ascii="Arial" w:cs="Arial" w:eastAsia="Arial" w:hAnsi="Arial"/>
                <w:sz w:val="13"/>
                <w:szCs w:val="13"/>
                <w:color w:val="auto"/>
              </w:rPr>
              <w:t>Right Management</w:t>
            </w:r>
          </w:p>
        </w:tc>
        <w:tc>
          <w:tcPr>
            <w:tcW w:w="1060" w:type="dxa"/>
            <w:vAlign w:val="bottom"/>
            <w:shd w:val="clear" w:color="auto" w:fill="E6EFFF"/>
          </w:tcPr>
          <w:p>
            <w:pPr>
              <w:spacing w:after="0"/>
              <w:rPr>
                <w:sz w:val="14"/>
                <w:szCs w:val="14"/>
                <w:color w:val="auto"/>
              </w:rPr>
            </w:pPr>
          </w:p>
        </w:tc>
        <w:tc>
          <w:tcPr>
            <w:tcW w:w="1080" w:type="dxa"/>
            <w:vAlign w:val="bottom"/>
            <w:shd w:val="clear" w:color="auto" w:fill="E6EFFF"/>
          </w:tcPr>
          <w:p>
            <w:pPr>
              <w:jc w:val="right"/>
              <w:ind w:right="253"/>
              <w:spacing w:after="0"/>
              <w:rPr>
                <w:sz w:val="20"/>
                <w:szCs w:val="20"/>
                <w:color w:val="auto"/>
              </w:rPr>
            </w:pPr>
            <w:r>
              <w:rPr>
                <w:rFonts w:ascii="Arial" w:cs="Arial" w:eastAsia="Arial" w:hAnsi="Arial"/>
                <w:sz w:val="13"/>
                <w:szCs w:val="13"/>
                <w:color w:val="auto"/>
              </w:rPr>
              <w:t>34.6</w:t>
            </w:r>
          </w:p>
        </w:tc>
        <w:tc>
          <w:tcPr>
            <w:tcW w:w="1200" w:type="dxa"/>
            <w:vAlign w:val="bottom"/>
            <w:shd w:val="clear" w:color="auto" w:fill="E6EFFF"/>
          </w:tcPr>
          <w:p>
            <w:pPr>
              <w:jc w:val="right"/>
              <w:ind w:right="313"/>
              <w:spacing w:after="0"/>
              <w:rPr>
                <w:sz w:val="20"/>
                <w:szCs w:val="20"/>
                <w:color w:val="auto"/>
              </w:rPr>
            </w:pPr>
            <w:r>
              <w:rPr>
                <w:rFonts w:ascii="Arial" w:cs="Arial" w:eastAsia="Arial" w:hAnsi="Arial"/>
                <w:sz w:val="13"/>
                <w:szCs w:val="13"/>
                <w:color w:val="auto"/>
              </w:rPr>
              <w:t>88.8</w:t>
            </w:r>
          </w:p>
        </w:tc>
        <w:tc>
          <w:tcPr>
            <w:tcW w:w="1060" w:type="dxa"/>
            <w:vAlign w:val="bottom"/>
            <w:shd w:val="clear" w:color="auto" w:fill="E6EFFF"/>
          </w:tcPr>
          <w:p>
            <w:pPr>
              <w:jc w:val="right"/>
              <w:ind w:right="233"/>
              <w:spacing w:after="0"/>
              <w:rPr>
                <w:sz w:val="20"/>
                <w:szCs w:val="20"/>
                <w:color w:val="auto"/>
              </w:rPr>
            </w:pPr>
            <w:r>
              <w:rPr>
                <w:rFonts w:ascii="Arial" w:cs="Arial" w:eastAsia="Arial" w:hAnsi="Arial"/>
                <w:sz w:val="13"/>
                <w:szCs w:val="13"/>
                <w:color w:val="auto"/>
              </w:rPr>
              <w:t>7.6</w:t>
            </w:r>
          </w:p>
        </w:tc>
        <w:tc>
          <w:tcPr>
            <w:tcW w:w="1120" w:type="dxa"/>
            <w:vAlign w:val="bottom"/>
            <w:shd w:val="clear" w:color="auto" w:fill="E6EFFF"/>
          </w:tcPr>
          <w:p>
            <w:pPr>
              <w:jc w:val="right"/>
              <w:ind w:right="213"/>
              <w:spacing w:after="0"/>
              <w:rPr>
                <w:sz w:val="20"/>
                <w:szCs w:val="20"/>
                <w:color w:val="auto"/>
              </w:rPr>
            </w:pPr>
            <w:r>
              <w:rPr>
                <w:rFonts w:ascii="Arial" w:cs="Arial" w:eastAsia="Arial" w:hAnsi="Arial"/>
                <w:sz w:val="13"/>
                <w:szCs w:val="13"/>
                <w:color w:val="auto"/>
              </w:rPr>
              <w:t>81.2</w:t>
            </w:r>
          </w:p>
        </w:tc>
        <w:tc>
          <w:tcPr>
            <w:tcW w:w="1220" w:type="dxa"/>
            <w:vAlign w:val="bottom"/>
            <w:shd w:val="clear" w:color="auto" w:fill="E6EFFF"/>
          </w:tcPr>
          <w:p>
            <w:pPr>
              <w:jc w:val="right"/>
              <w:ind w:right="293"/>
              <w:spacing w:after="0"/>
              <w:rPr>
                <w:sz w:val="20"/>
                <w:szCs w:val="20"/>
                <w:color w:val="auto"/>
              </w:rPr>
            </w:pPr>
            <w:r>
              <w:rPr>
                <w:rFonts w:ascii="Arial" w:cs="Arial" w:eastAsia="Arial" w:hAnsi="Arial"/>
                <w:sz w:val="13"/>
                <w:szCs w:val="13"/>
                <w:color w:val="auto"/>
              </w:rPr>
              <w:t>12.2</w:t>
            </w:r>
          </w:p>
        </w:tc>
        <w:tc>
          <w:tcPr>
            <w:tcW w:w="7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69.0</w:t>
            </w:r>
          </w:p>
        </w:tc>
        <w:tc>
          <w:tcPr>
            <w:tcW w:w="220" w:type="dxa"/>
            <w:vAlign w:val="bottom"/>
            <w:shd w:val="clear" w:color="auto" w:fill="E6EFFF"/>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Arial" w:cs="Arial" w:eastAsia="Arial" w:hAnsi="Arial"/>
                <w:sz w:val="13"/>
                <w:szCs w:val="13"/>
                <w:color w:val="auto"/>
              </w:rPr>
              <w:t>Other Operations</w:t>
            </w:r>
          </w:p>
        </w:tc>
        <w:tc>
          <w:tcPr>
            <w:tcW w:w="106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3"/>
                <w:szCs w:val="13"/>
                <w:color w:val="auto"/>
              </w:rPr>
              <w:t>73.5</w:t>
            </w:r>
          </w:p>
        </w:tc>
        <w:tc>
          <w:tcPr>
            <w:tcW w:w="1200" w:type="dxa"/>
            <w:vAlign w:val="bottom"/>
          </w:tcPr>
          <w:p>
            <w:pPr>
              <w:jc w:val="right"/>
              <w:ind w:right="313"/>
              <w:spacing w:after="0"/>
              <w:rPr>
                <w:sz w:val="20"/>
                <w:szCs w:val="20"/>
                <w:color w:val="auto"/>
              </w:rPr>
            </w:pPr>
            <w:r>
              <w:rPr>
                <w:rFonts w:ascii="Arial" w:cs="Arial" w:eastAsia="Arial" w:hAnsi="Arial"/>
                <w:sz w:val="13"/>
                <w:szCs w:val="13"/>
                <w:color w:val="auto"/>
              </w:rPr>
              <w:t>5.0</w:t>
            </w:r>
          </w:p>
        </w:tc>
        <w:tc>
          <w:tcPr>
            <w:tcW w:w="1060" w:type="dxa"/>
            <w:vAlign w:val="bottom"/>
          </w:tcPr>
          <w:p>
            <w:pPr>
              <w:jc w:val="right"/>
              <w:ind w:right="233"/>
              <w:spacing w:after="0"/>
              <w:rPr>
                <w:sz w:val="20"/>
                <w:szCs w:val="20"/>
                <w:color w:val="auto"/>
              </w:rPr>
            </w:pPr>
            <w:r>
              <w:rPr>
                <w:rFonts w:ascii="Arial" w:cs="Arial" w:eastAsia="Arial" w:hAnsi="Arial"/>
                <w:sz w:val="13"/>
                <w:szCs w:val="13"/>
                <w:color w:val="auto"/>
              </w:rPr>
              <w:t>2.0</w:t>
            </w:r>
          </w:p>
        </w:tc>
        <w:tc>
          <w:tcPr>
            <w:tcW w:w="1120" w:type="dxa"/>
            <w:vAlign w:val="bottom"/>
          </w:tcPr>
          <w:p>
            <w:pPr>
              <w:jc w:val="right"/>
              <w:ind w:right="213"/>
              <w:spacing w:after="0"/>
              <w:rPr>
                <w:sz w:val="20"/>
                <w:szCs w:val="20"/>
                <w:color w:val="auto"/>
              </w:rPr>
            </w:pPr>
            <w:r>
              <w:rPr>
                <w:rFonts w:ascii="Arial" w:cs="Arial" w:eastAsia="Arial" w:hAnsi="Arial"/>
                <w:sz w:val="13"/>
                <w:szCs w:val="13"/>
                <w:color w:val="auto"/>
              </w:rPr>
              <w:t>3.0</w:t>
            </w:r>
          </w:p>
        </w:tc>
        <w:tc>
          <w:tcPr>
            <w:tcW w:w="122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3.0</w:t>
            </w:r>
          </w:p>
        </w:tc>
      </w:tr>
      <w:tr>
        <w:trPr>
          <w:trHeight w:val="165"/>
        </w:trPr>
        <w:tc>
          <w:tcPr>
            <w:tcW w:w="37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3"/>
                <w:szCs w:val="13"/>
                <w:b w:val="1"/>
                <w:bCs w:val="1"/>
                <w:color w:val="939598"/>
              </w:rPr>
              <w:t>Operating Profit - Manpower Inc.</w:t>
            </w:r>
          </w:p>
        </w:tc>
        <w:tc>
          <w:tcPr>
            <w:tcW w:w="1060" w:type="dxa"/>
            <w:vAlign w:val="bottom"/>
            <w:tcBorders>
              <w:bottom w:val="single" w:sz="8" w:color="auto"/>
            </w:tcBorders>
            <w:shd w:val="clear" w:color="auto" w:fill="E6EFFF"/>
          </w:tcPr>
          <w:p>
            <w:pPr>
              <w:spacing w:after="0"/>
              <w:rPr>
                <w:sz w:val="14"/>
                <w:szCs w:val="14"/>
                <w:color w:val="auto"/>
              </w:rPr>
            </w:pPr>
          </w:p>
        </w:tc>
        <w:tc>
          <w:tcPr>
            <w:tcW w:w="1080" w:type="dxa"/>
            <w:vAlign w:val="bottom"/>
            <w:tcBorders>
              <w:bottom w:val="single" w:sz="8" w:color="auto"/>
            </w:tcBorders>
            <w:shd w:val="clear" w:color="auto" w:fill="E6EFFF"/>
          </w:tcPr>
          <w:p>
            <w:pPr>
              <w:jc w:val="right"/>
              <w:ind w:right="253"/>
              <w:spacing w:after="0"/>
              <w:rPr>
                <w:sz w:val="20"/>
                <w:szCs w:val="20"/>
                <w:color w:val="auto"/>
              </w:rPr>
            </w:pPr>
            <w:r>
              <w:rPr>
                <w:rFonts w:ascii="Arial" w:cs="Arial" w:eastAsia="Arial" w:hAnsi="Arial"/>
                <w:sz w:val="13"/>
                <w:szCs w:val="13"/>
                <w:color w:val="auto"/>
              </w:rPr>
              <w:t>825.4</w:t>
            </w:r>
          </w:p>
        </w:tc>
        <w:tc>
          <w:tcPr>
            <w:tcW w:w="1200" w:type="dxa"/>
            <w:vAlign w:val="bottom"/>
            <w:tcBorders>
              <w:bottom w:val="single" w:sz="8" w:color="auto"/>
            </w:tcBorders>
            <w:shd w:val="clear" w:color="auto" w:fill="E6EFFF"/>
          </w:tcPr>
          <w:p>
            <w:pPr>
              <w:jc w:val="right"/>
              <w:ind w:right="313"/>
              <w:spacing w:after="0"/>
              <w:rPr>
                <w:sz w:val="20"/>
                <w:szCs w:val="20"/>
                <w:color w:val="auto"/>
              </w:rPr>
            </w:pPr>
            <w:r>
              <w:rPr>
                <w:rFonts w:ascii="Arial" w:cs="Arial" w:eastAsia="Arial" w:hAnsi="Arial"/>
                <w:sz w:val="13"/>
                <w:szCs w:val="13"/>
                <w:color w:val="auto"/>
              </w:rPr>
              <w:t>55.1</w:t>
            </w:r>
          </w:p>
        </w:tc>
        <w:tc>
          <w:tcPr>
            <w:tcW w:w="1060" w:type="dxa"/>
            <w:vAlign w:val="bottom"/>
            <w:tcBorders>
              <w:bottom w:val="single" w:sz="8" w:color="auto"/>
            </w:tcBorders>
            <w:shd w:val="clear" w:color="auto" w:fill="E6EFFF"/>
          </w:tcPr>
          <w:p>
            <w:pPr>
              <w:jc w:val="right"/>
              <w:ind w:right="233"/>
              <w:spacing w:after="0"/>
              <w:rPr>
                <w:sz w:val="20"/>
                <w:szCs w:val="20"/>
                <w:color w:val="auto"/>
              </w:rPr>
            </w:pPr>
            <w:r>
              <w:rPr>
                <w:rFonts w:ascii="Arial" w:cs="Arial" w:eastAsia="Arial" w:hAnsi="Arial"/>
                <w:sz w:val="13"/>
                <w:szCs w:val="13"/>
                <w:color w:val="auto"/>
              </w:rPr>
              <w:t>10.8</w:t>
            </w:r>
          </w:p>
        </w:tc>
        <w:tc>
          <w:tcPr>
            <w:tcW w:w="1120" w:type="dxa"/>
            <w:vAlign w:val="bottom"/>
            <w:tcBorders>
              <w:bottom w:val="single" w:sz="8" w:color="auto"/>
            </w:tcBorders>
            <w:shd w:val="clear" w:color="auto" w:fill="E6EFFF"/>
          </w:tcPr>
          <w:p>
            <w:pPr>
              <w:jc w:val="right"/>
              <w:ind w:right="213"/>
              <w:spacing w:after="0"/>
              <w:rPr>
                <w:sz w:val="20"/>
                <w:szCs w:val="20"/>
                <w:color w:val="auto"/>
              </w:rPr>
            </w:pPr>
            <w:r>
              <w:rPr>
                <w:rFonts w:ascii="Arial" w:cs="Arial" w:eastAsia="Arial" w:hAnsi="Arial"/>
                <w:sz w:val="13"/>
                <w:szCs w:val="13"/>
                <w:color w:val="auto"/>
              </w:rPr>
              <w:t>43.3</w:t>
            </w:r>
          </w:p>
        </w:tc>
        <w:tc>
          <w:tcPr>
            <w:tcW w:w="1220" w:type="dxa"/>
            <w:vAlign w:val="bottom"/>
            <w:tcBorders>
              <w:bottom w:val="single" w:sz="8" w:color="auto"/>
            </w:tcBorders>
            <w:shd w:val="clear" w:color="auto" w:fill="E6EFFF"/>
          </w:tcPr>
          <w:p>
            <w:pPr>
              <w:jc w:val="right"/>
              <w:ind w:right="293"/>
              <w:spacing w:after="0"/>
              <w:rPr>
                <w:sz w:val="20"/>
                <w:szCs w:val="20"/>
                <w:color w:val="auto"/>
              </w:rPr>
            </w:pPr>
            <w:r>
              <w:rPr>
                <w:rFonts w:ascii="Arial" w:cs="Arial" w:eastAsia="Arial" w:hAnsi="Arial"/>
                <w:sz w:val="13"/>
                <w:szCs w:val="13"/>
                <w:color w:val="auto"/>
              </w:rPr>
              <w:t>1.1</w:t>
            </w:r>
          </w:p>
        </w:tc>
        <w:tc>
          <w:tcPr>
            <w:tcW w:w="7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42.2</w:t>
            </w:r>
          </w:p>
        </w:tc>
        <w:tc>
          <w:tcPr>
            <w:tcW w:w="220" w:type="dxa"/>
            <w:vAlign w:val="bottom"/>
            <w:shd w:val="clear" w:color="auto" w:fill="E6EFFF"/>
          </w:tcPr>
          <w:p>
            <w:pPr>
              <w:spacing w:after="0"/>
              <w:rPr>
                <w:sz w:val="14"/>
                <w:szCs w:val="14"/>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Cash Sources And Uses</w:t>
      </w:r>
    </w:p>
    <w:p>
      <w:pPr>
        <w:spacing w:after="0" w:line="20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Cash used to fund our operations is primarily generated through operating activities and our existing credit facilities. We believe that our internally generated funds and our existing credit facilities are sufficient to cover our near-term projected cash needs. We anticipate cash repatriations to the United States from certain international subsidiaries and have provided for deferred taxes related to those foreign earnings not considered to be permanently invested. As of December 31, 2008 we have identified approximately $522.2 million of non-U.S. funds that will likely be repatriated, the majority of which is related to Manpower France. We currently do not have specific plans to repatriate these funds, however we may do so in the future as cash needs arise.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27" w:right="1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principal ongoing cash needs are to finance working capital, capital expenditures, debt payments, share repurchases, dividends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2008, cash provided by operating activities was $792.0 million, compared to $432.2 million for 2007 and $359.1 million for 2006. The increase in 2008 from 2007 is primarily attributable to the change in working capital, as accounts receivable has declined due to the decrease in business volumes.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Accounts Receivable decreased to $3,629.7 million as of December 31, 2008 from $4,478.8 million as of December 31, 2007. This decrease is due primarily to changes in foreign currency exchange rates and decreased business volumes. At constant exchange rates, the Accounts Receivable balance at December 31, 2008 would have been approximately $320.4 million higher than reported.</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Capital expenditures were $93.1 million, $91.6 million and $80.0 million during 2008, 2007 and 2006, respectively. These expenditures were primarily comprised of purchases of computer equipment, office furniture and other costs related to office openings and refurbishments, as well as capitalized software costs of $6.3 million, $7.5 million and $12.0 million in 2008, 2007 and 2006, respectively.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From time to time, we acquire and invest in companies throughout the world, including franchises. The total cash consideration paid for acquisitions, net of cash acquired, was $242.0 million, $122.8 million and $13.0 million in 2008, 2007 and 2006, respectively.</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April 2008, we acquired Vitae, a leading professional placement firm in the Netherlands, for total consideration, net of cash acquired, of $114.7 million (€72.6 million). The agreement also included contingent consideration of up to €10.0 million that may be paid in 2010. Goodwill and Intangible Assets resulting from this transaction were $85.4 million and $23.6 million, respectively, as of December 31, 2008.</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Cash consideration related to other acquisitions, including franchises, net of cash acquired, was $127.3 million, $122.8 million and $13.0 million for 2008, 2007 and 2006, respectively. Goodwill and Intangible Assets resulting from these acquisitions were $55.1 million and $69.4 million, respectively, as of December 31, 2008.</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January 2006, we sold a non-core payroll processing business in Sweden. In December 2006, we also sold a non-core facilities management services business in the Nordics. Pre-tax gains of $123.5 million ($89.5 million after tax, or $1.02 per diluted share) related to these sales were recorded in 2006. Net proceeds from these transactions of $123.9 million were received in 2006.</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additional borrowings were $79.0 million for 2008 compared to $4.9 million and $2.2 million for 2007 and 2006, respectively. We use excess cash to pay down borrowings under various facilities when appropriate.</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August 2007, October 2006 and October 2005, the Board of Directors authorized the repurchase of 5.0 million shares of our common stock, not to exceed a total purchase price of $400.0 million, $325.0 million and $250.0 million, respectively.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have repurchased 2.2 million and 1.7 million shares of common stock during 2008 and 2007, respectively, at a total cost of $112.2 million and $105.7 million during 2008 and 2007, respectively. There are 1.1 million shares, at a cost of up to $182.1 million, remaining authorized for repurchase under this authorization as of December 31, 2008. Under the 2006 authorization, we repurchased 4.4 million shares of common stock at a total cost of $325.0 million during 2007. Under the 2005 authorization, we repurchased 4.3 million shares at a total cost of $250.0 million during 2005 and the first eight months of 2006.</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each of 2008, 2007 and 2006, the Board of Directors declared total cash dividends of $0.74, $0.69 and $0.59 per share, respectively resulting in total dividend payments of $58.1 million, $57.1 million and $50.9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27964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70"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28</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86" w:name="page87"/>
    <w:bookmarkEnd w:id="86"/>
    <w:p>
      <w:pPr>
        <w:ind w:right="40"/>
        <w:spacing w:after="0" w:line="257" w:lineRule="auto"/>
        <w:rPr>
          <w:sz w:val="20"/>
          <w:szCs w:val="20"/>
          <w:color w:val="auto"/>
        </w:rPr>
      </w:pPr>
      <w:r>
        <w:rPr>
          <w:rFonts w:ascii="Arial" w:cs="Arial" w:eastAsia="Arial" w:hAnsi="Arial"/>
          <w:sz w:val="16"/>
          <w:szCs w:val="16"/>
          <w:color w:val="auto"/>
        </w:rPr>
        <w:t>We have aggregate commitments of $1,998.4 million related to debt, operating leases, severances and office closure costs, and certain other commitments,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120" w:type="dxa"/>
            <w:vAlign w:val="bottom"/>
          </w:tcPr>
          <w:p>
            <w:pPr>
              <w:spacing w:after="0"/>
              <w:rPr>
                <w:sz w:val="20"/>
                <w:szCs w:val="20"/>
                <w:color w:val="auto"/>
              </w:rPr>
            </w:pPr>
            <w:r>
              <w:rPr>
                <w:rFonts w:ascii="Arial" w:cs="Arial" w:eastAsia="Arial" w:hAnsi="Arial"/>
                <w:sz w:val="14"/>
                <w:szCs w:val="14"/>
                <w:color w:val="4D8ABE"/>
              </w:rPr>
              <w:t>in Millions</w:t>
            </w:r>
          </w:p>
        </w:tc>
        <w:tc>
          <w:tcPr>
            <w:tcW w:w="392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4D8ABE"/>
              </w:rPr>
              <w:t>2009</w:t>
            </w:r>
          </w:p>
        </w:tc>
        <w:tc>
          <w:tcPr>
            <w:tcW w:w="44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4D8ABE"/>
              </w:rPr>
              <w:t>2010-2011</w:t>
            </w:r>
          </w:p>
        </w:tc>
        <w:tc>
          <w:tcPr>
            <w:tcW w:w="44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Arial" w:cs="Arial" w:eastAsia="Arial" w:hAnsi="Arial"/>
                <w:sz w:val="14"/>
                <w:szCs w:val="14"/>
                <w:color w:val="4D8ABE"/>
              </w:rPr>
              <w:t>2012-2013</w:t>
            </w:r>
          </w:p>
        </w:tc>
        <w:tc>
          <w:tcPr>
            <w:tcW w:w="4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4D8ABE"/>
              </w:rPr>
              <w:t>Thereafter</w:t>
            </w:r>
          </w:p>
        </w:tc>
      </w:tr>
      <w:tr>
        <w:trPr>
          <w:trHeight w:val="145"/>
        </w:trPr>
        <w:tc>
          <w:tcPr>
            <w:tcW w:w="2120" w:type="dxa"/>
            <w:vAlign w:val="bottom"/>
            <w:tcBorders>
              <w:top w:val="single" w:sz="8" w:color="4D8ABE"/>
            </w:tcBorders>
          </w:tcPr>
          <w:p>
            <w:pPr>
              <w:spacing w:after="0" w:line="145" w:lineRule="exact"/>
              <w:rPr>
                <w:sz w:val="20"/>
                <w:szCs w:val="20"/>
                <w:color w:val="auto"/>
              </w:rPr>
            </w:pPr>
            <w:r>
              <w:rPr>
                <w:rFonts w:ascii="Arial" w:cs="Arial" w:eastAsia="Arial" w:hAnsi="Arial"/>
                <w:sz w:val="14"/>
                <w:szCs w:val="14"/>
                <w:color w:val="auto"/>
              </w:rPr>
              <w:t>Long-term debt including interest</w:t>
            </w:r>
          </w:p>
        </w:tc>
        <w:tc>
          <w:tcPr>
            <w:tcW w:w="3920" w:type="dxa"/>
            <w:vAlign w:val="bottom"/>
            <w:tcBorders>
              <w:top w:val="single" w:sz="8" w:color="4D8ABE"/>
            </w:tcBorders>
          </w:tcPr>
          <w:p>
            <w:pPr>
              <w:jc w:val="right"/>
              <w:ind w:right="352"/>
              <w:spacing w:after="0" w:line="14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4D8ABE"/>
            </w:tcBorders>
          </w:tcPr>
          <w:p>
            <w:pPr>
              <w:jc w:val="right"/>
              <w:ind w:right="52"/>
              <w:spacing w:after="0" w:line="145" w:lineRule="exact"/>
              <w:rPr>
                <w:sz w:val="20"/>
                <w:szCs w:val="20"/>
                <w:color w:val="auto"/>
              </w:rPr>
            </w:pPr>
            <w:r>
              <w:rPr>
                <w:rFonts w:ascii="Arial" w:cs="Arial" w:eastAsia="Arial" w:hAnsi="Arial"/>
                <w:sz w:val="14"/>
                <w:szCs w:val="14"/>
                <w:color w:val="auto"/>
              </w:rPr>
              <w:t>105.4</w:t>
            </w:r>
          </w:p>
        </w:tc>
        <w:tc>
          <w:tcPr>
            <w:tcW w:w="440" w:type="dxa"/>
            <w:vAlign w:val="bottom"/>
            <w:tcBorders>
              <w:top w:val="single" w:sz="8" w:color="4D8ABE"/>
            </w:tcBorders>
          </w:tcPr>
          <w:p>
            <w:pPr>
              <w:jc w:val="right"/>
              <w:ind w:right="192"/>
              <w:spacing w:after="0" w:line="14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4D8ABE"/>
            </w:tcBorders>
          </w:tcPr>
          <w:p>
            <w:pPr>
              <w:jc w:val="right"/>
              <w:ind w:right="52"/>
              <w:spacing w:after="0" w:line="145" w:lineRule="exact"/>
              <w:rPr>
                <w:sz w:val="20"/>
                <w:szCs w:val="20"/>
                <w:color w:val="auto"/>
              </w:rPr>
            </w:pPr>
            <w:r>
              <w:rPr>
                <w:rFonts w:ascii="Arial" w:cs="Arial" w:eastAsia="Arial" w:hAnsi="Arial"/>
                <w:sz w:val="14"/>
                <w:szCs w:val="14"/>
                <w:color w:val="auto"/>
              </w:rPr>
              <w:t>71.8</w:t>
            </w:r>
          </w:p>
        </w:tc>
        <w:tc>
          <w:tcPr>
            <w:tcW w:w="440" w:type="dxa"/>
            <w:vAlign w:val="bottom"/>
            <w:tcBorders>
              <w:top w:val="single" w:sz="8" w:color="4D8ABE"/>
            </w:tcBorders>
          </w:tcPr>
          <w:p>
            <w:pPr>
              <w:jc w:val="right"/>
              <w:ind w:right="192"/>
              <w:spacing w:after="0" w:line="14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4D8ABE"/>
            </w:tcBorders>
          </w:tcPr>
          <w:p>
            <w:pPr>
              <w:jc w:val="right"/>
              <w:ind w:right="52"/>
              <w:spacing w:after="0" w:line="145" w:lineRule="exact"/>
              <w:rPr>
                <w:sz w:val="20"/>
                <w:szCs w:val="20"/>
                <w:color w:val="auto"/>
              </w:rPr>
            </w:pPr>
            <w:r>
              <w:rPr>
                <w:rFonts w:ascii="Arial" w:cs="Arial" w:eastAsia="Arial" w:hAnsi="Arial"/>
                <w:sz w:val="14"/>
                <w:szCs w:val="14"/>
                <w:color w:val="auto"/>
              </w:rPr>
              <w:t>865.6</w:t>
            </w:r>
          </w:p>
        </w:tc>
        <w:tc>
          <w:tcPr>
            <w:tcW w:w="460" w:type="dxa"/>
            <w:vAlign w:val="bottom"/>
            <w:tcBorders>
              <w:top w:val="single" w:sz="8" w:color="4D8ABE"/>
            </w:tcBorders>
          </w:tcPr>
          <w:p>
            <w:pPr>
              <w:jc w:val="right"/>
              <w:ind w:right="212"/>
              <w:spacing w:after="0" w:line="14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4D8ABE"/>
            </w:tcBorders>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r>
      <w:tr>
        <w:trPr>
          <w:trHeight w:val="154"/>
        </w:trPr>
        <w:tc>
          <w:tcPr>
            <w:tcW w:w="2120" w:type="dxa"/>
            <w:vAlign w:val="bottom"/>
            <w:shd w:val="clear" w:color="auto" w:fill="E6EFFF"/>
          </w:tcPr>
          <w:p>
            <w:pPr>
              <w:spacing w:after="0" w:line="154" w:lineRule="exact"/>
              <w:rPr>
                <w:sz w:val="20"/>
                <w:szCs w:val="20"/>
                <w:color w:val="auto"/>
              </w:rPr>
            </w:pPr>
            <w:r>
              <w:rPr>
                <w:rFonts w:ascii="Arial" w:cs="Arial" w:eastAsia="Arial" w:hAnsi="Arial"/>
                <w:sz w:val="14"/>
                <w:szCs w:val="14"/>
                <w:color w:val="auto"/>
              </w:rPr>
              <w:t>Short-term borrowings</w:t>
            </w:r>
          </w:p>
        </w:tc>
        <w:tc>
          <w:tcPr>
            <w:tcW w:w="3920" w:type="dxa"/>
            <w:vAlign w:val="bottom"/>
            <w:shd w:val="clear" w:color="auto" w:fill="E6EFFF"/>
          </w:tcPr>
          <w:p>
            <w:pPr>
              <w:spacing w:after="0"/>
              <w:rPr>
                <w:sz w:val="13"/>
                <w:szCs w:val="13"/>
                <w:color w:val="auto"/>
              </w:rPr>
            </w:pPr>
          </w:p>
        </w:tc>
        <w:tc>
          <w:tcPr>
            <w:tcW w:w="880" w:type="dxa"/>
            <w:vAlign w:val="bottom"/>
            <w:shd w:val="clear" w:color="auto" w:fill="E6EFFF"/>
          </w:tcPr>
          <w:p>
            <w:pPr>
              <w:jc w:val="right"/>
              <w:ind w:right="52"/>
              <w:spacing w:after="0" w:line="154" w:lineRule="exact"/>
              <w:rPr>
                <w:sz w:val="20"/>
                <w:szCs w:val="20"/>
                <w:color w:val="auto"/>
              </w:rPr>
            </w:pPr>
            <w:r>
              <w:rPr>
                <w:rFonts w:ascii="Arial" w:cs="Arial" w:eastAsia="Arial" w:hAnsi="Arial"/>
                <w:sz w:val="14"/>
                <w:szCs w:val="14"/>
                <w:color w:val="auto"/>
              </w:rPr>
              <w:t>51.0</w:t>
            </w:r>
          </w:p>
        </w:tc>
        <w:tc>
          <w:tcPr>
            <w:tcW w:w="440" w:type="dxa"/>
            <w:vAlign w:val="bottom"/>
            <w:shd w:val="clear" w:color="auto" w:fill="E6EFFF"/>
          </w:tcPr>
          <w:p>
            <w:pPr>
              <w:spacing w:after="0"/>
              <w:rPr>
                <w:sz w:val="13"/>
                <w:szCs w:val="13"/>
                <w:color w:val="auto"/>
              </w:rPr>
            </w:pPr>
          </w:p>
        </w:tc>
        <w:tc>
          <w:tcPr>
            <w:tcW w:w="1040" w:type="dxa"/>
            <w:vAlign w:val="bottom"/>
            <w:shd w:val="clear" w:color="auto" w:fill="E6EFFF"/>
          </w:tcPr>
          <w:p>
            <w:pPr>
              <w:jc w:val="right"/>
              <w:ind w:right="52"/>
              <w:spacing w:after="0" w:line="154" w:lineRule="exact"/>
              <w:rPr>
                <w:sz w:val="20"/>
                <w:szCs w:val="20"/>
                <w:color w:val="auto"/>
              </w:rPr>
            </w:pPr>
            <w:r>
              <w:rPr>
                <w:rFonts w:ascii="Arial" w:cs="Arial" w:eastAsia="Arial" w:hAnsi="Arial"/>
                <w:sz w:val="14"/>
                <w:szCs w:val="14"/>
                <w:color w:val="auto"/>
              </w:rPr>
              <w:t>—</w:t>
            </w:r>
          </w:p>
        </w:tc>
        <w:tc>
          <w:tcPr>
            <w:tcW w:w="440" w:type="dxa"/>
            <w:vAlign w:val="bottom"/>
            <w:shd w:val="clear" w:color="auto" w:fill="E6EFFF"/>
          </w:tcPr>
          <w:p>
            <w:pPr>
              <w:spacing w:after="0"/>
              <w:rPr>
                <w:sz w:val="13"/>
                <w:szCs w:val="13"/>
                <w:color w:val="auto"/>
              </w:rPr>
            </w:pPr>
          </w:p>
        </w:tc>
        <w:tc>
          <w:tcPr>
            <w:tcW w:w="1040" w:type="dxa"/>
            <w:vAlign w:val="bottom"/>
            <w:shd w:val="clear" w:color="auto" w:fill="E6EFFF"/>
          </w:tcPr>
          <w:p>
            <w:pPr>
              <w:jc w:val="right"/>
              <w:ind w:right="52"/>
              <w:spacing w:after="0" w:line="154" w:lineRule="exact"/>
              <w:rPr>
                <w:sz w:val="20"/>
                <w:szCs w:val="20"/>
                <w:color w:val="auto"/>
              </w:rPr>
            </w:pPr>
            <w:r>
              <w:rPr>
                <w:rFonts w:ascii="Arial" w:cs="Arial" w:eastAsia="Arial" w:hAnsi="Arial"/>
                <w:sz w:val="14"/>
                <w:szCs w:val="14"/>
                <w:color w:val="auto"/>
              </w:rPr>
              <w:t>—</w:t>
            </w:r>
          </w:p>
        </w:tc>
        <w:tc>
          <w:tcPr>
            <w:tcW w:w="460" w:type="dxa"/>
            <w:vAlign w:val="bottom"/>
            <w:shd w:val="clear" w:color="auto" w:fill="E6EFFF"/>
          </w:tcPr>
          <w:p>
            <w:pPr>
              <w:spacing w:after="0"/>
              <w:rPr>
                <w:sz w:val="13"/>
                <w:szCs w:val="13"/>
                <w:color w:val="auto"/>
              </w:rPr>
            </w:pPr>
          </w:p>
        </w:tc>
        <w:tc>
          <w:tcPr>
            <w:tcW w:w="1120" w:type="dxa"/>
            <w:vAlign w:val="bottom"/>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w:t>
            </w:r>
          </w:p>
        </w:tc>
      </w:tr>
      <w:tr>
        <w:trPr>
          <w:trHeight w:val="154"/>
        </w:trPr>
        <w:tc>
          <w:tcPr>
            <w:tcW w:w="21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4"/>
        </w:trPr>
        <w:tc>
          <w:tcPr>
            <w:tcW w:w="2120" w:type="dxa"/>
            <w:vAlign w:val="bottom"/>
            <w:shd w:val="clear" w:color="auto" w:fill="E6EFFF"/>
          </w:tcPr>
          <w:p>
            <w:pPr>
              <w:spacing w:after="0" w:line="154" w:lineRule="exact"/>
              <w:rPr>
                <w:sz w:val="20"/>
                <w:szCs w:val="20"/>
                <w:color w:val="auto"/>
              </w:rPr>
            </w:pPr>
            <w:r>
              <w:rPr>
                <w:rFonts w:ascii="Arial" w:cs="Arial" w:eastAsia="Arial" w:hAnsi="Arial"/>
                <w:sz w:val="14"/>
                <w:szCs w:val="14"/>
                <w:color w:val="auto"/>
              </w:rPr>
              <w:t>Operating leases</w:t>
            </w:r>
          </w:p>
        </w:tc>
        <w:tc>
          <w:tcPr>
            <w:tcW w:w="3920" w:type="dxa"/>
            <w:vAlign w:val="bottom"/>
            <w:shd w:val="clear" w:color="auto" w:fill="E6EFFF"/>
          </w:tcPr>
          <w:p>
            <w:pPr>
              <w:spacing w:after="0"/>
              <w:rPr>
                <w:sz w:val="13"/>
                <w:szCs w:val="13"/>
                <w:color w:val="auto"/>
              </w:rPr>
            </w:pPr>
          </w:p>
        </w:tc>
        <w:tc>
          <w:tcPr>
            <w:tcW w:w="880" w:type="dxa"/>
            <w:vAlign w:val="bottom"/>
            <w:shd w:val="clear" w:color="auto" w:fill="E6EFFF"/>
          </w:tcPr>
          <w:p>
            <w:pPr>
              <w:jc w:val="right"/>
              <w:ind w:right="52"/>
              <w:spacing w:after="0" w:line="154" w:lineRule="exact"/>
              <w:rPr>
                <w:sz w:val="20"/>
                <w:szCs w:val="20"/>
                <w:color w:val="auto"/>
              </w:rPr>
            </w:pPr>
            <w:r>
              <w:rPr>
                <w:rFonts w:ascii="Arial" w:cs="Arial" w:eastAsia="Arial" w:hAnsi="Arial"/>
                <w:sz w:val="14"/>
                <w:szCs w:val="14"/>
                <w:color w:val="auto"/>
              </w:rPr>
              <w:t>203.2</w:t>
            </w:r>
          </w:p>
        </w:tc>
        <w:tc>
          <w:tcPr>
            <w:tcW w:w="440" w:type="dxa"/>
            <w:vAlign w:val="bottom"/>
            <w:shd w:val="clear" w:color="auto" w:fill="E6EFFF"/>
          </w:tcPr>
          <w:p>
            <w:pPr>
              <w:spacing w:after="0"/>
              <w:rPr>
                <w:sz w:val="13"/>
                <w:szCs w:val="13"/>
                <w:color w:val="auto"/>
              </w:rPr>
            </w:pPr>
          </w:p>
        </w:tc>
        <w:tc>
          <w:tcPr>
            <w:tcW w:w="1040" w:type="dxa"/>
            <w:vAlign w:val="bottom"/>
            <w:shd w:val="clear" w:color="auto" w:fill="E6EFFF"/>
          </w:tcPr>
          <w:p>
            <w:pPr>
              <w:jc w:val="right"/>
              <w:ind w:right="52"/>
              <w:spacing w:after="0" w:line="154" w:lineRule="exact"/>
              <w:rPr>
                <w:sz w:val="20"/>
                <w:szCs w:val="20"/>
                <w:color w:val="auto"/>
              </w:rPr>
            </w:pPr>
            <w:r>
              <w:rPr>
                <w:rFonts w:ascii="Arial" w:cs="Arial" w:eastAsia="Arial" w:hAnsi="Arial"/>
                <w:sz w:val="14"/>
                <w:szCs w:val="14"/>
                <w:color w:val="auto"/>
              </w:rPr>
              <w:t>268.7</w:t>
            </w:r>
          </w:p>
        </w:tc>
        <w:tc>
          <w:tcPr>
            <w:tcW w:w="440" w:type="dxa"/>
            <w:vAlign w:val="bottom"/>
            <w:shd w:val="clear" w:color="auto" w:fill="E6EFFF"/>
          </w:tcPr>
          <w:p>
            <w:pPr>
              <w:spacing w:after="0"/>
              <w:rPr>
                <w:sz w:val="13"/>
                <w:szCs w:val="13"/>
                <w:color w:val="auto"/>
              </w:rPr>
            </w:pPr>
          </w:p>
        </w:tc>
        <w:tc>
          <w:tcPr>
            <w:tcW w:w="1040" w:type="dxa"/>
            <w:vAlign w:val="bottom"/>
            <w:shd w:val="clear" w:color="auto" w:fill="E6EFFF"/>
          </w:tcPr>
          <w:p>
            <w:pPr>
              <w:jc w:val="right"/>
              <w:ind w:right="52"/>
              <w:spacing w:after="0" w:line="154" w:lineRule="exact"/>
              <w:rPr>
                <w:sz w:val="20"/>
                <w:szCs w:val="20"/>
                <w:color w:val="auto"/>
              </w:rPr>
            </w:pPr>
            <w:r>
              <w:rPr>
                <w:rFonts w:ascii="Arial" w:cs="Arial" w:eastAsia="Arial" w:hAnsi="Arial"/>
                <w:sz w:val="14"/>
                <w:szCs w:val="14"/>
                <w:color w:val="auto"/>
              </w:rPr>
              <w:t>139.6</w:t>
            </w:r>
          </w:p>
        </w:tc>
        <w:tc>
          <w:tcPr>
            <w:tcW w:w="460" w:type="dxa"/>
            <w:vAlign w:val="bottom"/>
            <w:shd w:val="clear" w:color="auto" w:fill="E6EFFF"/>
          </w:tcPr>
          <w:p>
            <w:pPr>
              <w:spacing w:after="0"/>
              <w:rPr>
                <w:sz w:val="13"/>
                <w:szCs w:val="13"/>
                <w:color w:val="auto"/>
              </w:rPr>
            </w:pPr>
          </w:p>
        </w:tc>
        <w:tc>
          <w:tcPr>
            <w:tcW w:w="1120" w:type="dxa"/>
            <w:vAlign w:val="bottom"/>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151.4</w:t>
            </w:r>
          </w:p>
        </w:tc>
      </w:tr>
      <w:tr>
        <w:trPr>
          <w:trHeight w:val="154"/>
        </w:trPr>
        <w:tc>
          <w:tcPr>
            <w:tcW w:w="6040" w:type="dxa"/>
            <w:vAlign w:val="bottom"/>
            <w:gridSpan w:val="2"/>
          </w:tcPr>
          <w:p>
            <w:pPr>
              <w:spacing w:after="0" w:line="154" w:lineRule="exact"/>
              <w:rPr>
                <w:sz w:val="20"/>
                <w:szCs w:val="20"/>
                <w:color w:val="auto"/>
              </w:rPr>
            </w:pPr>
            <w:r>
              <w:rPr>
                <w:rFonts w:ascii="Arial" w:cs="Arial" w:eastAsia="Arial" w:hAnsi="Arial"/>
                <w:sz w:val="14"/>
                <w:szCs w:val="14"/>
                <w:color w:val="auto"/>
              </w:rPr>
              <w:t>Severances and other office closure costs</w:t>
            </w:r>
          </w:p>
        </w:tc>
        <w:tc>
          <w:tcPr>
            <w:tcW w:w="880" w:type="dxa"/>
            <w:vAlign w:val="bottom"/>
          </w:tcPr>
          <w:p>
            <w:pPr>
              <w:jc w:val="right"/>
              <w:ind w:right="52"/>
              <w:spacing w:after="0" w:line="154" w:lineRule="exact"/>
              <w:rPr>
                <w:sz w:val="20"/>
                <w:szCs w:val="20"/>
                <w:color w:val="auto"/>
              </w:rPr>
            </w:pPr>
            <w:r>
              <w:rPr>
                <w:rFonts w:ascii="Arial" w:cs="Arial" w:eastAsia="Arial" w:hAnsi="Arial"/>
                <w:sz w:val="14"/>
                <w:szCs w:val="14"/>
                <w:color w:val="auto"/>
              </w:rPr>
              <w:t>29.2</w:t>
            </w:r>
          </w:p>
        </w:tc>
        <w:tc>
          <w:tcPr>
            <w:tcW w:w="440" w:type="dxa"/>
            <w:vAlign w:val="bottom"/>
          </w:tcPr>
          <w:p>
            <w:pPr>
              <w:spacing w:after="0"/>
              <w:rPr>
                <w:sz w:val="13"/>
                <w:szCs w:val="13"/>
                <w:color w:val="auto"/>
              </w:rPr>
            </w:pPr>
          </w:p>
        </w:tc>
        <w:tc>
          <w:tcPr>
            <w:tcW w:w="1040" w:type="dxa"/>
            <w:vAlign w:val="bottom"/>
          </w:tcPr>
          <w:p>
            <w:pPr>
              <w:jc w:val="right"/>
              <w:ind w:right="52"/>
              <w:spacing w:after="0" w:line="154" w:lineRule="exact"/>
              <w:rPr>
                <w:sz w:val="20"/>
                <w:szCs w:val="20"/>
                <w:color w:val="auto"/>
              </w:rPr>
            </w:pPr>
            <w:r>
              <w:rPr>
                <w:rFonts w:ascii="Arial" w:cs="Arial" w:eastAsia="Arial" w:hAnsi="Arial"/>
                <w:sz w:val="14"/>
                <w:szCs w:val="14"/>
                <w:color w:val="auto"/>
              </w:rPr>
              <w:t>2.4</w:t>
            </w:r>
          </w:p>
        </w:tc>
        <w:tc>
          <w:tcPr>
            <w:tcW w:w="440" w:type="dxa"/>
            <w:vAlign w:val="bottom"/>
          </w:tcPr>
          <w:p>
            <w:pPr>
              <w:spacing w:after="0"/>
              <w:rPr>
                <w:sz w:val="13"/>
                <w:szCs w:val="13"/>
                <w:color w:val="auto"/>
              </w:rPr>
            </w:pPr>
          </w:p>
        </w:tc>
        <w:tc>
          <w:tcPr>
            <w:tcW w:w="1040" w:type="dxa"/>
            <w:vAlign w:val="bottom"/>
          </w:tcPr>
          <w:p>
            <w:pPr>
              <w:jc w:val="right"/>
              <w:ind w:right="52"/>
              <w:spacing w:after="0" w:line="154" w:lineRule="exact"/>
              <w:rPr>
                <w:sz w:val="20"/>
                <w:szCs w:val="20"/>
                <w:color w:val="auto"/>
              </w:rPr>
            </w:pPr>
            <w:r>
              <w:rPr>
                <w:rFonts w:ascii="Arial" w:cs="Arial" w:eastAsia="Arial" w:hAnsi="Arial"/>
                <w:sz w:val="14"/>
                <w:szCs w:val="14"/>
                <w:color w:val="auto"/>
              </w:rPr>
              <w:t>0.3</w:t>
            </w:r>
          </w:p>
        </w:tc>
        <w:tc>
          <w:tcPr>
            <w:tcW w:w="460" w:type="dxa"/>
            <w:vAlign w:val="bottom"/>
          </w:tcPr>
          <w:p>
            <w:pPr>
              <w:spacing w:after="0"/>
              <w:rPr>
                <w:sz w:val="13"/>
                <w:szCs w:val="13"/>
                <w:color w:val="auto"/>
              </w:rPr>
            </w:pPr>
          </w:p>
        </w:tc>
        <w:tc>
          <w:tcPr>
            <w:tcW w:w="112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w:t>
            </w:r>
          </w:p>
        </w:tc>
      </w:tr>
      <w:tr>
        <w:trPr>
          <w:trHeight w:val="164"/>
        </w:trPr>
        <w:tc>
          <w:tcPr>
            <w:tcW w:w="2120" w:type="dxa"/>
            <w:vAlign w:val="bottom"/>
            <w:shd w:val="clear" w:color="auto" w:fill="E6EFFF"/>
          </w:tcPr>
          <w:p>
            <w:pPr>
              <w:spacing w:after="0"/>
              <w:rPr>
                <w:sz w:val="20"/>
                <w:szCs w:val="20"/>
                <w:color w:val="auto"/>
              </w:rPr>
            </w:pPr>
            <w:r>
              <w:rPr>
                <w:rFonts w:ascii="Arial" w:cs="Arial" w:eastAsia="Arial" w:hAnsi="Arial"/>
                <w:sz w:val="14"/>
                <w:szCs w:val="14"/>
                <w:color w:val="auto"/>
                <w:w w:val="98"/>
              </w:rPr>
              <w:t>FIN 48 income tax liability, interest</w:t>
            </w:r>
          </w:p>
        </w:tc>
        <w:tc>
          <w:tcPr>
            <w:tcW w:w="3920" w:type="dxa"/>
            <w:vAlign w:val="bottom"/>
            <w:shd w:val="clear" w:color="auto" w:fill="E6EFFF"/>
          </w:tcPr>
          <w:p>
            <w:pPr>
              <w:jc w:val="right"/>
              <w:ind w:right="2852"/>
              <w:spacing w:after="0" w:line="164" w:lineRule="exact"/>
              <w:rPr>
                <w:sz w:val="20"/>
                <w:szCs w:val="20"/>
                <w:color w:val="auto"/>
              </w:rPr>
            </w:pPr>
            <w:r>
              <w:rPr>
                <w:rFonts w:ascii="Arial" w:cs="Arial" w:eastAsia="Arial" w:hAnsi="Arial"/>
                <w:sz w:val="14"/>
                <w:szCs w:val="14"/>
                <w:color w:val="auto"/>
                <w:w w:val="95"/>
              </w:rPr>
              <w:t xml:space="preserve">and penalties </w:t>
            </w:r>
            <w:r>
              <w:rPr>
                <w:rFonts w:ascii="Arial" w:cs="Arial" w:eastAsia="Arial" w:hAnsi="Arial"/>
                <w:sz w:val="19"/>
                <w:szCs w:val="19"/>
                <w:color w:val="auto"/>
                <w:w w:val="95"/>
                <w:vertAlign w:val="superscript"/>
              </w:rPr>
              <w:t>(1)</w:t>
            </w:r>
          </w:p>
        </w:tc>
        <w:tc>
          <w:tcPr>
            <w:tcW w:w="88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shd w:val="clear" w:color="auto" w:fill="E6EFFF"/>
          </w:tcPr>
          <w:p>
            <w:pPr>
              <w:spacing w:after="0"/>
              <w:rPr>
                <w:sz w:val="14"/>
                <w:szCs w:val="14"/>
                <w:color w:val="auto"/>
              </w:rPr>
            </w:pPr>
          </w:p>
        </w:tc>
        <w:tc>
          <w:tcPr>
            <w:tcW w:w="104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shd w:val="clear" w:color="auto" w:fill="E6EFFF"/>
          </w:tcPr>
          <w:p>
            <w:pPr>
              <w:spacing w:after="0"/>
              <w:rPr>
                <w:sz w:val="14"/>
                <w:szCs w:val="14"/>
                <w:color w:val="auto"/>
              </w:rPr>
            </w:pPr>
          </w:p>
        </w:tc>
        <w:tc>
          <w:tcPr>
            <w:tcW w:w="104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shd w:val="clear" w:color="auto" w:fill="E6EFFF"/>
          </w:tcPr>
          <w:p>
            <w:pPr>
              <w:spacing w:after="0"/>
              <w:rPr>
                <w:sz w:val="14"/>
                <w:szCs w:val="14"/>
                <w:color w:val="auto"/>
              </w:rPr>
            </w:pPr>
          </w:p>
        </w:tc>
        <w:tc>
          <w:tcPr>
            <w:tcW w:w="11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54"/>
        </w:trPr>
        <w:tc>
          <w:tcPr>
            <w:tcW w:w="212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color w:val="auto"/>
              </w:rPr>
              <w:t>Other</w:t>
            </w:r>
          </w:p>
        </w:tc>
        <w:tc>
          <w:tcPr>
            <w:tcW w:w="39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2"/>
              <w:spacing w:after="0" w:line="154" w:lineRule="exact"/>
              <w:rPr>
                <w:sz w:val="20"/>
                <w:szCs w:val="20"/>
                <w:color w:val="auto"/>
              </w:rPr>
            </w:pPr>
            <w:r>
              <w:rPr>
                <w:rFonts w:ascii="Arial" w:cs="Arial" w:eastAsia="Arial" w:hAnsi="Arial"/>
                <w:sz w:val="14"/>
                <w:szCs w:val="14"/>
                <w:color w:val="auto"/>
              </w:rPr>
              <w:t>34.7</w:t>
            </w: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
              <w:spacing w:after="0" w:line="154" w:lineRule="exact"/>
              <w:rPr>
                <w:sz w:val="20"/>
                <w:szCs w:val="20"/>
                <w:color w:val="auto"/>
              </w:rPr>
            </w:pPr>
            <w:r>
              <w:rPr>
                <w:rFonts w:ascii="Arial" w:cs="Arial" w:eastAsia="Arial" w:hAnsi="Arial"/>
                <w:sz w:val="14"/>
                <w:szCs w:val="14"/>
                <w:color w:val="auto"/>
              </w:rPr>
              <w:t>34.5</w:t>
            </w: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
              <w:spacing w:after="0" w:line="154" w:lineRule="exact"/>
              <w:rPr>
                <w:sz w:val="20"/>
                <w:szCs w:val="20"/>
                <w:color w:val="auto"/>
              </w:rPr>
            </w:pPr>
            <w:r>
              <w:rPr>
                <w:rFonts w:ascii="Arial" w:cs="Arial" w:eastAsia="Arial" w:hAnsi="Arial"/>
                <w:sz w:val="14"/>
                <w:szCs w:val="14"/>
                <w:color w:val="auto"/>
              </w:rPr>
              <w:t>21.7</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18.9</w:t>
            </w:r>
          </w:p>
        </w:tc>
        <w:tc>
          <w:tcPr>
            <w:tcW w:w="220" w:type="dxa"/>
            <w:vAlign w:val="bottom"/>
            <w:tcBorders>
              <w:bottom w:val="single" w:sz="8" w:color="E6EFFF"/>
            </w:tcBorders>
          </w:tcPr>
          <w:p>
            <w:pPr>
              <w:spacing w:after="0"/>
              <w:rPr>
                <w:sz w:val="13"/>
                <w:szCs w:val="13"/>
                <w:color w:val="auto"/>
              </w:rPr>
            </w:pPr>
          </w:p>
        </w:tc>
      </w:tr>
      <w:tr>
        <w:trPr>
          <w:trHeight w:val="155"/>
        </w:trPr>
        <w:tc>
          <w:tcPr>
            <w:tcW w:w="2120" w:type="dxa"/>
            <w:vAlign w:val="bottom"/>
            <w:tcBorders>
              <w:bottom w:val="single" w:sz="8" w:color="auto"/>
            </w:tcBorders>
            <w:shd w:val="clear" w:color="auto" w:fill="E6EFFF"/>
          </w:tcPr>
          <w:p>
            <w:pPr>
              <w:spacing w:after="0"/>
              <w:rPr>
                <w:sz w:val="13"/>
                <w:szCs w:val="13"/>
                <w:color w:val="auto"/>
              </w:rPr>
            </w:pPr>
          </w:p>
        </w:tc>
        <w:tc>
          <w:tcPr>
            <w:tcW w:w="392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FFF"/>
          </w:tcPr>
          <w:p>
            <w:pPr>
              <w:jc w:val="right"/>
              <w:ind w:right="52"/>
              <w:spacing w:after="0" w:line="155" w:lineRule="exact"/>
              <w:rPr>
                <w:sz w:val="20"/>
                <w:szCs w:val="20"/>
                <w:color w:val="auto"/>
              </w:rPr>
            </w:pPr>
            <w:r>
              <w:rPr>
                <w:rFonts w:ascii="Arial" w:cs="Arial" w:eastAsia="Arial" w:hAnsi="Arial"/>
                <w:sz w:val="14"/>
                <w:szCs w:val="14"/>
                <w:color w:val="auto"/>
              </w:rPr>
              <w:t>423.5</w:t>
            </w:r>
          </w:p>
        </w:tc>
        <w:tc>
          <w:tcPr>
            <w:tcW w:w="440" w:type="dxa"/>
            <w:vAlign w:val="bottom"/>
            <w:tcBorders>
              <w:bottom w:val="single" w:sz="8" w:color="auto"/>
            </w:tcBorders>
            <w:shd w:val="clear" w:color="auto" w:fill="E6EFFF"/>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6EFFF"/>
          </w:tcPr>
          <w:p>
            <w:pPr>
              <w:jc w:val="right"/>
              <w:ind w:right="52"/>
              <w:spacing w:after="0" w:line="155" w:lineRule="exact"/>
              <w:rPr>
                <w:sz w:val="20"/>
                <w:szCs w:val="20"/>
                <w:color w:val="auto"/>
              </w:rPr>
            </w:pPr>
            <w:r>
              <w:rPr>
                <w:rFonts w:ascii="Arial" w:cs="Arial" w:eastAsia="Arial" w:hAnsi="Arial"/>
                <w:sz w:val="14"/>
                <w:szCs w:val="14"/>
                <w:color w:val="auto"/>
              </w:rPr>
              <w:t>377.4</w:t>
            </w:r>
          </w:p>
        </w:tc>
        <w:tc>
          <w:tcPr>
            <w:tcW w:w="440" w:type="dxa"/>
            <w:vAlign w:val="bottom"/>
            <w:tcBorders>
              <w:bottom w:val="single" w:sz="8" w:color="auto"/>
            </w:tcBorders>
            <w:shd w:val="clear" w:color="auto" w:fill="E6EFFF"/>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6EFFF"/>
          </w:tcPr>
          <w:p>
            <w:pPr>
              <w:jc w:val="right"/>
              <w:ind w:right="52"/>
              <w:spacing w:after="0" w:line="155" w:lineRule="exact"/>
              <w:rPr>
                <w:sz w:val="20"/>
                <w:szCs w:val="20"/>
                <w:color w:val="auto"/>
              </w:rPr>
            </w:pPr>
            <w:r>
              <w:rPr>
                <w:rFonts w:ascii="Arial" w:cs="Arial" w:eastAsia="Arial" w:hAnsi="Arial"/>
                <w:sz w:val="14"/>
                <w:szCs w:val="14"/>
                <w:color w:val="auto"/>
              </w:rPr>
              <w:t>1,027.2</w:t>
            </w:r>
          </w:p>
        </w:tc>
        <w:tc>
          <w:tcPr>
            <w:tcW w:w="460" w:type="dxa"/>
            <w:vAlign w:val="bottom"/>
            <w:tcBorders>
              <w:bottom w:val="single" w:sz="8" w:color="auto"/>
            </w:tcBorders>
            <w:shd w:val="clear" w:color="auto" w:fill="E6EFFF"/>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170.3</w:t>
            </w:r>
          </w:p>
        </w:tc>
        <w:tc>
          <w:tcPr>
            <w:tcW w:w="220" w:type="dxa"/>
            <w:vAlign w:val="bottom"/>
            <w:tcBorders>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ind w:right="40" w:firstLine="2"/>
        <w:spacing w:after="0" w:line="257" w:lineRule="auto"/>
        <w:tabs>
          <w:tab w:leader="none" w:pos="27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FIN 48 income tax liability, interest and penalties of $38.1 million is excluded as we cannot determine the years in which these liabilities might ultimately settle.</w:t>
      </w:r>
    </w:p>
    <w:p>
      <w:pPr>
        <w:spacing w:after="0" w:line="346"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In the fourth quarter of 2008, we recorded a reorganization charge of $37.2 million, primarily related to office closures and consolidations, and severance costs in several countries. As of December 31, 2008, $8.4 million has been paid. We expect a majority of the remaining $28.8 million will be paid in 2009.</w:t>
      </w:r>
    </w:p>
    <w:p>
      <w:pPr>
        <w:spacing w:after="0" w:line="161"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In the fourth quarter of 2007, we established reserves totaling $4.4 million in France for office closure costs and $4.0 million at Jefferson Wells for severances and other office closure costs related to reorganizations at these entities. Payments against the $4.4 million reserve in France started in 2008 and have totaled $2.6 million as of December 31, 2008. We expect a majority of the remaining $1.8 million will be paid in 2009. Of the $4.0 million accrued at Jefferson Wells, $3.7 million has been paid as of December 31, 2008, of which $3.6 million was paid during 2008. We expect a majority of the remaining $0.3 million will be paid in 2009.</w:t>
      </w:r>
    </w:p>
    <w:p>
      <w:pPr>
        <w:spacing w:after="0" w:line="170"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In 2006, we recorded expenses totaling $9.5 million related to reorganizations in the U.K. for severance and other office closure costs. As of December 31, 2008, $8.6 million has been paid, of which $1.3 million was paid during 2008. We expect a majority of the remaining $0.9 million will be paid in 2009. In 2006, we also recorded expenses totaling $6.9 million at Right Management for severance costs, of which $1.6 million was reversed in 2007 as fewer than expected former employees had claimed the severance. As of December 31, 2008, $5.2 million has been paid, of which $0.4 million was paid during 2008. We expect the remaining $0.1 million will be paid in 2009.</w:t>
      </w:r>
    </w:p>
    <w:p>
      <w:pPr>
        <w:spacing w:after="0" w:line="170"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We also have entered into guarantee contracts and stand-by letters of credit that total approximately $158.0 million and $129.3 million as of December 31, 2008 and 2007, respectively ($107.6 million and $78.2 million for guarantees, respectively, and $50.4 million and $51.1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5708650</wp:posOffset>
            </wp:positionH>
            <wp:positionV relativeFrom="paragraph">
              <wp:posOffset>133985</wp:posOffset>
            </wp:positionV>
            <wp:extent cx="1572260" cy="678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72260" cy="678180"/>
                    </a:xfrm>
                    <a:prstGeom prst="rect">
                      <a:avLst/>
                    </a:prstGeom>
                    <a:noFill/>
                  </pic:spPr>
                </pic:pic>
              </a:graphicData>
            </a:graphic>
          </wp:anchor>
        </w:drawing>
      </w:r>
    </w:p>
    <w:p>
      <w:pPr>
        <w:spacing w:after="0" w:line="193" w:lineRule="exact"/>
        <w:rPr>
          <w:sz w:val="20"/>
          <w:szCs w:val="20"/>
          <w:color w:val="auto"/>
        </w:rPr>
      </w:pPr>
    </w:p>
    <w:p>
      <w:pPr>
        <w:ind w:right="2880"/>
        <w:spacing w:after="0" w:line="265" w:lineRule="auto"/>
        <w:rPr>
          <w:sz w:val="20"/>
          <w:szCs w:val="20"/>
          <w:color w:val="auto"/>
        </w:rPr>
      </w:pPr>
      <w:r>
        <w:rPr>
          <w:rFonts w:ascii="Arial" w:cs="Arial" w:eastAsia="Arial" w:hAnsi="Arial"/>
          <w:sz w:val="13"/>
          <w:szCs w:val="13"/>
          <w:color w:val="auto"/>
        </w:rPr>
        <w:t>Total capitalization as of December 31, 2008 was $3,436.7 million, comprised of $952.9 million in debt and $2,483.8 million in equity. Debt as a percentage of total capitalization was 28% as of December 31, 2008 compared to 26% as of December 31, 2007.</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EURO NOTES</w:t>
      </w:r>
    </w:p>
    <w:p>
      <w:pPr>
        <w:spacing w:after="0" w:line="187"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We have €200.0 million aggregate principal amount of 4.75% notes due June 14, 2013 (the “€200.0 million Notes”). The €200.0 million Notes were issued at a price of 99.349% to yield an effective interest rate of 4.862%. The discount of €1.3 million ($1.6 million) is being amortized to interest expense over the term of the €200.0 million Notes. Interest is payable annually on June 14.</w:t>
      </w:r>
    </w:p>
    <w:p>
      <w:pPr>
        <w:spacing w:after="0" w:line="16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We also have €300.0 million aggregate principal amount of 4.50% notes due June 1, 2012 (the “€300.0 million Notes”). The €300.0 million Notes were issued at a price of 99.518% to yield an effective interest rate of 4.58%. The discount of €1.4 million ($1.8 million) is being amortized to interest expense over the term of the €300.0 million Notes. Interest is payable annually on June 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Both the €200.0 million Notes and the €300.0 million Notes are unsecured senior obligations and rank equally with all of our existing and future senior unsecured debt and other liabilities. We may redeem these notes, in whole but not in part, at our option at any time for a redemption price determined in accordance with the term of the notes. These notes also contain certain customary non-financial restrictive covenants and events of default.</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Euro-denominated borrowings, including the euro notes and borrowings under the revolving credit agreement, have been designated as a hedge of our net investment in subsidiaries with a Euro-functional currency. Since our net investment in these subsidiaries exceeds the respective amount of the designated borrowings, all foreign exchange gains or losses related to these borrowings are included as a component of Accumulated Other Comprehensive (Loss) Income. (See Significant Matters Affecting Results of Operations and Notes 8 and 13 to the consolidated financial statements for further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REVOLVING CREDIT AGREEMENT</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have a $625.0 million revolving credit agreement (the “credit agreement”) with a syndicate of commercial banks. The credit agreement allows for borrowings in various currencies and up to $150.0 million may be used for the issuance of standby letters of credit. The credit agreement was amended in November 2007 to extend the expiration date to November 2012, from October 2010, to revise certain covenant calculations, and increase the amount of subsidiary borrowings allowed under the agreement. The borrowing margin and facility fee on the credit agreement, as well as the fee paid for the issuance of letters of credit under the facility, vary based on our public debt ratings and borrowing level. As of December 31, 2008, the interest rate under the agreement was Libor plus 0.40% (for U.S. Dollar borrowings, or alternative base rate for foreign currency borrowings), and the facility and issuance fees were 0.10% and 0.40%, respectively. As of December 31, 2008 we have borrowed €100.0 million ($139.7 million) under this credit agreement. (See Significant Matters Affecting Results of Operations for further information.)</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Outstanding letters of credit issued under the credit agreement totaled $3.8 million and $3.7 million as of December 31, 2008 and 2007, respectively. Additional borrowings of $481.5 million were available to us under the credit agreement as of December 31, 2008. In February 2009, we borrowed an additional $56.0 million under the credit agreement which has reduced our availability.</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credit agreement requires, among other things, that we comply with a Debt-to-EBITDA ratio of less than 3.25 to 1 and a fixed charge ratio of greater than 2.00 to 1. As defined in the agreement, we had a Debt-to-EBITDA ratio of 1.22 to 1 and a fixed charge ratio of 3.28 to 1 as of December 31, 2008. Based on our current forecast, we expect to be in compliance with these covenants for the next 12 months.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ACCOUNTS RECEIVABLE SECURITIZATION</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One of our wholly-owned U.S. subsidiaries has an agreement to transfer to a third party, on an ongoing basis, an interest in up to $100.0 million of its accounts receivable. The terms of this agreement are such that transfers do not qualify as a sale of accounts receivable. Accordingly, any advances under this agreement are reflected as debt on the consolidated balance sheets.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July 2008, we amended the facility and elected to reduce the program’s amount from $200.0 million to $100.0 million. With this amendment, the liquidity fee increased to 70 basis points (0.70%) on the total program amount, with an additional increase to 95 basis points (0.95%) if the average program usage falls below a minimum level, the program fee increased to 30 basis points (0.30%), and the maturity was extended to July 2009. The interest rate for borrowings under the agreement is variable and tied to A1+/P1 rated commercial paper. This program has covenants that are similar to those under the credit agreement. Based on our current forecast, we expect to be in compliance with these covenants throughout the coming year. We currently plan to renew this program in July 2009, assuming program fees do not increase significantly.</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December 31, 2008, there were borrowings of $64.0 million outstanding under this program, which are recorded as current maturities of long-term debt, at an interest rate of 2.4%. For the year ended December 31, 2008, the average interest rate on all borrowings was 3.1%, and we made total interest payments of $0.9 million. There were no borrowings outstanding as of December 31, 2007. In February 2009 we repaid all borrowings under this program.</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this amended agreement, if the accounting or regulatory standards change such that our bank is required to consolidate the activities under the facility, then the total fee for this program increases to Libor plus 500 basis points (Libor + 5.0%). Under the previous agreement, we had a liquidity fee of 12.5 basis points (0.125%) and a program fee of 15 basis points (0.15%).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727964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76"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30</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88" w:name="page89"/>
    <w:bookmarkEnd w:id="88"/>
    <w:p>
      <w:pPr>
        <w:spacing w:after="0"/>
        <w:rPr>
          <w:sz w:val="20"/>
          <w:szCs w:val="20"/>
          <w:color w:val="auto"/>
        </w:rPr>
      </w:pPr>
      <w:r>
        <w:rPr>
          <w:rFonts w:ascii="Arial" w:cs="Arial" w:eastAsia="Arial" w:hAnsi="Arial"/>
          <w:sz w:val="12"/>
          <w:szCs w:val="12"/>
          <w:b w:val="1"/>
          <w:bCs w:val="1"/>
          <w:color w:val="4D8ABE"/>
        </w:rPr>
        <w:t>OTHER</w:t>
      </w:r>
    </w:p>
    <w:p>
      <w:pPr>
        <w:spacing w:after="0" w:line="198"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In addition to the previously mentioned facilities, we maintain separate bank credit lines with financial institutions to meet working capital needs of our subsidiary operations. As of December 31, 2008, such uncommitted credit lines totaled $376.5 million, of which $325.5 million was unused. Under the credit agreement, total subsidiary borrowings cannot exceed $300.0 million in the first, second and fourth quarters, and $600.0 million in the third quarter of each year. Due to these limitations, additional borrowings of $247.8 million could have been made under these lines as of December 31, 2008.</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As of the date of this report, our credit rating from Moody’s Investors Service is Baa2 with a stable outlook and our credit rating from Standard &amp; Poor’s is BBB- with a negative outlook. Both of these credit ratings are investment grade.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Application Of Critical Accounting Policies</w:t>
      </w:r>
    </w:p>
    <w:p>
      <w:pPr>
        <w:spacing w:after="0" w:line="206"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ALLOWANCE FOR DOUBTFUL ACCOUNTS</w:t>
      </w:r>
    </w:p>
    <w:p>
      <w:pPr>
        <w:spacing w:after="0" w:line="198"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67"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Bad Debt Expense, which increases our Allowance for Doubtful Accounts, is recorded as a Selling and Administrative Expense and was $23.4 million, $21.8 million and $27.4 million for 2008, 2007 and 2006,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Write-offs, which decrease our Allowance for Doubtful Accounts, are recorded as a reduction to our Accounts Receivable balance and were $21.5 million, $20.8 million and $14.1 million for 2008, 2007 and 2006,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EMPLOYMENT - RELATED ITEMS</w:t>
      </w:r>
    </w:p>
    <w:p>
      <w:pPr>
        <w:spacing w:after="0" w:line="198"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The employment of contingent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Defined Benefit Pension Plans</w:t>
      </w:r>
    </w:p>
    <w:p>
      <w:pPr>
        <w:spacing w:after="0" w:line="20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sponsor several qualified and nonqualified pension plans covering permanent employees. The most significant plans are located in the U.S., France, the U.K., Japan and other European countries. Annual expense relating to these plans is recorded as Selling and Administrative Expense. The consolidated annual expense is estimated to be approximately $6.9 million in 2009, compared to $15.5 million, $19.2 million and $16.8 million in 2008, 2007 and 2006, respectively. The relatively lower expense is expected for 2009 as we terminated our Japanese plan in January 2009 and replaced it with a defined contribution plan.</w:t>
      </w:r>
    </w:p>
    <w:p>
      <w:pPr>
        <w:spacing w:after="0" w:line="358"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The calculations of annual pension expense and the pension liability required at year-end include various actuarial assumptions such as discount rates, expected rate of return on plan assets, compensation increases and employee turnover rates. We determine our assumption for the discount rate to be used for purposes of computing annual service and interest costs based on an index of high-quality corporate bond yields and matched-funding yield curve analysis as of the measurement date. We review the actuarial assumptions on an annual basis and make modifications to the assumptions as necessary. We review peer data and historical rates, on a country-by-country basis, to check for reasonableness in setting both the discount rate and the expected return on plan assets.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2" w:right="1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used a weighted-average discount rate of 6.4% for the U.S. plans and 5.2% for the non-U.S. plans in determining the estimated pension expense for 2009. These rates compare to the 6.3% and 5.0% weighted-average discount rates for the U.S. plans and non-U.S. plans, respectively, used in determining the estimated pension expense for 2008, and reflect the current interest rate environment. Absent any other changes, a 25 basis point change in the weighted-average discount rate would impact 2009 consolidated pension expense by approximately $0.1 million for the U.S. plans and $1.3 million for the non-U.S. plans. We have selected a weighted-average expected return on plan assets of 7.3% for the U.S. plans and 5.2% for the non-U.S. plans in determining the estimated pension expense for 2009. The comparable rates used for the calculation of the 2008 pension expense were 7.5% and 5.4% for the U.S. plans and non-U.S. plans, respectively. A 25 basis point change in the weighted-average expected return on plan assets would impact 2009 consolidated pension expense by approximately $0.1 million for the U.S. plans and $0.4 million for the non-U.S plans. Changes to these assumptions have historically not been significant in any jurisdiction for any reporting period, and no significant adjustments to the amounts recorded have been required in the past or are expected in the future. (See Note 9 to the consolidated financial statements for further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U.S. Workers’ Compensation</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U.S., we are self-insured in most states for workers’ compensation claims for our contingent workers. We determine the proper reserve balance using an actuarial valuation, which considers our historical payment experience and current employee demographics. Our reserve for such claims as of December 31, 2008 and 2007 was $79.2 million and $81.2 million, respectively. Workers’ compensation expense is recorded as a component of Cost of Services.</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have fewer claims than industrial work), and the safety of the environment where the work is performed. The cost per claim is driven primarily by the severity of the injury, related medical costs and lost-time wage costs. A 10% change in the number of claims or cost per claim would impact workers’ compensation expense in the U.S. by approximately $3.0 million.</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Historically, we have not had significant changes in our assumptions used in calculating our reserve balance or significant adjustments to our reserve level. During 2008 we experienced a stabilization in workers’ compensation expense, primarily as a result of our continued focus on safety which includes training of contingent workers and client site reviews. Given our current claims experience and cost per claim, we do not expect a significant change in our workers’ compensation reserve in the near future. However, we have historically experienced an increase in the number of claims following a recessionary period. Should this pattern reoccur, we could potentially experience higher costs for a 2-3 year period starting in 2009.</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Social Program Remittances and Payroll Tax Audit Exposure</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a routine basis, various governmental agencies in some of the countries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France, in particular, the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 During 2007, there was a change in the payroll tax calculation under certain French social programs, retroactive to January 1, 2006 and effective through September 30, 2007. During 2008, we learned that this same change was applicable to 2005. (See Note 1 to the consolidated financial statements for further information.)</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27964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81"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90" w:name="page91"/>
    <w:bookmarkEnd w:id="90"/>
    <w:p>
      <w:pPr>
        <w:jc w:val="both"/>
        <w:ind w:right="40"/>
        <w:spacing w:after="0" w:line="249" w:lineRule="auto"/>
        <w:rPr>
          <w:sz w:val="20"/>
          <w:szCs w:val="20"/>
          <w:color w:val="auto"/>
        </w:rPr>
      </w:pPr>
      <w:r>
        <w:rPr>
          <w:rFonts w:ascii="Arial" w:cs="Arial" w:eastAsia="Arial" w:hAnsi="Arial"/>
          <w:sz w:val="16"/>
          <w:szCs w:val="16"/>
          <w:color w:val="auto"/>
        </w:rPr>
        <w:t>In France, we currently maintain a reserve for the unaudited years of 2006 through 2008, which has been estimated based on the results of past audits and changes in business volumes. We do not expect any significant adjustments to the recorded amount in the near term, however we have received notification that these years will be audited during 2009, and we are expecting an assessment for at least 2006 before the end of 2009.</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DEFERRED REVENUE</w:t>
      </w:r>
    </w:p>
    <w:p>
      <w:pPr>
        <w:spacing w:after="0" w:line="198"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We recognize revenue under the provisions of Staff Accounting Bulletin No. 104, “Revenue Recognition” (“SAB 104”). SAB 104 generally provides that revenue for time-based services be recognized over the average length of the services being provided. For the outplacement line of business, we recognize revenue from individual programs over the estimated period in which services are rendered to candidates. For group programs and large projects within the outplacement and consulting lines of business, we recognize revenue over the period in which the contracts are completed. In our consulting business, revenue is recognized upon the performance of the obligations under the consulting service contract. The amount billed for outplacement and consulting services in excess of the amount recognized as revenue is recorded as Deferred Revenue and included in Accrued Liabilities in our consolidated balance sheets.</w:t>
      </w:r>
    </w:p>
    <w:p>
      <w:pPr>
        <w:spacing w:after="0" w:line="35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Significant factors impacting Deferred Revenue are the type of programs sold and the volume of current billings for new programs and projects. Over time, an increasing volume of new billings will generally result in higher amounts of Deferred Revenue, while decreasing levels of new billings will generally result in lower amounts of Deferred Revenue. As of December 31, 2008 and 2007, we had $48.1 million and $46.3 million of Deferred Revenue,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6699CC"/>
        </w:rPr>
        <w:t>INCOME TAXES</w:t>
      </w:r>
    </w:p>
    <w:p>
      <w:pPr>
        <w:spacing w:after="0" w:line="20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account for income taxes in accordance with Financial Accounting Standards Board (“FASB”) Statement No. 109, “Accounting for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70"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adopted the provisions of FASB Interpretation No. 48, “Accounting for Uncertainty in Income Taxes, an interpretation of FASB Statement No. 109” (“FIN 48”) as of January 1, 2007. FIN 48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that would be realized upon ultimate settlement is recognized. An uncertain tax position will not be recognized in the financial statements unless it is more likely than not of being sustained.</w:t>
      </w:r>
    </w:p>
    <w:p>
      <w:pPr>
        <w:spacing w:after="0" w:line="170"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unrecognized tax benefits related to items in various countries. To the extent these items are settled for an amount different than we currently expect, the unrecognized tax benefit will be adjusted.</w:t>
      </w:r>
    </w:p>
    <w:p>
      <w:pPr>
        <w:spacing w:after="0" w:line="170"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6699CC"/>
        </w:rPr>
        <w:t>GOODWILL AND INDEFINITE-LIVED INTANGIBLE ASSET IMPAIRMENT</w:t>
      </w:r>
    </w:p>
    <w:p>
      <w:pPr>
        <w:spacing w:after="0" w:line="206"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connection with FASB Statement No. 142, “Goodwill and Other Intangible Assets” (“SFAS 142”), we are required to perform goodwill and indefinite-lived intangible asset impairment reviews, at least annually, using a fair-value-based approach. The majority of our goodwill and indefinite-lived intangible assets result from our acquisitions of Right Management, Elan and Jefferson Wells, U.S. franchises and Vitae.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SFAS 142 requires a two-step method for determining goodwill impairment. In the first step, we determine the fair value of each reporting unit, generally by utilizing an income approach derived from a discounted cash flow methodology and, for certain larger reporting units, a combination of the income approach and the market approach derived from comparable public companies. Significant assumptions used in this analysis include: expected future revenue growth rates, operating unit profit margins, and working capital levels; a discount rate; and a terminal value multiple. The fair value of the reporting unit is then compared to its carrying value. If the reporting unit’s fair value is less than its carrying value, we are required to perform the second step. In this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Under SFAS 142,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completed our annual impairment review during the third quarter of 2008. In the first step, the fair value for each reporting unit other than Right Management exceeded its carrying value. For Right Management, we were required to perform the second step. As a result of deteriorating market conditions and general economic uncertainty, market comparables and forecasted cash flows for the Right Management reporting unit were lower than in previous years, which led to a determination that the goodwill recorded for Right Management was partially impaired. For the year ended December 31, 2008, we recognized an impairment loss of $140.8 million related to goodwill. There was no tax benefit associated with this impairment loss.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At the same time, we also determined that the tradename intangible asset for Right Management was partially impaired as a result of a decrease in forecasted royalties. As a result, we recognized an impairment loss of $22.3 million related to our tradename intangible asset for the year ended December 31, 2008. We recognized a deferred tax benefit of $8.5 million associated with this impairment loss.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goodwill and intangible asset impairment charge is non-cash in nature and does not impact our liquidity, cash flows provided by operating activities or future operations. (See Note 1 to the consolidated financial statements for further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Significant Matters Affecting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MARKET RISKS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the impact of foreign currency exchange rate fluctuations and interest rate changes.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939598"/>
        </w:rPr>
        <w:t xml:space="preserve">Exchange Rates – </w:t>
      </w:r>
      <w:r>
        <w:rPr>
          <w:rFonts w:ascii="Arial" w:cs="Arial" w:eastAsia="Arial" w:hAnsi="Arial"/>
          <w:sz w:val="16"/>
          <w:szCs w:val="16"/>
          <w:color w:val="000000"/>
        </w:rPr>
        <w:t>Our exposure to foreign currency exchange rates relates primarily to our foreign subsidiaries and our Euro-denominated borrowings. For</w:t>
      </w:r>
      <w:r>
        <w:rPr>
          <w:rFonts w:ascii="Arial" w:cs="Arial" w:eastAsia="Arial" w:hAnsi="Arial"/>
          <w:sz w:val="16"/>
          <w:szCs w:val="16"/>
          <w:b w:val="1"/>
          <w:bCs w:val="1"/>
          <w:color w:val="939598"/>
        </w:rPr>
        <w:t xml:space="preserve"> </w:t>
      </w:r>
      <w:r>
        <w:rPr>
          <w:rFonts w:ascii="Arial" w:cs="Arial" w:eastAsia="Arial" w:hAnsi="Arial"/>
          <w:sz w:val="16"/>
          <w:szCs w:val="16"/>
          <w:color w:val="000000"/>
        </w:rPr>
        <w:t>our foreign subsidiaries, exchange rates impact the U.S. Dollar value of our reported earnings, our investments in the subsidiaries and the intercompany transactions with the subsidiaries.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Approximately 89% of our revenues and profits are generated outside of the U.S., with approximately 53% generated from our European operations that use the Euro as their functional currency. As a result, fluctuations in the value of foreign currencies against the U.S. Dollar, particularly the Euro, may have a significant impact on our reported results. Revenues and expenses denominated in foreign currencies are translated into U.S. Dollars at the monthly weighted-average exchange rates for the year. Consequently, as the value of the U.S. Dollar changes relative to the currencies of our major markets, our reported results vary.</w:t>
      </w:r>
    </w:p>
    <w:p>
      <w:pPr>
        <w:spacing w:after="0" w:line="35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Throughout 2008, the U.S. Dollar strengthened relative to many of the currencies of our major markets. Revenues from Services and Operating Profit in constant currency were approximately 4.6% lower than reported. If the U.S. Dollar had strengthened an additional 10% during 2008, Revenues from Services would have decreased by approximately 8.9% and Operating Profit would have decreased by approximately 10.3% from the amounts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727964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76"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34</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92" w:name="page93"/>
    <w:bookmarkEnd w:id="92"/>
    <w:p>
      <w:pPr>
        <w:jc w:val="both"/>
        <w:ind w:right="40"/>
        <w:spacing w:after="0" w:line="244" w:lineRule="auto"/>
        <w:rPr>
          <w:sz w:val="20"/>
          <w:szCs w:val="20"/>
          <w:color w:val="auto"/>
        </w:rPr>
      </w:pPr>
      <w:r>
        <w:rPr>
          <w:rFonts w:ascii="Arial" w:cs="Arial" w:eastAsia="Arial" w:hAnsi="Arial"/>
          <w:sz w:val="16"/>
          <w:szCs w:val="16"/>
          <w:color w:val="auto"/>
        </w:rPr>
        <w:t>Fluctuations in currency exchange rates also impact the U.S. Dollar amount of our Shareholders’ Equity. The assets and liabilities of our non-U.S. subsidiaries are translated into U.S. Dollars at the exchange rates in effect at year-end. The resulting translation adjustments are recorded in Shareholders’ Equity as a component of Accumulated Other Comprehensive (Loss) Income. The U.S. Dollar strengthened relative to many foreign currencies as of December 31, 2008 compared to December 31, 2007. Consequently, Shareholders’ Equity decreased by $249.9 million as a result of the foreign currency translation during the year. If the U.S. Dollar had strengthened an additional 10% during 2008, resulting translation adjustments recorded in Shareholders’ Equity would have decreased by approximately $305.1 million from the amounts reported.</w:t>
      </w:r>
    </w:p>
    <w:p>
      <w:pPr>
        <w:spacing w:after="0" w:line="172"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U.S. for payment of license fees and interest expense on intercompany loans, working capital loans made between the U.S. and our foreign subsidiaries, dividends from our foreign subsidiaries, and payments between certain countries for services provided. To reduce the currency risk related to these transactions, we may borrow funds in the relevant foreign currency under our revolving credit agreement or we may enter into a forward contract to hedge the transfer.</w:t>
      </w:r>
    </w:p>
    <w:p>
      <w:pPr>
        <w:spacing w:after="0" w:line="175"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As of December 31, 2008, there were £18.6 million ($27.2 million) of net forward contracts that relate to cash flows owed to our foreign subsidiaries in 2009. In addition, there were €2.7 million ($3.7 million) of net forward contracts outstanding relating to the interest due on our €200.0 million Notes and €300.0 million Notes in June 2009. All such contracts entered into during 2008 and 2007, whether designated as cash flow hedges or fair value hedges, were considered highly effective, as defined by SFAS No. 133, as amended. The effective portions of the changes in the fair value of the cash flow hedges are recorded as a component of Accumulated Other Comprehensive (Loss) Income and recognized in the consolidated statements of operations when the hedged item affects earnings. For a fair value hedge, the gain or loss attributable to the change in fair value of the derivative as well as the hedged item is recognized in earnings in the period of change.</w:t>
      </w:r>
    </w:p>
    <w:p>
      <w:pPr>
        <w:spacing w:after="0" w:line="175"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As of December 31, 2008, we had $836.3 million of long-term borrowings denominated in Euros (€600.0 million) which have been designated as a hedge of our net investment in subsidiaries with the Euro-functional currency. Since our net investment in these subsidiaries exceeds the respective amount of the designated borrowings, all translation gains or losses related to these borrowings are included as a component of Accumulated Other Comprehensive (Loss) Income. Shareholders’ Equity increased by $24.5 million, net of tax, due to changes in Accumulated Other Comprehensive (Loss) Income during the year due to the currency impact on these borrowings.</w:t>
      </w:r>
    </w:p>
    <w:p>
      <w:pPr>
        <w:spacing w:after="0" w:line="170" w:lineRule="exact"/>
        <w:rPr>
          <w:sz w:val="20"/>
          <w:szCs w:val="20"/>
          <w:color w:val="auto"/>
        </w:rPr>
      </w:pPr>
    </w:p>
    <w:p>
      <w:pPr>
        <w:jc w:val="both"/>
        <w:ind w:right="40"/>
        <w:spacing w:after="0" w:line="249" w:lineRule="auto"/>
        <w:rPr>
          <w:sz w:val="20"/>
          <w:szCs w:val="20"/>
          <w:color w:val="auto"/>
        </w:rPr>
      </w:pPr>
      <w:r>
        <w:rPr>
          <w:rFonts w:ascii="Arial" w:cs="Arial" w:eastAsia="Arial" w:hAnsi="Arial"/>
          <w:sz w:val="14"/>
          <w:szCs w:val="14"/>
          <w:b w:val="1"/>
          <w:bCs w:val="1"/>
          <w:color w:val="808080"/>
        </w:rPr>
        <w:t xml:space="preserve">Interest Rates </w:t>
      </w:r>
      <w:r>
        <w:rPr>
          <w:rFonts w:ascii="Arial" w:cs="Arial" w:eastAsia="Arial" w:hAnsi="Arial"/>
          <w:sz w:val="16"/>
          <w:szCs w:val="16"/>
          <w:color w:val="000000"/>
        </w:rPr>
        <w:t>– Our exposure to market risk for changes in interest rates relates primarily to our variable rate long-term debt obligations. We have historically</w:t>
      </w:r>
      <w:r>
        <w:rPr>
          <w:rFonts w:ascii="Arial" w:cs="Arial" w:eastAsia="Arial" w:hAnsi="Arial"/>
          <w:sz w:val="14"/>
          <w:szCs w:val="14"/>
          <w:b w:val="1"/>
          <w:bCs w:val="1"/>
          <w:color w:val="808080"/>
        </w:rPr>
        <w:t xml:space="preserve"> </w:t>
      </w:r>
      <w:r>
        <w:rPr>
          <w:rFonts w:ascii="Arial" w:cs="Arial" w:eastAsia="Arial" w:hAnsi="Arial"/>
          <w:sz w:val="16"/>
          <w:szCs w:val="16"/>
          <w:color w:val="000000"/>
        </w:rPr>
        <w:t>managed interest rates through the use of a combination of fixed-and variable-rate borrowings and interest rate swap agreements. As of December 31, 2008, we had the following fixed-and variable-rate borrowings: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Borders>
              <w:bottom w:val="single" w:sz="8" w:color="4D8ABE"/>
            </w:tcBorders>
          </w:tcPr>
          <w:p>
            <w:pPr>
              <w:spacing w:after="0"/>
              <w:rPr>
                <w:sz w:val="14"/>
                <w:szCs w:val="14"/>
                <w:color w:val="auto"/>
              </w:rPr>
            </w:pPr>
          </w:p>
        </w:tc>
        <w:tc>
          <w:tcPr>
            <w:tcW w:w="880" w:type="dxa"/>
            <w:vAlign w:val="bottom"/>
            <w:tcBorders>
              <w:bottom w:val="single" w:sz="8" w:color="4D8ABE"/>
            </w:tcBorders>
          </w:tcPr>
          <w:p>
            <w:pPr>
              <w:jc w:val="right"/>
              <w:spacing w:after="0"/>
              <w:rPr>
                <w:sz w:val="20"/>
                <w:szCs w:val="20"/>
                <w:color w:val="auto"/>
              </w:rPr>
            </w:pPr>
            <w:r>
              <w:rPr>
                <w:rFonts w:ascii="Arial" w:cs="Arial" w:eastAsia="Arial" w:hAnsi="Arial"/>
                <w:sz w:val="13"/>
                <w:szCs w:val="13"/>
                <w:color w:val="4D8ABE"/>
              </w:rPr>
              <w:t>Fixed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4D8ABE"/>
            </w:tcBorders>
          </w:tcPr>
          <w:p>
            <w:pPr>
              <w:spacing w:after="0"/>
              <w:rPr>
                <w:sz w:val="14"/>
                <w:szCs w:val="14"/>
                <w:color w:val="auto"/>
              </w:rPr>
            </w:pPr>
          </w:p>
        </w:tc>
        <w:tc>
          <w:tcPr>
            <w:tcW w:w="880" w:type="dxa"/>
            <w:vAlign w:val="bottom"/>
            <w:tcBorders>
              <w:bottom w:val="single" w:sz="8" w:color="4D8ABE"/>
            </w:tcBorders>
          </w:tcPr>
          <w:p>
            <w:pPr>
              <w:jc w:val="right"/>
              <w:spacing w:after="0"/>
              <w:rPr>
                <w:sz w:val="20"/>
                <w:szCs w:val="20"/>
                <w:color w:val="auto"/>
              </w:rPr>
            </w:pPr>
            <w:r>
              <w:rPr>
                <w:rFonts w:ascii="Arial" w:cs="Arial" w:eastAsia="Arial" w:hAnsi="Arial"/>
                <w:sz w:val="13"/>
                <w:szCs w:val="13"/>
                <w:color w:val="4D8ABE"/>
              </w:rPr>
              <w:t>Variable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4D8ABE"/>
            </w:tcBorders>
          </w:tcPr>
          <w:p>
            <w:pPr>
              <w:spacing w:after="0"/>
              <w:rPr>
                <w:sz w:val="14"/>
                <w:szCs w:val="14"/>
                <w:color w:val="auto"/>
              </w:rPr>
            </w:pPr>
          </w:p>
        </w:tc>
        <w:tc>
          <w:tcPr>
            <w:tcW w:w="880" w:type="dxa"/>
            <w:vAlign w:val="bottom"/>
            <w:tcBorders>
              <w:bottom w:val="single" w:sz="8" w:color="4D8ABE"/>
            </w:tcBorders>
          </w:tcPr>
          <w:p>
            <w:pPr>
              <w:jc w:val="right"/>
              <w:spacing w:after="0"/>
              <w:rPr>
                <w:sz w:val="20"/>
                <w:szCs w:val="20"/>
                <w:color w:val="auto"/>
              </w:rPr>
            </w:pPr>
            <w:r>
              <w:rPr>
                <w:rFonts w:ascii="Arial" w:cs="Arial" w:eastAsia="Arial" w:hAnsi="Arial"/>
                <w:sz w:val="13"/>
                <w:szCs w:val="13"/>
                <w:color w:val="4D8ABE"/>
              </w:rPr>
              <w:t>Total</w:t>
            </w:r>
          </w:p>
        </w:tc>
        <w:tc>
          <w:tcPr>
            <w:tcW w:w="220" w:type="dxa"/>
            <w:vAlign w:val="bottom"/>
          </w:tcPr>
          <w:p>
            <w:pPr>
              <w:spacing w:after="0"/>
              <w:rPr>
                <w:sz w:val="14"/>
                <w:szCs w:val="14"/>
                <w:color w:val="auto"/>
              </w:rPr>
            </w:pPr>
          </w:p>
        </w:tc>
      </w:tr>
      <w:tr>
        <w:trPr>
          <w:trHeight w:val="318"/>
        </w:trPr>
        <w:tc>
          <w:tcPr>
            <w:tcW w:w="3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4D8ABE"/>
              </w:rPr>
              <w:t>Weighted-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4D8ABE"/>
              </w:rPr>
              <w:t>Weighted-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4D8ABE"/>
              </w:rPr>
              <w:t>Weighted-</w:t>
            </w:r>
          </w:p>
        </w:tc>
      </w:tr>
      <w:tr>
        <w:trPr>
          <w:trHeight w:val="164"/>
        </w:trPr>
        <w:tc>
          <w:tcPr>
            <w:tcW w:w="3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4D8ABE"/>
              </w:rPr>
              <w:t>Average</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4D8ABE"/>
              </w:rPr>
              <w:t>Average</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4D8ABE"/>
              </w:rPr>
              <w:t>Average</w:t>
            </w:r>
          </w:p>
        </w:tc>
      </w:tr>
      <w:tr>
        <w:trPr>
          <w:trHeight w:val="164"/>
        </w:trPr>
        <w:tc>
          <w:tcPr>
            <w:tcW w:w="3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4D8ABE"/>
              </w:rPr>
              <w:t>Interest</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4D8ABE"/>
              </w:rPr>
              <w:t>Interest</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4D8ABE"/>
              </w:rPr>
              <w:t>Interest</w:t>
            </w:r>
          </w:p>
        </w:tc>
      </w:tr>
      <w:tr>
        <w:trPr>
          <w:trHeight w:val="165"/>
        </w:trPr>
        <w:tc>
          <w:tcPr>
            <w:tcW w:w="3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jc w:val="right"/>
              <w:ind w:right="193"/>
              <w:spacing w:after="0"/>
              <w:rPr>
                <w:sz w:val="20"/>
                <w:szCs w:val="20"/>
                <w:color w:val="auto"/>
              </w:rPr>
            </w:pPr>
            <w:r>
              <w:rPr>
                <w:rFonts w:ascii="Arial" w:cs="Arial" w:eastAsia="Arial" w:hAnsi="Arial"/>
                <w:sz w:val="13"/>
                <w:szCs w:val="13"/>
                <w:color w:val="4D8ABE"/>
              </w:rPr>
              <w:t>Amount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4D8ABE"/>
              </w:rPr>
              <w:t>Rate</w:t>
            </w:r>
          </w:p>
        </w:tc>
        <w:tc>
          <w:tcPr>
            <w:tcW w:w="220" w:type="dxa"/>
            <w:vAlign w:val="bottom"/>
          </w:tcPr>
          <w:p>
            <w:pPr>
              <w:spacing w:after="0"/>
              <w:rPr>
                <w:sz w:val="14"/>
                <w:szCs w:val="14"/>
                <w:color w:val="auto"/>
              </w:rPr>
            </w:pPr>
          </w:p>
        </w:tc>
        <w:tc>
          <w:tcPr>
            <w:tcW w:w="1060" w:type="dxa"/>
            <w:vAlign w:val="bottom"/>
          </w:tcPr>
          <w:p>
            <w:pPr>
              <w:jc w:val="right"/>
              <w:ind w:right="193"/>
              <w:spacing w:after="0"/>
              <w:rPr>
                <w:sz w:val="20"/>
                <w:szCs w:val="20"/>
                <w:color w:val="auto"/>
              </w:rPr>
            </w:pPr>
            <w:r>
              <w:rPr>
                <w:rFonts w:ascii="Arial" w:cs="Arial" w:eastAsia="Arial" w:hAnsi="Arial"/>
                <w:sz w:val="13"/>
                <w:szCs w:val="13"/>
                <w:color w:val="4D8ABE"/>
              </w:rPr>
              <w:t>Amount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4D8ABE"/>
              </w:rPr>
              <w:t>Rate</w:t>
            </w:r>
          </w:p>
        </w:tc>
        <w:tc>
          <w:tcPr>
            <w:tcW w:w="220" w:type="dxa"/>
            <w:vAlign w:val="bottom"/>
          </w:tcPr>
          <w:p>
            <w:pPr>
              <w:spacing w:after="0"/>
              <w:rPr>
                <w:sz w:val="14"/>
                <w:szCs w:val="14"/>
                <w:color w:val="auto"/>
              </w:rPr>
            </w:pPr>
          </w:p>
        </w:tc>
        <w:tc>
          <w:tcPr>
            <w:tcW w:w="1060" w:type="dxa"/>
            <w:vAlign w:val="bottom"/>
          </w:tcPr>
          <w:p>
            <w:pPr>
              <w:jc w:val="right"/>
              <w:ind w:right="193"/>
              <w:spacing w:after="0"/>
              <w:rPr>
                <w:sz w:val="20"/>
                <w:szCs w:val="20"/>
                <w:color w:val="auto"/>
              </w:rPr>
            </w:pPr>
            <w:r>
              <w:rPr>
                <w:rFonts w:ascii="Arial" w:cs="Arial" w:eastAsia="Arial" w:hAnsi="Arial"/>
                <w:sz w:val="13"/>
                <w:szCs w:val="13"/>
                <w:color w:val="4D8ABE"/>
              </w:rPr>
              <w:t>Amount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4D8ABE"/>
              </w:rPr>
              <w:t>Rate</w:t>
            </w:r>
          </w:p>
        </w:tc>
      </w:tr>
      <w:tr>
        <w:trPr>
          <w:trHeight w:val="319"/>
        </w:trPr>
        <w:tc>
          <w:tcPr>
            <w:tcW w:w="3520" w:type="dxa"/>
            <w:vAlign w:val="bottom"/>
            <w:tcBorders>
              <w:top w:val="single" w:sz="8" w:color="4D8ABE"/>
            </w:tcBorders>
          </w:tcPr>
          <w:p>
            <w:pPr>
              <w:spacing w:after="0"/>
              <w:rPr>
                <w:sz w:val="20"/>
                <w:szCs w:val="20"/>
                <w:color w:val="auto"/>
              </w:rPr>
            </w:pPr>
            <w:r>
              <w:rPr>
                <w:rFonts w:ascii="Arial" w:cs="Arial" w:eastAsia="Arial" w:hAnsi="Arial"/>
                <w:sz w:val="13"/>
                <w:szCs w:val="13"/>
                <w:color w:val="auto"/>
              </w:rPr>
              <w:t>Excluding interest rate swap agreements</w:t>
            </w:r>
          </w:p>
        </w:tc>
        <w:tc>
          <w:tcPr>
            <w:tcW w:w="1220" w:type="dxa"/>
            <w:vAlign w:val="bottom"/>
            <w:tcBorders>
              <w:top w:val="single" w:sz="8" w:color="4D8ABE"/>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4D8ABE"/>
            </w:tcBorders>
          </w:tcPr>
          <w:p>
            <w:pPr>
              <w:jc w:val="right"/>
              <w:ind w:right="193"/>
              <w:spacing w:after="0"/>
              <w:rPr>
                <w:sz w:val="20"/>
                <w:szCs w:val="20"/>
                <w:color w:val="auto"/>
              </w:rPr>
            </w:pPr>
            <w:r>
              <w:rPr>
                <w:rFonts w:ascii="Arial" w:cs="Arial" w:eastAsia="Arial" w:hAnsi="Arial"/>
                <w:sz w:val="14"/>
                <w:szCs w:val="14"/>
                <w:color w:val="auto"/>
              </w:rPr>
              <w:t>698.2</w:t>
            </w:r>
          </w:p>
        </w:tc>
        <w:tc>
          <w:tcPr>
            <w:tcW w:w="880" w:type="dxa"/>
            <w:vAlign w:val="bottom"/>
            <w:tcBorders>
              <w:top w:val="single" w:sz="8" w:color="4D8ABE"/>
            </w:tcBorders>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4D8ABE"/>
            </w:tcBorders>
          </w:tcPr>
          <w:p>
            <w:pPr>
              <w:jc w:val="right"/>
              <w:ind w:right="193"/>
              <w:spacing w:after="0"/>
              <w:rPr>
                <w:sz w:val="20"/>
                <w:szCs w:val="20"/>
                <w:color w:val="auto"/>
              </w:rPr>
            </w:pPr>
            <w:r>
              <w:rPr>
                <w:rFonts w:ascii="Arial" w:cs="Arial" w:eastAsia="Arial" w:hAnsi="Arial"/>
                <w:sz w:val="14"/>
                <w:szCs w:val="14"/>
                <w:color w:val="auto"/>
              </w:rPr>
              <w:t>254.7</w:t>
            </w:r>
          </w:p>
        </w:tc>
        <w:tc>
          <w:tcPr>
            <w:tcW w:w="880" w:type="dxa"/>
            <w:vAlign w:val="bottom"/>
            <w:tcBorders>
              <w:top w:val="single" w:sz="8" w:color="4D8ABE"/>
            </w:tcBorders>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4D8ABE"/>
            </w:tcBorders>
          </w:tcPr>
          <w:p>
            <w:pPr>
              <w:jc w:val="right"/>
              <w:ind w:right="193"/>
              <w:spacing w:after="0"/>
              <w:rPr>
                <w:sz w:val="20"/>
                <w:szCs w:val="20"/>
                <w:color w:val="auto"/>
              </w:rPr>
            </w:pPr>
            <w:r>
              <w:rPr>
                <w:rFonts w:ascii="Arial" w:cs="Arial" w:eastAsia="Arial" w:hAnsi="Arial"/>
                <w:sz w:val="14"/>
                <w:szCs w:val="14"/>
                <w:color w:val="auto"/>
              </w:rPr>
              <w:t>952.9</w:t>
            </w:r>
          </w:p>
        </w:tc>
        <w:tc>
          <w:tcPr>
            <w:tcW w:w="880" w:type="dxa"/>
            <w:vAlign w:val="bottom"/>
            <w:tcBorders>
              <w:top w:val="single" w:sz="8" w:color="4D8ABE"/>
            </w:tcBorders>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24"/>
                <w:szCs w:val="24"/>
                <w:color w:val="auto"/>
              </w:rPr>
            </w:pPr>
          </w:p>
        </w:tc>
      </w:tr>
      <w:tr>
        <w:trPr>
          <w:trHeight w:val="164"/>
        </w:trPr>
        <w:tc>
          <w:tcPr>
            <w:tcW w:w="35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3"/>
                <w:szCs w:val="13"/>
                <w:color w:val="auto"/>
              </w:rPr>
              <w:t>Including impact of swap agreements</w:t>
            </w:r>
          </w:p>
        </w:tc>
        <w:tc>
          <w:tcPr>
            <w:tcW w:w="1220" w:type="dxa"/>
            <w:vAlign w:val="bottom"/>
            <w:tcBorders>
              <w:bottom w:val="single" w:sz="8" w:color="auto"/>
            </w:tcBorders>
            <w:shd w:val="clear" w:color="auto" w:fill="E6EFFF"/>
          </w:tcPr>
          <w:p>
            <w:pPr>
              <w:spacing w:after="0"/>
              <w:rPr>
                <w:sz w:val="14"/>
                <w:szCs w:val="14"/>
                <w:color w:val="auto"/>
              </w:rPr>
            </w:pPr>
          </w:p>
        </w:tc>
        <w:tc>
          <w:tcPr>
            <w:tcW w:w="1060" w:type="dxa"/>
            <w:vAlign w:val="bottom"/>
            <w:tcBorders>
              <w:bottom w:val="single" w:sz="8" w:color="auto"/>
            </w:tcBorders>
            <w:shd w:val="clear" w:color="auto" w:fill="E6EFFF"/>
          </w:tcPr>
          <w:p>
            <w:pPr>
              <w:jc w:val="right"/>
              <w:ind w:right="193"/>
              <w:spacing w:after="0"/>
              <w:rPr>
                <w:sz w:val="20"/>
                <w:szCs w:val="20"/>
                <w:color w:val="auto"/>
              </w:rPr>
            </w:pPr>
            <w:r>
              <w:rPr>
                <w:rFonts w:ascii="Arial" w:cs="Arial" w:eastAsia="Arial" w:hAnsi="Arial"/>
                <w:sz w:val="13"/>
                <w:szCs w:val="13"/>
                <w:color w:val="auto"/>
              </w:rPr>
              <w:t>837.9</w:t>
            </w:r>
          </w:p>
        </w:tc>
        <w:tc>
          <w:tcPr>
            <w:tcW w:w="8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1060" w:type="dxa"/>
            <w:vAlign w:val="bottom"/>
            <w:tcBorders>
              <w:bottom w:val="single" w:sz="8" w:color="auto"/>
            </w:tcBorders>
            <w:shd w:val="clear" w:color="auto" w:fill="E6EFFF"/>
          </w:tcPr>
          <w:p>
            <w:pPr>
              <w:jc w:val="right"/>
              <w:ind w:right="193"/>
              <w:spacing w:after="0"/>
              <w:rPr>
                <w:sz w:val="20"/>
                <w:szCs w:val="20"/>
                <w:color w:val="auto"/>
              </w:rPr>
            </w:pPr>
            <w:r>
              <w:rPr>
                <w:rFonts w:ascii="Arial" w:cs="Arial" w:eastAsia="Arial" w:hAnsi="Arial"/>
                <w:sz w:val="13"/>
                <w:szCs w:val="13"/>
                <w:color w:val="auto"/>
              </w:rPr>
              <w:t>115.0</w:t>
            </w:r>
          </w:p>
        </w:tc>
        <w:tc>
          <w:tcPr>
            <w:tcW w:w="8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5.3%</w:t>
            </w:r>
          </w:p>
        </w:tc>
        <w:tc>
          <w:tcPr>
            <w:tcW w:w="1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1060" w:type="dxa"/>
            <w:vAlign w:val="bottom"/>
            <w:tcBorders>
              <w:bottom w:val="single" w:sz="8" w:color="auto"/>
            </w:tcBorders>
            <w:shd w:val="clear" w:color="auto" w:fill="E6EFFF"/>
          </w:tcPr>
          <w:p>
            <w:pPr>
              <w:jc w:val="right"/>
              <w:ind w:right="193"/>
              <w:spacing w:after="0"/>
              <w:rPr>
                <w:sz w:val="20"/>
                <w:szCs w:val="20"/>
                <w:color w:val="auto"/>
              </w:rPr>
            </w:pPr>
            <w:r>
              <w:rPr>
                <w:rFonts w:ascii="Arial" w:cs="Arial" w:eastAsia="Arial" w:hAnsi="Arial"/>
                <w:sz w:val="13"/>
                <w:szCs w:val="13"/>
                <w:color w:val="auto"/>
              </w:rPr>
              <w:t>952.9</w:t>
            </w:r>
          </w:p>
        </w:tc>
        <w:tc>
          <w:tcPr>
            <w:tcW w:w="8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5.2%</w:t>
            </w:r>
          </w:p>
        </w:tc>
        <w:tc>
          <w:tcPr>
            <w:tcW w:w="220" w:type="dxa"/>
            <w:vAlign w:val="bottom"/>
            <w:shd w:val="clear" w:color="auto" w:fill="E6EFFF"/>
          </w:tcPr>
          <w:p>
            <w:pPr>
              <w:spacing w:after="0"/>
              <w:rPr>
                <w:sz w:val="14"/>
                <w:szCs w:val="14"/>
                <w:color w:val="auto"/>
              </w:rPr>
            </w:pPr>
          </w:p>
        </w:tc>
      </w:tr>
    </w:tbl>
    <w:p>
      <w:pPr>
        <w:spacing w:after="0" w:line="18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We have various interest rate swap agreements in order to fix our interest costs on a portion of our Euro-denominated variable rate borrowings. The Euro interest rate swap agreements, with a notional value of €100.0 million ($139.7 million), fix the interest rate, on a weighted-average basis, at 5.71% and expire in July 2010.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939598"/>
        </w:rPr>
        <w:t xml:space="preserve">Sensitivity Analysis – </w:t>
      </w:r>
      <w:r>
        <w:rPr>
          <w:rFonts w:ascii="Arial" w:cs="Arial" w:eastAsia="Arial" w:hAnsi="Arial"/>
          <w:sz w:val="16"/>
          <w:szCs w:val="16"/>
          <w:color w:val="000000"/>
        </w:rPr>
        <w:t>The following table summarizes our debt and derivative instruments that are sensitive to foreign currency exchange rate and interest</w:t>
      </w:r>
      <w:r>
        <w:rPr>
          <w:rFonts w:ascii="Arial" w:cs="Arial" w:eastAsia="Arial" w:hAnsi="Arial"/>
          <w:sz w:val="16"/>
          <w:szCs w:val="16"/>
          <w:b w:val="1"/>
          <w:bCs w:val="1"/>
          <w:color w:val="939598"/>
        </w:rPr>
        <w:t xml:space="preserve"> </w:t>
      </w:r>
      <w:r>
        <w:rPr>
          <w:rFonts w:ascii="Arial" w:cs="Arial" w:eastAsia="Arial" w:hAnsi="Arial"/>
          <w:sz w:val="16"/>
          <w:szCs w:val="16"/>
          <w:color w:val="000000"/>
        </w:rPr>
        <w:t>rate movements. All computations below are based on the U.S. Dollar spot rate as of December 31, 2008. The exchange rate computations assume a 10% appreciation or 10% depreciation of the Euro and British Pound to the U.S. Dollar.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hypothetical impact on 2008 earnings and Accumulated Other Comprehensive (Loss) Income of the stated change in rates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4D8ABE"/>
              </w:rPr>
              <w:t>Movements In</w:t>
            </w:r>
          </w:p>
        </w:tc>
        <w:tc>
          <w:tcPr>
            <w:tcW w:w="16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4D8ABE"/>
              </w:rPr>
              <w:t>Movements In</w:t>
            </w:r>
          </w:p>
        </w:tc>
      </w:tr>
      <w:tr>
        <w:trPr>
          <w:trHeight w:val="155"/>
        </w:trPr>
        <w:tc>
          <w:tcPr>
            <w:tcW w:w="4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4D8ABE"/>
              </w:rPr>
              <w:t>Exchange Rates</w:t>
            </w:r>
          </w:p>
        </w:tc>
        <w:tc>
          <w:tcPr>
            <w:tcW w:w="1600" w:type="dxa"/>
            <w:vAlign w:val="bottom"/>
          </w:tcPr>
          <w:p>
            <w:pPr>
              <w:spacing w:after="0"/>
              <w:rPr>
                <w:sz w:val="13"/>
                <w:szCs w:val="13"/>
                <w:color w:val="auto"/>
              </w:rPr>
            </w:pPr>
          </w:p>
        </w:tc>
        <w:tc>
          <w:tcPr>
            <w:tcW w:w="12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4D8ABE"/>
              </w:rPr>
              <w:t>Interest Rates</w:t>
            </w:r>
          </w:p>
        </w:tc>
      </w:tr>
      <w:tr>
        <w:trPr>
          <w:trHeight w:val="20"/>
        </w:trPr>
        <w:tc>
          <w:tcPr>
            <w:tcW w:w="4060" w:type="dxa"/>
            <w:vAlign w:val="bottom"/>
            <w:shd w:val="clear" w:color="auto" w:fill="4D8ABE"/>
          </w:tcPr>
          <w:p>
            <w:pPr>
              <w:spacing w:after="0" w:line="20" w:lineRule="exact"/>
              <w:rPr>
                <w:sz w:val="1"/>
                <w:szCs w:val="1"/>
                <w:color w:val="auto"/>
              </w:rPr>
            </w:pPr>
          </w:p>
        </w:tc>
        <w:tc>
          <w:tcPr>
            <w:tcW w:w="1760" w:type="dxa"/>
            <w:vAlign w:val="bottom"/>
            <w:shd w:val="clear" w:color="auto" w:fill="4D8ABE"/>
          </w:tcPr>
          <w:p>
            <w:pPr>
              <w:spacing w:after="0" w:line="20" w:lineRule="exact"/>
              <w:rPr>
                <w:sz w:val="1"/>
                <w:szCs w:val="1"/>
                <w:color w:val="auto"/>
              </w:rPr>
            </w:pPr>
          </w:p>
        </w:tc>
        <w:tc>
          <w:tcPr>
            <w:tcW w:w="1160" w:type="dxa"/>
            <w:vAlign w:val="bottom"/>
            <w:shd w:val="clear" w:color="auto" w:fill="4D8ABE"/>
          </w:tcPr>
          <w:p>
            <w:pPr>
              <w:spacing w:after="0" w:line="20" w:lineRule="exact"/>
              <w:rPr>
                <w:sz w:val="1"/>
                <w:szCs w:val="1"/>
                <w:color w:val="auto"/>
              </w:rPr>
            </w:pPr>
          </w:p>
        </w:tc>
        <w:tc>
          <w:tcPr>
            <w:tcW w:w="220" w:type="dxa"/>
            <w:vAlign w:val="bottom"/>
            <w:shd w:val="clear" w:color="auto" w:fill="4D8ABE"/>
          </w:tcPr>
          <w:p>
            <w:pPr>
              <w:spacing w:after="0" w:line="20" w:lineRule="exact"/>
              <w:rPr>
                <w:sz w:val="1"/>
                <w:szCs w:val="1"/>
                <w:color w:val="auto"/>
              </w:rPr>
            </w:pPr>
          </w:p>
        </w:tc>
        <w:tc>
          <w:tcPr>
            <w:tcW w:w="1080" w:type="dxa"/>
            <w:vAlign w:val="bottom"/>
            <w:shd w:val="clear" w:color="auto" w:fill="4D8AB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shd w:val="clear" w:color="auto" w:fill="4D8ABE"/>
          </w:tcPr>
          <w:p>
            <w:pPr>
              <w:spacing w:after="0" w:line="20" w:lineRule="exact"/>
              <w:rPr>
                <w:sz w:val="1"/>
                <w:szCs w:val="1"/>
                <w:color w:val="auto"/>
              </w:rPr>
            </w:pPr>
          </w:p>
        </w:tc>
        <w:tc>
          <w:tcPr>
            <w:tcW w:w="1020" w:type="dxa"/>
            <w:vAlign w:val="bottom"/>
            <w:shd w:val="clear" w:color="auto" w:fill="4D8AB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4"/>
        </w:trPr>
        <w:tc>
          <w:tcPr>
            <w:tcW w:w="4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jc w:val="right"/>
              <w:ind w:right="112"/>
              <w:spacing w:after="0"/>
              <w:rPr>
                <w:sz w:val="20"/>
                <w:szCs w:val="20"/>
                <w:color w:val="auto"/>
              </w:rPr>
            </w:pPr>
            <w:r>
              <w:rPr>
                <w:rFonts w:ascii="Arial" w:cs="Arial" w:eastAsia="Arial" w:hAnsi="Arial"/>
                <w:sz w:val="14"/>
                <w:szCs w:val="14"/>
                <w:color w:val="4D8ABE"/>
              </w:rPr>
              <w:t>10%</w:t>
            </w:r>
          </w:p>
        </w:tc>
        <w:tc>
          <w:tcPr>
            <w:tcW w:w="22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4D8ABE"/>
              </w:rPr>
              <w:t>10%</w:t>
            </w:r>
          </w:p>
        </w:tc>
        <w:tc>
          <w:tcPr>
            <w:tcW w:w="1600" w:type="dxa"/>
            <w:vAlign w:val="bottom"/>
          </w:tcPr>
          <w:p>
            <w:pPr>
              <w:jc w:val="right"/>
              <w:ind w:right="392"/>
              <w:spacing w:after="0"/>
              <w:rPr>
                <w:sz w:val="20"/>
                <w:szCs w:val="20"/>
                <w:color w:val="auto"/>
              </w:rPr>
            </w:pPr>
            <w:r>
              <w:rPr>
                <w:rFonts w:ascii="Arial" w:cs="Arial" w:eastAsia="Arial" w:hAnsi="Arial"/>
                <w:sz w:val="14"/>
                <w:szCs w:val="14"/>
                <w:color w:val="4D8ABE"/>
              </w:rPr>
              <w:t>10%</w:t>
            </w:r>
          </w:p>
        </w:tc>
        <w:tc>
          <w:tcPr>
            <w:tcW w:w="1020" w:type="dxa"/>
            <w:vAlign w:val="bottom"/>
          </w:tcPr>
          <w:p>
            <w:pPr>
              <w:jc w:val="right"/>
              <w:spacing w:after="0"/>
              <w:rPr>
                <w:sz w:val="20"/>
                <w:szCs w:val="20"/>
                <w:color w:val="auto"/>
              </w:rPr>
            </w:pPr>
            <w:r>
              <w:rPr>
                <w:rFonts w:ascii="Arial" w:cs="Arial" w:eastAsia="Arial" w:hAnsi="Arial"/>
                <w:sz w:val="14"/>
                <w:szCs w:val="14"/>
                <w:color w:val="4D8ABE"/>
              </w:rPr>
              <w:t>10%</w:t>
            </w:r>
          </w:p>
        </w:tc>
        <w:tc>
          <w:tcPr>
            <w:tcW w:w="220" w:type="dxa"/>
            <w:vAlign w:val="bottom"/>
          </w:tcPr>
          <w:p>
            <w:pPr>
              <w:spacing w:after="0"/>
              <w:rPr>
                <w:sz w:val="14"/>
                <w:szCs w:val="14"/>
                <w:color w:val="auto"/>
              </w:rPr>
            </w:pPr>
          </w:p>
        </w:tc>
      </w:tr>
      <w:tr>
        <w:trPr>
          <w:trHeight w:val="155"/>
        </w:trPr>
        <w:tc>
          <w:tcPr>
            <w:tcW w:w="4060" w:type="dxa"/>
            <w:vAlign w:val="bottom"/>
          </w:tcPr>
          <w:p>
            <w:pPr>
              <w:spacing w:after="0" w:line="155" w:lineRule="exact"/>
              <w:rPr>
                <w:sz w:val="20"/>
                <w:szCs w:val="20"/>
                <w:color w:val="auto"/>
              </w:rPr>
            </w:pPr>
            <w:r>
              <w:rPr>
                <w:rFonts w:ascii="Arial" w:cs="Arial" w:eastAsia="Arial" w:hAnsi="Arial"/>
                <w:sz w:val="14"/>
                <w:szCs w:val="14"/>
                <w:color w:val="4D8ABE"/>
              </w:rPr>
              <w:t>Market Sensitive Instrument</w:t>
            </w:r>
          </w:p>
        </w:tc>
        <w:tc>
          <w:tcPr>
            <w:tcW w:w="1760" w:type="dxa"/>
            <w:vAlign w:val="bottom"/>
          </w:tcPr>
          <w:p>
            <w:pPr>
              <w:spacing w:after="0"/>
              <w:rPr>
                <w:sz w:val="13"/>
                <w:szCs w:val="13"/>
                <w:color w:val="auto"/>
              </w:rPr>
            </w:pPr>
          </w:p>
        </w:tc>
        <w:tc>
          <w:tcPr>
            <w:tcW w:w="1160" w:type="dxa"/>
            <w:vAlign w:val="bottom"/>
          </w:tcPr>
          <w:p>
            <w:pPr>
              <w:jc w:val="right"/>
              <w:ind w:right="112"/>
              <w:spacing w:after="0" w:line="155" w:lineRule="exact"/>
              <w:rPr>
                <w:sz w:val="20"/>
                <w:szCs w:val="20"/>
                <w:color w:val="auto"/>
              </w:rPr>
            </w:pPr>
            <w:r>
              <w:rPr>
                <w:rFonts w:ascii="Arial" w:cs="Arial" w:eastAsia="Arial" w:hAnsi="Arial"/>
                <w:sz w:val="14"/>
                <w:szCs w:val="14"/>
                <w:color w:val="4D8ABE"/>
              </w:rPr>
              <w:t>Depreciation</w:t>
            </w:r>
          </w:p>
        </w:tc>
        <w:tc>
          <w:tcPr>
            <w:tcW w:w="220" w:type="dxa"/>
            <w:vAlign w:val="bottom"/>
          </w:tcPr>
          <w:p>
            <w:pPr>
              <w:spacing w:after="0"/>
              <w:rPr>
                <w:sz w:val="13"/>
                <w:szCs w:val="13"/>
                <w:color w:val="auto"/>
              </w:rPr>
            </w:pPr>
          </w:p>
        </w:tc>
        <w:tc>
          <w:tcPr>
            <w:tcW w:w="14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4D8ABE"/>
              </w:rPr>
              <w:t>Appreciation</w:t>
            </w:r>
          </w:p>
        </w:tc>
        <w:tc>
          <w:tcPr>
            <w:tcW w:w="1600" w:type="dxa"/>
            <w:vAlign w:val="bottom"/>
          </w:tcPr>
          <w:p>
            <w:pPr>
              <w:jc w:val="right"/>
              <w:ind w:right="392"/>
              <w:spacing w:after="0" w:line="155" w:lineRule="exact"/>
              <w:rPr>
                <w:sz w:val="20"/>
                <w:szCs w:val="20"/>
                <w:color w:val="auto"/>
              </w:rPr>
            </w:pPr>
            <w:r>
              <w:rPr>
                <w:rFonts w:ascii="Arial" w:cs="Arial" w:eastAsia="Arial" w:hAnsi="Arial"/>
                <w:sz w:val="14"/>
                <w:szCs w:val="14"/>
                <w:color w:val="4D8ABE"/>
              </w:rPr>
              <w:t>Decrease</w:t>
            </w:r>
          </w:p>
        </w:tc>
        <w:tc>
          <w:tcPr>
            <w:tcW w:w="12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4D8ABE"/>
              </w:rPr>
              <w:t>Increase</w:t>
            </w:r>
          </w:p>
        </w:tc>
      </w:tr>
      <w:tr>
        <w:trPr>
          <w:trHeight w:val="155"/>
        </w:trPr>
        <w:tc>
          <w:tcPr>
            <w:tcW w:w="4060" w:type="dxa"/>
            <w:vAlign w:val="bottom"/>
            <w:tcBorders>
              <w:top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Euro notes:</w:t>
            </w:r>
          </w:p>
        </w:tc>
        <w:tc>
          <w:tcPr>
            <w:tcW w:w="1760" w:type="dxa"/>
            <w:vAlign w:val="bottom"/>
            <w:tcBorders>
              <w:top w:val="single" w:sz="8" w:color="4D8ABE"/>
            </w:tcBorders>
          </w:tcPr>
          <w:p>
            <w:pPr>
              <w:spacing w:after="0"/>
              <w:rPr>
                <w:sz w:val="13"/>
                <w:szCs w:val="13"/>
                <w:color w:val="auto"/>
              </w:rPr>
            </w:pPr>
          </w:p>
        </w:tc>
        <w:tc>
          <w:tcPr>
            <w:tcW w:w="1160" w:type="dxa"/>
            <w:vAlign w:val="bottom"/>
            <w:tcBorders>
              <w:top w:val="single" w:sz="8" w:color="4D8ABE"/>
            </w:tcBorders>
          </w:tcPr>
          <w:p>
            <w:pPr>
              <w:spacing w:after="0"/>
              <w:rPr>
                <w:sz w:val="13"/>
                <w:szCs w:val="13"/>
                <w:color w:val="auto"/>
              </w:rPr>
            </w:pPr>
          </w:p>
        </w:tc>
        <w:tc>
          <w:tcPr>
            <w:tcW w:w="220" w:type="dxa"/>
            <w:vAlign w:val="bottom"/>
            <w:tcBorders>
              <w:top w:val="single" w:sz="8" w:color="4D8ABE"/>
            </w:tcBorders>
          </w:tcPr>
          <w:p>
            <w:pPr>
              <w:spacing w:after="0"/>
              <w:rPr>
                <w:sz w:val="13"/>
                <w:szCs w:val="13"/>
                <w:color w:val="auto"/>
              </w:rPr>
            </w:pPr>
          </w:p>
        </w:tc>
        <w:tc>
          <w:tcPr>
            <w:tcW w:w="1080" w:type="dxa"/>
            <w:vAlign w:val="bottom"/>
            <w:tcBorders>
              <w:top w:val="single" w:sz="8" w:color="4D8ABE"/>
            </w:tcBorders>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Borders>
              <w:top w:val="single" w:sz="8" w:color="4D8ABE"/>
            </w:tcBorders>
          </w:tcPr>
          <w:p>
            <w:pPr>
              <w:spacing w:after="0"/>
              <w:rPr>
                <w:sz w:val="13"/>
                <w:szCs w:val="13"/>
                <w:color w:val="auto"/>
              </w:rPr>
            </w:pPr>
          </w:p>
        </w:tc>
        <w:tc>
          <w:tcPr>
            <w:tcW w:w="102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r>
      <w:tr>
        <w:trPr>
          <w:trHeight w:val="164"/>
        </w:trPr>
        <w:tc>
          <w:tcPr>
            <w:tcW w:w="4060" w:type="dxa"/>
            <w:vAlign w:val="bottom"/>
            <w:shd w:val="clear" w:color="auto" w:fill="E6EFFF"/>
          </w:tcPr>
          <w:p>
            <w:pPr>
              <w:ind w:left="40"/>
              <w:spacing w:after="0"/>
              <w:rPr>
                <w:sz w:val="20"/>
                <w:szCs w:val="20"/>
                <w:color w:val="auto"/>
              </w:rPr>
            </w:pPr>
            <w:r>
              <w:rPr>
                <w:rFonts w:ascii="Arial" w:cs="Arial" w:eastAsia="Arial" w:hAnsi="Arial"/>
                <w:sz w:val="14"/>
                <w:szCs w:val="14"/>
                <w:color w:val="auto"/>
              </w:rPr>
              <w:t>€200 million, 4.86% Notes due June 2013</w:t>
            </w:r>
          </w:p>
        </w:tc>
        <w:tc>
          <w:tcPr>
            <w:tcW w:w="1760" w:type="dxa"/>
            <w:vAlign w:val="bottom"/>
            <w:shd w:val="clear" w:color="auto" w:fill="E6EFFF"/>
          </w:tcPr>
          <w:p>
            <w:pPr>
              <w:jc w:val="right"/>
              <w:ind w:right="132"/>
              <w:spacing w:after="0"/>
              <w:rPr>
                <w:sz w:val="20"/>
                <w:szCs w:val="20"/>
                <w:color w:val="auto"/>
              </w:rPr>
            </w:pPr>
            <w:r>
              <w:rPr>
                <w:rFonts w:ascii="Arial" w:cs="Arial" w:eastAsia="Arial" w:hAnsi="Arial"/>
                <w:sz w:val="14"/>
                <w:szCs w:val="14"/>
                <w:color w:val="auto"/>
              </w:rPr>
              <w:t>$</w:t>
            </w:r>
          </w:p>
        </w:tc>
        <w:tc>
          <w:tcPr>
            <w:tcW w:w="1160" w:type="dxa"/>
            <w:vAlign w:val="bottom"/>
            <w:shd w:val="clear" w:color="auto" w:fill="E6EFFF"/>
          </w:tcPr>
          <w:p>
            <w:pPr>
              <w:jc w:val="right"/>
              <w:spacing w:after="0" w:line="164" w:lineRule="exact"/>
              <w:rPr>
                <w:sz w:val="20"/>
                <w:szCs w:val="20"/>
                <w:color w:val="auto"/>
              </w:rPr>
            </w:pPr>
            <w:r>
              <w:rPr>
                <w:rFonts w:ascii="Arial" w:cs="Arial" w:eastAsia="Arial" w:hAnsi="Arial"/>
                <w:sz w:val="14"/>
                <w:szCs w:val="14"/>
                <w:color w:val="auto"/>
              </w:rPr>
              <w:t>27.9</w:t>
            </w:r>
            <w:r>
              <w:rPr>
                <w:rFonts w:ascii="Arial" w:cs="Arial" w:eastAsia="Arial" w:hAnsi="Arial"/>
                <w:sz w:val="19"/>
                <w:szCs w:val="19"/>
                <w:color w:val="auto"/>
                <w:vertAlign w:val="superscript"/>
              </w:rPr>
              <w:t>(1)</w:t>
            </w:r>
          </w:p>
        </w:tc>
        <w:tc>
          <w:tcPr>
            <w:tcW w:w="22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E6EFFF"/>
          </w:tcPr>
          <w:p>
            <w:pPr>
              <w:jc w:val="right"/>
              <w:ind w:right="180"/>
              <w:spacing w:after="0" w:line="164" w:lineRule="exact"/>
              <w:rPr>
                <w:sz w:val="20"/>
                <w:szCs w:val="20"/>
                <w:color w:val="auto"/>
              </w:rPr>
            </w:pPr>
            <w:r>
              <w:rPr>
                <w:rFonts w:ascii="Arial" w:cs="Arial" w:eastAsia="Arial" w:hAnsi="Arial"/>
                <w:sz w:val="14"/>
                <w:szCs w:val="14"/>
                <w:color w:val="auto"/>
              </w:rPr>
              <w:t>(27.9)</w:t>
            </w:r>
            <w:r>
              <w:rPr>
                <w:rFonts w:ascii="Arial" w:cs="Arial" w:eastAsia="Arial" w:hAnsi="Arial"/>
                <w:sz w:val="19"/>
                <w:szCs w:val="19"/>
                <w:color w:val="auto"/>
                <w:vertAlign w:val="superscript"/>
              </w:rPr>
              <w:t>(1)</w:t>
            </w:r>
          </w:p>
        </w:tc>
        <w:tc>
          <w:tcPr>
            <w:tcW w:w="1600" w:type="dxa"/>
            <w:vAlign w:val="bottom"/>
            <w:shd w:val="clear" w:color="auto" w:fill="E6EFFF"/>
          </w:tcPr>
          <w:p>
            <w:pPr>
              <w:jc w:val="right"/>
              <w:ind w:right="392"/>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6EFFF"/>
          </w:tcPr>
          <w:p>
            <w:pPr>
              <w:jc w:val="right"/>
              <w:ind w:right="300"/>
              <w:spacing w:after="0"/>
              <w:rPr>
                <w:sz w:val="20"/>
                <w:szCs w:val="20"/>
                <w:color w:val="auto"/>
              </w:rPr>
            </w:pPr>
            <w:r>
              <w:rPr>
                <w:rFonts w:ascii="Arial" w:cs="Arial" w:eastAsia="Arial" w:hAnsi="Arial"/>
                <w:sz w:val="14"/>
                <w:szCs w:val="14"/>
                <w:color w:val="auto"/>
              </w:rPr>
              <w:t>—</w:t>
            </w:r>
          </w:p>
        </w:tc>
      </w:tr>
      <w:tr>
        <w:trPr>
          <w:trHeight w:val="164"/>
        </w:trPr>
        <w:tc>
          <w:tcPr>
            <w:tcW w:w="4060" w:type="dxa"/>
            <w:vAlign w:val="bottom"/>
          </w:tcPr>
          <w:p>
            <w:pPr>
              <w:ind w:left="40"/>
              <w:spacing w:after="0"/>
              <w:rPr>
                <w:sz w:val="20"/>
                <w:szCs w:val="20"/>
                <w:color w:val="auto"/>
              </w:rPr>
            </w:pPr>
            <w:r>
              <w:rPr>
                <w:rFonts w:ascii="Arial" w:cs="Arial" w:eastAsia="Arial" w:hAnsi="Arial"/>
                <w:sz w:val="14"/>
                <w:szCs w:val="14"/>
                <w:color w:val="auto"/>
              </w:rPr>
              <w:t>€300 million, 4.58% Notes due June 2012</w:t>
            </w:r>
          </w:p>
        </w:tc>
        <w:tc>
          <w:tcPr>
            <w:tcW w:w="176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Arial" w:cs="Arial" w:eastAsia="Arial" w:hAnsi="Arial"/>
                <w:sz w:val="14"/>
                <w:szCs w:val="14"/>
                <w:color w:val="auto"/>
              </w:rPr>
              <w:t>41.9</w:t>
            </w:r>
            <w:r>
              <w:rPr>
                <w:rFonts w:ascii="Arial" w:cs="Arial" w:eastAsia="Arial" w:hAnsi="Arial"/>
                <w:sz w:val="19"/>
                <w:szCs w:val="19"/>
                <w:color w:val="auto"/>
                <w:vertAlign w:val="superscript"/>
              </w:rPr>
              <w:t>(1)</w:t>
            </w:r>
          </w:p>
        </w:tc>
        <w:tc>
          <w:tcPr>
            <w:tcW w:w="220" w:type="dxa"/>
            <w:vAlign w:val="bottom"/>
          </w:tcPr>
          <w:p>
            <w:pPr>
              <w:spacing w:after="0"/>
              <w:rPr>
                <w:sz w:val="14"/>
                <w:szCs w:val="14"/>
                <w:color w:val="auto"/>
              </w:rPr>
            </w:pPr>
          </w:p>
        </w:tc>
        <w:tc>
          <w:tcPr>
            <w:tcW w:w="1420" w:type="dxa"/>
            <w:vAlign w:val="bottom"/>
            <w:gridSpan w:val="2"/>
          </w:tcPr>
          <w:p>
            <w:pPr>
              <w:jc w:val="right"/>
              <w:ind w:right="180"/>
              <w:spacing w:after="0" w:line="164" w:lineRule="exact"/>
              <w:rPr>
                <w:sz w:val="20"/>
                <w:szCs w:val="20"/>
                <w:color w:val="auto"/>
              </w:rPr>
            </w:pPr>
            <w:r>
              <w:rPr>
                <w:rFonts w:ascii="Arial" w:cs="Arial" w:eastAsia="Arial" w:hAnsi="Arial"/>
                <w:sz w:val="14"/>
                <w:szCs w:val="14"/>
                <w:color w:val="auto"/>
              </w:rPr>
              <w:t>(41.9)</w:t>
            </w:r>
            <w:r>
              <w:rPr>
                <w:rFonts w:ascii="Arial" w:cs="Arial" w:eastAsia="Arial" w:hAnsi="Arial"/>
                <w:sz w:val="19"/>
                <w:szCs w:val="19"/>
                <w:color w:val="auto"/>
                <w:vertAlign w:val="superscript"/>
              </w:rPr>
              <w:t>(1)</w:t>
            </w:r>
          </w:p>
        </w:tc>
        <w:tc>
          <w:tcPr>
            <w:tcW w:w="160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r>
      <w:tr>
        <w:trPr>
          <w:trHeight w:val="164"/>
        </w:trPr>
        <w:tc>
          <w:tcPr>
            <w:tcW w:w="4060" w:type="dxa"/>
            <w:vAlign w:val="bottom"/>
            <w:shd w:val="clear" w:color="auto" w:fill="E6EFFF"/>
          </w:tcPr>
          <w:p>
            <w:pPr>
              <w:spacing w:after="0"/>
              <w:rPr>
                <w:sz w:val="20"/>
                <w:szCs w:val="20"/>
                <w:color w:val="auto"/>
              </w:rPr>
            </w:pPr>
            <w:r>
              <w:rPr>
                <w:rFonts w:ascii="Arial" w:cs="Arial" w:eastAsia="Arial" w:hAnsi="Arial"/>
                <w:sz w:val="14"/>
                <w:szCs w:val="14"/>
                <w:b w:val="1"/>
                <w:bCs w:val="1"/>
                <w:color w:val="939598"/>
              </w:rPr>
              <w:t>Revolving credit agreement:</w:t>
            </w:r>
          </w:p>
        </w:tc>
        <w:tc>
          <w:tcPr>
            <w:tcW w:w="1760" w:type="dxa"/>
            <w:vAlign w:val="bottom"/>
            <w:shd w:val="clear" w:color="auto" w:fill="E6EFFF"/>
          </w:tcPr>
          <w:p>
            <w:pPr>
              <w:spacing w:after="0"/>
              <w:rPr>
                <w:sz w:val="14"/>
                <w:szCs w:val="14"/>
                <w:color w:val="auto"/>
              </w:rPr>
            </w:pPr>
          </w:p>
        </w:tc>
        <w:tc>
          <w:tcPr>
            <w:tcW w:w="11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108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160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4060" w:type="dxa"/>
            <w:vAlign w:val="bottom"/>
          </w:tcPr>
          <w:p>
            <w:pPr>
              <w:ind w:left="40"/>
              <w:spacing w:after="0"/>
              <w:rPr>
                <w:sz w:val="20"/>
                <w:szCs w:val="20"/>
                <w:color w:val="auto"/>
              </w:rPr>
            </w:pPr>
            <w:r>
              <w:rPr>
                <w:rFonts w:ascii="Arial" w:cs="Arial" w:eastAsia="Arial" w:hAnsi="Arial"/>
                <w:sz w:val="14"/>
                <w:szCs w:val="14"/>
                <w:color w:val="auto"/>
              </w:rPr>
              <w:t>€100 million Euro borrowings</w:t>
            </w:r>
          </w:p>
        </w:tc>
        <w:tc>
          <w:tcPr>
            <w:tcW w:w="176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Arial" w:cs="Arial" w:eastAsia="Arial" w:hAnsi="Arial"/>
                <w:sz w:val="14"/>
                <w:szCs w:val="14"/>
                <w:color w:val="auto"/>
              </w:rPr>
              <w:t>14.0</w:t>
            </w:r>
            <w:r>
              <w:rPr>
                <w:rFonts w:ascii="Arial" w:cs="Arial" w:eastAsia="Arial" w:hAnsi="Arial"/>
                <w:sz w:val="19"/>
                <w:szCs w:val="19"/>
                <w:color w:val="auto"/>
                <w:vertAlign w:val="superscript"/>
              </w:rPr>
              <w:t>(1)</w:t>
            </w:r>
          </w:p>
        </w:tc>
        <w:tc>
          <w:tcPr>
            <w:tcW w:w="220" w:type="dxa"/>
            <w:vAlign w:val="bottom"/>
          </w:tcPr>
          <w:p>
            <w:pPr>
              <w:spacing w:after="0"/>
              <w:rPr>
                <w:sz w:val="14"/>
                <w:szCs w:val="14"/>
                <w:color w:val="auto"/>
              </w:rPr>
            </w:pPr>
          </w:p>
        </w:tc>
        <w:tc>
          <w:tcPr>
            <w:tcW w:w="1420" w:type="dxa"/>
            <w:vAlign w:val="bottom"/>
            <w:gridSpan w:val="2"/>
          </w:tcPr>
          <w:p>
            <w:pPr>
              <w:jc w:val="right"/>
              <w:ind w:right="180"/>
              <w:spacing w:after="0" w:line="164" w:lineRule="exact"/>
              <w:rPr>
                <w:sz w:val="20"/>
                <w:szCs w:val="20"/>
                <w:color w:val="auto"/>
              </w:rPr>
            </w:pPr>
            <w:r>
              <w:rPr>
                <w:rFonts w:ascii="Arial" w:cs="Arial" w:eastAsia="Arial" w:hAnsi="Arial"/>
                <w:sz w:val="14"/>
                <w:szCs w:val="14"/>
                <w:color w:val="auto"/>
              </w:rPr>
              <w:t>(14.0)</w:t>
            </w:r>
            <w:r>
              <w:rPr>
                <w:rFonts w:ascii="Arial" w:cs="Arial" w:eastAsia="Arial" w:hAnsi="Arial"/>
                <w:sz w:val="19"/>
                <w:szCs w:val="19"/>
                <w:color w:val="auto"/>
                <w:vertAlign w:val="superscript"/>
              </w:rPr>
              <w:t>(1)</w:t>
            </w:r>
          </w:p>
        </w:tc>
        <w:tc>
          <w:tcPr>
            <w:tcW w:w="1600" w:type="dxa"/>
            <w:vAlign w:val="bottom"/>
          </w:tcPr>
          <w:p>
            <w:pPr>
              <w:jc w:val="right"/>
              <w:ind w:right="392"/>
              <w:spacing w:after="0"/>
              <w:rPr>
                <w:sz w:val="20"/>
                <w:szCs w:val="20"/>
                <w:color w:val="auto"/>
              </w:rPr>
            </w:pPr>
            <w:r>
              <w:rPr>
                <w:rFonts w:ascii="Arial" w:cs="Arial" w:eastAsia="Arial" w:hAnsi="Arial"/>
                <w:sz w:val="14"/>
                <w:szCs w:val="14"/>
                <w:color w:val="auto"/>
              </w:rPr>
              <w:t>0.7</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(0.7)</w:t>
            </w:r>
          </w:p>
        </w:tc>
      </w:tr>
      <w:tr>
        <w:trPr>
          <w:trHeight w:val="164"/>
        </w:trPr>
        <w:tc>
          <w:tcPr>
            <w:tcW w:w="4060" w:type="dxa"/>
            <w:vAlign w:val="bottom"/>
            <w:shd w:val="clear" w:color="auto" w:fill="E6EFFF"/>
          </w:tcPr>
          <w:p>
            <w:pPr>
              <w:ind w:left="40"/>
              <w:spacing w:after="0"/>
              <w:rPr>
                <w:sz w:val="20"/>
                <w:szCs w:val="20"/>
                <w:color w:val="auto"/>
              </w:rPr>
            </w:pPr>
            <w:r>
              <w:rPr>
                <w:rFonts w:ascii="Arial" w:cs="Arial" w:eastAsia="Arial" w:hAnsi="Arial"/>
                <w:sz w:val="14"/>
                <w:szCs w:val="14"/>
                <w:color w:val="auto"/>
              </w:rPr>
              <w:t>€100 million interest rate swaps</w:t>
            </w:r>
          </w:p>
        </w:tc>
        <w:tc>
          <w:tcPr>
            <w:tcW w:w="1760" w:type="dxa"/>
            <w:vAlign w:val="bottom"/>
            <w:shd w:val="clear" w:color="auto" w:fill="E6EFFF"/>
          </w:tcPr>
          <w:p>
            <w:pPr>
              <w:spacing w:after="0"/>
              <w:rPr>
                <w:sz w:val="14"/>
                <w:szCs w:val="14"/>
                <w:color w:val="auto"/>
              </w:rPr>
            </w:pPr>
          </w:p>
        </w:tc>
        <w:tc>
          <w:tcPr>
            <w:tcW w:w="1160" w:type="dxa"/>
            <w:vAlign w:val="bottom"/>
            <w:shd w:val="clear" w:color="auto" w:fill="E6EFFF"/>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shd w:val="clear" w:color="auto" w:fill="E6EFFF"/>
          </w:tcPr>
          <w:p>
            <w:pPr>
              <w:spacing w:after="0"/>
              <w:rPr>
                <w:sz w:val="14"/>
                <w:szCs w:val="14"/>
                <w:color w:val="auto"/>
              </w:rPr>
            </w:pPr>
          </w:p>
        </w:tc>
        <w:tc>
          <w:tcPr>
            <w:tcW w:w="1420" w:type="dxa"/>
            <w:vAlign w:val="bottom"/>
            <w:gridSpan w:val="2"/>
            <w:shd w:val="clear" w:color="auto" w:fill="E6EFFF"/>
          </w:tcPr>
          <w:p>
            <w:pPr>
              <w:jc w:val="right"/>
              <w:ind w:right="340"/>
              <w:spacing w:after="0"/>
              <w:rPr>
                <w:sz w:val="20"/>
                <w:szCs w:val="20"/>
                <w:color w:val="auto"/>
              </w:rPr>
            </w:pPr>
            <w:r>
              <w:rPr>
                <w:rFonts w:ascii="Arial" w:cs="Arial" w:eastAsia="Arial" w:hAnsi="Arial"/>
                <w:sz w:val="14"/>
                <w:szCs w:val="14"/>
                <w:color w:val="auto"/>
              </w:rPr>
              <w:t>—</w:t>
            </w:r>
          </w:p>
        </w:tc>
        <w:tc>
          <w:tcPr>
            <w:tcW w:w="1600" w:type="dxa"/>
            <w:vAlign w:val="bottom"/>
            <w:shd w:val="clear" w:color="auto" w:fill="E6EFFF"/>
          </w:tcPr>
          <w:p>
            <w:pPr>
              <w:jc w:val="right"/>
              <w:ind w:right="352"/>
              <w:spacing w:after="0"/>
              <w:rPr>
                <w:sz w:val="20"/>
                <w:szCs w:val="20"/>
                <w:color w:val="auto"/>
              </w:rPr>
            </w:pPr>
            <w:r>
              <w:rPr>
                <w:rFonts w:ascii="Arial" w:cs="Arial" w:eastAsia="Arial" w:hAnsi="Arial"/>
                <w:sz w:val="14"/>
                <w:szCs w:val="14"/>
                <w:color w:val="auto"/>
              </w:rPr>
              <w:t>(0.7)</w:t>
            </w:r>
          </w:p>
        </w:tc>
        <w:tc>
          <w:tcPr>
            <w:tcW w:w="12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0.7</w:t>
            </w:r>
          </w:p>
        </w:tc>
      </w:tr>
      <w:tr>
        <w:trPr>
          <w:trHeight w:val="164"/>
        </w:trPr>
        <w:tc>
          <w:tcPr>
            <w:tcW w:w="4060" w:type="dxa"/>
            <w:vAlign w:val="bottom"/>
          </w:tcPr>
          <w:p>
            <w:pPr>
              <w:spacing w:after="0"/>
              <w:rPr>
                <w:sz w:val="20"/>
                <w:szCs w:val="20"/>
                <w:color w:val="auto"/>
              </w:rPr>
            </w:pPr>
            <w:r>
              <w:rPr>
                <w:rFonts w:ascii="Arial" w:cs="Arial" w:eastAsia="Arial" w:hAnsi="Arial"/>
                <w:sz w:val="14"/>
                <w:szCs w:val="14"/>
                <w:b w:val="1"/>
                <w:bCs w:val="1"/>
                <w:color w:val="939598"/>
              </w:rPr>
              <w:t>Forward contracts:</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4060" w:type="dxa"/>
            <w:vAlign w:val="bottom"/>
            <w:shd w:val="clear" w:color="auto" w:fill="E6EFFF"/>
          </w:tcPr>
          <w:p>
            <w:pPr>
              <w:ind w:left="40"/>
              <w:spacing w:after="0"/>
              <w:rPr>
                <w:sz w:val="20"/>
                <w:szCs w:val="20"/>
                <w:color w:val="auto"/>
              </w:rPr>
            </w:pPr>
            <w:r>
              <w:rPr>
                <w:rFonts w:ascii="Arial" w:cs="Arial" w:eastAsia="Arial" w:hAnsi="Arial"/>
                <w:sz w:val="14"/>
                <w:szCs w:val="14"/>
                <w:color w:val="auto"/>
              </w:rPr>
              <w:t>$3.7 million to €2.7 million</w:t>
            </w:r>
          </w:p>
        </w:tc>
        <w:tc>
          <w:tcPr>
            <w:tcW w:w="1760" w:type="dxa"/>
            <w:vAlign w:val="bottom"/>
            <w:shd w:val="clear" w:color="auto" w:fill="E6EFFF"/>
          </w:tcPr>
          <w:p>
            <w:pPr>
              <w:spacing w:after="0"/>
              <w:rPr>
                <w:sz w:val="14"/>
                <w:szCs w:val="14"/>
                <w:color w:val="auto"/>
              </w:rPr>
            </w:pPr>
          </w:p>
        </w:tc>
        <w:tc>
          <w:tcPr>
            <w:tcW w:w="116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(0.4)</w:t>
            </w:r>
          </w:p>
        </w:tc>
        <w:tc>
          <w:tcPr>
            <w:tcW w:w="220" w:type="dxa"/>
            <w:vAlign w:val="bottom"/>
            <w:shd w:val="clear" w:color="auto" w:fill="E6EFFF"/>
          </w:tcPr>
          <w:p>
            <w:pPr>
              <w:spacing w:after="0"/>
              <w:rPr>
                <w:sz w:val="14"/>
                <w:szCs w:val="14"/>
                <w:color w:val="auto"/>
              </w:rPr>
            </w:pPr>
          </w:p>
        </w:tc>
        <w:tc>
          <w:tcPr>
            <w:tcW w:w="1420" w:type="dxa"/>
            <w:vAlign w:val="bottom"/>
            <w:gridSpan w:val="2"/>
            <w:shd w:val="clear" w:color="auto" w:fill="E6EFFF"/>
          </w:tcPr>
          <w:p>
            <w:pPr>
              <w:jc w:val="right"/>
              <w:ind w:right="340"/>
              <w:spacing w:after="0"/>
              <w:rPr>
                <w:sz w:val="20"/>
                <w:szCs w:val="20"/>
                <w:color w:val="auto"/>
              </w:rPr>
            </w:pPr>
            <w:r>
              <w:rPr>
                <w:rFonts w:ascii="Arial" w:cs="Arial" w:eastAsia="Arial" w:hAnsi="Arial"/>
                <w:sz w:val="14"/>
                <w:szCs w:val="14"/>
                <w:color w:val="auto"/>
              </w:rPr>
              <w:t>0.4</w:t>
            </w:r>
          </w:p>
        </w:tc>
        <w:tc>
          <w:tcPr>
            <w:tcW w:w="1600" w:type="dxa"/>
            <w:vAlign w:val="bottom"/>
            <w:shd w:val="clear" w:color="auto" w:fill="E6EFFF"/>
          </w:tcPr>
          <w:p>
            <w:pPr>
              <w:spacing w:after="0"/>
              <w:rPr>
                <w:sz w:val="14"/>
                <w:szCs w:val="14"/>
                <w:color w:val="auto"/>
              </w:rPr>
            </w:pPr>
          </w:p>
        </w:tc>
        <w:tc>
          <w:tcPr>
            <w:tcW w:w="10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4060" w:type="dxa"/>
            <w:vAlign w:val="bottom"/>
          </w:tcPr>
          <w:p>
            <w:pPr>
              <w:ind w:left="40"/>
              <w:spacing w:after="0"/>
              <w:rPr>
                <w:sz w:val="20"/>
                <w:szCs w:val="20"/>
                <w:color w:val="auto"/>
              </w:rPr>
            </w:pPr>
            <w:r>
              <w:rPr>
                <w:rFonts w:ascii="Arial" w:cs="Arial" w:eastAsia="Arial" w:hAnsi="Arial"/>
                <w:sz w:val="14"/>
                <w:szCs w:val="14"/>
                <w:color w:val="auto"/>
              </w:rPr>
              <w:t>$27.2 million to £18.6 million</w:t>
            </w:r>
          </w:p>
        </w:tc>
        <w:tc>
          <w:tcPr>
            <w:tcW w:w="1760" w:type="dxa"/>
            <w:vAlign w:val="bottom"/>
          </w:tcPr>
          <w:p>
            <w:pPr>
              <w:spacing w:after="0"/>
              <w:rPr>
                <w:sz w:val="14"/>
                <w:szCs w:val="14"/>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color w:val="auto"/>
              </w:rPr>
              <w:t>2.7</w:t>
            </w: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40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E6EF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r>
      <w:tr>
        <w:trPr>
          <w:trHeight w:val="155"/>
        </w:trPr>
        <w:tc>
          <w:tcPr>
            <w:tcW w:w="4060" w:type="dxa"/>
            <w:vAlign w:val="bottom"/>
            <w:shd w:val="clear" w:color="auto" w:fill="E6EFFF"/>
          </w:tcPr>
          <w:p>
            <w:pPr>
              <w:spacing w:after="0"/>
              <w:rPr>
                <w:sz w:val="13"/>
                <w:szCs w:val="13"/>
                <w:color w:val="auto"/>
              </w:rPr>
            </w:pPr>
          </w:p>
        </w:tc>
        <w:tc>
          <w:tcPr>
            <w:tcW w:w="1760" w:type="dxa"/>
            <w:vAlign w:val="bottom"/>
            <w:shd w:val="clear" w:color="auto" w:fill="E6EFFF"/>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1160" w:type="dxa"/>
            <w:vAlign w:val="bottom"/>
            <w:shd w:val="clear" w:color="auto" w:fill="E6EFFF"/>
          </w:tcPr>
          <w:p>
            <w:pPr>
              <w:jc w:val="right"/>
              <w:ind w:right="112"/>
              <w:spacing w:after="0" w:line="155" w:lineRule="exact"/>
              <w:rPr>
                <w:sz w:val="20"/>
                <w:szCs w:val="20"/>
                <w:color w:val="auto"/>
              </w:rPr>
            </w:pPr>
            <w:r>
              <w:rPr>
                <w:rFonts w:ascii="Arial" w:cs="Arial" w:eastAsia="Arial" w:hAnsi="Arial"/>
                <w:sz w:val="14"/>
                <w:szCs w:val="14"/>
                <w:color w:val="auto"/>
              </w:rPr>
              <w:t>80.7</w:t>
            </w:r>
          </w:p>
        </w:tc>
        <w:tc>
          <w:tcPr>
            <w:tcW w:w="220" w:type="dxa"/>
            <w:vAlign w:val="bottom"/>
            <w:shd w:val="clear" w:color="auto" w:fill="E6EFFF"/>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E6EFFF"/>
          </w:tcPr>
          <w:p>
            <w:pPr>
              <w:jc w:val="right"/>
              <w:ind w:right="40"/>
              <w:spacing w:after="0" w:line="155" w:lineRule="exact"/>
              <w:rPr>
                <w:sz w:val="20"/>
                <w:szCs w:val="20"/>
                <w:color w:val="auto"/>
              </w:rPr>
            </w:pPr>
            <w:r>
              <w:rPr>
                <w:rFonts w:ascii="Arial" w:cs="Arial" w:eastAsia="Arial" w:hAnsi="Arial"/>
                <w:sz w:val="14"/>
                <w:szCs w:val="14"/>
                <w:color w:val="auto"/>
              </w:rPr>
              <w:t>(80.7)   $</w:t>
            </w:r>
          </w:p>
        </w:tc>
        <w:tc>
          <w:tcPr>
            <w:tcW w:w="1600" w:type="dxa"/>
            <w:vAlign w:val="bottom"/>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   $</w:t>
            </w:r>
          </w:p>
        </w:tc>
        <w:tc>
          <w:tcPr>
            <w:tcW w:w="1240" w:type="dxa"/>
            <w:vAlign w:val="bottom"/>
            <w:gridSpan w:val="2"/>
            <w:shd w:val="clear" w:color="auto" w:fill="E6EFFF"/>
          </w:tcPr>
          <w:p>
            <w:pPr>
              <w:jc w:val="right"/>
              <w:ind w:right="260"/>
              <w:spacing w:after="0" w:line="155" w:lineRule="exact"/>
              <w:rPr>
                <w:sz w:val="20"/>
                <w:szCs w:val="20"/>
                <w:color w:val="auto"/>
              </w:rPr>
            </w:pPr>
            <w:r>
              <w:rPr>
                <w:rFonts w:ascii="Arial" w:cs="Arial" w:eastAsia="Arial" w:hAnsi="Arial"/>
                <w:sz w:val="14"/>
                <w:szCs w:val="14"/>
                <w:color w:val="auto"/>
              </w:rPr>
              <w:t>—</w:t>
            </w:r>
          </w:p>
        </w:tc>
      </w:tr>
      <w:tr>
        <w:trPr>
          <w:trHeight w:val="21"/>
        </w:trPr>
        <w:tc>
          <w:tcPr>
            <w:tcW w:w="40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E6EF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r>
    </w:tbl>
    <w:p>
      <w:pPr>
        <w:spacing w:after="0" w:line="184" w:lineRule="exact"/>
        <w:rPr>
          <w:sz w:val="20"/>
          <w:szCs w:val="20"/>
          <w:color w:val="auto"/>
        </w:rPr>
      </w:pPr>
    </w:p>
    <w:p>
      <w:pPr>
        <w:ind w:left="340" w:hanging="338"/>
        <w:spacing w:after="0" w:line="237"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Exchange rate movements are recorded through Accumulated Other Comprehensive (Loss) Income as these instruments have been designated as an economic hedge of our net investment in subsidiaries with a Euro functional currency.</w:t>
      </w:r>
    </w:p>
    <w:p>
      <w:pPr>
        <w:spacing w:after="0" w:line="33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hypothetical changes in the fair value of our market sensitive instruments due to changes in interest rates, and changes in foreign currency exchange rates for the foreign contracts,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20"/>
                <w:szCs w:val="20"/>
                <w:color w:val="auto"/>
              </w:rPr>
            </w:pPr>
            <w:r>
              <w:rPr>
                <w:rFonts w:ascii="Arial" w:cs="Arial" w:eastAsia="Arial" w:hAnsi="Arial"/>
                <w:sz w:val="14"/>
                <w:szCs w:val="14"/>
                <w:color w:val="4D8ABE"/>
              </w:rPr>
              <w:t>Market Sensitive Instrument</w:t>
            </w:r>
          </w:p>
        </w:tc>
        <w:tc>
          <w:tcPr>
            <w:tcW w:w="3060" w:type="dxa"/>
            <w:vAlign w:val="bottom"/>
          </w:tcPr>
          <w:p>
            <w:pPr>
              <w:spacing w:after="0"/>
              <w:rPr>
                <w:sz w:val="14"/>
                <w:szCs w:val="14"/>
                <w:color w:val="auto"/>
              </w:rPr>
            </w:pPr>
          </w:p>
        </w:tc>
        <w:tc>
          <w:tcPr>
            <w:tcW w:w="1320" w:type="dxa"/>
            <w:vAlign w:val="bottom"/>
          </w:tcPr>
          <w:p>
            <w:pPr>
              <w:jc w:val="right"/>
              <w:ind w:right="92"/>
              <w:spacing w:after="0"/>
              <w:rPr>
                <w:sz w:val="20"/>
                <w:szCs w:val="20"/>
                <w:color w:val="auto"/>
              </w:rPr>
            </w:pPr>
            <w:r>
              <w:rPr>
                <w:rFonts w:ascii="Arial" w:cs="Arial" w:eastAsia="Arial" w:hAnsi="Arial"/>
                <w:sz w:val="14"/>
                <w:szCs w:val="14"/>
                <w:color w:val="4D8ABE"/>
              </w:rPr>
              <w:t>10% Decrease</w:t>
            </w:r>
          </w:p>
        </w:tc>
        <w:tc>
          <w:tcPr>
            <w:tcW w:w="4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4D8ABE"/>
              </w:rPr>
              <w:t>10% Increase</w:t>
            </w:r>
          </w:p>
        </w:tc>
      </w:tr>
      <w:tr>
        <w:trPr>
          <w:trHeight w:val="155"/>
        </w:trPr>
        <w:tc>
          <w:tcPr>
            <w:tcW w:w="5320" w:type="dxa"/>
            <w:vAlign w:val="bottom"/>
            <w:tcBorders>
              <w:top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Fixed rate debt:</w:t>
            </w:r>
          </w:p>
        </w:tc>
        <w:tc>
          <w:tcPr>
            <w:tcW w:w="3060" w:type="dxa"/>
            <w:vAlign w:val="bottom"/>
            <w:tcBorders>
              <w:top w:val="single" w:sz="8" w:color="4D8ABE"/>
            </w:tcBorders>
          </w:tcPr>
          <w:p>
            <w:pPr>
              <w:spacing w:after="0"/>
              <w:rPr>
                <w:sz w:val="13"/>
                <w:szCs w:val="13"/>
                <w:color w:val="auto"/>
              </w:rPr>
            </w:pPr>
          </w:p>
        </w:tc>
        <w:tc>
          <w:tcPr>
            <w:tcW w:w="1320" w:type="dxa"/>
            <w:vAlign w:val="bottom"/>
            <w:tcBorders>
              <w:top w:val="single" w:sz="8" w:color="4D8ABE"/>
            </w:tcBorders>
          </w:tcPr>
          <w:p>
            <w:pPr>
              <w:spacing w:after="0"/>
              <w:rPr>
                <w:sz w:val="13"/>
                <w:szCs w:val="13"/>
                <w:color w:val="auto"/>
              </w:rPr>
            </w:pPr>
          </w:p>
        </w:tc>
        <w:tc>
          <w:tcPr>
            <w:tcW w:w="420" w:type="dxa"/>
            <w:vAlign w:val="bottom"/>
            <w:tcBorders>
              <w:top w:val="single" w:sz="8" w:color="4D8ABE"/>
            </w:tcBorders>
          </w:tcPr>
          <w:p>
            <w:pPr>
              <w:spacing w:after="0"/>
              <w:rPr>
                <w:sz w:val="13"/>
                <w:szCs w:val="13"/>
                <w:color w:val="auto"/>
              </w:rPr>
            </w:pPr>
          </w:p>
        </w:tc>
        <w:tc>
          <w:tcPr>
            <w:tcW w:w="112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r>
      <w:tr>
        <w:trPr>
          <w:trHeight w:val="164"/>
        </w:trPr>
        <w:tc>
          <w:tcPr>
            <w:tcW w:w="5320" w:type="dxa"/>
            <w:vAlign w:val="bottom"/>
            <w:shd w:val="clear" w:color="auto" w:fill="E6EFFF"/>
          </w:tcPr>
          <w:p>
            <w:pPr>
              <w:ind w:left="40"/>
              <w:spacing w:after="0"/>
              <w:rPr>
                <w:sz w:val="20"/>
                <w:szCs w:val="20"/>
                <w:color w:val="auto"/>
              </w:rPr>
            </w:pPr>
            <w:r>
              <w:rPr>
                <w:rFonts w:ascii="Arial" w:cs="Arial" w:eastAsia="Arial" w:hAnsi="Arial"/>
                <w:sz w:val="14"/>
                <w:szCs w:val="14"/>
                <w:color w:val="auto"/>
              </w:rPr>
              <w:t>€200 million, 4.86% Notes due June 2013</w:t>
            </w:r>
          </w:p>
        </w:tc>
        <w:tc>
          <w:tcPr>
            <w:tcW w:w="3060" w:type="dxa"/>
            <w:vAlign w:val="bottom"/>
            <w:shd w:val="clear" w:color="auto" w:fill="E6EFFF"/>
          </w:tcPr>
          <w:p>
            <w:pPr>
              <w:jc w:val="right"/>
              <w:ind w:right="172"/>
              <w:spacing w:after="0"/>
              <w:rPr>
                <w:sz w:val="20"/>
                <w:szCs w:val="20"/>
                <w:color w:val="auto"/>
              </w:rPr>
            </w:pPr>
            <w:r>
              <w:rPr>
                <w:rFonts w:ascii="Arial" w:cs="Arial" w:eastAsia="Arial" w:hAnsi="Arial"/>
                <w:sz w:val="14"/>
                <w:szCs w:val="14"/>
                <w:color w:val="auto"/>
              </w:rPr>
              <w:t>$</w:t>
            </w:r>
          </w:p>
        </w:tc>
        <w:tc>
          <w:tcPr>
            <w:tcW w:w="1320" w:type="dxa"/>
            <w:vAlign w:val="bottom"/>
            <w:shd w:val="clear" w:color="auto" w:fill="E6EFFF"/>
          </w:tcPr>
          <w:p>
            <w:pPr>
              <w:jc w:val="right"/>
              <w:spacing w:after="0" w:line="164" w:lineRule="exact"/>
              <w:rPr>
                <w:sz w:val="20"/>
                <w:szCs w:val="20"/>
                <w:color w:val="auto"/>
              </w:rPr>
            </w:pPr>
            <w:r>
              <w:rPr>
                <w:rFonts w:ascii="Arial" w:cs="Arial" w:eastAsia="Arial" w:hAnsi="Arial"/>
                <w:sz w:val="14"/>
                <w:szCs w:val="14"/>
                <w:color w:val="auto"/>
              </w:rPr>
              <w:t>25.9</w:t>
            </w:r>
            <w:r>
              <w:rPr>
                <w:rFonts w:ascii="Arial" w:cs="Arial" w:eastAsia="Arial" w:hAnsi="Arial"/>
                <w:sz w:val="19"/>
                <w:szCs w:val="19"/>
                <w:color w:val="auto"/>
                <w:vertAlign w:val="superscript"/>
              </w:rPr>
              <w:t>(1)</w:t>
            </w:r>
          </w:p>
        </w:tc>
        <w:tc>
          <w:tcPr>
            <w:tcW w:w="420" w:type="dxa"/>
            <w:vAlign w:val="bottom"/>
            <w:shd w:val="clear" w:color="auto" w:fill="E6EFFF"/>
          </w:tcPr>
          <w:p>
            <w:pPr>
              <w:jc w:val="right"/>
              <w:ind w:right="212"/>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6EFFF"/>
          </w:tcPr>
          <w:p>
            <w:pPr>
              <w:jc w:val="right"/>
              <w:ind w:right="60"/>
              <w:spacing w:after="0" w:line="164" w:lineRule="exact"/>
              <w:rPr>
                <w:sz w:val="20"/>
                <w:szCs w:val="20"/>
                <w:color w:val="auto"/>
              </w:rPr>
            </w:pPr>
            <w:r>
              <w:rPr>
                <w:rFonts w:ascii="Arial" w:cs="Arial" w:eastAsia="Arial" w:hAnsi="Arial"/>
                <w:sz w:val="14"/>
                <w:szCs w:val="14"/>
                <w:color w:val="auto"/>
              </w:rPr>
              <w:t>(25.9)</w:t>
            </w:r>
            <w:r>
              <w:rPr>
                <w:rFonts w:ascii="Arial" w:cs="Arial" w:eastAsia="Arial" w:hAnsi="Arial"/>
                <w:sz w:val="19"/>
                <w:szCs w:val="19"/>
                <w:color w:val="auto"/>
                <w:vertAlign w:val="superscript"/>
              </w:rPr>
              <w:t>(1)</w:t>
            </w:r>
          </w:p>
        </w:tc>
      </w:tr>
      <w:tr>
        <w:trPr>
          <w:trHeight w:val="164"/>
        </w:trPr>
        <w:tc>
          <w:tcPr>
            <w:tcW w:w="5320" w:type="dxa"/>
            <w:vAlign w:val="bottom"/>
          </w:tcPr>
          <w:p>
            <w:pPr>
              <w:ind w:left="40"/>
              <w:spacing w:after="0"/>
              <w:rPr>
                <w:sz w:val="20"/>
                <w:szCs w:val="20"/>
                <w:color w:val="auto"/>
              </w:rPr>
            </w:pPr>
            <w:r>
              <w:rPr>
                <w:rFonts w:ascii="Arial" w:cs="Arial" w:eastAsia="Arial" w:hAnsi="Arial"/>
                <w:sz w:val="14"/>
                <w:szCs w:val="14"/>
                <w:color w:val="auto"/>
              </w:rPr>
              <w:t>€300 million, 4.58% Notes due June 2012</w:t>
            </w:r>
          </w:p>
        </w:tc>
        <w:tc>
          <w:tcPr>
            <w:tcW w:w="306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Arial" w:cs="Arial" w:eastAsia="Arial" w:hAnsi="Arial"/>
                <w:sz w:val="14"/>
                <w:szCs w:val="14"/>
                <w:color w:val="auto"/>
              </w:rPr>
              <w:t>39.6</w:t>
            </w:r>
            <w:r>
              <w:rPr>
                <w:rFonts w:ascii="Arial" w:cs="Arial" w:eastAsia="Arial" w:hAnsi="Arial"/>
                <w:sz w:val="19"/>
                <w:szCs w:val="19"/>
                <w:color w:val="auto"/>
                <w:vertAlign w:val="superscript"/>
              </w:rPr>
              <w:t>(1)</w:t>
            </w:r>
          </w:p>
        </w:tc>
        <w:tc>
          <w:tcPr>
            <w:tcW w:w="420" w:type="dxa"/>
            <w:vAlign w:val="bottom"/>
          </w:tcPr>
          <w:p>
            <w:pPr>
              <w:spacing w:after="0"/>
              <w:rPr>
                <w:sz w:val="14"/>
                <w:szCs w:val="14"/>
                <w:color w:val="auto"/>
              </w:rPr>
            </w:pPr>
          </w:p>
        </w:tc>
        <w:tc>
          <w:tcPr>
            <w:tcW w:w="1340" w:type="dxa"/>
            <w:vAlign w:val="bottom"/>
            <w:gridSpan w:val="2"/>
          </w:tcPr>
          <w:p>
            <w:pPr>
              <w:jc w:val="right"/>
              <w:ind w:right="60"/>
              <w:spacing w:after="0" w:line="164" w:lineRule="exact"/>
              <w:rPr>
                <w:sz w:val="20"/>
                <w:szCs w:val="20"/>
                <w:color w:val="auto"/>
              </w:rPr>
            </w:pPr>
            <w:r>
              <w:rPr>
                <w:rFonts w:ascii="Arial" w:cs="Arial" w:eastAsia="Arial" w:hAnsi="Arial"/>
                <w:sz w:val="14"/>
                <w:szCs w:val="14"/>
                <w:color w:val="auto"/>
              </w:rPr>
              <w:t>(39.6)</w:t>
            </w:r>
            <w:r>
              <w:rPr>
                <w:rFonts w:ascii="Arial" w:cs="Arial" w:eastAsia="Arial" w:hAnsi="Arial"/>
                <w:sz w:val="19"/>
                <w:szCs w:val="19"/>
                <w:color w:val="auto"/>
                <w:vertAlign w:val="superscript"/>
              </w:rPr>
              <w:t>(1)</w:t>
            </w:r>
          </w:p>
        </w:tc>
      </w:tr>
      <w:tr>
        <w:trPr>
          <w:trHeight w:val="164"/>
        </w:trPr>
        <w:tc>
          <w:tcPr>
            <w:tcW w:w="5320" w:type="dxa"/>
            <w:vAlign w:val="bottom"/>
            <w:shd w:val="clear" w:color="auto" w:fill="E6EFFF"/>
          </w:tcPr>
          <w:p>
            <w:pPr>
              <w:spacing w:after="0"/>
              <w:rPr>
                <w:sz w:val="20"/>
                <w:szCs w:val="20"/>
                <w:color w:val="auto"/>
              </w:rPr>
            </w:pPr>
            <w:r>
              <w:rPr>
                <w:rFonts w:ascii="Arial" w:cs="Arial" w:eastAsia="Arial" w:hAnsi="Arial"/>
                <w:sz w:val="14"/>
                <w:szCs w:val="14"/>
                <w:b w:val="1"/>
                <w:bCs w:val="1"/>
                <w:color w:val="939598"/>
              </w:rPr>
              <w:t>Derivative instruments:</w:t>
            </w:r>
          </w:p>
        </w:tc>
        <w:tc>
          <w:tcPr>
            <w:tcW w:w="3060" w:type="dxa"/>
            <w:vAlign w:val="bottom"/>
            <w:shd w:val="clear" w:color="auto" w:fill="E6EFFF"/>
          </w:tcPr>
          <w:p>
            <w:pPr>
              <w:spacing w:after="0"/>
              <w:rPr>
                <w:sz w:val="14"/>
                <w:szCs w:val="14"/>
                <w:color w:val="auto"/>
              </w:rPr>
            </w:pPr>
          </w:p>
        </w:tc>
        <w:tc>
          <w:tcPr>
            <w:tcW w:w="132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5320" w:type="dxa"/>
            <w:vAlign w:val="bottom"/>
          </w:tcPr>
          <w:p>
            <w:pPr>
              <w:ind w:left="40"/>
              <w:spacing w:after="0"/>
              <w:rPr>
                <w:sz w:val="20"/>
                <w:szCs w:val="20"/>
                <w:color w:val="auto"/>
              </w:rPr>
            </w:pPr>
            <w:r>
              <w:rPr>
                <w:rFonts w:ascii="Arial" w:cs="Arial" w:eastAsia="Arial" w:hAnsi="Arial"/>
                <w:sz w:val="14"/>
                <w:szCs w:val="14"/>
                <w:color w:val="auto"/>
              </w:rPr>
              <w:t>€100 million interest rate swaps</w:t>
            </w:r>
          </w:p>
        </w:tc>
        <w:tc>
          <w:tcPr>
            <w:tcW w:w="306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color w:val="auto"/>
              </w:rPr>
              <w:t>(0.4)</w:t>
            </w:r>
          </w:p>
        </w:tc>
        <w:tc>
          <w:tcPr>
            <w:tcW w:w="4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0.4</w:t>
            </w:r>
          </w:p>
        </w:tc>
      </w:tr>
      <w:tr>
        <w:trPr>
          <w:trHeight w:val="164"/>
        </w:trPr>
        <w:tc>
          <w:tcPr>
            <w:tcW w:w="5320" w:type="dxa"/>
            <w:vAlign w:val="bottom"/>
            <w:shd w:val="clear" w:color="auto" w:fill="E6EFFF"/>
          </w:tcPr>
          <w:p>
            <w:pPr>
              <w:spacing w:after="0"/>
              <w:rPr>
                <w:sz w:val="20"/>
                <w:szCs w:val="20"/>
                <w:color w:val="auto"/>
              </w:rPr>
            </w:pPr>
            <w:r>
              <w:rPr>
                <w:rFonts w:ascii="Arial" w:cs="Arial" w:eastAsia="Arial" w:hAnsi="Arial"/>
                <w:sz w:val="14"/>
                <w:szCs w:val="14"/>
                <w:b w:val="1"/>
                <w:bCs w:val="1"/>
                <w:color w:val="939598"/>
              </w:rPr>
              <w:t>Forward contacts:</w:t>
            </w:r>
          </w:p>
        </w:tc>
        <w:tc>
          <w:tcPr>
            <w:tcW w:w="3060" w:type="dxa"/>
            <w:vAlign w:val="bottom"/>
            <w:shd w:val="clear" w:color="auto" w:fill="E6EFFF"/>
          </w:tcPr>
          <w:p>
            <w:pPr>
              <w:spacing w:after="0"/>
              <w:rPr>
                <w:sz w:val="14"/>
                <w:szCs w:val="14"/>
                <w:color w:val="auto"/>
              </w:rPr>
            </w:pPr>
          </w:p>
        </w:tc>
        <w:tc>
          <w:tcPr>
            <w:tcW w:w="132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5320" w:type="dxa"/>
            <w:vAlign w:val="bottom"/>
          </w:tcPr>
          <w:p>
            <w:pPr>
              <w:ind w:left="40"/>
              <w:spacing w:after="0"/>
              <w:rPr>
                <w:sz w:val="20"/>
                <w:szCs w:val="20"/>
                <w:color w:val="auto"/>
              </w:rPr>
            </w:pPr>
            <w:r>
              <w:rPr>
                <w:rFonts w:ascii="Arial" w:cs="Arial" w:eastAsia="Arial" w:hAnsi="Arial"/>
                <w:sz w:val="14"/>
                <w:szCs w:val="14"/>
                <w:color w:val="auto"/>
              </w:rPr>
              <w:t>$3.7 million to €2.7 million</w:t>
            </w:r>
          </w:p>
        </w:tc>
        <w:tc>
          <w:tcPr>
            <w:tcW w:w="306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color w:val="auto"/>
              </w:rPr>
              <w:t>(0.4)</w:t>
            </w:r>
          </w:p>
        </w:tc>
        <w:tc>
          <w:tcPr>
            <w:tcW w:w="4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0.4</w:t>
            </w:r>
          </w:p>
        </w:tc>
      </w:tr>
      <w:tr>
        <w:trPr>
          <w:trHeight w:val="164"/>
        </w:trPr>
        <w:tc>
          <w:tcPr>
            <w:tcW w:w="5320" w:type="dxa"/>
            <w:vAlign w:val="bottom"/>
            <w:tcBorders>
              <w:bottom w:val="single" w:sz="8" w:color="auto"/>
            </w:tcBorders>
            <w:shd w:val="clear" w:color="auto" w:fill="E6EFFF"/>
          </w:tcPr>
          <w:p>
            <w:pPr>
              <w:ind w:left="40"/>
              <w:spacing w:after="0"/>
              <w:rPr>
                <w:sz w:val="20"/>
                <w:szCs w:val="20"/>
                <w:color w:val="auto"/>
              </w:rPr>
            </w:pPr>
            <w:r>
              <w:rPr>
                <w:rFonts w:ascii="Arial" w:cs="Arial" w:eastAsia="Arial" w:hAnsi="Arial"/>
                <w:sz w:val="14"/>
                <w:szCs w:val="14"/>
                <w:color w:val="auto"/>
              </w:rPr>
              <w:t>$27.2 million to £18.6 million</w:t>
            </w:r>
          </w:p>
        </w:tc>
        <w:tc>
          <w:tcPr>
            <w:tcW w:w="3060" w:type="dxa"/>
            <w:vAlign w:val="bottom"/>
            <w:tcBorders>
              <w:bottom w:val="single" w:sz="8" w:color="auto"/>
            </w:tcBorders>
            <w:shd w:val="clear" w:color="auto" w:fill="E6EFFF"/>
          </w:tcPr>
          <w:p>
            <w:pPr>
              <w:spacing w:after="0"/>
              <w:rPr>
                <w:sz w:val="14"/>
                <w:szCs w:val="14"/>
                <w:color w:val="auto"/>
              </w:rPr>
            </w:pPr>
          </w:p>
        </w:tc>
        <w:tc>
          <w:tcPr>
            <w:tcW w:w="1320" w:type="dxa"/>
            <w:vAlign w:val="bottom"/>
            <w:tcBorders>
              <w:bottom w:val="single" w:sz="8" w:color="auto"/>
            </w:tcBorders>
            <w:shd w:val="clear" w:color="auto" w:fill="E6EFFF"/>
          </w:tcPr>
          <w:p>
            <w:pPr>
              <w:jc w:val="right"/>
              <w:ind w:right="52"/>
              <w:spacing w:after="0"/>
              <w:rPr>
                <w:sz w:val="20"/>
                <w:szCs w:val="20"/>
                <w:color w:val="auto"/>
              </w:rPr>
            </w:pPr>
            <w:r>
              <w:rPr>
                <w:rFonts w:ascii="Arial" w:cs="Arial" w:eastAsia="Arial" w:hAnsi="Arial"/>
                <w:sz w:val="14"/>
                <w:szCs w:val="14"/>
                <w:color w:val="auto"/>
              </w:rPr>
              <w:t>(2.7)</w:t>
            </w:r>
          </w:p>
        </w:tc>
        <w:tc>
          <w:tcPr>
            <w:tcW w:w="420" w:type="dxa"/>
            <w:vAlign w:val="bottom"/>
            <w:tcBorders>
              <w:bottom w:val="single" w:sz="8" w:color="auto"/>
            </w:tcBorders>
            <w:shd w:val="clear" w:color="auto" w:fill="E6EFFF"/>
          </w:tcPr>
          <w:p>
            <w:pPr>
              <w:spacing w:after="0"/>
              <w:rPr>
                <w:sz w:val="14"/>
                <w:szCs w:val="14"/>
                <w:color w:val="auto"/>
              </w:rPr>
            </w:pPr>
          </w:p>
        </w:tc>
        <w:tc>
          <w:tcPr>
            <w:tcW w:w="11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E6EFFF"/>
          </w:tcPr>
          <w:p>
            <w:pPr>
              <w:spacing w:after="0"/>
              <w:rPr>
                <w:sz w:val="14"/>
                <w:szCs w:val="14"/>
                <w:color w:val="auto"/>
              </w:rPr>
            </w:pPr>
          </w:p>
        </w:tc>
      </w:tr>
    </w:tbl>
    <w:p>
      <w:pPr>
        <w:spacing w:after="0" w:line="184" w:lineRule="exact"/>
        <w:rPr>
          <w:sz w:val="20"/>
          <w:szCs w:val="20"/>
          <w:color w:val="auto"/>
        </w:rPr>
      </w:pPr>
    </w:p>
    <w:p>
      <w:pPr>
        <w:ind w:left="340" w:hanging="338"/>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change in fair value is not recorded in the financial statements, however disclosure of the fair value is included in Note 1 to the consolidated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IMPACT OF ECONOMIC CONDITIONS</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One of the principal attractions of using employment services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employment and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7964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80"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36</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94" w:name="page95"/>
    <w:bookmarkEnd w:id="94"/>
    <w:p>
      <w:pPr>
        <w:spacing w:after="0"/>
        <w:rPr>
          <w:sz w:val="20"/>
          <w:szCs w:val="20"/>
          <w:color w:val="auto"/>
        </w:rPr>
      </w:pPr>
      <w:r>
        <w:rPr>
          <w:rFonts w:ascii="Arial" w:cs="Arial" w:eastAsia="Arial" w:hAnsi="Arial"/>
          <w:sz w:val="12"/>
          <w:szCs w:val="12"/>
          <w:b w:val="1"/>
          <w:bCs w:val="1"/>
          <w:color w:val="4D8ABE"/>
        </w:rPr>
        <w:t>LEGAL REGULATIONS</w:t>
      </w:r>
    </w:p>
    <w:p>
      <w:pPr>
        <w:spacing w:after="0" w:line="198"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The employment services industry is closely regulated in all of the major markets in which we operate except the U.S. and Canada. Many countries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employment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174"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In many markets, the existence or absence of collective bargaining agreements with labor organizations has a significant impact on our operations and the ability of clients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employment services firms, including us.</w:t>
      </w:r>
    </w:p>
    <w:p>
      <w:pPr>
        <w:spacing w:after="0" w:line="170"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In November 2004, French authorities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has led the DGCCRF to transmit the results of its inquiry to the French Competition Council. In November 2007, we received a Statement of Objections from the Competition Council alleging illegal information sharing between us and certain of our competitors. We responded to this Statement of Objections in February 2008, defending our position.</w:t>
      </w:r>
    </w:p>
    <w:p>
      <w:pPr>
        <w:spacing w:after="0" w:line="172"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In June 2008, we received a Report from the Competition Council, which was prepared by the case handler for the Competition Council and opened the second phase of the procedure before the Competition Council. The Report rejected all of the defense arguments we made in our initial response and maintained the objections as set forth in the Statement of Objections. It also provided the Competition Council with the elements for the calculation of fines, including the case handler’s estimation of our portion of the alleged damage to the economy.</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We responded to the June 2008 Report in August 2008, providing further arguments and information in defense of our position and providing our own estimation of the alleged damage to the economy. A hearing on the matter before the Competition Council was held in October 2008.</w:t>
      </w:r>
    </w:p>
    <w:p>
      <w:pPr>
        <w:spacing w:after="0" w:line="161"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After considering the input that has been provided, the Competition Council rendered its decision in the matter in February 2009 and levied a fine of €42.0 million ($53.8 million) based on the council’s determination of the damage to the economy attributable to the alleged misconduct, with adjustment for aggravating or mitigating factors. We will be required to pay this fine in early 2009, but are currently planning to appeal the Competition Council’s decision. We had previously recorded a reserve sufficient to cover the fine.</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RECENTLY ISSUED ACCOUNTING STANDARDS</w:t>
      </w:r>
    </w:p>
    <w:p>
      <w:pPr>
        <w:spacing w:after="0" w:line="198"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December 2008, the FASB issued FASB Staff Position No. FAS 132(R)-1, “Employers’ Disclosures about Postretirement Benefit Plan Assets” (“FSP FAS132(R)-1”). FSP FAS132(R)-1 requires additional disclosures about plan assets of a defined benefit pension or other postretirement plan. FSP FAS132(R)-1 will be effective for us in 2009.</w:t>
      </w:r>
    </w:p>
    <w:p>
      <w:pPr>
        <w:spacing w:after="0" w:line="16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December 2007, the FASB issued Statement No. 141 (revised 2007), “Business Combinations” (“SFAS 141(R)”). SFAS 141(R) changes the requirements for an acquirer’s recognition and measurement of the assets acquired and the liabilities assumed in a business combination. SFAS 141(R) is effective for us in 2009. The impact of SFAS 141(R) is dependent on the level of future acquisitions.</w:t>
      </w:r>
    </w:p>
    <w:p>
      <w:pPr>
        <w:spacing w:after="0" w:line="167"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In April 2008, the FASB issued FASB Staff Position No. FAS 142-3, “Determination of the Useful Life of Intangible Assets” (“FSP FAS 142-3”). FSP FAS 142-3 amends the factors that should be considered in developing renewal or extension assumptions used to determine the useful life of a recognized intangible asset under SFAS 142, “Goodwill and Other Intangible Assets.” FSP FAS 142-3 is effective for us in 2009 and must be applied prospectively. We do not expect the adoption of this statement to have a material impact on our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2" w:right="1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939598"/>
        </w:rPr>
        <w:t>Management’s Discussion &amp; Analysis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939598"/>
        </w:rPr>
        <w:t>of financial condition and results of operations</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FASB issued Statement No. 157, “Fair Value Measurements” (“SFAS 157”) in September 2006. SFAS 157 defines fair value, establishes a framework for measuring fair value in accordance with generally accepted accounting principles, and expands disclosures about fair value measurements. Subsequently in February 2008, the FASB issued FASB Staff Position No. FAS 157-1, “Application of FASB Statement No. 157 to FASB Statement No. 13 and Other Accounting Pronouncements That Address Fair Value Measurements for Purposes of Lease Classification or Measurement under Statement 13” (“FSP FAS 157-1”) and FASB Staff Position No. FAS 157-2, “Partial Deferral of the Effective Date of Statement 157” (“FSP FAS 157-2”). FSP FAS 157-1 removed leasing transactions accounted for under Statement No. 13 and related guidance from the scope of SFAS 157. FSP FAS 157-2 deferred the effective date of SFAS 157 for all nonfinancial assets and nonfinancial liabilities to fiscal years beginning after November 15, 2008. We implemented SFAS 157 for financial assets and financial liabilities effective January 1, 2008 with no material impact on our consolidated financial statements. We are currently assessing the impact of SFAS 157 for nonfinancial assets and nonfinancial liabilities on our financial statements. (See Note 1 for further information about our fair value measurements as of December 31, 2008.)</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December 2006, we adopted Statement No. 158, “Employers’ Accounting for Defined Benefit Pension and Other Postretirement Plans, an amendment of FASB Statements No. 87, 88, 106, and 132(R)” (“SFAS 158”). Under its measurement date provisions, SFAS 158 requires us to measure the funded status of our defined benefit and retiree medical plans as of the balance sheet date in 2008, rather than as of an earlier measurement date. We adopted the measurement date provisions as of December 31, 2008. The net impact of the measurement date change was a $1.7 million decrease in the pension asset, which was accounted for as a $0.1 million increase in Retained Earnings and a $1.8 million decrease in Accumulated Other Comprehensive (Loss) Income on our consolidated balance sheet. See the consolidated statements of shareholders’ equity for the effect of applying the provisions.</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January 2008, we adopted Statement No. 159, “The Fair Value Option for Financial Assets and Financial Liabilities” (“SFAS 159”). SFAS 159 permits entities to choose to measure many financial assets and financial liabilities at fair value. Unrealized gains and losses on items for which the fair value option has been elected are reported in earnings. As of the initial adoption, we did not elect the fair value option for any existing eligible items under SFAS 159.</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December 2007, the FASB issued Statement No. 160, “Noncontrolling Interests in Consolidated Financial Statements, an amendment of ARB No. 51” (“SFAS 160”). SFAS 160 requires (a) that noncontrolling (minority) interests be reported as a component of shareholders’ equity, (b) that net income attributable to the parent and to the noncontrolling interest be separately identified in the consolidated statement of operations, (c) that changes in a parent’s ownership interest while the parent retains its controlling interest be accounted for as equity transactions, (d) that any retained noncontrolling equity investment upon the deconsolidation of a subsidiary be initially measured at fair value, and (e) that sufficient disclosures are provided that clearly identify and distinguish between the interests of the parent and the interests of the noncontrolling owners. SFAS 160 is effective for us in 2009 and must be applied prospectively. However, the presentation and disclosure requirements of the statement shall be applied retrospectively for all periods presented. We do not expect the adoption of this statement to have a material impact on our consolidated financial statements.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March 2008, the FASB issued Statement No. 161, “Disclosures about Derivative Instruments and Hedging Activities” (“SFAS 161”). SFAS 161 requires enhanced disclosures about derivative instruments and hedging activities to enable investors to better understand their effects on an entity’s financial position, financial performance, and cash flows. SFAS 161 is effective for us in 2009.</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FORWARD-LOOKING STATEMENTS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2008, which information is incorporated herein by reference, provides cautionary statements identifying, for purposes of the safe harbor provisions of the Private Securities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27964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180" w:lineRule="exact"/>
        <w:rPr>
          <w:sz w:val="20"/>
          <w:szCs w:val="20"/>
          <w:color w:val="auto"/>
        </w:rPr>
      </w:pPr>
    </w:p>
    <w:p>
      <w:pPr>
        <w:spacing w:after="0"/>
        <w:tabs>
          <w:tab w:leader="none" w:pos="5720" w:val="left"/>
          <w:tab w:leader="none" w:pos="8580" w:val="left"/>
        </w:tabs>
        <w:rPr>
          <w:sz w:val="20"/>
          <w:szCs w:val="20"/>
          <w:color w:val="auto"/>
        </w:rPr>
      </w:pPr>
      <w:r>
        <w:rPr>
          <w:rFonts w:ascii="Arial" w:cs="Arial" w:eastAsia="Arial" w:hAnsi="Arial"/>
          <w:sz w:val="12"/>
          <w:szCs w:val="12"/>
          <w:b w:val="1"/>
          <w:bCs w:val="1"/>
          <w:color w:val="auto"/>
        </w:rPr>
        <w:t>38</w:t>
      </w:r>
      <w:r>
        <w:rPr>
          <w:sz w:val="20"/>
          <w:szCs w:val="20"/>
          <w:color w:val="auto"/>
        </w:rPr>
        <w:tab/>
      </w:r>
      <w:r>
        <w:rPr>
          <w:rFonts w:ascii="Arial" w:cs="Arial" w:eastAsia="Arial" w:hAnsi="Arial"/>
          <w:sz w:val="12"/>
          <w:szCs w:val="12"/>
          <w:b w:val="1"/>
          <w:bCs w:val="1"/>
          <w:color w:val="939598"/>
        </w:rPr>
        <w:t>Management's Discussion &amp; Analysis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69850</wp:posOffset>
            </wp:positionV>
            <wp:extent cx="729869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96" w:name="page97"/>
    <w:bookmarkEnd w:id="96"/>
    <w:p>
      <w:pPr>
        <w:jc w:val="both"/>
        <w:ind w:right="40"/>
        <w:spacing w:after="0" w:line="245" w:lineRule="auto"/>
        <w:rPr>
          <w:sz w:val="20"/>
          <w:szCs w:val="20"/>
          <w:color w:val="auto"/>
        </w:rPr>
      </w:pPr>
      <w:r>
        <w:rPr>
          <w:rFonts w:ascii="Arial" w:cs="Arial" w:eastAsia="Arial" w:hAnsi="Arial"/>
          <w:sz w:val="16"/>
          <w:szCs w:val="16"/>
          <w:color w:val="auto"/>
        </w:rPr>
        <w:t>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Management Report On Internal Control Over Financial Reporting</w:t>
      </w:r>
    </w:p>
    <w:p>
      <w:pPr>
        <w:spacing w:after="0" w:line="206"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Under the supervision and with the participation of management, including our Chairman and Chief Executive Officer and our Executive Vice President and Chief Financial Officer, we conducted an evaluation of the effectiveness of our internal control over financial reporting based on the framework in Internal Control–Integrated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2008.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February 18, 2009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86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Management's Discussion &amp; Analysis</w:t>
            </w:r>
          </w:p>
        </w:tc>
        <w:tc>
          <w:tcPr>
            <w:tcW w:w="33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280" w:type="dxa"/>
            <w:vAlign w:val="bottom"/>
            <w:vMerge w:val="continue"/>
          </w:tcPr>
          <w:p>
            <w:pPr>
              <w:spacing w:after="0"/>
              <w:rPr>
                <w:sz w:val="6"/>
                <w:szCs w:val="6"/>
                <w:color w:val="auto"/>
              </w:rPr>
            </w:pPr>
          </w:p>
        </w:tc>
        <w:tc>
          <w:tcPr>
            <w:tcW w:w="5860" w:type="dxa"/>
            <w:vAlign w:val="bottom"/>
            <w:vMerge w:val="continue"/>
          </w:tcPr>
          <w:p>
            <w:pPr>
              <w:spacing w:after="0"/>
              <w:rPr>
                <w:sz w:val="6"/>
                <w:szCs w:val="6"/>
                <w:color w:val="auto"/>
              </w:rPr>
            </w:pPr>
          </w:p>
        </w:tc>
        <w:tc>
          <w:tcPr>
            <w:tcW w:w="33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280" w:type="dxa"/>
            <w:vAlign w:val="bottom"/>
            <w:shd w:val="clear" w:color="auto" w:fill="808080"/>
          </w:tcPr>
          <w:p>
            <w:pPr>
              <w:spacing w:after="0"/>
              <w:rPr>
                <w:sz w:val="5"/>
                <w:szCs w:val="5"/>
                <w:color w:val="auto"/>
              </w:rPr>
            </w:pPr>
          </w:p>
        </w:tc>
        <w:tc>
          <w:tcPr>
            <w:tcW w:w="586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86B6A5"/>
        </w:rPr>
        <w:t>Report Of Independent Registered Public Accounting Firm</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To The Board Of Directors And Shareholders Of Manpower Inc.:</w:t>
      </w:r>
    </w:p>
    <w:p>
      <w:pPr>
        <w:spacing w:after="0" w:line="186"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have audited the accompanying consolidated balance sheets of Manpower Inc. and subsidiaries (the “Company”) as of December 31, 2008 and 2007 and the related consolidated statements of operations, shareholders’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170"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our opinion, such financial statements present fairly, in all material respects, the financial position of the Company as of December 31, 2008 and 2007, and the results of its operations and its cash flows for each of the three years in the period ended December 31, 2008, in conformity with accounting principles generally accepted in the United States of America.</w:t>
      </w:r>
    </w:p>
    <w:p>
      <w:pPr>
        <w:spacing w:after="0" w:line="167"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Company’s internal control over financial reporting as of December 31, 2008, based on the criteria established in Internal Control–Integrated Framework issued by the Committee of Sponsoring Organizations of the Treadway Commission and our report dated February 18, 2009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1389380" cy="1758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89380" cy="17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Deloitte &amp; Touche LLP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February 18, 2009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Report Of Independent Registered Public Accounting Firm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To The Board Of Directors And Shareholders Of Manpower Inc.:</w:t>
      </w:r>
    </w:p>
    <w:p>
      <w:pPr>
        <w:spacing w:after="0" w:line="18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have audited the internal control over financial reporting of Manpower Inc. and subsidiaries (the “Company”) as of December 31, 2008, based on criteria established in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60" w:type="dxa"/>
            <w:vAlign w:val="bottom"/>
            <w:tcBorders>
              <w:top w:val="single" w:sz="8" w:color="auto"/>
            </w:tcBorders>
            <w:vMerge w:val="restart"/>
          </w:tcPr>
          <w:p>
            <w:pPr>
              <w:jc w:val="right"/>
              <w:ind w:right="2162"/>
              <w:spacing w:after="0"/>
              <w:rPr>
                <w:sz w:val="20"/>
                <w:szCs w:val="20"/>
                <w:color w:val="auto"/>
              </w:rPr>
            </w:pPr>
            <w:r>
              <w:rPr>
                <w:rFonts w:ascii="Arial" w:cs="Arial" w:eastAsia="Arial" w:hAnsi="Arial"/>
                <w:sz w:val="12"/>
                <w:szCs w:val="12"/>
                <w:b w:val="1"/>
                <w:bCs w:val="1"/>
                <w:color w:val="auto"/>
                <w:w w:val="89"/>
              </w:rPr>
              <w:t>40</w:t>
            </w:r>
          </w:p>
        </w:tc>
        <w:tc>
          <w:tcPr>
            <w:tcW w:w="5840" w:type="dxa"/>
            <w:vAlign w:val="bottom"/>
            <w:tcBorders>
              <w:top w:val="single" w:sz="8" w:color="auto"/>
            </w:tcBorders>
          </w:tcPr>
          <w:p>
            <w:pPr>
              <w:ind w:left="2220"/>
              <w:spacing w:after="0"/>
              <w:rPr>
                <w:sz w:val="20"/>
                <w:szCs w:val="20"/>
                <w:color w:val="auto"/>
              </w:rPr>
            </w:pPr>
            <w:r>
              <w:rPr>
                <w:rFonts w:ascii="Arial" w:cs="Arial" w:eastAsia="Arial" w:hAnsi="Arial"/>
                <w:sz w:val="12"/>
                <w:szCs w:val="12"/>
                <w:b w:val="1"/>
                <w:bCs w:val="1"/>
                <w:color w:val="939598"/>
              </w:rPr>
              <w:t>Report Of Independent Registered Public Accounting Firm</w:t>
            </w:r>
          </w:p>
        </w:tc>
        <w:tc>
          <w:tcPr>
            <w:tcW w:w="3260" w:type="dxa"/>
            <w:vAlign w:val="bottom"/>
            <w:tcBorders>
              <w:top w:val="single" w:sz="8" w:color="auto"/>
            </w:tcBorders>
            <w:vMerge w:val="restart"/>
          </w:tcPr>
          <w:p>
            <w:pPr>
              <w:ind w:left="400"/>
              <w:spacing w:after="0"/>
              <w:rPr>
                <w:sz w:val="20"/>
                <w:szCs w:val="20"/>
                <w:color w:val="auto"/>
              </w:rPr>
            </w:pPr>
            <w:r>
              <w:rPr>
                <w:rFonts w:ascii="Arial" w:cs="Arial" w:eastAsia="Arial" w:hAnsi="Arial"/>
                <w:sz w:val="12"/>
                <w:szCs w:val="12"/>
                <w:b w:val="1"/>
                <w:bCs w:val="1"/>
                <w:color w:val="auto"/>
              </w:rPr>
              <w:t>Manpower Annual Report 2008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60" w:type="dxa"/>
            <w:vAlign w:val="bottom"/>
            <w:vMerge w:val="continue"/>
          </w:tcPr>
          <w:p>
            <w:pPr>
              <w:spacing w:after="0"/>
              <w:rPr>
                <w:sz w:val="6"/>
                <w:szCs w:val="6"/>
                <w:color w:val="auto"/>
              </w:rPr>
            </w:pPr>
          </w:p>
        </w:tc>
        <w:tc>
          <w:tcPr>
            <w:tcW w:w="584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60" w:type="dxa"/>
            <w:vAlign w:val="bottom"/>
            <w:shd w:val="clear" w:color="auto" w:fill="808080"/>
          </w:tcPr>
          <w:p>
            <w:pPr>
              <w:spacing w:after="0"/>
              <w:rPr>
                <w:sz w:val="5"/>
                <w:szCs w:val="5"/>
                <w:color w:val="auto"/>
              </w:rPr>
            </w:pPr>
          </w:p>
        </w:tc>
        <w:tc>
          <w:tcPr>
            <w:tcW w:w="5840" w:type="dxa"/>
            <w:vAlign w:val="bottom"/>
            <w:shd w:val="clear" w:color="auto" w:fill="808080"/>
          </w:tcPr>
          <w:p>
            <w:pPr>
              <w:spacing w:after="0"/>
              <w:rPr>
                <w:sz w:val="5"/>
                <w:szCs w:val="5"/>
                <w:color w:val="auto"/>
              </w:rPr>
            </w:pPr>
          </w:p>
        </w:tc>
        <w:tc>
          <w:tcPr>
            <w:tcW w:w="32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114" w:right="179" w:bottom="1440" w:gutter="0" w:footer="0" w:header="0"/>
        </w:sectPr>
      </w:pPr>
    </w:p>
    <w:bookmarkStart w:id="98" w:name="page99"/>
    <w:bookmarkEnd w:id="98"/>
    <w:p>
      <w:pPr>
        <w:jc w:val="both"/>
        <w:ind w:right="40"/>
        <w:spacing w:after="0" w:line="246"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2008, based on the criteria established in Internal Control—Integrated Framework issued by the COSO.</w:t>
      </w:r>
    </w:p>
    <w:p>
      <w:pPr>
        <w:spacing w:after="0" w:line="161"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December 31, 2008 of the Company and our report dated February 18, 2009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1389380" cy="1758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89380" cy="17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Deloitte &amp; Touche LLP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February 18, 2009</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CERTIFICATIONS</w:t>
      </w:r>
    </w:p>
    <w:p>
      <w:pPr>
        <w:spacing w:after="0" w:line="198"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Manpower has filed the Chief Executive Officer/Chief Financial Officer certifications that are required by Section 302 of the Sarbanes-Oxley Act of 2002 as exhibits to its Annual Report on Form 10-K. In 2008, Jeffrey A. Joerres, Manpower’s Chief Executive Officer, submitted a certification to the New York Stock Exchange in accordance with Section 303A.12 of the NYSE Listed Company Manual stating that, as of the date of the certification, he was not aware of any violation by Manpower of the NYSE’s corporate governance listing standards.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42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Report Of Independent Registered Public Accounting Firm</w:t>
            </w:r>
          </w:p>
        </w:tc>
        <w:tc>
          <w:tcPr>
            <w:tcW w:w="27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420" w:type="dxa"/>
            <w:vAlign w:val="bottom"/>
            <w:vMerge w:val="continue"/>
          </w:tcPr>
          <w:p>
            <w:pPr>
              <w:spacing w:after="0"/>
              <w:rPr>
                <w:sz w:val="6"/>
                <w:szCs w:val="6"/>
                <w:color w:val="auto"/>
              </w:rPr>
            </w:pPr>
          </w:p>
        </w:tc>
        <w:tc>
          <w:tcPr>
            <w:tcW w:w="27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42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939598"/>
        </w:rPr>
        <w:t>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400" w:type="dxa"/>
            <w:vAlign w:val="bottom"/>
            <w:shd w:val="clear" w:color="auto" w:fill="4D8ABE"/>
          </w:tcPr>
          <w:p>
            <w:pPr>
              <w:spacing w:after="0"/>
              <w:rPr>
                <w:sz w:val="15"/>
                <w:szCs w:val="15"/>
                <w:color w:val="auto"/>
              </w:rPr>
            </w:pPr>
          </w:p>
        </w:tc>
        <w:tc>
          <w:tcPr>
            <w:tcW w:w="10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4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4D8ABE"/>
              </w:rPr>
              <w:t>2007</w:t>
            </w:r>
          </w:p>
        </w:tc>
        <w:tc>
          <w:tcPr>
            <w:tcW w:w="5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Revenues from services</w:t>
            </w:r>
          </w:p>
        </w:tc>
        <w:tc>
          <w:tcPr>
            <w:tcW w:w="400" w:type="dxa"/>
            <w:vAlign w:val="bottom"/>
            <w:tcBorders>
              <w:top w:val="single" w:sz="8" w:color="4D8ABE"/>
            </w:tcBorders>
            <w:shd w:val="clear" w:color="auto" w:fill="E6EFFF"/>
          </w:tcPr>
          <w:p>
            <w:pPr>
              <w:jc w:val="right"/>
              <w:ind w:right="232"/>
              <w:spacing w:after="0" w:line="155" w:lineRule="exact"/>
              <w:rPr>
                <w:sz w:val="20"/>
                <w:szCs w:val="20"/>
                <w:color w:val="auto"/>
              </w:rPr>
            </w:pPr>
            <w:r>
              <w:rPr>
                <w:rFonts w:ascii="Arial" w:cs="Arial" w:eastAsia="Arial" w:hAnsi="Arial"/>
                <w:sz w:val="14"/>
                <w:szCs w:val="14"/>
                <w:b w:val="1"/>
                <w:bCs w:val="1"/>
                <w:color w:val="4D8ABE"/>
              </w:rPr>
              <w:t>$</w:t>
            </w:r>
          </w:p>
        </w:tc>
        <w:tc>
          <w:tcPr>
            <w:tcW w:w="1080" w:type="dxa"/>
            <w:vAlign w:val="bottom"/>
            <w:tcBorders>
              <w:top w:val="single" w:sz="8" w:color="4D8ABE"/>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21,552.8</w:t>
            </w:r>
          </w:p>
        </w:tc>
        <w:tc>
          <w:tcPr>
            <w:tcW w:w="400" w:type="dxa"/>
            <w:vAlign w:val="bottom"/>
            <w:tcBorders>
              <w:top w:val="single" w:sz="8" w:color="4D8ABE"/>
              <w:left w:val="single" w:sz="8" w:color="E6EFFF"/>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4D8ABE"/>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20,500.3</w:t>
            </w:r>
          </w:p>
        </w:tc>
        <w:tc>
          <w:tcPr>
            <w:tcW w:w="500" w:type="dxa"/>
            <w:vAlign w:val="bottom"/>
            <w:tcBorders>
              <w:top w:val="single" w:sz="8" w:color="4D8ABE"/>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17,562.5</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7040" w:type="dxa"/>
            <w:vAlign w:val="bottom"/>
            <w:tcBorders>
              <w:bottom w:val="single" w:sz="8" w:color="auto"/>
              <w:right w:val="single" w:sz="8" w:color="4D8ABE"/>
            </w:tcBorders>
          </w:tcPr>
          <w:p>
            <w:pPr>
              <w:ind w:left="120"/>
              <w:spacing w:after="0"/>
              <w:rPr>
                <w:sz w:val="20"/>
                <w:szCs w:val="20"/>
                <w:color w:val="auto"/>
              </w:rPr>
            </w:pPr>
            <w:r>
              <w:rPr>
                <w:rFonts w:ascii="Arial" w:cs="Arial" w:eastAsia="Arial" w:hAnsi="Arial"/>
                <w:sz w:val="14"/>
                <w:szCs w:val="14"/>
                <w:color w:val="auto"/>
              </w:rPr>
              <w:t>Cost of services</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17,450.2</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16,651.7</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14,416.5</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Gross profit</w:t>
            </w:r>
          </w:p>
        </w:tc>
        <w:tc>
          <w:tcPr>
            <w:tcW w:w="400" w:type="dxa"/>
            <w:vAlign w:val="bottom"/>
            <w:shd w:val="clear" w:color="auto" w:fill="E6EFFF"/>
          </w:tcPr>
          <w:p>
            <w:pPr>
              <w:spacing w:after="0"/>
              <w:rPr>
                <w:sz w:val="13"/>
                <w:szCs w:val="13"/>
                <w:color w:val="auto"/>
              </w:rPr>
            </w:pPr>
          </w:p>
        </w:tc>
        <w:tc>
          <w:tcPr>
            <w:tcW w:w="1080" w:type="dxa"/>
            <w:vAlign w:val="bottom"/>
            <w:tcBorders>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4,102.6</w:t>
            </w:r>
          </w:p>
        </w:tc>
        <w:tc>
          <w:tcPr>
            <w:tcW w:w="400" w:type="dxa"/>
            <w:vAlign w:val="bottom"/>
            <w:tcBorders>
              <w:left w:val="single" w:sz="8" w:color="E6EFFF"/>
            </w:tcBorders>
            <w:shd w:val="clear" w:color="auto" w:fill="E6EFFF"/>
          </w:tcPr>
          <w:p>
            <w:pPr>
              <w:spacing w:after="0"/>
              <w:rPr>
                <w:sz w:val="13"/>
                <w:szCs w:val="13"/>
                <w:color w:val="auto"/>
              </w:rPr>
            </w:pPr>
          </w:p>
        </w:tc>
        <w:tc>
          <w:tcPr>
            <w:tcW w:w="980" w:type="dxa"/>
            <w:vAlign w:val="bottom"/>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3,848.6</w:t>
            </w:r>
          </w:p>
        </w:tc>
        <w:tc>
          <w:tcPr>
            <w:tcW w:w="500" w:type="dxa"/>
            <w:vAlign w:val="bottom"/>
            <w:shd w:val="clear" w:color="auto" w:fill="E6EFFF"/>
          </w:tcPr>
          <w:p>
            <w:pPr>
              <w:spacing w:after="0"/>
              <w:rPr>
                <w:sz w:val="13"/>
                <w:szCs w:val="13"/>
                <w:color w:val="auto"/>
              </w:rPr>
            </w:pPr>
          </w:p>
        </w:tc>
        <w:tc>
          <w:tcPr>
            <w:tcW w:w="840" w:type="dxa"/>
            <w:vAlign w:val="bottom"/>
            <w:shd w:val="clear" w:color="auto" w:fill="E6EFFF"/>
          </w:tcPr>
          <w:p>
            <w:pPr>
              <w:jc w:val="right"/>
              <w:spacing w:after="0" w:line="155" w:lineRule="exact"/>
              <w:rPr>
                <w:sz w:val="20"/>
                <w:szCs w:val="20"/>
                <w:color w:val="auto"/>
              </w:rPr>
            </w:pPr>
            <w:r>
              <w:rPr>
                <w:rFonts w:ascii="Arial" w:cs="Arial" w:eastAsia="Arial" w:hAnsi="Arial"/>
                <w:sz w:val="14"/>
                <w:szCs w:val="14"/>
                <w:color w:val="auto"/>
              </w:rPr>
              <w:t>3,146.0</w:t>
            </w:r>
          </w:p>
        </w:tc>
        <w:tc>
          <w:tcPr>
            <w:tcW w:w="220" w:type="dxa"/>
            <w:vAlign w:val="bottom"/>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Selling and administrative expenses, excluding impairment charge</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3,430.3</w:t>
            </w:r>
          </w:p>
        </w:tc>
        <w:tc>
          <w:tcPr>
            <w:tcW w:w="40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3,023.2</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2,613.9</w:t>
            </w:r>
          </w:p>
        </w:tc>
      </w:tr>
      <w:tr>
        <w:trPr>
          <w:trHeight w:val="164"/>
        </w:trPr>
        <w:tc>
          <w:tcPr>
            <w:tcW w:w="704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Goodwill and intangible asset impairment charge</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163.1</w:t>
            </w:r>
          </w:p>
        </w:tc>
        <w:tc>
          <w:tcPr>
            <w:tcW w:w="400" w:type="dxa"/>
            <w:vAlign w:val="bottom"/>
            <w:tcBorders>
              <w:left w:val="single" w:sz="8" w:color="E6EFFF"/>
            </w:tcBorders>
            <w:shd w:val="clear" w:color="auto" w:fill="E6EFFF"/>
          </w:tcPr>
          <w:p>
            <w:pPr>
              <w:spacing w:after="0"/>
              <w:rPr>
                <w:sz w:val="14"/>
                <w:szCs w:val="14"/>
                <w:color w:val="auto"/>
              </w:rPr>
            </w:pPr>
          </w:p>
        </w:tc>
        <w:tc>
          <w:tcPr>
            <w:tcW w:w="9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shd w:val="clear" w:color="auto" w:fill="E6EFFF"/>
          </w:tcPr>
          <w:p>
            <w:pPr>
              <w:spacing w:after="0"/>
              <w:rPr>
                <w:sz w:val="14"/>
                <w:szCs w:val="14"/>
                <w:color w:val="auto"/>
              </w:rPr>
            </w:pP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55"/>
        </w:trPr>
        <w:tc>
          <w:tcPr>
            <w:tcW w:w="7040" w:type="dxa"/>
            <w:vAlign w:val="bottom"/>
            <w:tcBorders>
              <w:top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Selling and administrative expenses</w:t>
            </w:r>
          </w:p>
        </w:tc>
        <w:tc>
          <w:tcPr>
            <w:tcW w:w="400" w:type="dxa"/>
            <w:vAlign w:val="bottom"/>
            <w:tcBorders>
              <w:top w:val="single" w:sz="8" w:color="auto"/>
            </w:tcBorders>
          </w:tcPr>
          <w:p>
            <w:pPr>
              <w:spacing w:after="0"/>
              <w:rPr>
                <w:sz w:val="13"/>
                <w:szCs w:val="13"/>
                <w:color w:val="auto"/>
              </w:rPr>
            </w:pPr>
          </w:p>
        </w:tc>
        <w:tc>
          <w:tcPr>
            <w:tcW w:w="1080" w:type="dxa"/>
            <w:vAlign w:val="bottom"/>
            <w:tcBorders>
              <w:top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3,593.4</w:t>
            </w:r>
          </w:p>
        </w:tc>
        <w:tc>
          <w:tcPr>
            <w:tcW w:w="4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3,023.2</w:t>
            </w:r>
          </w:p>
        </w:tc>
        <w:tc>
          <w:tcPr>
            <w:tcW w:w="5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2,613.9</w:t>
            </w:r>
          </w:p>
        </w:tc>
        <w:tc>
          <w:tcPr>
            <w:tcW w:w="220" w:type="dxa"/>
            <w:vAlign w:val="bottom"/>
          </w:tcPr>
          <w:p>
            <w:pPr>
              <w:spacing w:after="0"/>
              <w:rPr>
                <w:sz w:val="13"/>
                <w:szCs w:val="13"/>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Operating profit</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509.2</w:t>
            </w:r>
          </w:p>
        </w:tc>
        <w:tc>
          <w:tcPr>
            <w:tcW w:w="400" w:type="dxa"/>
            <w:vAlign w:val="bottom"/>
            <w:tcBorders>
              <w:left w:val="single" w:sz="8" w:color="E6EFFF"/>
            </w:tcBorders>
            <w:shd w:val="clear" w:color="auto" w:fill="E6EFFF"/>
          </w:tcPr>
          <w:p>
            <w:pPr>
              <w:spacing w:after="0"/>
              <w:rPr>
                <w:sz w:val="14"/>
                <w:szCs w:val="14"/>
                <w:color w:val="auto"/>
              </w:rPr>
            </w:pPr>
          </w:p>
        </w:tc>
        <w:tc>
          <w:tcPr>
            <w:tcW w:w="9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825.4</w:t>
            </w:r>
          </w:p>
        </w:tc>
        <w:tc>
          <w:tcPr>
            <w:tcW w:w="500" w:type="dxa"/>
            <w:vAlign w:val="bottom"/>
            <w:shd w:val="clear" w:color="auto" w:fill="E6EFFF"/>
          </w:tcPr>
          <w:p>
            <w:pPr>
              <w:spacing w:after="0"/>
              <w:rPr>
                <w:sz w:val="14"/>
                <w:szCs w:val="14"/>
                <w:color w:val="auto"/>
              </w:rPr>
            </w:pP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532.1</w:t>
            </w:r>
          </w:p>
        </w:tc>
      </w:tr>
      <w:tr>
        <w:trPr>
          <w:trHeight w:val="164"/>
        </w:trPr>
        <w:tc>
          <w:tcPr>
            <w:tcW w:w="7040" w:type="dxa"/>
            <w:vAlign w:val="bottom"/>
            <w:tcBorders>
              <w:bottom w:val="single" w:sz="8" w:color="auto"/>
              <w:right w:val="single" w:sz="8" w:color="4D8ABE"/>
            </w:tcBorders>
          </w:tcPr>
          <w:p>
            <w:pPr>
              <w:ind w:left="120"/>
              <w:spacing w:after="0"/>
              <w:rPr>
                <w:sz w:val="20"/>
                <w:szCs w:val="20"/>
                <w:color w:val="auto"/>
              </w:rPr>
            </w:pPr>
            <w:r>
              <w:rPr>
                <w:rFonts w:ascii="Arial" w:cs="Arial" w:eastAsia="Arial" w:hAnsi="Arial"/>
                <w:sz w:val="14"/>
                <w:szCs w:val="14"/>
                <w:color w:val="auto"/>
              </w:rPr>
              <w:t>Interest and other expense</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50.9</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34.2</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Earnings before income taxes and discontinued operations</w:t>
            </w:r>
          </w:p>
        </w:tc>
        <w:tc>
          <w:tcPr>
            <w:tcW w:w="400" w:type="dxa"/>
            <w:vAlign w:val="bottom"/>
            <w:shd w:val="clear" w:color="auto" w:fill="E6EFFF"/>
          </w:tcPr>
          <w:p>
            <w:pPr>
              <w:spacing w:after="0"/>
              <w:rPr>
                <w:sz w:val="13"/>
                <w:szCs w:val="13"/>
                <w:color w:val="auto"/>
              </w:rPr>
            </w:pPr>
          </w:p>
        </w:tc>
        <w:tc>
          <w:tcPr>
            <w:tcW w:w="1080" w:type="dxa"/>
            <w:vAlign w:val="bottom"/>
            <w:tcBorders>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458.3</w:t>
            </w:r>
          </w:p>
        </w:tc>
        <w:tc>
          <w:tcPr>
            <w:tcW w:w="400" w:type="dxa"/>
            <w:vAlign w:val="bottom"/>
            <w:tcBorders>
              <w:left w:val="single" w:sz="8" w:color="E6EFFF"/>
            </w:tcBorders>
            <w:shd w:val="clear" w:color="auto" w:fill="E6EFFF"/>
          </w:tcPr>
          <w:p>
            <w:pPr>
              <w:spacing w:after="0"/>
              <w:rPr>
                <w:sz w:val="13"/>
                <w:szCs w:val="13"/>
                <w:color w:val="auto"/>
              </w:rPr>
            </w:pPr>
          </w:p>
        </w:tc>
        <w:tc>
          <w:tcPr>
            <w:tcW w:w="980" w:type="dxa"/>
            <w:vAlign w:val="bottom"/>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791.2</w:t>
            </w:r>
          </w:p>
        </w:tc>
        <w:tc>
          <w:tcPr>
            <w:tcW w:w="500" w:type="dxa"/>
            <w:vAlign w:val="bottom"/>
            <w:shd w:val="clear" w:color="auto" w:fill="E6EFFF"/>
          </w:tcPr>
          <w:p>
            <w:pPr>
              <w:spacing w:after="0"/>
              <w:rPr>
                <w:sz w:val="13"/>
                <w:szCs w:val="13"/>
                <w:color w:val="auto"/>
              </w:rPr>
            </w:pPr>
          </w:p>
        </w:tc>
        <w:tc>
          <w:tcPr>
            <w:tcW w:w="840" w:type="dxa"/>
            <w:vAlign w:val="bottom"/>
            <w:shd w:val="clear" w:color="auto" w:fill="E6EFFF"/>
          </w:tcPr>
          <w:p>
            <w:pPr>
              <w:jc w:val="right"/>
              <w:spacing w:after="0" w:line="155" w:lineRule="exact"/>
              <w:rPr>
                <w:sz w:val="20"/>
                <w:szCs w:val="20"/>
                <w:color w:val="auto"/>
              </w:rPr>
            </w:pPr>
            <w:r>
              <w:rPr>
                <w:rFonts w:ascii="Arial" w:cs="Arial" w:eastAsia="Arial" w:hAnsi="Arial"/>
                <w:sz w:val="14"/>
                <w:szCs w:val="14"/>
                <w:color w:val="auto"/>
              </w:rPr>
              <w:t>481.9</w:t>
            </w:r>
          </w:p>
        </w:tc>
        <w:tc>
          <w:tcPr>
            <w:tcW w:w="220" w:type="dxa"/>
            <w:vAlign w:val="bottom"/>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Provision for income taxes</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239.4</w:t>
            </w:r>
          </w:p>
        </w:tc>
        <w:tc>
          <w:tcPr>
            <w:tcW w:w="40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306.5</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176.2</w:t>
            </w:r>
          </w:p>
        </w:tc>
      </w:tr>
      <w:tr>
        <w:trPr>
          <w:trHeight w:val="155"/>
        </w:trPr>
        <w:tc>
          <w:tcPr>
            <w:tcW w:w="7040" w:type="dxa"/>
            <w:vAlign w:val="bottom"/>
            <w:tcBorders>
              <w:top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Net earnings from continuing operations</w:t>
            </w:r>
          </w:p>
        </w:tc>
        <w:tc>
          <w:tcPr>
            <w:tcW w:w="400" w:type="dxa"/>
            <w:vAlign w:val="bottom"/>
            <w:tcBorders>
              <w:top w:val="single" w:sz="8" w:color="auto"/>
            </w:tcBorders>
            <w:shd w:val="clear" w:color="auto" w:fill="E6EFFF"/>
          </w:tcPr>
          <w:p>
            <w:pPr>
              <w:spacing w:after="0"/>
              <w:rPr>
                <w:sz w:val="13"/>
                <w:szCs w:val="13"/>
                <w:color w:val="auto"/>
              </w:rPr>
            </w:pPr>
          </w:p>
        </w:tc>
        <w:tc>
          <w:tcPr>
            <w:tcW w:w="1080" w:type="dxa"/>
            <w:vAlign w:val="bottom"/>
            <w:tcBorders>
              <w:top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218.9</w:t>
            </w:r>
          </w:p>
        </w:tc>
        <w:tc>
          <w:tcPr>
            <w:tcW w:w="400" w:type="dxa"/>
            <w:vAlign w:val="bottom"/>
            <w:tcBorders>
              <w:top w:val="single" w:sz="8" w:color="auto"/>
              <w:left w:val="single" w:sz="8" w:color="E6EFFF"/>
            </w:tcBorders>
            <w:shd w:val="clear" w:color="auto" w:fill="E6EFFF"/>
          </w:tcPr>
          <w:p>
            <w:pPr>
              <w:spacing w:after="0"/>
              <w:rPr>
                <w:sz w:val="13"/>
                <w:szCs w:val="13"/>
                <w:color w:val="auto"/>
              </w:rPr>
            </w:pPr>
          </w:p>
        </w:tc>
        <w:tc>
          <w:tcPr>
            <w:tcW w:w="980" w:type="dxa"/>
            <w:vAlign w:val="bottom"/>
            <w:tcBorders>
              <w:top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484.7</w:t>
            </w:r>
          </w:p>
        </w:tc>
        <w:tc>
          <w:tcPr>
            <w:tcW w:w="500" w:type="dxa"/>
            <w:vAlign w:val="bottom"/>
            <w:tcBorders>
              <w:top w:val="single" w:sz="8" w:color="auto"/>
            </w:tcBorders>
            <w:shd w:val="clear" w:color="auto" w:fill="E6EFFF"/>
          </w:tcPr>
          <w:p>
            <w:pPr>
              <w:spacing w:after="0"/>
              <w:rPr>
                <w:sz w:val="13"/>
                <w:szCs w:val="13"/>
                <w:color w:val="auto"/>
              </w:rPr>
            </w:pPr>
          </w:p>
        </w:tc>
        <w:tc>
          <w:tcPr>
            <w:tcW w:w="840" w:type="dxa"/>
            <w:vAlign w:val="bottom"/>
            <w:tcBorders>
              <w:top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305.7</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Income from discontinued operations, net of income taxes</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Net earnings</w:t>
            </w:r>
          </w:p>
        </w:tc>
        <w:tc>
          <w:tcPr>
            <w:tcW w:w="40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b w:val="1"/>
                <w:bCs w:val="1"/>
                <w:color w:val="4D8ABE"/>
              </w:rPr>
              <w:t>$</w:t>
            </w:r>
          </w:p>
        </w:tc>
        <w:tc>
          <w:tcPr>
            <w:tcW w:w="108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218.9</w:t>
            </w:r>
          </w:p>
        </w:tc>
        <w:tc>
          <w:tcPr>
            <w:tcW w:w="400" w:type="dxa"/>
            <w:vAlign w:val="bottom"/>
            <w:tcBorders>
              <w:left w:val="single" w:sz="8" w:color="E6EFFF"/>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484.7</w:t>
            </w:r>
          </w:p>
        </w:tc>
        <w:tc>
          <w:tcPr>
            <w:tcW w:w="50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398.0</w:t>
            </w:r>
          </w:p>
        </w:tc>
        <w:tc>
          <w:tcPr>
            <w:tcW w:w="220" w:type="dxa"/>
            <w:vAlign w:val="bottom"/>
            <w:tcBorders>
              <w:bottom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Net earnings per share - basic:</w:t>
            </w:r>
          </w:p>
        </w:tc>
        <w:tc>
          <w:tcPr>
            <w:tcW w:w="400" w:type="dxa"/>
            <w:vAlign w:val="bottom"/>
          </w:tcPr>
          <w:p>
            <w:pPr>
              <w:spacing w:after="0"/>
              <w:rPr>
                <w:sz w:val="14"/>
                <w:szCs w:val="14"/>
                <w:color w:val="auto"/>
              </w:rPr>
            </w:pPr>
          </w:p>
        </w:tc>
        <w:tc>
          <w:tcPr>
            <w:tcW w:w="1080" w:type="dxa"/>
            <w:vAlign w:val="bottom"/>
            <w:tcBorders>
              <w:right w:val="single" w:sz="8" w:color="4D8ABE"/>
            </w:tcBorders>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704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Continuing operations</w:t>
            </w:r>
          </w:p>
        </w:tc>
        <w:tc>
          <w:tcPr>
            <w:tcW w:w="400" w:type="dxa"/>
            <w:vAlign w:val="bottom"/>
            <w:shd w:val="clear" w:color="auto" w:fill="E6EFFF"/>
          </w:tcPr>
          <w:p>
            <w:pPr>
              <w:jc w:val="right"/>
              <w:ind w:right="232"/>
              <w:spacing w:after="0"/>
              <w:rPr>
                <w:sz w:val="20"/>
                <w:szCs w:val="20"/>
                <w:color w:val="auto"/>
              </w:rPr>
            </w:pPr>
            <w:r>
              <w:rPr>
                <w:rFonts w:ascii="Arial" w:cs="Arial" w:eastAsia="Arial" w:hAnsi="Arial"/>
                <w:sz w:val="14"/>
                <w:szCs w:val="14"/>
                <w:b w:val="1"/>
                <w:bCs w:val="1"/>
                <w:color w:val="4D8ABE"/>
              </w:rPr>
              <w:t>$</w:t>
            </w: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2.78</w:t>
            </w:r>
          </w:p>
        </w:tc>
        <w:tc>
          <w:tcPr>
            <w:tcW w:w="400" w:type="dxa"/>
            <w:vAlign w:val="bottom"/>
            <w:tcBorders>
              <w:left w:val="single" w:sz="8" w:color="E6EFFF"/>
            </w:tcBorders>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9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5.83</w:t>
            </w:r>
          </w:p>
        </w:tc>
        <w:tc>
          <w:tcPr>
            <w:tcW w:w="500" w:type="dxa"/>
            <w:vAlign w:val="bottom"/>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8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3.55</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bottom w:val="single" w:sz="8" w:color="auto"/>
              <w:right w:val="single" w:sz="8" w:color="4D8ABE"/>
            </w:tcBorders>
          </w:tcPr>
          <w:p>
            <w:pPr>
              <w:ind w:left="120"/>
              <w:spacing w:after="0"/>
              <w:rPr>
                <w:sz w:val="20"/>
                <w:szCs w:val="20"/>
                <w:color w:val="auto"/>
              </w:rPr>
            </w:pPr>
            <w:r>
              <w:rPr>
                <w:rFonts w:ascii="Arial" w:cs="Arial" w:eastAsia="Arial" w:hAnsi="Arial"/>
                <w:sz w:val="14"/>
                <w:szCs w:val="14"/>
                <w:color w:val="auto"/>
              </w:rPr>
              <w:t>Discontinued operations</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bottom w:val="single" w:sz="8" w:color="auto"/>
              <w:right w:val="single" w:sz="8" w:color="4D8ABE"/>
            </w:tcBorders>
            <w:shd w:val="clear" w:color="auto" w:fill="E6EFFF"/>
          </w:tcPr>
          <w:p>
            <w:pPr>
              <w:ind w:left="40"/>
              <w:spacing w:after="0" w:line="155" w:lineRule="exact"/>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b w:val="1"/>
                <w:bCs w:val="1"/>
                <w:color w:val="4D8ABE"/>
              </w:rPr>
              <w:t>$</w:t>
            </w:r>
          </w:p>
        </w:tc>
        <w:tc>
          <w:tcPr>
            <w:tcW w:w="108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2.78</w:t>
            </w:r>
          </w:p>
        </w:tc>
        <w:tc>
          <w:tcPr>
            <w:tcW w:w="400" w:type="dxa"/>
            <w:vAlign w:val="bottom"/>
            <w:tcBorders>
              <w:left w:val="single" w:sz="8" w:color="E6EFFF"/>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5.83</w:t>
            </w:r>
          </w:p>
        </w:tc>
        <w:tc>
          <w:tcPr>
            <w:tcW w:w="50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4.62</w:t>
            </w:r>
          </w:p>
        </w:tc>
        <w:tc>
          <w:tcPr>
            <w:tcW w:w="220" w:type="dxa"/>
            <w:vAlign w:val="bottom"/>
            <w:tcBorders>
              <w:bottom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Net earnings per share - diluted:</w:t>
            </w:r>
          </w:p>
        </w:tc>
        <w:tc>
          <w:tcPr>
            <w:tcW w:w="400" w:type="dxa"/>
            <w:vAlign w:val="bottom"/>
          </w:tcPr>
          <w:p>
            <w:pPr>
              <w:spacing w:after="0"/>
              <w:rPr>
                <w:sz w:val="14"/>
                <w:szCs w:val="14"/>
                <w:color w:val="auto"/>
              </w:rPr>
            </w:pPr>
          </w:p>
        </w:tc>
        <w:tc>
          <w:tcPr>
            <w:tcW w:w="1080" w:type="dxa"/>
            <w:vAlign w:val="bottom"/>
            <w:tcBorders>
              <w:right w:val="single" w:sz="8" w:color="4D8ABE"/>
            </w:tcBorders>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704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Continuing operations</w:t>
            </w:r>
          </w:p>
        </w:tc>
        <w:tc>
          <w:tcPr>
            <w:tcW w:w="400" w:type="dxa"/>
            <w:vAlign w:val="bottom"/>
            <w:shd w:val="clear" w:color="auto" w:fill="E6EFFF"/>
          </w:tcPr>
          <w:p>
            <w:pPr>
              <w:jc w:val="right"/>
              <w:ind w:right="232"/>
              <w:spacing w:after="0"/>
              <w:rPr>
                <w:sz w:val="20"/>
                <w:szCs w:val="20"/>
                <w:color w:val="auto"/>
              </w:rPr>
            </w:pPr>
            <w:r>
              <w:rPr>
                <w:rFonts w:ascii="Arial" w:cs="Arial" w:eastAsia="Arial" w:hAnsi="Arial"/>
                <w:sz w:val="14"/>
                <w:szCs w:val="14"/>
                <w:b w:val="1"/>
                <w:bCs w:val="1"/>
                <w:color w:val="4D8ABE"/>
              </w:rPr>
              <w:t>$</w:t>
            </w: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2.75</w:t>
            </w:r>
          </w:p>
        </w:tc>
        <w:tc>
          <w:tcPr>
            <w:tcW w:w="400" w:type="dxa"/>
            <w:vAlign w:val="bottom"/>
            <w:tcBorders>
              <w:left w:val="single" w:sz="8" w:color="E6EFFF"/>
            </w:tcBorders>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9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5.73</w:t>
            </w:r>
          </w:p>
        </w:tc>
        <w:tc>
          <w:tcPr>
            <w:tcW w:w="500" w:type="dxa"/>
            <w:vAlign w:val="bottom"/>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8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3.48</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bottom w:val="single" w:sz="8" w:color="auto"/>
              <w:right w:val="single" w:sz="8" w:color="4D8ABE"/>
            </w:tcBorders>
          </w:tcPr>
          <w:p>
            <w:pPr>
              <w:ind w:left="120"/>
              <w:spacing w:after="0"/>
              <w:rPr>
                <w:sz w:val="20"/>
                <w:szCs w:val="20"/>
                <w:color w:val="auto"/>
              </w:rPr>
            </w:pPr>
            <w:r>
              <w:rPr>
                <w:rFonts w:ascii="Arial" w:cs="Arial" w:eastAsia="Arial" w:hAnsi="Arial"/>
                <w:sz w:val="14"/>
                <w:szCs w:val="14"/>
                <w:color w:val="auto"/>
              </w:rPr>
              <w:t>Discontinued operations</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right w:val="single" w:sz="8" w:color="4D8ABE"/>
            </w:tcBorders>
            <w:shd w:val="clear" w:color="auto" w:fill="E6EFFF"/>
          </w:tcPr>
          <w:p>
            <w:pPr>
              <w:ind w:left="120"/>
              <w:spacing w:after="0" w:line="155" w:lineRule="exact"/>
              <w:rPr>
                <w:sz w:val="20"/>
                <w:szCs w:val="20"/>
                <w:color w:val="auto"/>
              </w:rPr>
            </w:pPr>
            <w:r>
              <w:rPr>
                <w:rFonts w:ascii="Arial" w:cs="Arial" w:eastAsia="Arial" w:hAnsi="Arial"/>
                <w:sz w:val="14"/>
                <w:szCs w:val="14"/>
                <w:color w:val="auto"/>
              </w:rPr>
              <w:t>Total</w:t>
            </w:r>
          </w:p>
        </w:tc>
        <w:tc>
          <w:tcPr>
            <w:tcW w:w="400" w:type="dxa"/>
            <w:vAlign w:val="bottom"/>
            <w:shd w:val="clear" w:color="auto" w:fill="E6EFFF"/>
          </w:tcPr>
          <w:p>
            <w:pPr>
              <w:jc w:val="right"/>
              <w:ind w:right="232"/>
              <w:spacing w:after="0" w:line="155" w:lineRule="exact"/>
              <w:rPr>
                <w:sz w:val="20"/>
                <w:szCs w:val="20"/>
                <w:color w:val="auto"/>
              </w:rPr>
            </w:pPr>
            <w:r>
              <w:rPr>
                <w:rFonts w:ascii="Arial" w:cs="Arial" w:eastAsia="Arial" w:hAnsi="Arial"/>
                <w:sz w:val="14"/>
                <w:szCs w:val="14"/>
                <w:b w:val="1"/>
                <w:bCs w:val="1"/>
                <w:color w:val="4D8ABE"/>
              </w:rPr>
              <w:t>$</w:t>
            </w:r>
          </w:p>
        </w:tc>
        <w:tc>
          <w:tcPr>
            <w:tcW w:w="1080" w:type="dxa"/>
            <w:vAlign w:val="bottom"/>
            <w:tcBorders>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2.75</w:t>
            </w:r>
          </w:p>
        </w:tc>
        <w:tc>
          <w:tcPr>
            <w:tcW w:w="400" w:type="dxa"/>
            <w:vAlign w:val="bottom"/>
            <w:tcBorders>
              <w:left w:val="single" w:sz="8" w:color="E6EFFF"/>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5.73</w:t>
            </w:r>
          </w:p>
        </w:tc>
        <w:tc>
          <w:tcPr>
            <w:tcW w:w="500" w:type="dxa"/>
            <w:vAlign w:val="bottom"/>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E6EFFF"/>
          </w:tcPr>
          <w:p>
            <w:pPr>
              <w:jc w:val="right"/>
              <w:spacing w:after="0" w:line="155" w:lineRule="exact"/>
              <w:rPr>
                <w:sz w:val="20"/>
                <w:szCs w:val="20"/>
                <w:color w:val="auto"/>
              </w:rPr>
            </w:pPr>
            <w:r>
              <w:rPr>
                <w:rFonts w:ascii="Arial" w:cs="Arial" w:eastAsia="Arial" w:hAnsi="Arial"/>
                <w:sz w:val="14"/>
                <w:szCs w:val="14"/>
                <w:color w:val="auto"/>
              </w:rPr>
              <w:t>4.54</w:t>
            </w:r>
          </w:p>
        </w:tc>
        <w:tc>
          <w:tcPr>
            <w:tcW w:w="220" w:type="dxa"/>
            <w:vAlign w:val="bottom"/>
            <w:shd w:val="clear" w:color="auto" w:fill="E6EFFF"/>
          </w:tcPr>
          <w:p>
            <w:pPr>
              <w:spacing w:after="0"/>
              <w:rPr>
                <w:sz w:val="13"/>
                <w:szCs w:val="13"/>
                <w:color w:val="auto"/>
              </w:rPr>
            </w:pPr>
          </w:p>
        </w:tc>
      </w:tr>
      <w:tr>
        <w:trPr>
          <w:trHeight w:val="165"/>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Weighted average shares - basic</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78.7</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83.1</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220" w:type="dxa"/>
            <w:vAlign w:val="bottom"/>
            <w:tcBorders>
              <w:bottom w:val="single" w:sz="8" w:color="E6EFFF"/>
            </w:tcBorders>
          </w:tcPr>
          <w:p>
            <w:pPr>
              <w:spacing w:after="0"/>
              <w:rPr>
                <w:sz w:val="14"/>
                <w:szCs w:val="14"/>
                <w:color w:val="auto"/>
              </w:rPr>
            </w:pPr>
          </w:p>
        </w:tc>
      </w:tr>
      <w:tr>
        <w:trPr>
          <w:trHeight w:val="165"/>
        </w:trPr>
        <w:tc>
          <w:tcPr>
            <w:tcW w:w="704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Weighted average shares - diluted</w:t>
            </w:r>
          </w:p>
        </w:tc>
        <w:tc>
          <w:tcPr>
            <w:tcW w:w="400" w:type="dxa"/>
            <w:vAlign w:val="bottom"/>
            <w:tcBorders>
              <w:bottom w:val="single" w:sz="8" w:color="auto"/>
            </w:tcBorders>
            <w:shd w:val="clear" w:color="auto" w:fill="E6EFFF"/>
          </w:tcPr>
          <w:p>
            <w:pPr>
              <w:spacing w:after="0"/>
              <w:rPr>
                <w:sz w:val="14"/>
                <w:szCs w:val="14"/>
                <w:color w:val="auto"/>
              </w:rPr>
            </w:pPr>
          </w:p>
        </w:tc>
        <w:tc>
          <w:tcPr>
            <w:tcW w:w="108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79.7</w:t>
            </w:r>
          </w:p>
        </w:tc>
        <w:tc>
          <w:tcPr>
            <w:tcW w:w="400" w:type="dxa"/>
            <w:vAlign w:val="bottom"/>
            <w:tcBorders>
              <w:left w:val="single" w:sz="8" w:color="4D8ABE"/>
              <w:bottom w:val="single" w:sz="8" w:color="auto"/>
            </w:tcBorders>
            <w:shd w:val="clear" w:color="auto" w:fill="E6EFFF"/>
          </w:tcPr>
          <w:p>
            <w:pPr>
              <w:spacing w:after="0"/>
              <w:rPr>
                <w:sz w:val="14"/>
                <w:szCs w:val="14"/>
                <w:color w:val="auto"/>
              </w:rPr>
            </w:pPr>
          </w:p>
        </w:tc>
        <w:tc>
          <w:tcPr>
            <w:tcW w:w="98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84.6</w:t>
            </w:r>
          </w:p>
        </w:tc>
        <w:tc>
          <w:tcPr>
            <w:tcW w:w="500" w:type="dxa"/>
            <w:vAlign w:val="bottom"/>
            <w:tcBorders>
              <w:bottom w:val="single" w:sz="8" w:color="auto"/>
            </w:tcBorders>
            <w:shd w:val="clear" w:color="auto" w:fill="E6EFFF"/>
          </w:tcPr>
          <w:p>
            <w:pPr>
              <w:spacing w:after="0"/>
              <w:rPr>
                <w:sz w:val="14"/>
                <w:szCs w:val="14"/>
                <w:color w:val="auto"/>
              </w:rPr>
            </w:pPr>
          </w:p>
        </w:tc>
        <w:tc>
          <w:tcPr>
            <w:tcW w:w="8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87.7</w:t>
            </w:r>
          </w:p>
        </w:tc>
        <w:tc>
          <w:tcPr>
            <w:tcW w:w="220" w:type="dxa"/>
            <w:vAlign w:val="bottom"/>
            <w:tcBorders>
              <w:bottom w:val="single" w:sz="8" w:color="E6EFFF"/>
            </w:tcBorders>
            <w:shd w:val="clear" w:color="auto" w:fill="E6EFFF"/>
          </w:tcPr>
          <w:p>
            <w:pPr>
              <w:spacing w:after="0"/>
              <w:rPr>
                <w:sz w:val="14"/>
                <w:szCs w:val="14"/>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184" w:lineRule="exact"/>
        <w:rPr>
          <w:sz w:val="20"/>
          <w:szCs w:val="20"/>
          <w:color w:val="auto"/>
        </w:rPr>
      </w:pPr>
    </w:p>
    <w:p>
      <w:pPr>
        <w:spacing w:after="0"/>
        <w:tabs>
          <w:tab w:leader="none" w:pos="2840" w:val="left"/>
          <w:tab w:leader="none" w:pos="858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2"/>
          <w:szCs w:val="12"/>
          <w:b w:val="1"/>
          <w:bCs w:val="1"/>
          <w:color w:val="939598"/>
        </w:rPr>
        <w:t>Consolidated Statements of Operations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7964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729869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939598"/>
        </w:rPr>
        <w:t>Consolidated Balance Sheets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December 31</w:t>
            </w:r>
          </w:p>
        </w:tc>
        <w:tc>
          <w:tcPr>
            <w:tcW w:w="420" w:type="dxa"/>
            <w:vAlign w:val="bottom"/>
            <w:shd w:val="clear" w:color="auto" w:fill="4D8ABE"/>
          </w:tcPr>
          <w:p>
            <w:pPr>
              <w:spacing w:after="0"/>
              <w:rPr>
                <w:sz w:val="15"/>
                <w:szCs w:val="15"/>
                <w:color w:val="auto"/>
              </w:rPr>
            </w:pPr>
          </w:p>
        </w:tc>
        <w:tc>
          <w:tcPr>
            <w:tcW w:w="106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4D8ABE"/>
              </w:rPr>
              <w:t>2007</w:t>
            </w:r>
          </w:p>
        </w:tc>
      </w:tr>
      <w:tr>
        <w:trPr>
          <w:trHeight w:val="138"/>
        </w:trPr>
        <w:tc>
          <w:tcPr>
            <w:tcW w:w="8520" w:type="dxa"/>
            <w:vAlign w:val="bottom"/>
            <w:tcBorders>
              <w:top w:val="single" w:sz="8" w:color="4D8ABE"/>
              <w:right w:val="single" w:sz="8" w:color="4D8ABE"/>
            </w:tcBorders>
          </w:tcPr>
          <w:p>
            <w:pPr>
              <w:spacing w:after="0" w:line="138" w:lineRule="exact"/>
              <w:rPr>
                <w:sz w:val="20"/>
                <w:szCs w:val="20"/>
                <w:color w:val="auto"/>
              </w:rPr>
            </w:pPr>
            <w:r>
              <w:rPr>
                <w:rFonts w:ascii="Arial" w:cs="Arial" w:eastAsia="Arial" w:hAnsi="Arial"/>
                <w:sz w:val="14"/>
                <w:szCs w:val="14"/>
                <w:b w:val="1"/>
                <w:bCs w:val="1"/>
                <w:color w:val="4D8ABE"/>
              </w:rPr>
              <w:t>ASSETS</w:t>
            </w:r>
          </w:p>
        </w:tc>
        <w:tc>
          <w:tcPr>
            <w:tcW w:w="420" w:type="dxa"/>
            <w:vAlign w:val="bottom"/>
            <w:tcBorders>
              <w:top w:val="single" w:sz="8" w:color="4D8ABE"/>
            </w:tcBorders>
          </w:tcPr>
          <w:p>
            <w:pPr>
              <w:spacing w:after="0"/>
              <w:rPr>
                <w:sz w:val="11"/>
                <w:szCs w:val="11"/>
                <w:color w:val="auto"/>
              </w:rPr>
            </w:pPr>
          </w:p>
        </w:tc>
        <w:tc>
          <w:tcPr>
            <w:tcW w:w="1060" w:type="dxa"/>
            <w:vAlign w:val="bottom"/>
            <w:tcBorders>
              <w:top w:val="single" w:sz="8" w:color="4D8ABE"/>
              <w:right w:val="single" w:sz="8" w:color="4D8ABE"/>
            </w:tcBorders>
          </w:tcPr>
          <w:p>
            <w:pPr>
              <w:spacing w:after="0"/>
              <w:rPr>
                <w:sz w:val="11"/>
                <w:szCs w:val="11"/>
                <w:color w:val="auto"/>
              </w:rPr>
            </w:pPr>
          </w:p>
        </w:tc>
        <w:tc>
          <w:tcPr>
            <w:tcW w:w="420" w:type="dxa"/>
            <w:vAlign w:val="bottom"/>
            <w:tcBorders>
              <w:top w:val="single" w:sz="8" w:color="4D8ABE"/>
            </w:tcBorders>
          </w:tcPr>
          <w:p>
            <w:pPr>
              <w:spacing w:after="0"/>
              <w:rPr>
                <w:sz w:val="11"/>
                <w:szCs w:val="11"/>
                <w:color w:val="auto"/>
              </w:rPr>
            </w:pPr>
          </w:p>
        </w:tc>
        <w:tc>
          <w:tcPr>
            <w:tcW w:w="820" w:type="dxa"/>
            <w:vAlign w:val="bottom"/>
            <w:tcBorders>
              <w:top w:val="single" w:sz="8" w:color="4D8ABE"/>
            </w:tcBorders>
          </w:tcPr>
          <w:p>
            <w:pPr>
              <w:spacing w:after="0"/>
              <w:rPr>
                <w:sz w:val="11"/>
                <w:szCs w:val="11"/>
                <w:color w:val="auto"/>
              </w:rPr>
            </w:pPr>
          </w:p>
        </w:tc>
        <w:tc>
          <w:tcPr>
            <w:tcW w:w="220" w:type="dxa"/>
            <w:vAlign w:val="bottom"/>
          </w:tcPr>
          <w:p>
            <w:pPr>
              <w:spacing w:after="0"/>
              <w:rPr>
                <w:sz w:val="11"/>
                <w:szCs w:val="11"/>
                <w:color w:val="auto"/>
              </w:rPr>
            </w:pPr>
          </w:p>
        </w:tc>
      </w:tr>
      <w:tr>
        <w:trPr>
          <w:trHeight w:val="180"/>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939598"/>
              </w:rPr>
              <w:t>Current Assets</w:t>
            </w:r>
          </w:p>
        </w:tc>
        <w:tc>
          <w:tcPr>
            <w:tcW w:w="420" w:type="dxa"/>
            <w:vAlign w:val="bottom"/>
          </w:tcPr>
          <w:p>
            <w:pPr>
              <w:spacing w:after="0"/>
              <w:rPr>
                <w:sz w:val="15"/>
                <w:szCs w:val="15"/>
                <w:color w:val="auto"/>
              </w:rPr>
            </w:pPr>
          </w:p>
        </w:tc>
        <w:tc>
          <w:tcPr>
            <w:tcW w:w="1060" w:type="dxa"/>
            <w:vAlign w:val="bottom"/>
            <w:tcBorders>
              <w:right w:val="single" w:sz="8" w:color="4D8ABE"/>
            </w:tcBorders>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5"/>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Cash and cash equivalents</w:t>
            </w:r>
          </w:p>
        </w:tc>
        <w:tc>
          <w:tcPr>
            <w:tcW w:w="420" w:type="dxa"/>
            <w:vAlign w:val="bottom"/>
            <w:shd w:val="clear" w:color="auto" w:fill="E6EFFF"/>
          </w:tcPr>
          <w:p>
            <w:pPr>
              <w:jc w:val="right"/>
              <w:ind w:right="252"/>
              <w:spacing w:after="0"/>
              <w:rPr>
                <w:sz w:val="20"/>
                <w:szCs w:val="20"/>
                <w:color w:val="auto"/>
              </w:rPr>
            </w:pPr>
            <w:r>
              <w:rPr>
                <w:rFonts w:ascii="Arial" w:cs="Arial" w:eastAsia="Arial" w:hAnsi="Arial"/>
                <w:sz w:val="14"/>
                <w:szCs w:val="14"/>
                <w:b w:val="1"/>
                <w:bCs w:val="1"/>
                <w:color w:val="4D8ABE"/>
              </w:rPr>
              <w:t>$</w:t>
            </w: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874.0</w:t>
            </w:r>
          </w:p>
        </w:tc>
        <w:tc>
          <w:tcPr>
            <w:tcW w:w="420" w:type="dxa"/>
            <w:vAlign w:val="bottom"/>
            <w:shd w:val="clear" w:color="auto" w:fill="E6EFFF"/>
          </w:tcPr>
          <w:p>
            <w:pPr>
              <w:jc w:val="right"/>
              <w:ind w:right="25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537.5</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Accounts receivable, less allowance for doubtful accounts of $118.5 and $123.1, respectively</w:t>
            </w:r>
          </w:p>
        </w:tc>
        <w:tc>
          <w:tcPr>
            <w:tcW w:w="420" w:type="dxa"/>
            <w:vAlign w:val="bottom"/>
          </w:tcPr>
          <w:p>
            <w:pPr>
              <w:spacing w:after="0"/>
              <w:rPr>
                <w:sz w:val="14"/>
                <w:szCs w:val="14"/>
                <w:color w:val="auto"/>
              </w:rPr>
            </w:pPr>
          </w:p>
        </w:tc>
        <w:tc>
          <w:tcPr>
            <w:tcW w:w="10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3,629.7</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4,478.8</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Prepaid expenses and other assets</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119.9</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122.2</w:t>
            </w:r>
          </w:p>
        </w:tc>
      </w:tr>
      <w:tr>
        <w:trPr>
          <w:trHeight w:val="164"/>
        </w:trPr>
        <w:tc>
          <w:tcPr>
            <w:tcW w:w="852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Future income tax benefits</w:t>
            </w: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66.5</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220" w:type="dxa"/>
            <w:vAlign w:val="bottom"/>
            <w:tcBorders>
              <w:bottom w:val="single" w:sz="8" w:color="E6EFFF"/>
            </w:tcBorders>
          </w:tcPr>
          <w:p>
            <w:pPr>
              <w:spacing w:after="0"/>
              <w:rPr>
                <w:sz w:val="14"/>
                <w:szCs w:val="14"/>
                <w:color w:val="auto"/>
              </w:rPr>
            </w:pPr>
          </w:p>
        </w:tc>
      </w:tr>
      <w:tr>
        <w:trPr>
          <w:trHeight w:val="155"/>
        </w:trPr>
        <w:tc>
          <w:tcPr>
            <w:tcW w:w="8520" w:type="dxa"/>
            <w:vAlign w:val="bottom"/>
            <w:tcBorders>
              <w:right w:val="single" w:sz="8" w:color="4D8ABE"/>
            </w:tcBorders>
            <w:shd w:val="clear" w:color="auto" w:fill="E6EFFF"/>
          </w:tcPr>
          <w:p>
            <w:pPr>
              <w:ind w:left="120"/>
              <w:spacing w:after="0" w:line="155" w:lineRule="exact"/>
              <w:rPr>
                <w:sz w:val="20"/>
                <w:szCs w:val="20"/>
                <w:color w:val="auto"/>
              </w:rPr>
            </w:pPr>
            <w:r>
              <w:rPr>
                <w:rFonts w:ascii="Arial" w:cs="Arial" w:eastAsia="Arial" w:hAnsi="Arial"/>
                <w:sz w:val="14"/>
                <w:szCs w:val="14"/>
                <w:color w:val="auto"/>
              </w:rPr>
              <w:t>Total current assets</w:t>
            </w:r>
          </w:p>
        </w:tc>
        <w:tc>
          <w:tcPr>
            <w:tcW w:w="420" w:type="dxa"/>
            <w:vAlign w:val="bottom"/>
            <w:shd w:val="clear" w:color="auto" w:fill="E6EFFF"/>
          </w:tcPr>
          <w:p>
            <w:pPr>
              <w:spacing w:after="0"/>
              <w:rPr>
                <w:sz w:val="13"/>
                <w:szCs w:val="13"/>
                <w:color w:val="auto"/>
              </w:rPr>
            </w:pPr>
          </w:p>
        </w:tc>
        <w:tc>
          <w:tcPr>
            <w:tcW w:w="1060" w:type="dxa"/>
            <w:vAlign w:val="bottom"/>
            <w:tcBorders>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4,690.1</w:t>
            </w:r>
          </w:p>
        </w:tc>
        <w:tc>
          <w:tcPr>
            <w:tcW w:w="420" w:type="dxa"/>
            <w:vAlign w:val="bottom"/>
            <w:shd w:val="clear" w:color="auto" w:fill="E6EFFF"/>
          </w:tcPr>
          <w:p>
            <w:pPr>
              <w:spacing w:after="0"/>
              <w:rPr>
                <w:sz w:val="13"/>
                <w:szCs w:val="13"/>
                <w:color w:val="auto"/>
              </w:rPr>
            </w:pPr>
          </w:p>
        </w:tc>
        <w:tc>
          <w:tcPr>
            <w:tcW w:w="820" w:type="dxa"/>
            <w:vAlign w:val="bottom"/>
            <w:shd w:val="clear" w:color="auto" w:fill="E6EFFF"/>
          </w:tcPr>
          <w:p>
            <w:pPr>
              <w:jc w:val="right"/>
              <w:spacing w:after="0" w:line="155" w:lineRule="exact"/>
              <w:rPr>
                <w:sz w:val="20"/>
                <w:szCs w:val="20"/>
                <w:color w:val="auto"/>
              </w:rPr>
            </w:pPr>
            <w:r>
              <w:rPr>
                <w:rFonts w:ascii="Arial" w:cs="Arial" w:eastAsia="Arial" w:hAnsi="Arial"/>
                <w:sz w:val="14"/>
                <w:szCs w:val="14"/>
                <w:color w:val="auto"/>
              </w:rPr>
              <w:t>5,214.8</w:t>
            </w:r>
          </w:p>
        </w:tc>
        <w:tc>
          <w:tcPr>
            <w:tcW w:w="220" w:type="dxa"/>
            <w:vAlign w:val="bottom"/>
            <w:shd w:val="clear" w:color="auto" w:fill="E6EFFF"/>
          </w:tcPr>
          <w:p>
            <w:pPr>
              <w:spacing w:after="0"/>
              <w:rPr>
                <w:sz w:val="13"/>
                <w:szCs w:val="13"/>
                <w:color w:val="auto"/>
              </w:rPr>
            </w:pPr>
          </w:p>
        </w:tc>
      </w:tr>
      <w:tr>
        <w:trPr>
          <w:trHeight w:val="185"/>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939598"/>
              </w:rPr>
              <w:t xml:space="preserve">Other </w:t>
            </w:r>
            <w:r>
              <w:rPr>
                <w:rFonts w:ascii="Arial" w:cs="Arial" w:eastAsia="Arial" w:hAnsi="Arial"/>
                <w:sz w:val="16"/>
                <w:szCs w:val="16"/>
                <w:b w:val="1"/>
                <w:bCs w:val="1"/>
                <w:color w:val="939598"/>
              </w:rPr>
              <w:t>Assets</w:t>
            </w:r>
          </w:p>
        </w:tc>
        <w:tc>
          <w:tcPr>
            <w:tcW w:w="420" w:type="dxa"/>
            <w:vAlign w:val="bottom"/>
          </w:tcPr>
          <w:p>
            <w:pPr>
              <w:spacing w:after="0"/>
              <w:rPr>
                <w:sz w:val="16"/>
                <w:szCs w:val="16"/>
                <w:color w:val="auto"/>
              </w:rPr>
            </w:pPr>
          </w:p>
        </w:tc>
        <w:tc>
          <w:tcPr>
            <w:tcW w:w="1060" w:type="dxa"/>
            <w:vAlign w:val="bottom"/>
            <w:tcBorders>
              <w:right w:val="single" w:sz="8" w:color="4D8ABE"/>
            </w:tcBorders>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Goodwill</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972.9</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1,045.9</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Intangible assets, less accumulated amortization of $78.4 and $56.1, respectively</w:t>
            </w:r>
          </w:p>
        </w:tc>
        <w:tc>
          <w:tcPr>
            <w:tcW w:w="420" w:type="dxa"/>
            <w:vAlign w:val="bottom"/>
          </w:tcPr>
          <w:p>
            <w:pPr>
              <w:spacing w:after="0"/>
              <w:rPr>
                <w:sz w:val="14"/>
                <w:szCs w:val="14"/>
                <w:color w:val="auto"/>
              </w:rPr>
            </w:pPr>
          </w:p>
        </w:tc>
        <w:tc>
          <w:tcPr>
            <w:tcW w:w="10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415.2</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364.8</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assets</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326.6</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377.7</w:t>
            </w:r>
          </w:p>
        </w:tc>
      </w:tr>
      <w:tr>
        <w:trPr>
          <w:trHeight w:val="155"/>
        </w:trPr>
        <w:tc>
          <w:tcPr>
            <w:tcW w:w="8520" w:type="dxa"/>
            <w:vAlign w:val="bottom"/>
            <w:tcBorders>
              <w:top w:val="single" w:sz="8" w:color="auto"/>
              <w:right w:val="single" w:sz="8" w:color="4D8ABE"/>
            </w:tcBorders>
          </w:tcPr>
          <w:p>
            <w:pPr>
              <w:ind w:left="120"/>
              <w:spacing w:after="0" w:line="155" w:lineRule="exact"/>
              <w:rPr>
                <w:sz w:val="20"/>
                <w:szCs w:val="20"/>
                <w:color w:val="auto"/>
              </w:rPr>
            </w:pPr>
            <w:r>
              <w:rPr>
                <w:rFonts w:ascii="Arial" w:cs="Arial" w:eastAsia="Arial" w:hAnsi="Arial"/>
                <w:sz w:val="14"/>
                <w:szCs w:val="14"/>
                <w:color w:val="auto"/>
              </w:rPr>
              <w:t>Total other assets</w:t>
            </w:r>
          </w:p>
        </w:tc>
        <w:tc>
          <w:tcPr>
            <w:tcW w:w="420" w:type="dxa"/>
            <w:vAlign w:val="bottom"/>
            <w:tcBorders>
              <w:top w:val="single" w:sz="8" w:color="auto"/>
            </w:tcBorders>
          </w:tcPr>
          <w:p>
            <w:pPr>
              <w:spacing w:after="0"/>
              <w:rPr>
                <w:sz w:val="13"/>
                <w:szCs w:val="13"/>
                <w:color w:val="auto"/>
              </w:rPr>
            </w:pPr>
          </w:p>
        </w:tc>
        <w:tc>
          <w:tcPr>
            <w:tcW w:w="1060" w:type="dxa"/>
            <w:vAlign w:val="bottom"/>
            <w:tcBorders>
              <w:top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1,714.7</w:t>
            </w: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1,788.4</w:t>
            </w:r>
          </w:p>
        </w:tc>
        <w:tc>
          <w:tcPr>
            <w:tcW w:w="220" w:type="dxa"/>
            <w:vAlign w:val="bottom"/>
          </w:tcPr>
          <w:p>
            <w:pPr>
              <w:spacing w:after="0"/>
              <w:rPr>
                <w:sz w:val="13"/>
                <w:szCs w:val="13"/>
                <w:color w:val="auto"/>
              </w:rPr>
            </w:pP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b w:val="1"/>
                <w:bCs w:val="1"/>
                <w:color w:val="808080"/>
              </w:rPr>
              <w:t>Property and Equipment</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Land, buildings, leasehold improvements and equipment</w:t>
            </w:r>
          </w:p>
        </w:tc>
        <w:tc>
          <w:tcPr>
            <w:tcW w:w="420" w:type="dxa"/>
            <w:vAlign w:val="bottom"/>
          </w:tcPr>
          <w:p>
            <w:pPr>
              <w:spacing w:after="0"/>
              <w:rPr>
                <w:sz w:val="14"/>
                <w:szCs w:val="14"/>
                <w:color w:val="auto"/>
              </w:rPr>
            </w:pPr>
          </w:p>
        </w:tc>
        <w:tc>
          <w:tcPr>
            <w:tcW w:w="10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744.0</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760.8</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Less: accumulated depreciation and amortization</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530.6</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539.6</w:t>
            </w:r>
          </w:p>
        </w:tc>
      </w:tr>
      <w:tr>
        <w:trPr>
          <w:trHeight w:val="155"/>
        </w:trPr>
        <w:tc>
          <w:tcPr>
            <w:tcW w:w="8520" w:type="dxa"/>
            <w:vAlign w:val="bottom"/>
            <w:tcBorders>
              <w:top w:val="single" w:sz="8" w:color="auto"/>
              <w:bottom w:val="single" w:sz="8" w:color="auto"/>
              <w:right w:val="single" w:sz="8" w:color="4D8ABE"/>
            </w:tcBorders>
          </w:tcPr>
          <w:p>
            <w:pPr>
              <w:ind w:left="120"/>
              <w:spacing w:after="0" w:line="155" w:lineRule="exact"/>
              <w:rPr>
                <w:sz w:val="20"/>
                <w:szCs w:val="20"/>
                <w:color w:val="auto"/>
              </w:rPr>
            </w:pPr>
            <w:r>
              <w:rPr>
                <w:rFonts w:ascii="Arial" w:cs="Arial" w:eastAsia="Arial" w:hAnsi="Arial"/>
                <w:sz w:val="14"/>
                <w:szCs w:val="14"/>
                <w:color w:val="auto"/>
              </w:rPr>
              <w:t>Net property and equipment</w:t>
            </w:r>
          </w:p>
        </w:tc>
        <w:tc>
          <w:tcPr>
            <w:tcW w:w="4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213.4</w:t>
            </w:r>
          </w:p>
        </w:tc>
        <w:tc>
          <w:tcPr>
            <w:tcW w:w="4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221.2</w:t>
            </w:r>
          </w:p>
        </w:tc>
        <w:tc>
          <w:tcPr>
            <w:tcW w:w="220" w:type="dxa"/>
            <w:vAlign w:val="bottom"/>
            <w:tcBorders>
              <w:bottom w:val="single" w:sz="8" w:color="E6EFFF"/>
            </w:tcBorders>
          </w:tcPr>
          <w:p>
            <w:pPr>
              <w:spacing w:after="0"/>
              <w:rPr>
                <w:sz w:val="13"/>
                <w:szCs w:val="13"/>
                <w:color w:val="auto"/>
              </w:rPr>
            </w:pPr>
          </w:p>
        </w:tc>
      </w:tr>
      <w:tr>
        <w:trPr>
          <w:trHeight w:val="155"/>
        </w:trPr>
        <w:tc>
          <w:tcPr>
            <w:tcW w:w="8520" w:type="dxa"/>
            <w:vAlign w:val="bottom"/>
            <w:tcBorders>
              <w:bottom w:val="single" w:sz="8" w:color="auto"/>
              <w:right w:val="single" w:sz="8" w:color="4D8ABE"/>
            </w:tcBorders>
            <w:shd w:val="clear" w:color="auto" w:fill="E6EFFF"/>
          </w:tcPr>
          <w:p>
            <w:pPr>
              <w:ind w:left="120"/>
              <w:spacing w:after="0" w:line="155" w:lineRule="exact"/>
              <w:rPr>
                <w:sz w:val="20"/>
                <w:szCs w:val="20"/>
                <w:color w:val="auto"/>
              </w:rPr>
            </w:pPr>
            <w:r>
              <w:rPr>
                <w:rFonts w:ascii="Arial" w:cs="Arial" w:eastAsia="Arial" w:hAnsi="Arial"/>
                <w:sz w:val="14"/>
                <w:szCs w:val="14"/>
                <w:color w:val="auto"/>
              </w:rPr>
              <w:t>Total assets</w:t>
            </w:r>
          </w:p>
        </w:tc>
        <w:tc>
          <w:tcPr>
            <w:tcW w:w="420" w:type="dxa"/>
            <w:vAlign w:val="bottom"/>
            <w:tcBorders>
              <w:bottom w:val="single" w:sz="8" w:color="auto"/>
            </w:tcBorders>
            <w:shd w:val="clear" w:color="auto" w:fill="E6EFFF"/>
          </w:tcPr>
          <w:p>
            <w:pPr>
              <w:jc w:val="right"/>
              <w:ind w:right="252"/>
              <w:spacing w:after="0" w:line="155" w:lineRule="exact"/>
              <w:rPr>
                <w:sz w:val="20"/>
                <w:szCs w:val="20"/>
                <w:color w:val="auto"/>
              </w:rPr>
            </w:pPr>
            <w:r>
              <w:rPr>
                <w:rFonts w:ascii="Arial" w:cs="Arial" w:eastAsia="Arial" w:hAnsi="Arial"/>
                <w:sz w:val="14"/>
                <w:szCs w:val="14"/>
                <w:b w:val="1"/>
                <w:bCs w:val="1"/>
                <w:color w:val="4D8ABE"/>
              </w:rPr>
              <w:t>$</w:t>
            </w:r>
          </w:p>
        </w:tc>
        <w:tc>
          <w:tcPr>
            <w:tcW w:w="106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6,618.2</w:t>
            </w:r>
          </w:p>
        </w:tc>
        <w:tc>
          <w:tcPr>
            <w:tcW w:w="420" w:type="dxa"/>
            <w:vAlign w:val="bottom"/>
            <w:tcBorders>
              <w:bottom w:val="single" w:sz="8" w:color="auto"/>
            </w:tcBorders>
            <w:shd w:val="clear" w:color="auto" w:fill="E6EFFF"/>
          </w:tcPr>
          <w:p>
            <w:pPr>
              <w:jc w:val="right"/>
              <w:ind w:right="25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7,224.4</w:t>
            </w:r>
          </w:p>
        </w:tc>
        <w:tc>
          <w:tcPr>
            <w:tcW w:w="220" w:type="dxa"/>
            <w:vAlign w:val="bottom"/>
            <w:tcBorders>
              <w:bottom w:val="single" w:sz="8" w:color="E6EFFF"/>
            </w:tcBorders>
            <w:shd w:val="clear" w:color="auto" w:fill="E6EFFF"/>
          </w:tcPr>
          <w:p>
            <w:pPr>
              <w:spacing w:after="0"/>
              <w:rPr>
                <w:sz w:val="13"/>
                <w:szCs w:val="13"/>
                <w:color w:val="auto"/>
              </w:rPr>
            </w:pPr>
          </w:p>
        </w:tc>
      </w:tr>
      <w:tr>
        <w:trPr>
          <w:trHeight w:val="312"/>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4D8ABE"/>
              </w:rPr>
              <w:t>LIABILITIES AND SHAREHOLDERS’ EQUITY</w:t>
            </w:r>
          </w:p>
        </w:tc>
        <w:tc>
          <w:tcPr>
            <w:tcW w:w="420" w:type="dxa"/>
            <w:vAlign w:val="bottom"/>
          </w:tcPr>
          <w:p>
            <w:pPr>
              <w:spacing w:after="0"/>
              <w:rPr>
                <w:sz w:val="24"/>
                <w:szCs w:val="24"/>
                <w:color w:val="auto"/>
              </w:rPr>
            </w:pPr>
          </w:p>
        </w:tc>
        <w:tc>
          <w:tcPr>
            <w:tcW w:w="1060" w:type="dxa"/>
            <w:vAlign w:val="bottom"/>
            <w:tcBorders>
              <w:right w:val="single" w:sz="8" w:color="4D8ABE"/>
            </w:tcBorders>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0"/>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939598"/>
              </w:rPr>
              <w:t>Current Liabilities</w:t>
            </w:r>
          </w:p>
        </w:tc>
        <w:tc>
          <w:tcPr>
            <w:tcW w:w="420" w:type="dxa"/>
            <w:vAlign w:val="bottom"/>
          </w:tcPr>
          <w:p>
            <w:pPr>
              <w:spacing w:after="0"/>
              <w:rPr>
                <w:sz w:val="15"/>
                <w:szCs w:val="15"/>
                <w:color w:val="auto"/>
              </w:rPr>
            </w:pPr>
          </w:p>
        </w:tc>
        <w:tc>
          <w:tcPr>
            <w:tcW w:w="1060" w:type="dxa"/>
            <w:vAlign w:val="bottom"/>
            <w:tcBorders>
              <w:right w:val="single" w:sz="8" w:color="4D8ABE"/>
            </w:tcBorders>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5"/>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Accounts payable</w:t>
            </w:r>
          </w:p>
        </w:tc>
        <w:tc>
          <w:tcPr>
            <w:tcW w:w="420" w:type="dxa"/>
            <w:vAlign w:val="bottom"/>
            <w:shd w:val="clear" w:color="auto" w:fill="E6EFFF"/>
          </w:tcPr>
          <w:p>
            <w:pPr>
              <w:jc w:val="right"/>
              <w:ind w:right="252"/>
              <w:spacing w:after="0"/>
              <w:rPr>
                <w:sz w:val="20"/>
                <w:szCs w:val="20"/>
                <w:color w:val="auto"/>
              </w:rPr>
            </w:pPr>
            <w:r>
              <w:rPr>
                <w:rFonts w:ascii="Arial" w:cs="Arial" w:eastAsia="Arial" w:hAnsi="Arial"/>
                <w:sz w:val="14"/>
                <w:szCs w:val="14"/>
                <w:b w:val="1"/>
                <w:bCs w:val="1"/>
                <w:color w:val="4D8ABE"/>
              </w:rPr>
              <w:t>$</w:t>
            </w: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903.2</w:t>
            </w:r>
          </w:p>
        </w:tc>
        <w:tc>
          <w:tcPr>
            <w:tcW w:w="420" w:type="dxa"/>
            <w:vAlign w:val="bottom"/>
            <w:shd w:val="clear" w:color="auto" w:fill="E6EFFF"/>
          </w:tcPr>
          <w:p>
            <w:pPr>
              <w:jc w:val="right"/>
              <w:ind w:right="25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1,014.4</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Employee compensation payable</w:t>
            </w:r>
          </w:p>
        </w:tc>
        <w:tc>
          <w:tcPr>
            <w:tcW w:w="420" w:type="dxa"/>
            <w:vAlign w:val="bottom"/>
          </w:tcPr>
          <w:p>
            <w:pPr>
              <w:spacing w:after="0"/>
              <w:rPr>
                <w:sz w:val="14"/>
                <w:szCs w:val="14"/>
                <w:color w:val="auto"/>
              </w:rPr>
            </w:pPr>
          </w:p>
        </w:tc>
        <w:tc>
          <w:tcPr>
            <w:tcW w:w="10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213.2</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213.6</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Accrued liabilities</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577.9</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679.4</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Accrued payroll taxes and insurance</w:t>
            </w:r>
          </w:p>
        </w:tc>
        <w:tc>
          <w:tcPr>
            <w:tcW w:w="420" w:type="dxa"/>
            <w:vAlign w:val="bottom"/>
          </w:tcPr>
          <w:p>
            <w:pPr>
              <w:spacing w:after="0"/>
              <w:rPr>
                <w:sz w:val="14"/>
                <w:szCs w:val="14"/>
                <w:color w:val="auto"/>
              </w:rPr>
            </w:pPr>
          </w:p>
        </w:tc>
        <w:tc>
          <w:tcPr>
            <w:tcW w:w="10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617.5</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724.7</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Value added taxes payable</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479.2</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583.7</w:t>
            </w:r>
          </w:p>
        </w:tc>
      </w:tr>
      <w:tr>
        <w:trPr>
          <w:trHeight w:val="164"/>
        </w:trPr>
        <w:tc>
          <w:tcPr>
            <w:tcW w:w="852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Short-term borrowings and current maturities of long-term debt</w:t>
            </w: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115.6</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220" w:type="dxa"/>
            <w:vAlign w:val="bottom"/>
            <w:tcBorders>
              <w:bottom w:val="single" w:sz="8" w:color="E6EFFF"/>
            </w:tcBorders>
          </w:tcPr>
          <w:p>
            <w:pPr>
              <w:spacing w:after="0"/>
              <w:rPr>
                <w:sz w:val="14"/>
                <w:szCs w:val="14"/>
                <w:color w:val="auto"/>
              </w:rPr>
            </w:pPr>
          </w:p>
        </w:tc>
      </w:tr>
      <w:tr>
        <w:trPr>
          <w:trHeight w:val="155"/>
        </w:trPr>
        <w:tc>
          <w:tcPr>
            <w:tcW w:w="8520" w:type="dxa"/>
            <w:vAlign w:val="bottom"/>
            <w:tcBorders>
              <w:right w:val="single" w:sz="8" w:color="4D8ABE"/>
            </w:tcBorders>
            <w:shd w:val="clear" w:color="auto" w:fill="E6EFFF"/>
          </w:tcPr>
          <w:p>
            <w:pPr>
              <w:ind w:left="120"/>
              <w:spacing w:after="0" w:line="155" w:lineRule="exact"/>
              <w:rPr>
                <w:sz w:val="20"/>
                <w:szCs w:val="20"/>
                <w:color w:val="auto"/>
              </w:rPr>
            </w:pPr>
            <w:r>
              <w:rPr>
                <w:rFonts w:ascii="Arial" w:cs="Arial" w:eastAsia="Arial" w:hAnsi="Arial"/>
                <w:sz w:val="14"/>
                <w:szCs w:val="14"/>
                <w:color w:val="auto"/>
              </w:rPr>
              <w:t>Total current liabilities</w:t>
            </w:r>
          </w:p>
        </w:tc>
        <w:tc>
          <w:tcPr>
            <w:tcW w:w="420" w:type="dxa"/>
            <w:vAlign w:val="bottom"/>
            <w:shd w:val="clear" w:color="auto" w:fill="E6EFFF"/>
          </w:tcPr>
          <w:p>
            <w:pPr>
              <w:spacing w:after="0"/>
              <w:rPr>
                <w:sz w:val="13"/>
                <w:szCs w:val="13"/>
                <w:color w:val="auto"/>
              </w:rPr>
            </w:pPr>
          </w:p>
        </w:tc>
        <w:tc>
          <w:tcPr>
            <w:tcW w:w="1060" w:type="dxa"/>
            <w:vAlign w:val="bottom"/>
            <w:tcBorders>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2,906.6</w:t>
            </w:r>
          </w:p>
        </w:tc>
        <w:tc>
          <w:tcPr>
            <w:tcW w:w="420" w:type="dxa"/>
            <w:vAlign w:val="bottom"/>
            <w:shd w:val="clear" w:color="auto" w:fill="E6EFFF"/>
          </w:tcPr>
          <w:p>
            <w:pPr>
              <w:spacing w:after="0"/>
              <w:rPr>
                <w:sz w:val="13"/>
                <w:szCs w:val="13"/>
                <w:color w:val="auto"/>
              </w:rPr>
            </w:pPr>
          </w:p>
        </w:tc>
        <w:tc>
          <w:tcPr>
            <w:tcW w:w="820" w:type="dxa"/>
            <w:vAlign w:val="bottom"/>
            <w:shd w:val="clear" w:color="auto" w:fill="E6EFFF"/>
          </w:tcPr>
          <w:p>
            <w:pPr>
              <w:jc w:val="right"/>
              <w:spacing w:after="0" w:line="155" w:lineRule="exact"/>
              <w:rPr>
                <w:sz w:val="20"/>
                <w:szCs w:val="20"/>
                <w:color w:val="auto"/>
              </w:rPr>
            </w:pPr>
            <w:r>
              <w:rPr>
                <w:rFonts w:ascii="Arial" w:cs="Arial" w:eastAsia="Arial" w:hAnsi="Arial"/>
                <w:sz w:val="14"/>
                <w:szCs w:val="14"/>
                <w:color w:val="auto"/>
              </w:rPr>
              <w:t>3,255.5</w:t>
            </w:r>
          </w:p>
        </w:tc>
        <w:tc>
          <w:tcPr>
            <w:tcW w:w="220" w:type="dxa"/>
            <w:vAlign w:val="bottom"/>
            <w:shd w:val="clear" w:color="auto" w:fill="E6EFFF"/>
          </w:tcPr>
          <w:p>
            <w:pPr>
              <w:spacing w:after="0"/>
              <w:rPr>
                <w:sz w:val="13"/>
                <w:szCs w:val="13"/>
                <w:color w:val="auto"/>
              </w:rPr>
            </w:pP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939598"/>
              </w:rPr>
              <w:t>Other Liabilities</w:t>
            </w:r>
          </w:p>
        </w:tc>
        <w:tc>
          <w:tcPr>
            <w:tcW w:w="420" w:type="dxa"/>
            <w:vAlign w:val="bottom"/>
          </w:tcPr>
          <w:p>
            <w:pPr>
              <w:spacing w:after="0"/>
              <w:rPr>
                <w:sz w:val="14"/>
                <w:szCs w:val="14"/>
                <w:color w:val="auto"/>
              </w:rPr>
            </w:pPr>
          </w:p>
        </w:tc>
        <w:tc>
          <w:tcPr>
            <w:tcW w:w="1060" w:type="dxa"/>
            <w:vAlign w:val="bottom"/>
            <w:tcBorders>
              <w:right w:val="single" w:sz="8" w:color="4D8ABE"/>
            </w:tcBorders>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Long-term debt</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837.3</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874.8</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Other long-term liabilities</w:t>
            </w:r>
          </w:p>
        </w:tc>
        <w:tc>
          <w:tcPr>
            <w:tcW w:w="420" w:type="dxa"/>
            <w:vAlign w:val="bottom"/>
          </w:tcPr>
          <w:p>
            <w:pPr>
              <w:spacing w:after="0"/>
              <w:rPr>
                <w:sz w:val="14"/>
                <w:szCs w:val="14"/>
                <w:color w:val="auto"/>
              </w:rPr>
            </w:pPr>
          </w:p>
        </w:tc>
        <w:tc>
          <w:tcPr>
            <w:tcW w:w="10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390.5</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424.8</w:t>
            </w:r>
          </w:p>
        </w:tc>
      </w:tr>
      <w:tr>
        <w:trPr>
          <w:trHeight w:val="155"/>
        </w:trPr>
        <w:tc>
          <w:tcPr>
            <w:tcW w:w="8520" w:type="dxa"/>
            <w:vAlign w:val="bottom"/>
            <w:tcBorders>
              <w:top w:val="single" w:sz="8" w:color="auto"/>
              <w:right w:val="single" w:sz="8" w:color="4D8ABE"/>
            </w:tcBorders>
            <w:shd w:val="clear" w:color="auto" w:fill="E6EFFF"/>
          </w:tcPr>
          <w:p>
            <w:pPr>
              <w:ind w:left="120"/>
              <w:spacing w:after="0" w:line="155" w:lineRule="exact"/>
              <w:rPr>
                <w:sz w:val="20"/>
                <w:szCs w:val="20"/>
                <w:color w:val="auto"/>
              </w:rPr>
            </w:pPr>
            <w:r>
              <w:rPr>
                <w:rFonts w:ascii="Arial" w:cs="Arial" w:eastAsia="Arial" w:hAnsi="Arial"/>
                <w:sz w:val="14"/>
                <w:szCs w:val="14"/>
                <w:color w:val="auto"/>
              </w:rPr>
              <w:t>Total other liabilities</w:t>
            </w:r>
          </w:p>
        </w:tc>
        <w:tc>
          <w:tcPr>
            <w:tcW w:w="420" w:type="dxa"/>
            <w:vAlign w:val="bottom"/>
            <w:tcBorders>
              <w:top w:val="single" w:sz="8" w:color="auto"/>
            </w:tcBorders>
            <w:shd w:val="clear" w:color="auto" w:fill="E6EFFF"/>
          </w:tcPr>
          <w:p>
            <w:pPr>
              <w:spacing w:after="0"/>
              <w:rPr>
                <w:sz w:val="13"/>
                <w:szCs w:val="13"/>
                <w:color w:val="auto"/>
              </w:rPr>
            </w:pPr>
          </w:p>
        </w:tc>
        <w:tc>
          <w:tcPr>
            <w:tcW w:w="1060" w:type="dxa"/>
            <w:vAlign w:val="bottom"/>
            <w:tcBorders>
              <w:top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1,227.8</w:t>
            </w:r>
          </w:p>
        </w:tc>
        <w:tc>
          <w:tcPr>
            <w:tcW w:w="420" w:type="dxa"/>
            <w:vAlign w:val="bottom"/>
            <w:tcBorders>
              <w:top w:val="single" w:sz="8" w:color="auto"/>
            </w:tcBorders>
            <w:shd w:val="clear" w:color="auto" w:fill="E6EFFF"/>
          </w:tcPr>
          <w:p>
            <w:pPr>
              <w:spacing w:after="0"/>
              <w:rPr>
                <w:sz w:val="13"/>
                <w:szCs w:val="13"/>
                <w:color w:val="auto"/>
              </w:rPr>
            </w:pPr>
          </w:p>
        </w:tc>
        <w:tc>
          <w:tcPr>
            <w:tcW w:w="820" w:type="dxa"/>
            <w:vAlign w:val="bottom"/>
            <w:tcBorders>
              <w:top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1,299.6</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939598"/>
              </w:rPr>
              <w:t>Shareholders’ Equity</w:t>
            </w:r>
          </w:p>
        </w:tc>
        <w:tc>
          <w:tcPr>
            <w:tcW w:w="420" w:type="dxa"/>
            <w:vAlign w:val="bottom"/>
          </w:tcPr>
          <w:p>
            <w:pPr>
              <w:spacing w:after="0"/>
              <w:rPr>
                <w:sz w:val="14"/>
                <w:szCs w:val="14"/>
                <w:color w:val="auto"/>
              </w:rPr>
            </w:pPr>
          </w:p>
        </w:tc>
        <w:tc>
          <w:tcPr>
            <w:tcW w:w="1060" w:type="dxa"/>
            <w:vAlign w:val="bottom"/>
            <w:tcBorders>
              <w:right w:val="single" w:sz="8" w:color="4D8ABE"/>
            </w:tcBorders>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Preferred stock, $.01 par value, authorized 25,000,000 shares, none issued</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Common stock, $.01 par value, authorized 125,000,000 shares, issued 103,756,138</w:t>
            </w:r>
          </w:p>
        </w:tc>
        <w:tc>
          <w:tcPr>
            <w:tcW w:w="420" w:type="dxa"/>
            <w:vAlign w:val="bottom"/>
          </w:tcPr>
          <w:p>
            <w:pPr>
              <w:spacing w:after="0"/>
              <w:rPr>
                <w:sz w:val="14"/>
                <w:szCs w:val="14"/>
                <w:color w:val="auto"/>
              </w:rPr>
            </w:pPr>
          </w:p>
        </w:tc>
        <w:tc>
          <w:tcPr>
            <w:tcW w:w="1060" w:type="dxa"/>
            <w:vAlign w:val="bottom"/>
            <w:tcBorders>
              <w:right w:val="single" w:sz="8" w:color="4D8ABE"/>
            </w:tcBorders>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852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and 103,414,254 shares, respectively</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1.0</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1.0</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Capital in excess of par value</w:t>
            </w:r>
          </w:p>
        </w:tc>
        <w:tc>
          <w:tcPr>
            <w:tcW w:w="420" w:type="dxa"/>
            <w:vAlign w:val="bottom"/>
          </w:tcPr>
          <w:p>
            <w:pPr>
              <w:spacing w:after="0"/>
              <w:rPr>
                <w:sz w:val="14"/>
                <w:szCs w:val="14"/>
                <w:color w:val="auto"/>
              </w:rPr>
            </w:pPr>
          </w:p>
        </w:tc>
        <w:tc>
          <w:tcPr>
            <w:tcW w:w="10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2,514.8</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2,481.8</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Retained earnings</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1,201.2</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1,040.3</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Accumulated other comprehensive (loss) income</w:t>
            </w:r>
          </w:p>
        </w:tc>
        <w:tc>
          <w:tcPr>
            <w:tcW w:w="420" w:type="dxa"/>
            <w:vAlign w:val="bottom"/>
          </w:tcPr>
          <w:p>
            <w:pPr>
              <w:spacing w:after="0"/>
              <w:rPr>
                <w:sz w:val="14"/>
                <w:szCs w:val="14"/>
                <w:color w:val="auto"/>
              </w:rPr>
            </w:pPr>
          </w:p>
        </w:tc>
        <w:tc>
          <w:tcPr>
            <w:tcW w:w="10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(8.9)</w:t>
            </w:r>
          </w:p>
        </w:tc>
        <w:tc>
          <w:tcPr>
            <w:tcW w:w="4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257.6</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Treasury stock at cost, 25,791,941 and 23,541,579 shares, respectively</w:t>
            </w:r>
          </w:p>
        </w:tc>
        <w:tc>
          <w:tcPr>
            <w:tcW w:w="420" w:type="dxa"/>
            <w:vAlign w:val="bottom"/>
            <w:shd w:val="clear" w:color="auto" w:fill="E6EFFF"/>
          </w:tcPr>
          <w:p>
            <w:pPr>
              <w:spacing w:after="0"/>
              <w:rPr>
                <w:sz w:val="14"/>
                <w:szCs w:val="14"/>
                <w:color w:val="auto"/>
              </w:rPr>
            </w:pPr>
          </w:p>
        </w:tc>
        <w:tc>
          <w:tcPr>
            <w:tcW w:w="106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(1,224.3)</w:t>
            </w:r>
          </w:p>
        </w:tc>
        <w:tc>
          <w:tcPr>
            <w:tcW w:w="420" w:type="dxa"/>
            <w:vAlign w:val="bottom"/>
            <w:shd w:val="clear" w:color="auto" w:fill="E6EFFF"/>
          </w:tcPr>
          <w:p>
            <w:pPr>
              <w:spacing w:after="0"/>
              <w:rPr>
                <w:sz w:val="14"/>
                <w:szCs w:val="14"/>
                <w:color w:val="auto"/>
              </w:rPr>
            </w:pPr>
          </w:p>
        </w:tc>
        <w:tc>
          <w:tcPr>
            <w:tcW w:w="104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(1,111.4)</w:t>
            </w:r>
          </w:p>
        </w:tc>
      </w:tr>
      <w:tr>
        <w:trPr>
          <w:trHeight w:val="155"/>
        </w:trPr>
        <w:tc>
          <w:tcPr>
            <w:tcW w:w="8520" w:type="dxa"/>
            <w:vAlign w:val="bottom"/>
            <w:tcBorders>
              <w:top w:val="single" w:sz="8" w:color="auto"/>
              <w:bottom w:val="single" w:sz="8" w:color="auto"/>
              <w:right w:val="single" w:sz="8" w:color="4D8ABE"/>
            </w:tcBorders>
          </w:tcPr>
          <w:p>
            <w:pPr>
              <w:ind w:left="120"/>
              <w:spacing w:after="0" w:line="155" w:lineRule="exact"/>
              <w:rPr>
                <w:sz w:val="20"/>
                <w:szCs w:val="20"/>
                <w:color w:val="auto"/>
              </w:rPr>
            </w:pPr>
            <w:r>
              <w:rPr>
                <w:rFonts w:ascii="Arial" w:cs="Arial" w:eastAsia="Arial" w:hAnsi="Arial"/>
                <w:sz w:val="14"/>
                <w:szCs w:val="14"/>
                <w:color w:val="auto"/>
              </w:rPr>
              <w:t>Total shareholders’ equity</w:t>
            </w:r>
          </w:p>
        </w:tc>
        <w:tc>
          <w:tcPr>
            <w:tcW w:w="4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2,483.8</w:t>
            </w:r>
          </w:p>
        </w:tc>
        <w:tc>
          <w:tcPr>
            <w:tcW w:w="4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2,669.3</w:t>
            </w:r>
          </w:p>
        </w:tc>
        <w:tc>
          <w:tcPr>
            <w:tcW w:w="220" w:type="dxa"/>
            <w:vAlign w:val="bottom"/>
            <w:tcBorders>
              <w:bottom w:val="single" w:sz="8" w:color="E6EFFF"/>
            </w:tcBorders>
          </w:tcPr>
          <w:p>
            <w:pPr>
              <w:spacing w:after="0"/>
              <w:rPr>
                <w:sz w:val="13"/>
                <w:szCs w:val="13"/>
                <w:color w:val="auto"/>
              </w:rPr>
            </w:pPr>
          </w:p>
        </w:tc>
      </w:tr>
      <w:tr>
        <w:trPr>
          <w:trHeight w:val="155"/>
        </w:trPr>
        <w:tc>
          <w:tcPr>
            <w:tcW w:w="8520" w:type="dxa"/>
            <w:vAlign w:val="bottom"/>
            <w:tcBorders>
              <w:bottom w:val="single" w:sz="8" w:color="auto"/>
              <w:right w:val="single" w:sz="8" w:color="4D8ABE"/>
            </w:tcBorders>
            <w:shd w:val="clear" w:color="auto" w:fill="E6EFFF"/>
          </w:tcPr>
          <w:p>
            <w:pPr>
              <w:ind w:left="12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420" w:type="dxa"/>
            <w:vAlign w:val="bottom"/>
            <w:tcBorders>
              <w:bottom w:val="single" w:sz="8" w:color="auto"/>
            </w:tcBorders>
            <w:shd w:val="clear" w:color="auto" w:fill="E6EFFF"/>
          </w:tcPr>
          <w:p>
            <w:pPr>
              <w:jc w:val="right"/>
              <w:ind w:right="252"/>
              <w:spacing w:after="0" w:line="155" w:lineRule="exact"/>
              <w:rPr>
                <w:sz w:val="20"/>
                <w:szCs w:val="20"/>
                <w:color w:val="auto"/>
              </w:rPr>
            </w:pPr>
            <w:r>
              <w:rPr>
                <w:rFonts w:ascii="Arial" w:cs="Arial" w:eastAsia="Arial" w:hAnsi="Arial"/>
                <w:sz w:val="14"/>
                <w:szCs w:val="14"/>
                <w:b w:val="1"/>
                <w:bCs w:val="1"/>
                <w:color w:val="4D8ABE"/>
              </w:rPr>
              <w:t>$</w:t>
            </w:r>
          </w:p>
        </w:tc>
        <w:tc>
          <w:tcPr>
            <w:tcW w:w="106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6,618.2</w:t>
            </w:r>
          </w:p>
        </w:tc>
        <w:tc>
          <w:tcPr>
            <w:tcW w:w="420" w:type="dxa"/>
            <w:vAlign w:val="bottom"/>
            <w:tcBorders>
              <w:bottom w:val="single" w:sz="8" w:color="auto"/>
            </w:tcBorders>
            <w:shd w:val="clear" w:color="auto" w:fill="E6EFFF"/>
          </w:tcPr>
          <w:p>
            <w:pPr>
              <w:jc w:val="right"/>
              <w:ind w:right="25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7,224.4</w:t>
            </w:r>
          </w:p>
        </w:tc>
        <w:tc>
          <w:tcPr>
            <w:tcW w:w="220" w:type="dxa"/>
            <w:vAlign w:val="bottom"/>
            <w:tcBorders>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62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Consolidated Balance Sheets</w:t>
            </w:r>
          </w:p>
        </w:tc>
        <w:tc>
          <w:tcPr>
            <w:tcW w:w="3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5620" w:type="dxa"/>
            <w:vAlign w:val="bottom"/>
            <w:vMerge w:val="continue"/>
          </w:tcPr>
          <w:p>
            <w:pPr>
              <w:spacing w:after="0"/>
              <w:rPr>
                <w:sz w:val="6"/>
                <w:szCs w:val="6"/>
                <w:color w:val="auto"/>
              </w:rPr>
            </w:pPr>
          </w:p>
        </w:tc>
        <w:tc>
          <w:tcPr>
            <w:tcW w:w="3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562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114" w:right="1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939598"/>
        </w:rPr>
        <w:t>Consolidated Statements of Cash Flows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480" w:type="dxa"/>
            <w:vAlign w:val="bottom"/>
            <w:shd w:val="clear" w:color="auto" w:fill="4D8ABE"/>
          </w:tcPr>
          <w:p>
            <w:pPr>
              <w:spacing w:after="0"/>
              <w:rPr>
                <w:sz w:val="15"/>
                <w:szCs w:val="15"/>
                <w:color w:val="auto"/>
              </w:rPr>
            </w:pPr>
          </w:p>
        </w:tc>
        <w:tc>
          <w:tcPr>
            <w:tcW w:w="100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48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4D8ABE"/>
              </w:rPr>
              <w:t>2007</w:t>
            </w:r>
          </w:p>
        </w:tc>
        <w:tc>
          <w:tcPr>
            <w:tcW w:w="5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4D8ABE"/>
              </w:rPr>
              <w:t>2006</w:t>
            </w:r>
          </w:p>
        </w:tc>
        <w:tc>
          <w:tcPr>
            <w:tcW w:w="0" w:type="dxa"/>
            <w:vAlign w:val="bottom"/>
          </w:tcPr>
          <w:p>
            <w:pPr>
              <w:spacing w:after="0"/>
              <w:rPr>
                <w:sz w:val="1"/>
                <w:szCs w:val="1"/>
                <w:color w:val="auto"/>
              </w:rPr>
            </w:pPr>
          </w:p>
        </w:tc>
      </w:tr>
      <w:tr>
        <w:trPr>
          <w:trHeight w:val="154"/>
        </w:trPr>
        <w:tc>
          <w:tcPr>
            <w:tcW w:w="7040" w:type="dxa"/>
            <w:vAlign w:val="bottom"/>
            <w:tcBorders>
              <w:top w:val="single" w:sz="8" w:color="4D8ABE"/>
              <w:right w:val="single" w:sz="8" w:color="4D8ABE"/>
            </w:tcBorders>
          </w:tcPr>
          <w:p>
            <w:pPr>
              <w:spacing w:after="0" w:line="154" w:lineRule="exact"/>
              <w:rPr>
                <w:sz w:val="20"/>
                <w:szCs w:val="20"/>
                <w:color w:val="auto"/>
              </w:rPr>
            </w:pPr>
            <w:r>
              <w:rPr>
                <w:rFonts w:ascii="Arial" w:cs="Arial" w:eastAsia="Arial" w:hAnsi="Arial"/>
                <w:sz w:val="14"/>
                <w:szCs w:val="14"/>
                <w:b w:val="1"/>
                <w:bCs w:val="1"/>
                <w:color w:val="939598"/>
              </w:rPr>
              <w:t>Cash Flows from Operating Activities</w:t>
            </w:r>
          </w:p>
        </w:tc>
        <w:tc>
          <w:tcPr>
            <w:tcW w:w="480" w:type="dxa"/>
            <w:vAlign w:val="bottom"/>
            <w:tcBorders>
              <w:top w:val="single" w:sz="8" w:color="4D8ABE"/>
            </w:tcBorders>
            <w:vMerge w:val="restart"/>
          </w:tcPr>
          <w:p>
            <w:pPr>
              <w:jc w:val="right"/>
              <w:ind w:right="312"/>
              <w:spacing w:after="0"/>
              <w:rPr>
                <w:sz w:val="20"/>
                <w:szCs w:val="20"/>
                <w:color w:val="auto"/>
              </w:rPr>
            </w:pPr>
            <w:r>
              <w:rPr>
                <w:rFonts w:ascii="Arial" w:cs="Arial" w:eastAsia="Arial" w:hAnsi="Arial"/>
                <w:sz w:val="14"/>
                <w:szCs w:val="14"/>
                <w:b w:val="1"/>
                <w:bCs w:val="1"/>
                <w:color w:val="4D8ABE"/>
              </w:rPr>
              <w:t>$</w:t>
            </w:r>
          </w:p>
        </w:tc>
        <w:tc>
          <w:tcPr>
            <w:tcW w:w="1000" w:type="dxa"/>
            <w:vAlign w:val="bottom"/>
            <w:tcBorders>
              <w:top w:val="single" w:sz="8" w:color="4D8ABE"/>
              <w:right w:val="single" w:sz="8" w:color="4D8ABE"/>
            </w:tcBorders>
            <w:vMerge w:val="restart"/>
          </w:tcPr>
          <w:p>
            <w:pPr>
              <w:jc w:val="right"/>
              <w:ind w:right="172"/>
              <w:spacing w:after="0"/>
              <w:rPr>
                <w:sz w:val="20"/>
                <w:szCs w:val="20"/>
                <w:color w:val="auto"/>
              </w:rPr>
            </w:pPr>
            <w:r>
              <w:rPr>
                <w:rFonts w:ascii="Arial" w:cs="Arial" w:eastAsia="Arial" w:hAnsi="Arial"/>
                <w:sz w:val="14"/>
                <w:szCs w:val="14"/>
                <w:b w:val="1"/>
                <w:bCs w:val="1"/>
                <w:color w:val="4D8ABE"/>
              </w:rPr>
              <w:t>218.9</w:t>
            </w:r>
          </w:p>
        </w:tc>
        <w:tc>
          <w:tcPr>
            <w:tcW w:w="480" w:type="dxa"/>
            <w:vAlign w:val="bottom"/>
            <w:tcBorders>
              <w:top w:val="single" w:sz="8" w:color="4D8ABE"/>
            </w:tcBorders>
          </w:tcPr>
          <w:p>
            <w:pPr>
              <w:spacing w:after="0"/>
              <w:rPr>
                <w:sz w:val="13"/>
                <w:szCs w:val="13"/>
                <w:color w:val="auto"/>
              </w:rPr>
            </w:pPr>
          </w:p>
        </w:tc>
        <w:tc>
          <w:tcPr>
            <w:tcW w:w="920" w:type="dxa"/>
            <w:vAlign w:val="bottom"/>
            <w:tcBorders>
              <w:top w:val="single" w:sz="8" w:color="4D8ABE"/>
            </w:tcBorders>
          </w:tcPr>
          <w:p>
            <w:pPr>
              <w:spacing w:after="0"/>
              <w:rPr>
                <w:sz w:val="13"/>
                <w:szCs w:val="13"/>
                <w:color w:val="auto"/>
              </w:rPr>
            </w:pPr>
          </w:p>
        </w:tc>
        <w:tc>
          <w:tcPr>
            <w:tcW w:w="560" w:type="dxa"/>
            <w:vAlign w:val="bottom"/>
            <w:tcBorders>
              <w:top w:val="single" w:sz="8" w:color="4D8ABE"/>
            </w:tcBorders>
          </w:tcPr>
          <w:p>
            <w:pPr>
              <w:spacing w:after="0"/>
              <w:rPr>
                <w:sz w:val="13"/>
                <w:szCs w:val="13"/>
                <w:color w:val="auto"/>
              </w:rPr>
            </w:pPr>
          </w:p>
        </w:tc>
        <w:tc>
          <w:tcPr>
            <w:tcW w:w="76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Net earnings</w:t>
            </w:r>
          </w:p>
        </w:tc>
        <w:tc>
          <w:tcPr>
            <w:tcW w:w="480" w:type="dxa"/>
            <w:vAlign w:val="bottom"/>
            <w:vMerge w:val="continue"/>
          </w:tcPr>
          <w:p>
            <w:pPr>
              <w:spacing w:after="0"/>
              <w:rPr>
                <w:sz w:val="14"/>
                <w:szCs w:val="14"/>
                <w:color w:val="auto"/>
              </w:rPr>
            </w:pPr>
          </w:p>
        </w:tc>
        <w:tc>
          <w:tcPr>
            <w:tcW w:w="1000" w:type="dxa"/>
            <w:vAlign w:val="bottom"/>
            <w:tcBorders>
              <w:right w:val="single" w:sz="8" w:color="4D8ABE"/>
            </w:tcBorders>
            <w:vMerge w:val="continue"/>
          </w:tcPr>
          <w:p>
            <w:pPr>
              <w:spacing w:after="0"/>
              <w:rPr>
                <w:sz w:val="14"/>
                <w:szCs w:val="14"/>
                <w:color w:val="auto"/>
              </w:rPr>
            </w:pP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484.7</w:t>
            </w:r>
          </w:p>
        </w:tc>
        <w:tc>
          <w:tcPr>
            <w:tcW w:w="5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398.0</w:t>
            </w:r>
          </w:p>
        </w:tc>
        <w:tc>
          <w:tcPr>
            <w:tcW w:w="0" w:type="dxa"/>
            <w:vAlign w:val="bottom"/>
          </w:tcPr>
          <w:p>
            <w:pPr>
              <w:spacing w:after="0"/>
              <w:rPr>
                <w:sz w:val="1"/>
                <w:szCs w:val="1"/>
                <w:color w:val="auto"/>
              </w:rPr>
            </w:pPr>
          </w:p>
        </w:tc>
      </w:tr>
      <w:tr>
        <w:trPr>
          <w:trHeight w:val="165"/>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spacing w:after="0"/>
              <w:rPr>
                <w:sz w:val="14"/>
                <w:szCs w:val="14"/>
                <w:color w:val="auto"/>
              </w:rPr>
            </w:pP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56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Gain on sale of businesses</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4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Depreciation and amortization</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107.1</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99.0</w:t>
            </w:r>
          </w:p>
        </w:tc>
        <w:tc>
          <w:tcPr>
            <w:tcW w:w="560" w:type="dxa"/>
            <w:vAlign w:val="bottom"/>
            <w:shd w:val="clear" w:color="auto" w:fill="E6EFFF"/>
          </w:tcPr>
          <w:p>
            <w:pPr>
              <w:spacing w:after="0"/>
              <w:rPr>
                <w:sz w:val="14"/>
                <w:szCs w:val="14"/>
                <w:color w:val="auto"/>
              </w:rPr>
            </w:pPr>
          </w:p>
        </w:tc>
        <w:tc>
          <w:tcPr>
            <w:tcW w:w="760" w:type="dxa"/>
            <w:vAlign w:val="bottom"/>
            <w:shd w:val="clear" w:color="auto" w:fill="E6EFFF"/>
          </w:tcPr>
          <w:p>
            <w:pPr>
              <w:jc w:val="right"/>
              <w:spacing w:after="0"/>
              <w:rPr>
                <w:sz w:val="20"/>
                <w:szCs w:val="20"/>
                <w:color w:val="auto"/>
              </w:rPr>
            </w:pPr>
            <w:r>
              <w:rPr>
                <w:rFonts w:ascii="Arial" w:cs="Arial" w:eastAsia="Arial" w:hAnsi="Arial"/>
                <w:sz w:val="14"/>
                <w:szCs w:val="14"/>
                <w:color w:val="auto"/>
              </w:rPr>
              <w:t>88.8</w:t>
            </w: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Non-cash goodwill and intangible impairment charge</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163.1</w:t>
            </w:r>
          </w:p>
        </w:tc>
        <w:tc>
          <w:tcPr>
            <w:tcW w:w="4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Deferred income taxes</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(30.5)</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25.4</w:t>
            </w:r>
          </w:p>
        </w:tc>
        <w:tc>
          <w:tcPr>
            <w:tcW w:w="560" w:type="dxa"/>
            <w:vAlign w:val="bottom"/>
            <w:shd w:val="clear" w:color="auto" w:fill="E6EFFF"/>
          </w:tcPr>
          <w:p>
            <w:pPr>
              <w:spacing w:after="0"/>
              <w:rPr>
                <w:sz w:val="14"/>
                <w:szCs w:val="14"/>
                <w:color w:val="auto"/>
              </w:rPr>
            </w:pPr>
          </w:p>
        </w:tc>
        <w:tc>
          <w:tcPr>
            <w:tcW w:w="980" w:type="dxa"/>
            <w:vAlign w:val="bottom"/>
            <w:gridSpan w:val="2"/>
            <w:shd w:val="clear" w:color="auto" w:fill="E6EFFF"/>
          </w:tcPr>
          <w:p>
            <w:pPr>
              <w:jc w:val="right"/>
              <w:ind w:right="14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Provision for doubtful accounts</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23.4</w:t>
            </w:r>
          </w:p>
        </w:tc>
        <w:tc>
          <w:tcPr>
            <w:tcW w:w="4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21.8</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Share-based compensation</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21.1</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26.0</w:t>
            </w:r>
          </w:p>
        </w:tc>
        <w:tc>
          <w:tcPr>
            <w:tcW w:w="560" w:type="dxa"/>
            <w:vAlign w:val="bottom"/>
            <w:shd w:val="clear" w:color="auto" w:fill="E6EFFF"/>
          </w:tcPr>
          <w:p>
            <w:pPr>
              <w:spacing w:after="0"/>
              <w:rPr>
                <w:sz w:val="14"/>
                <w:szCs w:val="14"/>
                <w:color w:val="auto"/>
              </w:rPr>
            </w:pPr>
          </w:p>
        </w:tc>
        <w:tc>
          <w:tcPr>
            <w:tcW w:w="760" w:type="dxa"/>
            <w:vAlign w:val="bottom"/>
            <w:shd w:val="clear" w:color="auto" w:fill="E6EFFF"/>
          </w:tcPr>
          <w:p>
            <w:pPr>
              <w:jc w:val="right"/>
              <w:spacing w:after="0"/>
              <w:rPr>
                <w:sz w:val="20"/>
                <w:szCs w:val="20"/>
                <w:color w:val="auto"/>
              </w:rPr>
            </w:pPr>
            <w:r>
              <w:rPr>
                <w:rFonts w:ascii="Arial" w:cs="Arial" w:eastAsia="Arial" w:hAnsi="Arial"/>
                <w:sz w:val="14"/>
                <w:szCs w:val="14"/>
                <w:color w:val="auto"/>
              </w:rPr>
              <w:t>22.5</w:t>
            </w: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Excess tax benefit on exercise of stock options</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(0.5)</w:t>
            </w:r>
          </w:p>
        </w:tc>
        <w:tc>
          <w:tcPr>
            <w:tcW w:w="48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(4.6)</w:t>
            </w:r>
          </w:p>
        </w:tc>
        <w:tc>
          <w:tcPr>
            <w:tcW w:w="5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Change in operating assets and liabilities, excluding the impact of acquisitions:</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spacing w:after="0"/>
              <w:rPr>
                <w:sz w:val="14"/>
                <w:szCs w:val="14"/>
                <w:color w:val="auto"/>
              </w:rPr>
            </w:pP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56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Accounts receivable</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575.0</w:t>
            </w:r>
          </w:p>
        </w:tc>
        <w:tc>
          <w:tcPr>
            <w:tcW w:w="48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(316.0)</w:t>
            </w:r>
          </w:p>
        </w:tc>
        <w:tc>
          <w:tcPr>
            <w:tcW w:w="5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(381.0)</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Other assets</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2.9</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(3.5)</w:t>
            </w:r>
          </w:p>
        </w:tc>
        <w:tc>
          <w:tcPr>
            <w:tcW w:w="560" w:type="dxa"/>
            <w:vAlign w:val="bottom"/>
            <w:shd w:val="clear" w:color="auto" w:fill="E6EFFF"/>
          </w:tcPr>
          <w:p>
            <w:pPr>
              <w:spacing w:after="0"/>
              <w:rPr>
                <w:sz w:val="14"/>
                <w:szCs w:val="14"/>
                <w:color w:val="auto"/>
              </w:rPr>
            </w:pPr>
          </w:p>
        </w:tc>
        <w:tc>
          <w:tcPr>
            <w:tcW w:w="76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17.4</w:t>
            </w: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Other liabilities</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(288.5)</w:t>
            </w:r>
          </w:p>
        </w:tc>
        <w:tc>
          <w:tcPr>
            <w:tcW w:w="4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99.4</w:t>
            </w:r>
          </w:p>
        </w:tc>
        <w:tc>
          <w:tcPr>
            <w:tcW w:w="5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335.6</w:t>
            </w:r>
          </w:p>
        </w:tc>
        <w:tc>
          <w:tcPr>
            <w:tcW w:w="0" w:type="dxa"/>
            <w:vAlign w:val="bottom"/>
          </w:tcPr>
          <w:p>
            <w:pPr>
              <w:spacing w:after="0"/>
              <w:rPr>
                <w:sz w:val="1"/>
                <w:szCs w:val="1"/>
                <w:color w:val="auto"/>
              </w:rPr>
            </w:pPr>
          </w:p>
        </w:tc>
      </w:tr>
      <w:tr>
        <w:trPr>
          <w:trHeight w:val="155"/>
        </w:trPr>
        <w:tc>
          <w:tcPr>
            <w:tcW w:w="7040" w:type="dxa"/>
            <w:vAlign w:val="bottom"/>
            <w:tcBorders>
              <w:top w:val="single" w:sz="8" w:color="auto"/>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Cash provided by operating activities</w:t>
            </w:r>
          </w:p>
        </w:tc>
        <w:tc>
          <w:tcPr>
            <w:tcW w:w="480" w:type="dxa"/>
            <w:vAlign w:val="bottom"/>
            <w:tcBorders>
              <w:top w:val="single" w:sz="8" w:color="auto"/>
              <w:bottom w:val="single" w:sz="8" w:color="auto"/>
            </w:tcBorders>
            <w:shd w:val="clear" w:color="auto" w:fill="E6EFFF"/>
          </w:tcPr>
          <w:p>
            <w:pPr>
              <w:spacing w:after="0"/>
              <w:rPr>
                <w:sz w:val="13"/>
                <w:szCs w:val="13"/>
                <w:color w:val="auto"/>
              </w:rPr>
            </w:pPr>
          </w:p>
        </w:tc>
        <w:tc>
          <w:tcPr>
            <w:tcW w:w="100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792.0</w:t>
            </w:r>
          </w:p>
        </w:tc>
        <w:tc>
          <w:tcPr>
            <w:tcW w:w="480" w:type="dxa"/>
            <w:vAlign w:val="bottom"/>
            <w:tcBorders>
              <w:top w:val="single" w:sz="8" w:color="auto"/>
              <w:left w:val="single" w:sz="8" w:color="E6EFFF"/>
              <w:bottom w:val="single" w:sz="8" w:color="auto"/>
            </w:tcBorders>
            <w:shd w:val="clear" w:color="auto" w:fill="E6EFFF"/>
          </w:tcPr>
          <w:p>
            <w:pPr>
              <w:spacing w:after="0"/>
              <w:rPr>
                <w:sz w:val="13"/>
                <w:szCs w:val="13"/>
                <w:color w:val="auto"/>
              </w:rPr>
            </w:pPr>
          </w:p>
        </w:tc>
        <w:tc>
          <w:tcPr>
            <w:tcW w:w="920" w:type="dxa"/>
            <w:vAlign w:val="bottom"/>
            <w:tcBorders>
              <w:top w:val="single" w:sz="8" w:color="auto"/>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432.2</w:t>
            </w:r>
          </w:p>
        </w:tc>
        <w:tc>
          <w:tcPr>
            <w:tcW w:w="560" w:type="dxa"/>
            <w:vAlign w:val="bottom"/>
            <w:tcBorders>
              <w:top w:val="single" w:sz="8" w:color="auto"/>
              <w:bottom w:val="single" w:sz="8" w:color="auto"/>
            </w:tcBorders>
            <w:shd w:val="clear" w:color="auto" w:fill="E6EFFF"/>
          </w:tcPr>
          <w:p>
            <w:pPr>
              <w:spacing w:after="0"/>
              <w:rPr>
                <w:sz w:val="13"/>
                <w:szCs w:val="13"/>
                <w:color w:val="auto"/>
              </w:rPr>
            </w:pPr>
          </w:p>
        </w:tc>
        <w:tc>
          <w:tcPr>
            <w:tcW w:w="76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359.1</w:t>
            </w:r>
          </w:p>
        </w:tc>
        <w:tc>
          <w:tcPr>
            <w:tcW w:w="220" w:type="dxa"/>
            <w:vAlign w:val="bottom"/>
            <w:tcBorders>
              <w:top w:val="single" w:sz="8" w:color="E6EFFF"/>
            </w:tcBorders>
            <w:shd w:val="clear" w:color="auto" w:fill="E6EF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tcBorders>
              <w:right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Cash Flows from Investing Activities</w:t>
            </w:r>
          </w:p>
        </w:tc>
        <w:tc>
          <w:tcPr>
            <w:tcW w:w="480" w:type="dxa"/>
            <w:vAlign w:val="bottom"/>
          </w:tcPr>
          <w:p>
            <w:pPr>
              <w:spacing w:after="0"/>
              <w:rPr>
                <w:sz w:val="13"/>
                <w:szCs w:val="13"/>
                <w:color w:val="auto"/>
              </w:rPr>
            </w:pPr>
          </w:p>
        </w:tc>
        <w:tc>
          <w:tcPr>
            <w:tcW w:w="1000" w:type="dxa"/>
            <w:vAlign w:val="bottom"/>
            <w:tcBorders>
              <w:right w:val="single" w:sz="8" w:color="4D8ABE"/>
            </w:tcBorders>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Capital expenditures</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(93.1)</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(91.6)</w:t>
            </w:r>
          </w:p>
        </w:tc>
        <w:tc>
          <w:tcPr>
            <w:tcW w:w="560" w:type="dxa"/>
            <w:vAlign w:val="bottom"/>
            <w:shd w:val="clear" w:color="auto" w:fill="E6EFFF"/>
          </w:tcPr>
          <w:p>
            <w:pPr>
              <w:spacing w:after="0"/>
              <w:rPr>
                <w:sz w:val="14"/>
                <w:szCs w:val="14"/>
                <w:color w:val="auto"/>
              </w:rPr>
            </w:pPr>
          </w:p>
        </w:tc>
        <w:tc>
          <w:tcPr>
            <w:tcW w:w="980" w:type="dxa"/>
            <w:vAlign w:val="bottom"/>
            <w:gridSpan w:val="2"/>
            <w:shd w:val="clear" w:color="auto" w:fill="E6EFFF"/>
          </w:tcPr>
          <w:p>
            <w:pPr>
              <w:jc w:val="right"/>
              <w:ind w:right="140"/>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Acquisitions of businesses, net of cash acquired</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(242.0)</w:t>
            </w:r>
          </w:p>
        </w:tc>
        <w:tc>
          <w:tcPr>
            <w:tcW w:w="48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(122.8)</w:t>
            </w:r>
          </w:p>
        </w:tc>
        <w:tc>
          <w:tcPr>
            <w:tcW w:w="5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Proceeds from the sale of businesses and equity interest</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w:t>
            </w:r>
          </w:p>
        </w:tc>
        <w:tc>
          <w:tcPr>
            <w:tcW w:w="560" w:type="dxa"/>
            <w:vAlign w:val="bottom"/>
            <w:shd w:val="clear" w:color="auto" w:fill="E6EFFF"/>
          </w:tcPr>
          <w:p>
            <w:pPr>
              <w:spacing w:after="0"/>
              <w:rPr>
                <w:sz w:val="14"/>
                <w:szCs w:val="14"/>
                <w:color w:val="auto"/>
              </w:rPr>
            </w:pPr>
          </w:p>
        </w:tc>
        <w:tc>
          <w:tcPr>
            <w:tcW w:w="98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Proceeds from the sale of property and equipment</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5.9</w:t>
            </w:r>
          </w:p>
        </w:tc>
        <w:tc>
          <w:tcPr>
            <w:tcW w:w="4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12.9</w:t>
            </w:r>
          </w:p>
        </w:tc>
        <w:tc>
          <w:tcPr>
            <w:tcW w:w="5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5"/>
        </w:trPr>
        <w:tc>
          <w:tcPr>
            <w:tcW w:w="7040" w:type="dxa"/>
            <w:vAlign w:val="bottom"/>
            <w:tcBorders>
              <w:top w:val="single" w:sz="8" w:color="auto"/>
              <w:bottom w:val="single" w:sz="8" w:color="auto"/>
              <w:right w:val="single" w:sz="8" w:color="4D8ABE"/>
            </w:tcBorders>
            <w:shd w:val="clear" w:color="auto" w:fill="E6EFFF"/>
          </w:tcPr>
          <w:p>
            <w:pPr>
              <w:ind w:left="120"/>
              <w:spacing w:after="0" w:line="155" w:lineRule="exact"/>
              <w:rPr>
                <w:sz w:val="20"/>
                <w:szCs w:val="20"/>
                <w:color w:val="auto"/>
              </w:rPr>
            </w:pPr>
            <w:r>
              <w:rPr>
                <w:rFonts w:ascii="Arial" w:cs="Arial" w:eastAsia="Arial" w:hAnsi="Arial"/>
                <w:sz w:val="14"/>
                <w:szCs w:val="14"/>
                <w:color w:val="auto"/>
              </w:rPr>
              <w:t>Cash (used) provided by investing activities</w:t>
            </w:r>
          </w:p>
        </w:tc>
        <w:tc>
          <w:tcPr>
            <w:tcW w:w="480" w:type="dxa"/>
            <w:vAlign w:val="bottom"/>
            <w:tcBorders>
              <w:top w:val="single" w:sz="8" w:color="auto"/>
              <w:bottom w:val="single" w:sz="8" w:color="auto"/>
            </w:tcBorders>
            <w:shd w:val="clear" w:color="auto" w:fill="E6EFFF"/>
          </w:tcPr>
          <w:p>
            <w:pPr>
              <w:spacing w:after="0"/>
              <w:rPr>
                <w:sz w:val="13"/>
                <w:szCs w:val="13"/>
                <w:color w:val="auto"/>
              </w:rPr>
            </w:pPr>
          </w:p>
        </w:tc>
        <w:tc>
          <w:tcPr>
            <w:tcW w:w="1000" w:type="dxa"/>
            <w:vAlign w:val="bottom"/>
            <w:tcBorders>
              <w:top w:val="single" w:sz="8" w:color="auto"/>
              <w:bottom w:val="single" w:sz="8" w:color="auto"/>
              <w:right w:val="single" w:sz="8" w:color="4D8ABE"/>
            </w:tcBorders>
            <w:shd w:val="clear" w:color="auto" w:fill="E6EFFF"/>
          </w:tcPr>
          <w:p>
            <w:pPr>
              <w:jc w:val="right"/>
              <w:ind w:right="132"/>
              <w:spacing w:after="0" w:line="155" w:lineRule="exact"/>
              <w:rPr>
                <w:sz w:val="20"/>
                <w:szCs w:val="20"/>
                <w:color w:val="auto"/>
              </w:rPr>
            </w:pPr>
            <w:r>
              <w:rPr>
                <w:rFonts w:ascii="Arial" w:cs="Arial" w:eastAsia="Arial" w:hAnsi="Arial"/>
                <w:sz w:val="14"/>
                <w:szCs w:val="14"/>
                <w:b w:val="1"/>
                <w:bCs w:val="1"/>
                <w:color w:val="4D8ABE"/>
              </w:rPr>
              <w:t>(329.2)</w:t>
            </w:r>
          </w:p>
        </w:tc>
        <w:tc>
          <w:tcPr>
            <w:tcW w:w="480" w:type="dxa"/>
            <w:vAlign w:val="bottom"/>
            <w:tcBorders>
              <w:top w:val="single" w:sz="8" w:color="auto"/>
              <w:left w:val="single" w:sz="8" w:color="E6EFFF"/>
              <w:bottom w:val="single" w:sz="8" w:color="auto"/>
            </w:tcBorders>
            <w:shd w:val="clear" w:color="auto" w:fill="E6EFFF"/>
          </w:tcPr>
          <w:p>
            <w:pPr>
              <w:spacing w:after="0"/>
              <w:rPr>
                <w:sz w:val="13"/>
                <w:szCs w:val="13"/>
                <w:color w:val="auto"/>
              </w:rPr>
            </w:pPr>
          </w:p>
        </w:tc>
        <w:tc>
          <w:tcPr>
            <w:tcW w:w="920" w:type="dxa"/>
            <w:vAlign w:val="bottom"/>
            <w:tcBorders>
              <w:top w:val="single" w:sz="8" w:color="auto"/>
              <w:bottom w:val="single" w:sz="8" w:color="auto"/>
            </w:tcBorders>
            <w:shd w:val="clear" w:color="auto" w:fill="E6EFFF"/>
          </w:tcPr>
          <w:p>
            <w:pPr>
              <w:jc w:val="right"/>
              <w:ind w:right="52"/>
              <w:spacing w:after="0" w:line="155" w:lineRule="exact"/>
              <w:rPr>
                <w:sz w:val="20"/>
                <w:szCs w:val="20"/>
                <w:color w:val="auto"/>
              </w:rPr>
            </w:pPr>
            <w:r>
              <w:rPr>
                <w:rFonts w:ascii="Arial" w:cs="Arial" w:eastAsia="Arial" w:hAnsi="Arial"/>
                <w:sz w:val="14"/>
                <w:szCs w:val="14"/>
                <w:color w:val="auto"/>
              </w:rPr>
              <w:t>(201.5)</w:t>
            </w:r>
          </w:p>
        </w:tc>
        <w:tc>
          <w:tcPr>
            <w:tcW w:w="560" w:type="dxa"/>
            <w:vAlign w:val="bottom"/>
            <w:tcBorders>
              <w:top w:val="single" w:sz="8" w:color="auto"/>
              <w:bottom w:val="single" w:sz="8" w:color="auto"/>
            </w:tcBorders>
            <w:shd w:val="clear" w:color="auto" w:fill="E6EFFF"/>
          </w:tcPr>
          <w:p>
            <w:pPr>
              <w:spacing w:after="0"/>
              <w:rPr>
                <w:sz w:val="13"/>
                <w:szCs w:val="13"/>
                <w:color w:val="auto"/>
              </w:rPr>
            </w:pPr>
          </w:p>
        </w:tc>
        <w:tc>
          <w:tcPr>
            <w:tcW w:w="76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45.0</w:t>
            </w:r>
          </w:p>
        </w:tc>
        <w:tc>
          <w:tcPr>
            <w:tcW w:w="220" w:type="dxa"/>
            <w:vAlign w:val="bottom"/>
            <w:tcBorders>
              <w:top w:val="single" w:sz="8" w:color="E6EFFF"/>
            </w:tcBorders>
            <w:shd w:val="clear" w:color="auto" w:fill="E6EF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tcBorders>
              <w:right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Cash Flows from Financing Activities</w:t>
            </w:r>
          </w:p>
        </w:tc>
        <w:tc>
          <w:tcPr>
            <w:tcW w:w="480" w:type="dxa"/>
            <w:vAlign w:val="bottom"/>
          </w:tcPr>
          <w:p>
            <w:pPr>
              <w:spacing w:after="0"/>
              <w:rPr>
                <w:sz w:val="13"/>
                <w:szCs w:val="13"/>
                <w:color w:val="auto"/>
              </w:rPr>
            </w:pPr>
          </w:p>
        </w:tc>
        <w:tc>
          <w:tcPr>
            <w:tcW w:w="1000" w:type="dxa"/>
            <w:vAlign w:val="bottom"/>
            <w:tcBorders>
              <w:right w:val="single" w:sz="8" w:color="4D8ABE"/>
            </w:tcBorders>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Net change in short-term borrowings</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16.0</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6.1</w:t>
            </w:r>
          </w:p>
        </w:tc>
        <w:tc>
          <w:tcPr>
            <w:tcW w:w="560" w:type="dxa"/>
            <w:vAlign w:val="bottom"/>
            <w:shd w:val="clear" w:color="auto" w:fill="E6EFFF"/>
          </w:tcPr>
          <w:p>
            <w:pPr>
              <w:spacing w:after="0"/>
              <w:rPr>
                <w:sz w:val="14"/>
                <w:szCs w:val="14"/>
                <w:color w:val="auto"/>
              </w:rPr>
            </w:pPr>
          </w:p>
        </w:tc>
        <w:tc>
          <w:tcPr>
            <w:tcW w:w="98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Proceeds from long-term debt</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233.7</w:t>
            </w:r>
          </w:p>
        </w:tc>
        <w:tc>
          <w:tcPr>
            <w:tcW w:w="4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1.0</w:t>
            </w:r>
          </w:p>
        </w:tc>
        <w:tc>
          <w:tcPr>
            <w:tcW w:w="5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296.3</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Repayments of long-term debt</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(170.7)</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(2.2)</w:t>
            </w:r>
          </w:p>
        </w:tc>
        <w:tc>
          <w:tcPr>
            <w:tcW w:w="560" w:type="dxa"/>
            <w:vAlign w:val="bottom"/>
            <w:shd w:val="clear" w:color="auto" w:fill="E6EFFF"/>
          </w:tcPr>
          <w:p>
            <w:pPr>
              <w:spacing w:after="0"/>
              <w:rPr>
                <w:sz w:val="14"/>
                <w:szCs w:val="14"/>
                <w:color w:val="auto"/>
              </w:rPr>
            </w:pPr>
          </w:p>
        </w:tc>
        <w:tc>
          <w:tcPr>
            <w:tcW w:w="980" w:type="dxa"/>
            <w:vAlign w:val="bottom"/>
            <w:gridSpan w:val="2"/>
            <w:shd w:val="clear" w:color="auto" w:fill="E6EFFF"/>
          </w:tcPr>
          <w:p>
            <w:pPr>
              <w:jc w:val="right"/>
              <w:ind w:right="140"/>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Proceeds from stock option and purchase plans</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12.2</w:t>
            </w:r>
          </w:p>
        </w:tc>
        <w:tc>
          <w:tcPr>
            <w:tcW w:w="4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35.0</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Excess tax benefit on exercise of stock options</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0.5</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4.6</w:t>
            </w:r>
          </w:p>
        </w:tc>
        <w:tc>
          <w:tcPr>
            <w:tcW w:w="560" w:type="dxa"/>
            <w:vAlign w:val="bottom"/>
            <w:shd w:val="clear" w:color="auto" w:fill="E6EFFF"/>
          </w:tcPr>
          <w:p>
            <w:pPr>
              <w:spacing w:after="0"/>
              <w:rPr>
                <w:sz w:val="14"/>
                <w:szCs w:val="14"/>
                <w:color w:val="auto"/>
              </w:rPr>
            </w:pPr>
          </w:p>
        </w:tc>
        <w:tc>
          <w:tcPr>
            <w:tcW w:w="98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Repurchases of common stock</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(125.4)</w:t>
            </w:r>
          </w:p>
        </w:tc>
        <w:tc>
          <w:tcPr>
            <w:tcW w:w="480" w:type="dxa"/>
            <w:vAlign w:val="bottom"/>
          </w:tcPr>
          <w:p>
            <w:pPr>
              <w:spacing w:after="0"/>
              <w:rPr>
                <w:sz w:val="14"/>
                <w:szCs w:val="1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(419.2)</w:t>
            </w:r>
          </w:p>
        </w:tc>
        <w:tc>
          <w:tcPr>
            <w:tcW w:w="5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(235.9)</w:t>
            </w: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Dividends paid</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(58.1)</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(57.1)</w:t>
            </w:r>
          </w:p>
        </w:tc>
        <w:tc>
          <w:tcPr>
            <w:tcW w:w="560" w:type="dxa"/>
            <w:vAlign w:val="bottom"/>
            <w:shd w:val="clear" w:color="auto" w:fill="E6EFFF"/>
          </w:tcPr>
          <w:p>
            <w:pPr>
              <w:spacing w:after="0"/>
              <w:rPr>
                <w:sz w:val="14"/>
                <w:szCs w:val="14"/>
                <w:color w:val="auto"/>
              </w:rPr>
            </w:pPr>
          </w:p>
        </w:tc>
        <w:tc>
          <w:tcPr>
            <w:tcW w:w="980" w:type="dxa"/>
            <w:vAlign w:val="bottom"/>
            <w:gridSpan w:val="2"/>
            <w:shd w:val="clear" w:color="auto" w:fill="E6EFFF"/>
          </w:tcPr>
          <w:p>
            <w:pPr>
              <w:jc w:val="right"/>
              <w:ind w:right="140"/>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55"/>
        </w:trPr>
        <w:tc>
          <w:tcPr>
            <w:tcW w:w="7040" w:type="dxa"/>
            <w:vAlign w:val="bottom"/>
            <w:tcBorders>
              <w:top w:val="single" w:sz="8" w:color="auto"/>
              <w:right w:val="single" w:sz="8" w:color="4D8ABE"/>
            </w:tcBorders>
          </w:tcPr>
          <w:p>
            <w:pPr>
              <w:ind w:left="120"/>
              <w:spacing w:after="0" w:line="155" w:lineRule="exact"/>
              <w:rPr>
                <w:sz w:val="20"/>
                <w:szCs w:val="20"/>
                <w:color w:val="auto"/>
              </w:rPr>
            </w:pPr>
            <w:r>
              <w:rPr>
                <w:rFonts w:ascii="Arial" w:cs="Arial" w:eastAsia="Arial" w:hAnsi="Arial"/>
                <w:sz w:val="14"/>
                <w:szCs w:val="14"/>
                <w:color w:val="auto"/>
              </w:rPr>
              <w:t>Cash used by financing activities</w:t>
            </w:r>
          </w:p>
        </w:tc>
        <w:tc>
          <w:tcPr>
            <w:tcW w:w="48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4D8ABE"/>
            </w:tcBorders>
          </w:tcPr>
          <w:p>
            <w:pPr>
              <w:jc w:val="right"/>
              <w:ind w:right="132"/>
              <w:spacing w:after="0" w:line="155" w:lineRule="exact"/>
              <w:rPr>
                <w:sz w:val="20"/>
                <w:szCs w:val="20"/>
                <w:color w:val="auto"/>
              </w:rPr>
            </w:pPr>
            <w:r>
              <w:rPr>
                <w:rFonts w:ascii="Arial" w:cs="Arial" w:eastAsia="Arial" w:hAnsi="Arial"/>
                <w:sz w:val="14"/>
                <w:szCs w:val="14"/>
                <w:b w:val="1"/>
                <w:bCs w:val="1"/>
                <w:color w:val="4D8ABE"/>
              </w:rPr>
              <w:t>(91.8)</w:t>
            </w:r>
          </w:p>
        </w:tc>
        <w:tc>
          <w:tcPr>
            <w:tcW w:w="4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(431.8)</w:t>
            </w:r>
          </w:p>
        </w:tc>
        <w:tc>
          <w:tcPr>
            <w:tcW w:w="5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(222.4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4"/>
        </w:trPr>
        <w:tc>
          <w:tcPr>
            <w:tcW w:w="704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Effect of exchange rate changes on cash</w:t>
            </w:r>
          </w:p>
        </w:tc>
        <w:tc>
          <w:tcPr>
            <w:tcW w:w="480" w:type="dxa"/>
            <w:vAlign w:val="bottom"/>
            <w:tcBorders>
              <w:bottom w:val="single" w:sz="8" w:color="auto"/>
            </w:tcBorders>
            <w:shd w:val="clear" w:color="auto" w:fill="E6EFFF"/>
          </w:tcPr>
          <w:p>
            <w:pPr>
              <w:spacing w:after="0"/>
              <w:rPr>
                <w:sz w:val="14"/>
                <w:szCs w:val="14"/>
                <w:color w:val="auto"/>
              </w:rPr>
            </w:pPr>
          </w:p>
        </w:tc>
        <w:tc>
          <w:tcPr>
            <w:tcW w:w="1000" w:type="dxa"/>
            <w:vAlign w:val="bottom"/>
            <w:tcBorders>
              <w:bottom w:val="single" w:sz="8" w:color="auto"/>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(34.5)</w:t>
            </w:r>
          </w:p>
        </w:tc>
        <w:tc>
          <w:tcPr>
            <w:tcW w:w="480" w:type="dxa"/>
            <w:vAlign w:val="bottom"/>
            <w:tcBorders>
              <w:left w:val="single" w:sz="8" w:color="E6EFFF"/>
              <w:bottom w:val="single" w:sz="8" w:color="auto"/>
            </w:tcBorders>
            <w:shd w:val="clear" w:color="auto" w:fill="E6EFFF"/>
          </w:tcPr>
          <w:p>
            <w:pPr>
              <w:spacing w:after="0"/>
              <w:rPr>
                <w:sz w:val="14"/>
                <w:szCs w:val="14"/>
                <w:color w:val="auto"/>
              </w:rPr>
            </w:pPr>
          </w:p>
        </w:tc>
        <w:tc>
          <w:tcPr>
            <w:tcW w:w="92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4"/>
                <w:szCs w:val="14"/>
                <w:color w:val="auto"/>
              </w:rPr>
              <w:t>50.7</w:t>
            </w:r>
          </w:p>
        </w:tc>
        <w:tc>
          <w:tcPr>
            <w:tcW w:w="560" w:type="dxa"/>
            <w:vAlign w:val="bottom"/>
            <w:tcBorders>
              <w:bottom w:val="single" w:sz="8" w:color="auto"/>
            </w:tcBorders>
            <w:shd w:val="clear" w:color="auto" w:fill="E6EFFF"/>
          </w:tcPr>
          <w:p>
            <w:pPr>
              <w:spacing w:after="0"/>
              <w:rPr>
                <w:sz w:val="14"/>
                <w:szCs w:val="14"/>
                <w:color w:val="auto"/>
              </w:rPr>
            </w:pPr>
          </w:p>
        </w:tc>
        <w:tc>
          <w:tcPr>
            <w:tcW w:w="76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51.3</w:t>
            </w: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tcBorders>
              <w:right w:val="single" w:sz="8" w:color="4D8ABE"/>
            </w:tcBorders>
          </w:tcPr>
          <w:p>
            <w:pPr>
              <w:ind w:left="120"/>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480" w:type="dxa"/>
            <w:vAlign w:val="bottom"/>
          </w:tcPr>
          <w:p>
            <w:pPr>
              <w:spacing w:after="0"/>
              <w:rPr>
                <w:sz w:val="13"/>
                <w:szCs w:val="13"/>
                <w:color w:val="auto"/>
              </w:rPr>
            </w:pPr>
          </w:p>
        </w:tc>
        <w:tc>
          <w:tcPr>
            <w:tcW w:w="1000" w:type="dxa"/>
            <w:vAlign w:val="bottom"/>
            <w:tcBorders>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336.5</w:t>
            </w:r>
          </w:p>
        </w:tc>
        <w:tc>
          <w:tcPr>
            <w:tcW w:w="480" w:type="dxa"/>
            <w:vAlign w:val="bottom"/>
          </w:tcPr>
          <w:p>
            <w:pPr>
              <w:spacing w:after="0"/>
              <w:rPr>
                <w:sz w:val="13"/>
                <w:szCs w:val="13"/>
                <w:color w:val="auto"/>
              </w:rPr>
            </w:pPr>
          </w:p>
        </w:tc>
        <w:tc>
          <w:tcPr>
            <w:tcW w:w="920" w:type="dxa"/>
            <w:vAlign w:val="bottom"/>
          </w:tcPr>
          <w:p>
            <w:pPr>
              <w:jc w:val="right"/>
              <w:ind w:right="52"/>
              <w:spacing w:after="0" w:line="155" w:lineRule="exact"/>
              <w:rPr>
                <w:sz w:val="20"/>
                <w:szCs w:val="20"/>
                <w:color w:val="auto"/>
              </w:rPr>
            </w:pPr>
            <w:r>
              <w:rPr>
                <w:rFonts w:ascii="Arial" w:cs="Arial" w:eastAsia="Arial" w:hAnsi="Arial"/>
                <w:sz w:val="14"/>
                <w:szCs w:val="14"/>
                <w:color w:val="auto"/>
              </w:rPr>
              <w:t>(150.4)</w:t>
            </w:r>
          </w:p>
        </w:tc>
        <w:tc>
          <w:tcPr>
            <w:tcW w:w="5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233.0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Cash and cash equivalents, beginning of year</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537.5</w:t>
            </w:r>
          </w:p>
        </w:tc>
        <w:tc>
          <w:tcPr>
            <w:tcW w:w="480" w:type="dxa"/>
            <w:vAlign w:val="bottom"/>
            <w:tcBorders>
              <w:left w:val="single" w:sz="8" w:color="E6EFFF"/>
            </w:tcBorders>
            <w:shd w:val="clear" w:color="auto" w:fill="E6EFFF"/>
          </w:tcPr>
          <w:p>
            <w:pPr>
              <w:spacing w:after="0"/>
              <w:rPr>
                <w:sz w:val="14"/>
                <w:szCs w:val="14"/>
                <w:color w:val="auto"/>
              </w:rPr>
            </w:pPr>
          </w:p>
        </w:tc>
        <w:tc>
          <w:tcPr>
            <w:tcW w:w="92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687.9</w:t>
            </w:r>
          </w:p>
        </w:tc>
        <w:tc>
          <w:tcPr>
            <w:tcW w:w="560" w:type="dxa"/>
            <w:vAlign w:val="bottom"/>
            <w:shd w:val="clear" w:color="auto" w:fill="E6EFFF"/>
          </w:tcPr>
          <w:p>
            <w:pPr>
              <w:spacing w:after="0"/>
              <w:rPr>
                <w:sz w:val="14"/>
                <w:szCs w:val="14"/>
                <w:color w:val="auto"/>
              </w:rPr>
            </w:pPr>
          </w:p>
        </w:tc>
        <w:tc>
          <w:tcPr>
            <w:tcW w:w="98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155"/>
        </w:trPr>
        <w:tc>
          <w:tcPr>
            <w:tcW w:w="7040" w:type="dxa"/>
            <w:vAlign w:val="bottom"/>
            <w:tcBorders>
              <w:top w:val="single" w:sz="8" w:color="auto"/>
              <w:bottom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Cash and cash equivalents, end of year</w:t>
            </w:r>
          </w:p>
        </w:tc>
        <w:tc>
          <w:tcPr>
            <w:tcW w:w="4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4D8ABE"/>
              </w:rPr>
              <w:t>$</w:t>
            </w:r>
          </w:p>
        </w:tc>
        <w:tc>
          <w:tcPr>
            <w:tcW w:w="1000" w:type="dxa"/>
            <w:vAlign w:val="bottom"/>
            <w:tcBorders>
              <w:top w:val="single" w:sz="8" w:color="auto"/>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874.0</w:t>
            </w:r>
          </w:p>
        </w:tc>
        <w:tc>
          <w:tcPr>
            <w:tcW w:w="4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537.5</w:t>
            </w:r>
          </w:p>
        </w:tc>
        <w:tc>
          <w:tcPr>
            <w:tcW w:w="5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687.9</w:t>
            </w:r>
          </w:p>
        </w:tc>
        <w:tc>
          <w:tcPr>
            <w:tcW w:w="220" w:type="dxa"/>
            <w:vAlign w:val="bottom"/>
            <w:tcBorders>
              <w:bottom w:val="single" w:sz="8" w:color="E6EF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b w:val="1"/>
                <w:bCs w:val="1"/>
                <w:color w:val="939598"/>
              </w:rPr>
              <w:t>Supplemental Cash Flow Information</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spacing w:after="0"/>
              <w:rPr>
                <w:sz w:val="14"/>
                <w:szCs w:val="14"/>
                <w:color w:val="auto"/>
              </w:rPr>
            </w:pPr>
          </w:p>
        </w:tc>
        <w:tc>
          <w:tcPr>
            <w:tcW w:w="480" w:type="dxa"/>
            <w:vAlign w:val="bottom"/>
            <w:tcBorders>
              <w:left w:val="single" w:sz="8" w:color="4D8ABE"/>
            </w:tcBorders>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56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Interest paid</w:t>
            </w:r>
          </w:p>
        </w:tc>
        <w:tc>
          <w:tcPr>
            <w:tcW w:w="4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4D8ABE"/>
              </w:rPr>
              <w:t>$</w:t>
            </w:r>
          </w:p>
        </w:tc>
        <w:tc>
          <w:tcPr>
            <w:tcW w:w="100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64.8</w:t>
            </w:r>
          </w:p>
        </w:tc>
        <w:tc>
          <w:tcPr>
            <w:tcW w:w="480" w:type="dxa"/>
            <w:vAlign w:val="bottom"/>
            <w:tcBorders>
              <w:left w:val="single" w:sz="8" w:color="4D8ABE"/>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50.5</w:t>
            </w:r>
          </w:p>
        </w:tc>
        <w:tc>
          <w:tcPr>
            <w:tcW w:w="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220" w:type="dxa"/>
            <w:vAlign w:val="bottom"/>
            <w:tcBorders>
              <w:bottom w:val="single" w:sz="8" w:color="E6EF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4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Income taxes paid</w:t>
            </w:r>
          </w:p>
        </w:tc>
        <w:tc>
          <w:tcPr>
            <w:tcW w:w="480" w:type="dxa"/>
            <w:vAlign w:val="bottom"/>
            <w:tcBorders>
              <w:bottom w:val="single" w:sz="8" w:color="auto"/>
            </w:tcBorders>
            <w:shd w:val="clear" w:color="auto" w:fill="E6EFFF"/>
          </w:tcPr>
          <w:p>
            <w:pPr>
              <w:jc w:val="right"/>
              <w:ind w:right="312"/>
              <w:spacing w:after="0"/>
              <w:rPr>
                <w:sz w:val="20"/>
                <w:szCs w:val="20"/>
                <w:color w:val="auto"/>
              </w:rPr>
            </w:pPr>
            <w:r>
              <w:rPr>
                <w:rFonts w:ascii="Arial" w:cs="Arial" w:eastAsia="Arial" w:hAnsi="Arial"/>
                <w:sz w:val="14"/>
                <w:szCs w:val="14"/>
                <w:b w:val="1"/>
                <w:bCs w:val="1"/>
                <w:color w:val="4D8ABE"/>
              </w:rPr>
              <w:t>$</w:t>
            </w:r>
          </w:p>
        </w:tc>
        <w:tc>
          <w:tcPr>
            <w:tcW w:w="100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293.5</w:t>
            </w:r>
          </w:p>
        </w:tc>
        <w:tc>
          <w:tcPr>
            <w:tcW w:w="480" w:type="dxa"/>
            <w:vAlign w:val="bottom"/>
            <w:tcBorders>
              <w:left w:val="single" w:sz="8" w:color="4D8ABE"/>
              <w:bottom w:val="single" w:sz="8" w:color="auto"/>
            </w:tcBorders>
            <w:shd w:val="clear" w:color="auto" w:fill="E6EFFF"/>
          </w:tcPr>
          <w:p>
            <w:pPr>
              <w:jc w:val="right"/>
              <w:ind w:right="31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4"/>
                <w:szCs w:val="14"/>
                <w:color w:val="auto"/>
              </w:rPr>
              <w:t>248.5</w:t>
            </w:r>
          </w:p>
        </w:tc>
        <w:tc>
          <w:tcPr>
            <w:tcW w:w="560" w:type="dxa"/>
            <w:vAlign w:val="bottom"/>
            <w:tcBorders>
              <w:bottom w:val="single" w:sz="8" w:color="auto"/>
            </w:tcBorders>
            <w:shd w:val="clear" w:color="auto" w:fill="E6EFFF"/>
          </w:tcPr>
          <w:p>
            <w:pPr>
              <w:jc w:val="right"/>
              <w:ind w:right="312"/>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143.4</w:t>
            </w:r>
          </w:p>
        </w:tc>
        <w:tc>
          <w:tcPr>
            <w:tcW w:w="220" w:type="dxa"/>
            <w:vAlign w:val="bottom"/>
            <w:tcBorders>
              <w:bottom w:val="single" w:sz="8" w:color="E6EFFF"/>
            </w:tcBorders>
            <w:shd w:val="clear" w:color="auto" w:fill="E6EFFF"/>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184" w:lineRule="exact"/>
        <w:rPr>
          <w:sz w:val="20"/>
          <w:szCs w:val="20"/>
          <w:color w:val="auto"/>
        </w:rPr>
      </w:pPr>
    </w:p>
    <w:p>
      <w:pPr>
        <w:spacing w:after="0"/>
        <w:tabs>
          <w:tab w:leader="none" w:pos="2840" w:val="left"/>
          <w:tab w:leader="none" w:pos="8580" w:val="left"/>
        </w:tabs>
        <w:rPr>
          <w:sz w:val="20"/>
          <w:szCs w:val="20"/>
          <w:color w:val="auto"/>
        </w:rPr>
      </w:pPr>
      <w:r>
        <w:rPr>
          <w:rFonts w:ascii="Arial" w:cs="Arial" w:eastAsia="Arial" w:hAnsi="Arial"/>
          <w:sz w:val="12"/>
          <w:szCs w:val="12"/>
          <w:b w:val="1"/>
          <w:bCs w:val="1"/>
          <w:color w:val="auto"/>
        </w:rPr>
        <w:t>44</w:t>
      </w:r>
      <w:r>
        <w:rPr>
          <w:sz w:val="20"/>
          <w:szCs w:val="20"/>
          <w:color w:val="auto"/>
        </w:rPr>
        <w:tab/>
      </w:r>
      <w:r>
        <w:rPr>
          <w:rFonts w:ascii="Arial" w:cs="Arial" w:eastAsia="Arial" w:hAnsi="Arial"/>
          <w:sz w:val="12"/>
          <w:szCs w:val="12"/>
          <w:b w:val="1"/>
          <w:bCs w:val="1"/>
          <w:color w:val="939598"/>
        </w:rPr>
        <w:t>Consolidated Statements of Cash Flows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7964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729869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939598"/>
        </w:rPr>
        <w:t>Consolidated Statements of Shareholders’ Equity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4D8ABE"/>
              </w:rPr>
              <w:t>Retained</w:t>
            </w:r>
          </w:p>
        </w:tc>
        <w:tc>
          <w:tcPr>
            <w:tcW w:w="180" w:type="dxa"/>
            <w:vAlign w:val="bottom"/>
          </w:tcPr>
          <w:p>
            <w:pPr>
              <w:spacing w:after="0"/>
              <w:rPr>
                <w:sz w:val="13"/>
                <w:szCs w:val="13"/>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color w:val="4D8ABE"/>
              </w:rPr>
              <w:t>Accumulated</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4"/>
        </w:trPr>
        <w:tc>
          <w:tcPr>
            <w:tcW w:w="3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4D8ABE"/>
              </w:rPr>
              <w:t>Common Stock</w:t>
            </w:r>
          </w:p>
        </w:tc>
        <w:tc>
          <w:tcPr>
            <w:tcW w:w="32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4D8ABE"/>
              </w:rPr>
              <w:t>Capital in</w:t>
            </w:r>
          </w:p>
        </w:tc>
        <w:tc>
          <w:tcPr>
            <w:tcW w:w="220" w:type="dxa"/>
            <w:vAlign w:val="bottom"/>
          </w:tcPr>
          <w:p>
            <w:pPr>
              <w:spacing w:after="0"/>
              <w:rPr>
                <w:sz w:val="14"/>
                <w:szCs w:val="14"/>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4D8ABE"/>
              </w:rPr>
              <w:t>Earnings</w:t>
            </w:r>
          </w:p>
        </w:tc>
        <w:tc>
          <w:tcPr>
            <w:tcW w:w="180" w:type="dxa"/>
            <w:vAlign w:val="bottom"/>
          </w:tcPr>
          <w:p>
            <w:pPr>
              <w:spacing w:after="0"/>
              <w:rPr>
                <w:sz w:val="14"/>
                <w:szCs w:val="14"/>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color w:val="4D8ABE"/>
              </w:rPr>
              <w:t>Other</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4"/>
        </w:trPr>
        <w:tc>
          <w:tcPr>
            <w:tcW w:w="3380" w:type="dxa"/>
            <w:vAlign w:val="bottom"/>
          </w:tcPr>
          <w:p>
            <w:pPr>
              <w:spacing w:after="0"/>
              <w:rPr>
                <w:sz w:val="12"/>
                <w:szCs w:val="12"/>
                <w:color w:val="auto"/>
              </w:rPr>
            </w:pPr>
          </w:p>
        </w:tc>
        <w:tc>
          <w:tcPr>
            <w:tcW w:w="960" w:type="dxa"/>
            <w:vAlign w:val="bottom"/>
            <w:tcBorders>
              <w:top w:val="single" w:sz="8" w:color="4D8ABE"/>
            </w:tcBorders>
          </w:tcPr>
          <w:p>
            <w:pPr>
              <w:spacing w:after="0"/>
              <w:rPr>
                <w:sz w:val="12"/>
                <w:szCs w:val="12"/>
                <w:color w:val="auto"/>
              </w:rPr>
            </w:pPr>
          </w:p>
        </w:tc>
        <w:tc>
          <w:tcPr>
            <w:tcW w:w="320" w:type="dxa"/>
            <w:vAlign w:val="bottom"/>
            <w:tcBorders>
              <w:top w:val="single" w:sz="8" w:color="4D8ABE"/>
            </w:tcBorders>
          </w:tcPr>
          <w:p>
            <w:pPr>
              <w:spacing w:after="0"/>
              <w:rPr>
                <w:sz w:val="12"/>
                <w:szCs w:val="12"/>
                <w:color w:val="auto"/>
              </w:rPr>
            </w:pPr>
          </w:p>
        </w:tc>
        <w:tc>
          <w:tcPr>
            <w:tcW w:w="720" w:type="dxa"/>
            <w:vAlign w:val="bottom"/>
            <w:tcBorders>
              <w:top w:val="single" w:sz="8" w:color="4D8ABE"/>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3"/>
              <w:spacing w:after="0" w:line="144" w:lineRule="exact"/>
              <w:rPr>
                <w:sz w:val="20"/>
                <w:szCs w:val="20"/>
                <w:color w:val="auto"/>
              </w:rPr>
            </w:pPr>
            <w:r>
              <w:rPr>
                <w:rFonts w:ascii="Arial" w:cs="Arial" w:eastAsia="Arial" w:hAnsi="Arial"/>
                <w:sz w:val="13"/>
                <w:szCs w:val="13"/>
                <w:color w:val="4D8ABE"/>
              </w:rPr>
              <w:t>Excess of</w:t>
            </w:r>
          </w:p>
        </w:tc>
        <w:tc>
          <w:tcPr>
            <w:tcW w:w="220" w:type="dxa"/>
            <w:vAlign w:val="bottom"/>
          </w:tcPr>
          <w:p>
            <w:pPr>
              <w:spacing w:after="0"/>
              <w:rPr>
                <w:sz w:val="12"/>
                <w:szCs w:val="12"/>
                <w:color w:val="auto"/>
              </w:rPr>
            </w:pPr>
          </w:p>
        </w:tc>
        <w:tc>
          <w:tcPr>
            <w:tcW w:w="980" w:type="dxa"/>
            <w:vAlign w:val="bottom"/>
          </w:tcPr>
          <w:p>
            <w:pPr>
              <w:jc w:val="right"/>
              <w:ind w:right="73"/>
              <w:spacing w:after="0" w:line="144" w:lineRule="exact"/>
              <w:rPr>
                <w:sz w:val="20"/>
                <w:szCs w:val="20"/>
                <w:color w:val="auto"/>
              </w:rPr>
            </w:pPr>
            <w:r>
              <w:rPr>
                <w:rFonts w:ascii="Arial" w:cs="Arial" w:eastAsia="Arial" w:hAnsi="Arial"/>
                <w:sz w:val="13"/>
                <w:szCs w:val="13"/>
                <w:color w:val="4D8ABE"/>
              </w:rPr>
              <w:t>(Accumulated</w:t>
            </w:r>
          </w:p>
        </w:tc>
        <w:tc>
          <w:tcPr>
            <w:tcW w:w="180" w:type="dxa"/>
            <w:vAlign w:val="bottom"/>
          </w:tcPr>
          <w:p>
            <w:pPr>
              <w:spacing w:after="0"/>
              <w:rPr>
                <w:sz w:val="12"/>
                <w:szCs w:val="12"/>
                <w:color w:val="auto"/>
              </w:rPr>
            </w:pPr>
          </w:p>
        </w:tc>
        <w:tc>
          <w:tcPr>
            <w:tcW w:w="1100" w:type="dxa"/>
            <w:vAlign w:val="bottom"/>
          </w:tcPr>
          <w:p>
            <w:pPr>
              <w:jc w:val="right"/>
              <w:ind w:right="73"/>
              <w:spacing w:after="0" w:line="144" w:lineRule="exact"/>
              <w:rPr>
                <w:sz w:val="20"/>
                <w:szCs w:val="20"/>
                <w:color w:val="auto"/>
              </w:rPr>
            </w:pPr>
            <w:r>
              <w:rPr>
                <w:rFonts w:ascii="Arial" w:cs="Arial" w:eastAsia="Arial" w:hAnsi="Arial"/>
                <w:sz w:val="13"/>
                <w:szCs w:val="13"/>
                <w:color w:val="4D8ABE"/>
              </w:rPr>
              <w:t>Comprehensive</w:t>
            </w:r>
          </w:p>
        </w:tc>
        <w:tc>
          <w:tcPr>
            <w:tcW w:w="320" w:type="dxa"/>
            <w:vAlign w:val="bottom"/>
          </w:tcPr>
          <w:p>
            <w:pPr>
              <w:spacing w:after="0"/>
              <w:rPr>
                <w:sz w:val="12"/>
                <w:szCs w:val="12"/>
                <w:color w:val="auto"/>
              </w:rPr>
            </w:pPr>
          </w:p>
        </w:tc>
        <w:tc>
          <w:tcPr>
            <w:tcW w:w="820" w:type="dxa"/>
            <w:vAlign w:val="bottom"/>
          </w:tcPr>
          <w:p>
            <w:pPr>
              <w:jc w:val="right"/>
              <w:ind w:right="73"/>
              <w:spacing w:after="0" w:line="144" w:lineRule="exact"/>
              <w:rPr>
                <w:sz w:val="20"/>
                <w:szCs w:val="20"/>
                <w:color w:val="auto"/>
              </w:rPr>
            </w:pPr>
            <w:r>
              <w:rPr>
                <w:rFonts w:ascii="Arial" w:cs="Arial" w:eastAsia="Arial" w:hAnsi="Arial"/>
                <w:sz w:val="13"/>
                <w:szCs w:val="13"/>
                <w:color w:val="4D8ABE"/>
              </w:rPr>
              <w:t>Treasury</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5"/>
        </w:trPr>
        <w:tc>
          <w:tcPr>
            <w:tcW w:w="3380" w:type="dxa"/>
            <w:vAlign w:val="bottom"/>
          </w:tcPr>
          <w:p>
            <w:pPr>
              <w:spacing w:after="0"/>
              <w:rPr>
                <w:sz w:val="15"/>
                <w:szCs w:val="15"/>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4D8ABE"/>
              </w:rPr>
              <w:t>Shares issued</w:t>
            </w:r>
          </w:p>
        </w:tc>
        <w:tc>
          <w:tcPr>
            <w:tcW w:w="3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4D8ABE"/>
              </w:rPr>
              <w:t>Par Value</w:t>
            </w:r>
          </w:p>
        </w:tc>
        <w:tc>
          <w:tcPr>
            <w:tcW w:w="32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4D8ABE"/>
              </w:rPr>
              <w:t>Par Value</w:t>
            </w:r>
          </w:p>
        </w:tc>
        <w:tc>
          <w:tcPr>
            <w:tcW w:w="220" w:type="dxa"/>
            <w:vAlign w:val="bottom"/>
          </w:tcPr>
          <w:p>
            <w:pPr>
              <w:spacing w:after="0"/>
              <w:rPr>
                <w:sz w:val="15"/>
                <w:szCs w:val="15"/>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4D8ABE"/>
              </w:rPr>
              <w:t>Deficit)</w:t>
            </w:r>
          </w:p>
        </w:tc>
        <w:tc>
          <w:tcPr>
            <w:tcW w:w="180" w:type="dxa"/>
            <w:vAlign w:val="bottom"/>
          </w:tcPr>
          <w:p>
            <w:pPr>
              <w:spacing w:after="0"/>
              <w:rPr>
                <w:sz w:val="15"/>
                <w:szCs w:val="15"/>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color w:val="4D8ABE"/>
              </w:rPr>
              <w:t>Income (Loss)</w:t>
            </w:r>
          </w:p>
        </w:tc>
        <w:tc>
          <w:tcPr>
            <w:tcW w:w="320" w:type="dxa"/>
            <w:vAlign w:val="bottom"/>
          </w:tcPr>
          <w:p>
            <w:pPr>
              <w:spacing w:after="0"/>
              <w:rPr>
                <w:sz w:val="15"/>
                <w:szCs w:val="15"/>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4D8ABE"/>
              </w:rPr>
              <w:t>Stock</w:t>
            </w:r>
          </w:p>
        </w:tc>
        <w:tc>
          <w:tcPr>
            <w:tcW w:w="3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4D8ABE"/>
              </w:rPr>
              <w:t>Total</w:t>
            </w:r>
          </w:p>
        </w:tc>
      </w:tr>
      <w:tr>
        <w:trPr>
          <w:trHeight w:val="155"/>
        </w:trPr>
        <w:tc>
          <w:tcPr>
            <w:tcW w:w="3380" w:type="dxa"/>
            <w:vAlign w:val="bottom"/>
            <w:tcBorders>
              <w:top w:val="single" w:sz="8" w:color="4D8ABE"/>
            </w:tcBorders>
            <w:shd w:val="clear" w:color="auto" w:fill="E6EFFF"/>
          </w:tcPr>
          <w:p>
            <w:pPr>
              <w:spacing w:after="0"/>
              <w:rPr>
                <w:sz w:val="20"/>
                <w:szCs w:val="20"/>
                <w:color w:val="auto"/>
              </w:rPr>
            </w:pPr>
            <w:r>
              <w:rPr>
                <w:rFonts w:ascii="Arial" w:cs="Arial" w:eastAsia="Arial" w:hAnsi="Arial"/>
                <w:sz w:val="13"/>
                <w:szCs w:val="13"/>
                <w:color w:val="auto"/>
              </w:rPr>
              <w:t>Balance, January 1, 2006</w:t>
            </w:r>
          </w:p>
        </w:tc>
        <w:tc>
          <w:tcPr>
            <w:tcW w:w="960" w:type="dxa"/>
            <w:vAlign w:val="bottom"/>
            <w:tcBorders>
              <w:top w:val="single" w:sz="8" w:color="4D8ABE"/>
            </w:tcBorders>
            <w:shd w:val="clear" w:color="auto" w:fill="E6EFFF"/>
          </w:tcPr>
          <w:p>
            <w:pPr>
              <w:jc w:val="right"/>
              <w:ind w:right="33"/>
              <w:spacing w:after="0"/>
              <w:rPr>
                <w:sz w:val="20"/>
                <w:szCs w:val="20"/>
                <w:color w:val="auto"/>
              </w:rPr>
            </w:pPr>
            <w:r>
              <w:rPr>
                <w:rFonts w:ascii="Arial" w:cs="Arial" w:eastAsia="Arial" w:hAnsi="Arial"/>
                <w:sz w:val="13"/>
                <w:szCs w:val="13"/>
                <w:color w:val="auto"/>
              </w:rPr>
              <w:t>101,239,813</w:t>
            </w:r>
          </w:p>
        </w:tc>
        <w:tc>
          <w:tcPr>
            <w:tcW w:w="320" w:type="dxa"/>
            <w:vAlign w:val="bottom"/>
            <w:tcBorders>
              <w:top w:val="single" w:sz="8" w:color="4D8ABE"/>
            </w:tcBorders>
            <w:shd w:val="clear" w:color="auto" w:fill="E6EFFF"/>
          </w:tcPr>
          <w:p>
            <w:pPr>
              <w:jc w:val="right"/>
              <w:ind w:right="53"/>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4D8ABE"/>
            </w:tcBorders>
            <w:gridSpan w:val="2"/>
            <w:shd w:val="clear" w:color="auto" w:fill="E6EFFF"/>
          </w:tcPr>
          <w:p>
            <w:pPr>
              <w:jc w:val="right"/>
              <w:ind w:right="100"/>
              <w:spacing w:after="0" w:line="155" w:lineRule="exact"/>
              <w:rPr>
                <w:sz w:val="20"/>
                <w:szCs w:val="20"/>
                <w:color w:val="auto"/>
              </w:rPr>
            </w:pPr>
            <w:r>
              <w:rPr>
                <w:rFonts w:ascii="Arial" w:cs="Arial" w:eastAsia="Arial" w:hAnsi="Arial"/>
                <w:sz w:val="14"/>
                <w:szCs w:val="14"/>
                <w:color w:val="auto"/>
              </w:rPr>
              <w:t>1.0</w:t>
            </w:r>
          </w:p>
        </w:tc>
        <w:tc>
          <w:tcPr>
            <w:tcW w:w="320" w:type="dxa"/>
            <w:vAlign w:val="bottom"/>
            <w:tcBorders>
              <w:top w:val="single" w:sz="8" w:color="4D8ABE"/>
            </w:tcBorders>
            <w:shd w:val="clear" w:color="auto" w:fill="E6EFFF"/>
          </w:tcPr>
          <w:p>
            <w:pPr>
              <w:jc w:val="right"/>
              <w:ind w:right="53"/>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4D8ABE"/>
            </w:tcBorders>
            <w:shd w:val="clear" w:color="auto" w:fill="E6EFFF"/>
          </w:tcPr>
          <w:p>
            <w:pPr>
              <w:jc w:val="right"/>
              <w:ind w:right="33"/>
              <w:spacing w:after="0" w:line="155" w:lineRule="exact"/>
              <w:rPr>
                <w:sz w:val="20"/>
                <w:szCs w:val="20"/>
                <w:color w:val="auto"/>
              </w:rPr>
            </w:pPr>
            <w:r>
              <w:rPr>
                <w:rFonts w:ascii="Arial" w:cs="Arial" w:eastAsia="Arial" w:hAnsi="Arial"/>
                <w:sz w:val="14"/>
                <w:szCs w:val="14"/>
                <w:color w:val="auto"/>
              </w:rPr>
              <w:t>2,346.7</w:t>
            </w:r>
          </w:p>
        </w:tc>
        <w:tc>
          <w:tcPr>
            <w:tcW w:w="220" w:type="dxa"/>
            <w:vAlign w:val="bottom"/>
            <w:tcBorders>
              <w:top w:val="single" w:sz="8" w:color="4D8ABE"/>
            </w:tcBorders>
            <w:shd w:val="clear" w:color="auto" w:fill="E6EF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4D8ABE"/>
            </w:tcBorders>
            <w:shd w:val="clear" w:color="auto" w:fill="E6EFFF"/>
          </w:tcPr>
          <w:p>
            <w:pPr>
              <w:jc w:val="right"/>
              <w:ind w:right="73"/>
              <w:spacing w:after="0" w:line="155" w:lineRule="exact"/>
              <w:rPr>
                <w:sz w:val="20"/>
                <w:szCs w:val="20"/>
                <w:color w:val="auto"/>
              </w:rPr>
            </w:pPr>
            <w:r>
              <w:rPr>
                <w:rFonts w:ascii="Arial" w:cs="Arial" w:eastAsia="Arial" w:hAnsi="Arial"/>
                <w:sz w:val="14"/>
                <w:szCs w:val="14"/>
                <w:color w:val="auto"/>
              </w:rPr>
              <w:t>269.9</w:t>
            </w:r>
          </w:p>
        </w:tc>
        <w:tc>
          <w:tcPr>
            <w:tcW w:w="180" w:type="dxa"/>
            <w:vAlign w:val="bottom"/>
            <w:tcBorders>
              <w:top w:val="single" w:sz="8" w:color="4D8ABE"/>
            </w:tcBorders>
            <w:shd w:val="clear" w:color="auto" w:fill="E6EF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4D8ABE"/>
            </w:tcBorders>
            <w:shd w:val="clear" w:color="auto" w:fill="E6EFFF"/>
          </w:tcPr>
          <w:p>
            <w:pPr>
              <w:jc w:val="right"/>
              <w:ind w:right="33"/>
              <w:spacing w:after="0" w:line="155" w:lineRule="exact"/>
              <w:rPr>
                <w:sz w:val="20"/>
                <w:szCs w:val="20"/>
                <w:color w:val="auto"/>
              </w:rPr>
            </w:pPr>
            <w:r>
              <w:rPr>
                <w:rFonts w:ascii="Arial" w:cs="Arial" w:eastAsia="Arial" w:hAnsi="Arial"/>
                <w:sz w:val="14"/>
                <w:szCs w:val="14"/>
                <w:color w:val="auto"/>
              </w:rPr>
              <w:t>(11.0)</w:t>
            </w:r>
          </w:p>
        </w:tc>
        <w:tc>
          <w:tcPr>
            <w:tcW w:w="320" w:type="dxa"/>
            <w:vAlign w:val="bottom"/>
            <w:tcBorders>
              <w:top w:val="single" w:sz="8" w:color="4D8ABE"/>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4D8ABE"/>
            </w:tcBorders>
            <w:shd w:val="clear" w:color="auto" w:fill="E6EFFF"/>
          </w:tcPr>
          <w:p>
            <w:pPr>
              <w:jc w:val="right"/>
              <w:ind w:right="33"/>
              <w:spacing w:after="0" w:line="155" w:lineRule="exact"/>
              <w:rPr>
                <w:sz w:val="20"/>
                <w:szCs w:val="20"/>
                <w:color w:val="auto"/>
              </w:rPr>
            </w:pPr>
            <w:r>
              <w:rPr>
                <w:rFonts w:ascii="Arial" w:cs="Arial" w:eastAsia="Arial" w:hAnsi="Arial"/>
                <w:sz w:val="14"/>
                <w:szCs w:val="14"/>
                <w:color w:val="auto"/>
              </w:rPr>
              <w:t>(460.0)</w:t>
            </w:r>
          </w:p>
        </w:tc>
        <w:tc>
          <w:tcPr>
            <w:tcW w:w="360" w:type="dxa"/>
            <w:vAlign w:val="bottom"/>
            <w:tcBorders>
              <w:top w:val="single" w:sz="8" w:color="4D8ABE"/>
            </w:tcBorders>
            <w:shd w:val="clear" w:color="auto" w:fill="E6EFFF"/>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2,146.6</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Comprehensive Income:</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Net earnings</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398.0</w:t>
            </w: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120"/>
              <w:spacing w:after="0"/>
              <w:rPr>
                <w:sz w:val="20"/>
                <w:szCs w:val="20"/>
                <w:color w:val="auto"/>
              </w:rPr>
            </w:pPr>
            <w:r>
              <w:rPr>
                <w:rFonts w:ascii="Arial" w:cs="Arial" w:eastAsia="Arial" w:hAnsi="Arial"/>
                <w:sz w:val="13"/>
                <w:szCs w:val="13"/>
                <w:color w:val="auto"/>
              </w:rPr>
              <w:t>Foreign currency translation</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131.8</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Unrealized gain on derivatives, net of tax</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2.0</w:t>
            </w: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120"/>
              <w:spacing w:after="0"/>
              <w:rPr>
                <w:sz w:val="20"/>
                <w:szCs w:val="20"/>
                <w:color w:val="auto"/>
              </w:rPr>
            </w:pPr>
            <w:r>
              <w:rPr>
                <w:rFonts w:ascii="Arial" w:cs="Arial" w:eastAsia="Arial" w:hAnsi="Arial"/>
                <w:sz w:val="13"/>
                <w:szCs w:val="13"/>
                <w:color w:val="auto"/>
              </w:rPr>
              <w:t>Unrealized gain on investments, net of tax</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3.6</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Minimum pension liability adjustment, net of tax</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0.9</w:t>
            </w: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Total comprehensive income</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536.3</w:t>
            </w: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spacing w:after="0"/>
              <w:rPr>
                <w:sz w:val="20"/>
                <w:szCs w:val="20"/>
                <w:color w:val="auto"/>
              </w:rPr>
            </w:pPr>
            <w:r>
              <w:rPr>
                <w:rFonts w:ascii="Arial" w:cs="Arial" w:eastAsia="Arial" w:hAnsi="Arial"/>
                <w:sz w:val="13"/>
                <w:szCs w:val="13"/>
                <w:color w:val="auto"/>
              </w:rPr>
              <w:t>Adjustment to initially apply SFAS</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120"/>
              <w:spacing w:after="0"/>
              <w:rPr>
                <w:sz w:val="20"/>
                <w:szCs w:val="20"/>
                <w:color w:val="auto"/>
              </w:rPr>
            </w:pPr>
            <w:r>
              <w:rPr>
                <w:rFonts w:ascii="Arial" w:cs="Arial" w:eastAsia="Arial" w:hAnsi="Arial"/>
                <w:sz w:val="13"/>
                <w:szCs w:val="13"/>
                <w:color w:val="auto"/>
              </w:rPr>
              <w:t>158, net of tax</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(6.7)</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(6.7)</w:t>
            </w:r>
          </w:p>
        </w:tc>
      </w:tr>
      <w:tr>
        <w:trPr>
          <w:trHeight w:val="165"/>
        </w:trPr>
        <w:tc>
          <w:tcPr>
            <w:tcW w:w="3380" w:type="dxa"/>
            <w:vAlign w:val="bottom"/>
            <w:shd w:val="clear" w:color="auto" w:fill="E6EFFF"/>
          </w:tcPr>
          <w:p>
            <w:pPr>
              <w:spacing w:after="0"/>
              <w:rPr>
                <w:sz w:val="20"/>
                <w:szCs w:val="20"/>
                <w:color w:val="auto"/>
              </w:rPr>
            </w:pPr>
            <w:r>
              <w:rPr>
                <w:rFonts w:ascii="Arial" w:cs="Arial" w:eastAsia="Arial" w:hAnsi="Arial"/>
                <w:sz w:val="13"/>
                <w:szCs w:val="13"/>
                <w:color w:val="auto"/>
              </w:rPr>
              <w:t>Issuances under equity plans,</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120"/>
              <w:spacing w:after="0"/>
              <w:rPr>
                <w:sz w:val="20"/>
                <w:szCs w:val="20"/>
                <w:color w:val="auto"/>
              </w:rPr>
            </w:pPr>
            <w:r>
              <w:rPr>
                <w:rFonts w:ascii="Arial" w:cs="Arial" w:eastAsia="Arial" w:hAnsi="Arial"/>
                <w:sz w:val="13"/>
                <w:szCs w:val="13"/>
                <w:color w:val="auto"/>
              </w:rPr>
              <w:t>including tax benefits</w:t>
            </w: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1,366,612</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51.5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10.8</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62.3</w:t>
            </w: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spacing w:after="0"/>
              <w:rPr>
                <w:sz w:val="20"/>
                <w:szCs w:val="20"/>
                <w:color w:val="auto"/>
              </w:rPr>
            </w:pPr>
            <w:r>
              <w:rPr>
                <w:rFonts w:ascii="Arial" w:cs="Arial" w:eastAsia="Arial" w:hAnsi="Arial"/>
                <w:sz w:val="13"/>
                <w:szCs w:val="13"/>
                <w:color w:val="auto"/>
              </w:rPr>
              <w:t>Share-based compensation expense</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22.5</w:t>
            </w: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jc w:val="right"/>
              <w:spacing w:after="0"/>
              <w:rPr>
                <w:sz w:val="20"/>
                <w:szCs w:val="20"/>
                <w:color w:val="auto"/>
              </w:rPr>
            </w:pPr>
            <w:r>
              <w:rPr>
                <w:rFonts w:ascii="Arial" w:cs="Arial" w:eastAsia="Arial" w:hAnsi="Arial"/>
                <w:sz w:val="13"/>
                <w:szCs w:val="13"/>
                <w:color w:val="auto"/>
              </w:rPr>
              <w:t>22.5</w:t>
            </w: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Dividends ($0.59 per share)</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(50.9)</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(50.9)</w:t>
            </w:r>
          </w:p>
        </w:tc>
      </w:tr>
      <w:tr>
        <w:trPr>
          <w:trHeight w:val="164"/>
        </w:trPr>
        <w:tc>
          <w:tcPr>
            <w:tcW w:w="3380" w:type="dxa"/>
            <w:vAlign w:val="bottom"/>
            <w:shd w:val="clear" w:color="auto" w:fill="E6EFFF"/>
          </w:tcPr>
          <w:p>
            <w:pPr>
              <w:spacing w:after="0"/>
              <w:rPr>
                <w:sz w:val="20"/>
                <w:szCs w:val="20"/>
                <w:color w:val="auto"/>
              </w:rPr>
            </w:pPr>
            <w:r>
              <w:rPr>
                <w:rFonts w:ascii="Arial" w:cs="Arial" w:eastAsia="Arial" w:hAnsi="Arial"/>
                <w:sz w:val="13"/>
                <w:szCs w:val="13"/>
                <w:color w:val="auto"/>
              </w:rPr>
              <w:t>Repurchases of common stock</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(235.9)</w:t>
            </w:r>
          </w:p>
        </w:tc>
        <w:tc>
          <w:tcPr>
            <w:tcW w:w="36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180"/>
              <w:spacing w:after="0"/>
              <w:rPr>
                <w:sz w:val="20"/>
                <w:szCs w:val="20"/>
                <w:color w:val="auto"/>
              </w:rPr>
            </w:pPr>
            <w:r>
              <w:rPr>
                <w:rFonts w:ascii="Arial" w:cs="Arial" w:eastAsia="Arial" w:hAnsi="Arial"/>
                <w:sz w:val="13"/>
                <w:szCs w:val="13"/>
                <w:color w:val="auto"/>
              </w:rPr>
              <w:t>(235.9)</w:t>
            </w:r>
          </w:p>
        </w:tc>
      </w:tr>
      <w:tr>
        <w:trPr>
          <w:trHeight w:val="155"/>
        </w:trPr>
        <w:tc>
          <w:tcPr>
            <w:tcW w:w="33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Balance, December 31, 2006</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102,606,425</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1.0</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2,420.7</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617.0</w:t>
            </w: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120.6</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(685.1)</w:t>
            </w:r>
          </w:p>
        </w:tc>
        <w:tc>
          <w:tcPr>
            <w:tcW w:w="3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2,474.2</w:t>
            </w:r>
          </w:p>
        </w:tc>
        <w:tc>
          <w:tcPr>
            <w:tcW w:w="220" w:type="dxa"/>
            <w:vAlign w:val="bottom"/>
          </w:tcPr>
          <w:p>
            <w:pPr>
              <w:spacing w:after="0"/>
              <w:rPr>
                <w:sz w:val="13"/>
                <w:szCs w:val="13"/>
                <w:color w:val="auto"/>
              </w:rPr>
            </w:pPr>
          </w:p>
        </w:tc>
      </w:tr>
      <w:tr>
        <w:trPr>
          <w:trHeight w:val="165"/>
        </w:trPr>
        <w:tc>
          <w:tcPr>
            <w:tcW w:w="3380" w:type="dxa"/>
            <w:vAlign w:val="bottom"/>
            <w:shd w:val="clear" w:color="auto" w:fill="E6EFFF"/>
          </w:tcPr>
          <w:p>
            <w:pPr>
              <w:spacing w:after="0"/>
              <w:rPr>
                <w:sz w:val="20"/>
                <w:szCs w:val="20"/>
                <w:color w:val="auto"/>
              </w:rPr>
            </w:pPr>
            <w:r>
              <w:rPr>
                <w:rFonts w:ascii="Arial" w:cs="Arial" w:eastAsia="Arial" w:hAnsi="Arial"/>
                <w:sz w:val="13"/>
                <w:szCs w:val="13"/>
                <w:color w:val="auto"/>
              </w:rPr>
              <w:t>Comprehensive Income:</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40"/>
              <w:spacing w:after="0"/>
              <w:rPr>
                <w:sz w:val="20"/>
                <w:szCs w:val="20"/>
                <w:color w:val="auto"/>
              </w:rPr>
            </w:pPr>
            <w:r>
              <w:rPr>
                <w:rFonts w:ascii="Arial" w:cs="Arial" w:eastAsia="Arial" w:hAnsi="Arial"/>
                <w:sz w:val="13"/>
                <w:szCs w:val="13"/>
                <w:color w:val="auto"/>
              </w:rPr>
              <w:t>Net earnings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484.7</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40"/>
              <w:spacing w:after="0"/>
              <w:rPr>
                <w:sz w:val="20"/>
                <w:szCs w:val="20"/>
                <w:color w:val="auto"/>
              </w:rPr>
            </w:pPr>
            <w:r>
              <w:rPr>
                <w:rFonts w:ascii="Arial" w:cs="Arial" w:eastAsia="Arial" w:hAnsi="Arial"/>
                <w:sz w:val="13"/>
                <w:szCs w:val="13"/>
                <w:color w:val="auto"/>
              </w:rPr>
              <w:t>Foreign currency translation</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106.3</w:t>
            </w: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40"/>
              <w:spacing w:after="0"/>
              <w:rPr>
                <w:sz w:val="20"/>
                <w:szCs w:val="20"/>
                <w:color w:val="auto"/>
              </w:rPr>
            </w:pPr>
            <w:r>
              <w:rPr>
                <w:rFonts w:ascii="Arial" w:cs="Arial" w:eastAsia="Arial" w:hAnsi="Arial"/>
                <w:sz w:val="13"/>
                <w:szCs w:val="13"/>
                <w:color w:val="auto"/>
              </w:rPr>
              <w:t>Unrealized gain on derivatives, net of tax</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1.6</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40"/>
              <w:spacing w:after="0"/>
              <w:rPr>
                <w:sz w:val="20"/>
                <w:szCs w:val="20"/>
                <w:color w:val="auto"/>
              </w:rPr>
            </w:pPr>
            <w:r>
              <w:rPr>
                <w:rFonts w:ascii="Arial" w:cs="Arial" w:eastAsia="Arial" w:hAnsi="Arial"/>
                <w:sz w:val="13"/>
                <w:szCs w:val="13"/>
                <w:color w:val="auto"/>
              </w:rPr>
              <w:t>Unrealized gain on investments, net of tax</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1.0</w:t>
            </w: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40"/>
              <w:spacing w:after="0"/>
              <w:rPr>
                <w:sz w:val="20"/>
                <w:szCs w:val="20"/>
                <w:color w:val="auto"/>
              </w:rPr>
            </w:pPr>
            <w:r>
              <w:rPr>
                <w:rFonts w:ascii="Arial" w:cs="Arial" w:eastAsia="Arial" w:hAnsi="Arial"/>
                <w:sz w:val="13"/>
                <w:szCs w:val="13"/>
                <w:color w:val="auto"/>
              </w:rPr>
              <w:t>Defined benefit pension plans and</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retiree health care plan, net of tax</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28.1</w:t>
            </w: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Total comprehensive income</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621.7</w:t>
            </w: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spacing w:after="0"/>
              <w:rPr>
                <w:sz w:val="20"/>
                <w:szCs w:val="20"/>
                <w:color w:val="auto"/>
              </w:rPr>
            </w:pPr>
            <w:r>
              <w:rPr>
                <w:rFonts w:ascii="Arial" w:cs="Arial" w:eastAsia="Arial" w:hAnsi="Arial"/>
                <w:sz w:val="13"/>
                <w:szCs w:val="13"/>
                <w:color w:val="auto"/>
              </w:rPr>
              <w:t>Adjustment to initially apply FIN 48</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(4.3)</w:t>
            </w: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180"/>
              <w:spacing w:after="0"/>
              <w:rPr>
                <w:sz w:val="20"/>
                <w:szCs w:val="20"/>
                <w:color w:val="auto"/>
              </w:rPr>
            </w:pPr>
            <w:r>
              <w:rPr>
                <w:rFonts w:ascii="Arial" w:cs="Arial" w:eastAsia="Arial" w:hAnsi="Arial"/>
                <w:sz w:val="13"/>
                <w:szCs w:val="13"/>
                <w:color w:val="auto"/>
              </w:rPr>
              <w:t>(4.3)</w:t>
            </w: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Issuances under equity plans,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including tax benefits</w:t>
            </w:r>
          </w:p>
        </w:tc>
        <w:tc>
          <w:tcPr>
            <w:tcW w:w="96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807,829</w:t>
            </w: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35.1</w:t>
            </w: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4.4</w:t>
            </w: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jc w:val="right"/>
              <w:spacing w:after="0"/>
              <w:rPr>
                <w:sz w:val="20"/>
                <w:szCs w:val="20"/>
                <w:color w:val="auto"/>
              </w:rPr>
            </w:pPr>
            <w:r>
              <w:rPr>
                <w:rFonts w:ascii="Arial" w:cs="Arial" w:eastAsia="Arial" w:hAnsi="Arial"/>
                <w:sz w:val="13"/>
                <w:szCs w:val="13"/>
                <w:color w:val="auto"/>
              </w:rPr>
              <w:t>39.5</w:t>
            </w: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26.0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26.0</w:t>
            </w: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spacing w:after="0"/>
              <w:rPr>
                <w:sz w:val="20"/>
                <w:szCs w:val="20"/>
                <w:color w:val="auto"/>
              </w:rPr>
            </w:pPr>
            <w:r>
              <w:rPr>
                <w:rFonts w:ascii="Arial" w:cs="Arial" w:eastAsia="Arial" w:hAnsi="Arial"/>
                <w:sz w:val="13"/>
                <w:szCs w:val="13"/>
                <w:color w:val="auto"/>
              </w:rPr>
              <w:t>Dividends ($0.69 per share)</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(57.1)</w:t>
            </w: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180"/>
              <w:spacing w:after="0"/>
              <w:rPr>
                <w:sz w:val="20"/>
                <w:szCs w:val="20"/>
                <w:color w:val="auto"/>
              </w:rPr>
            </w:pPr>
            <w:r>
              <w:rPr>
                <w:rFonts w:ascii="Arial" w:cs="Arial" w:eastAsia="Arial" w:hAnsi="Arial"/>
                <w:sz w:val="13"/>
                <w:szCs w:val="13"/>
                <w:color w:val="auto"/>
              </w:rPr>
              <w:t>(57.1)</w:t>
            </w: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(430.7)</w:t>
            </w:r>
          </w:p>
        </w:tc>
        <w:tc>
          <w:tcPr>
            <w:tcW w:w="3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(430.7)</w:t>
            </w:r>
          </w:p>
        </w:tc>
      </w:tr>
      <w:tr>
        <w:trPr>
          <w:trHeight w:val="155"/>
        </w:trPr>
        <w:tc>
          <w:tcPr>
            <w:tcW w:w="3380" w:type="dxa"/>
            <w:vAlign w:val="bottom"/>
            <w:tcBorders>
              <w:top w:val="single" w:sz="8" w:color="auto"/>
            </w:tcBorders>
            <w:shd w:val="clear" w:color="auto" w:fill="E6EFFF"/>
          </w:tcPr>
          <w:p>
            <w:pPr>
              <w:spacing w:after="0"/>
              <w:rPr>
                <w:sz w:val="20"/>
                <w:szCs w:val="20"/>
                <w:color w:val="auto"/>
              </w:rPr>
            </w:pPr>
            <w:r>
              <w:rPr>
                <w:rFonts w:ascii="Arial" w:cs="Arial" w:eastAsia="Arial" w:hAnsi="Arial"/>
                <w:sz w:val="13"/>
                <w:szCs w:val="13"/>
                <w:color w:val="auto"/>
              </w:rPr>
              <w:t>Balance, December 31, 2007</w:t>
            </w:r>
          </w:p>
        </w:tc>
        <w:tc>
          <w:tcPr>
            <w:tcW w:w="960" w:type="dxa"/>
            <w:vAlign w:val="bottom"/>
            <w:tcBorders>
              <w:top w:val="single" w:sz="8" w:color="auto"/>
            </w:tcBorders>
            <w:shd w:val="clear" w:color="auto" w:fill="E6EFFF"/>
          </w:tcPr>
          <w:p>
            <w:pPr>
              <w:jc w:val="right"/>
              <w:ind w:right="33"/>
              <w:spacing w:after="0"/>
              <w:rPr>
                <w:sz w:val="20"/>
                <w:szCs w:val="20"/>
                <w:color w:val="auto"/>
              </w:rPr>
            </w:pPr>
            <w:r>
              <w:rPr>
                <w:rFonts w:ascii="Arial" w:cs="Arial" w:eastAsia="Arial" w:hAnsi="Arial"/>
                <w:sz w:val="13"/>
                <w:szCs w:val="13"/>
                <w:color w:val="auto"/>
              </w:rPr>
              <w:t>103,414,254</w:t>
            </w:r>
          </w:p>
        </w:tc>
        <w:tc>
          <w:tcPr>
            <w:tcW w:w="320" w:type="dxa"/>
            <w:vAlign w:val="bottom"/>
            <w:tcBorders>
              <w:top w:val="single" w:sz="8" w:color="auto"/>
            </w:tcBorders>
            <w:shd w:val="clear" w:color="auto" w:fill="E6EFFF"/>
          </w:tcPr>
          <w:p>
            <w:pPr>
              <w:spacing w:after="0"/>
              <w:rPr>
                <w:sz w:val="13"/>
                <w:szCs w:val="13"/>
                <w:color w:val="auto"/>
              </w:rPr>
            </w:pPr>
          </w:p>
        </w:tc>
        <w:tc>
          <w:tcPr>
            <w:tcW w:w="820" w:type="dxa"/>
            <w:vAlign w:val="bottom"/>
            <w:tcBorders>
              <w:top w:val="single" w:sz="8" w:color="auto"/>
            </w:tcBorders>
            <w:gridSpan w:val="2"/>
            <w:shd w:val="clear" w:color="auto" w:fill="E6EFFF"/>
          </w:tcPr>
          <w:p>
            <w:pPr>
              <w:jc w:val="right"/>
              <w:ind w:right="100"/>
              <w:spacing w:after="0"/>
              <w:rPr>
                <w:sz w:val="20"/>
                <w:szCs w:val="20"/>
                <w:color w:val="auto"/>
              </w:rPr>
            </w:pPr>
            <w:r>
              <w:rPr>
                <w:rFonts w:ascii="Arial" w:cs="Arial" w:eastAsia="Arial" w:hAnsi="Arial"/>
                <w:sz w:val="13"/>
                <w:szCs w:val="13"/>
                <w:color w:val="auto"/>
              </w:rPr>
              <w:t>1.0</w:t>
            </w:r>
          </w:p>
        </w:tc>
        <w:tc>
          <w:tcPr>
            <w:tcW w:w="320" w:type="dxa"/>
            <w:vAlign w:val="bottom"/>
            <w:tcBorders>
              <w:top w:val="single" w:sz="8" w:color="auto"/>
            </w:tcBorders>
            <w:shd w:val="clear" w:color="auto" w:fill="E6EFFF"/>
          </w:tcPr>
          <w:p>
            <w:pPr>
              <w:spacing w:after="0"/>
              <w:rPr>
                <w:sz w:val="13"/>
                <w:szCs w:val="13"/>
                <w:color w:val="auto"/>
              </w:rPr>
            </w:pPr>
          </w:p>
        </w:tc>
        <w:tc>
          <w:tcPr>
            <w:tcW w:w="820" w:type="dxa"/>
            <w:vAlign w:val="bottom"/>
            <w:tcBorders>
              <w:top w:val="single" w:sz="8" w:color="auto"/>
            </w:tcBorders>
            <w:shd w:val="clear" w:color="auto" w:fill="E6EFFF"/>
          </w:tcPr>
          <w:p>
            <w:pPr>
              <w:jc w:val="right"/>
              <w:ind w:right="33"/>
              <w:spacing w:after="0"/>
              <w:rPr>
                <w:sz w:val="20"/>
                <w:szCs w:val="20"/>
                <w:color w:val="auto"/>
              </w:rPr>
            </w:pPr>
            <w:r>
              <w:rPr>
                <w:rFonts w:ascii="Arial" w:cs="Arial" w:eastAsia="Arial" w:hAnsi="Arial"/>
                <w:sz w:val="13"/>
                <w:szCs w:val="13"/>
                <w:color w:val="auto"/>
              </w:rPr>
              <w:t>2,481.8</w:t>
            </w:r>
          </w:p>
        </w:tc>
        <w:tc>
          <w:tcPr>
            <w:tcW w:w="220" w:type="dxa"/>
            <w:vAlign w:val="bottom"/>
            <w:tcBorders>
              <w:top w:val="single" w:sz="8" w:color="auto"/>
            </w:tcBorders>
            <w:shd w:val="clear" w:color="auto" w:fill="E6EFFF"/>
          </w:tcPr>
          <w:p>
            <w:pPr>
              <w:spacing w:after="0"/>
              <w:rPr>
                <w:sz w:val="13"/>
                <w:szCs w:val="13"/>
                <w:color w:val="auto"/>
              </w:rPr>
            </w:pPr>
          </w:p>
        </w:tc>
        <w:tc>
          <w:tcPr>
            <w:tcW w:w="980" w:type="dxa"/>
            <w:vAlign w:val="bottom"/>
            <w:tcBorders>
              <w:top w:val="single" w:sz="8" w:color="auto"/>
            </w:tcBorders>
            <w:shd w:val="clear" w:color="auto" w:fill="E6EFFF"/>
          </w:tcPr>
          <w:p>
            <w:pPr>
              <w:jc w:val="right"/>
              <w:ind w:right="73"/>
              <w:spacing w:after="0"/>
              <w:rPr>
                <w:sz w:val="20"/>
                <w:szCs w:val="20"/>
                <w:color w:val="auto"/>
              </w:rPr>
            </w:pPr>
            <w:r>
              <w:rPr>
                <w:rFonts w:ascii="Arial" w:cs="Arial" w:eastAsia="Arial" w:hAnsi="Arial"/>
                <w:sz w:val="13"/>
                <w:szCs w:val="13"/>
                <w:color w:val="auto"/>
              </w:rPr>
              <w:t>1,040.3</w:t>
            </w:r>
          </w:p>
        </w:tc>
        <w:tc>
          <w:tcPr>
            <w:tcW w:w="180" w:type="dxa"/>
            <w:vAlign w:val="bottom"/>
            <w:tcBorders>
              <w:top w:val="single" w:sz="8" w:color="auto"/>
            </w:tcBorders>
            <w:shd w:val="clear" w:color="auto" w:fill="E6EFFF"/>
          </w:tcPr>
          <w:p>
            <w:pPr>
              <w:spacing w:after="0"/>
              <w:rPr>
                <w:sz w:val="13"/>
                <w:szCs w:val="13"/>
                <w:color w:val="auto"/>
              </w:rPr>
            </w:pPr>
          </w:p>
        </w:tc>
        <w:tc>
          <w:tcPr>
            <w:tcW w:w="1100" w:type="dxa"/>
            <w:vAlign w:val="bottom"/>
            <w:tcBorders>
              <w:top w:val="single" w:sz="8" w:color="auto"/>
            </w:tcBorders>
            <w:shd w:val="clear" w:color="auto" w:fill="E6EFFF"/>
          </w:tcPr>
          <w:p>
            <w:pPr>
              <w:jc w:val="right"/>
              <w:ind w:right="73"/>
              <w:spacing w:after="0"/>
              <w:rPr>
                <w:sz w:val="20"/>
                <w:szCs w:val="20"/>
                <w:color w:val="auto"/>
              </w:rPr>
            </w:pPr>
            <w:r>
              <w:rPr>
                <w:rFonts w:ascii="Arial" w:cs="Arial" w:eastAsia="Arial" w:hAnsi="Arial"/>
                <w:sz w:val="13"/>
                <w:szCs w:val="13"/>
                <w:color w:val="auto"/>
              </w:rPr>
              <w:t>257.6</w:t>
            </w:r>
          </w:p>
        </w:tc>
        <w:tc>
          <w:tcPr>
            <w:tcW w:w="320" w:type="dxa"/>
            <w:vAlign w:val="bottom"/>
            <w:tcBorders>
              <w:top w:val="single" w:sz="8" w:color="auto"/>
            </w:tcBorders>
            <w:shd w:val="clear" w:color="auto" w:fill="E6EFFF"/>
          </w:tcPr>
          <w:p>
            <w:pPr>
              <w:spacing w:after="0"/>
              <w:rPr>
                <w:sz w:val="13"/>
                <w:szCs w:val="13"/>
                <w:color w:val="auto"/>
              </w:rPr>
            </w:pPr>
          </w:p>
        </w:tc>
        <w:tc>
          <w:tcPr>
            <w:tcW w:w="820" w:type="dxa"/>
            <w:vAlign w:val="bottom"/>
            <w:tcBorders>
              <w:top w:val="single" w:sz="8" w:color="auto"/>
            </w:tcBorders>
            <w:shd w:val="clear" w:color="auto" w:fill="E6EFFF"/>
          </w:tcPr>
          <w:p>
            <w:pPr>
              <w:jc w:val="right"/>
              <w:ind w:right="33"/>
              <w:spacing w:after="0"/>
              <w:rPr>
                <w:sz w:val="20"/>
                <w:szCs w:val="20"/>
                <w:color w:val="auto"/>
              </w:rPr>
            </w:pPr>
            <w:r>
              <w:rPr>
                <w:rFonts w:ascii="Arial" w:cs="Arial" w:eastAsia="Arial" w:hAnsi="Arial"/>
                <w:sz w:val="13"/>
                <w:szCs w:val="13"/>
                <w:color w:val="auto"/>
              </w:rPr>
              <w:t>(1,111.4)</w:t>
            </w:r>
          </w:p>
        </w:tc>
        <w:tc>
          <w:tcPr>
            <w:tcW w:w="360" w:type="dxa"/>
            <w:vAlign w:val="bottom"/>
            <w:tcBorders>
              <w:top w:val="single" w:sz="8" w:color="auto"/>
            </w:tcBorders>
            <w:shd w:val="clear" w:color="auto" w:fill="E6EFFF"/>
          </w:tcPr>
          <w:p>
            <w:pPr>
              <w:spacing w:after="0"/>
              <w:rPr>
                <w:sz w:val="13"/>
                <w:szCs w:val="13"/>
                <w:color w:val="auto"/>
              </w:rPr>
            </w:pPr>
          </w:p>
        </w:tc>
        <w:tc>
          <w:tcPr>
            <w:tcW w:w="640" w:type="dxa"/>
            <w:vAlign w:val="bottom"/>
            <w:tcBorders>
              <w:top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2,669.3</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Comprehensive Income:</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Net earnings</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218.9</w:t>
            </w: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120"/>
              <w:spacing w:after="0"/>
              <w:rPr>
                <w:sz w:val="20"/>
                <w:szCs w:val="20"/>
                <w:color w:val="auto"/>
              </w:rPr>
            </w:pPr>
            <w:r>
              <w:rPr>
                <w:rFonts w:ascii="Arial" w:cs="Arial" w:eastAsia="Arial" w:hAnsi="Arial"/>
                <w:sz w:val="13"/>
                <w:szCs w:val="13"/>
                <w:color w:val="auto"/>
              </w:rPr>
              <w:t>Foreign currency translation</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(249.9)</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Unrealized loss on investments, net of tax</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(7.6)</w:t>
            </w: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120"/>
              <w:spacing w:after="0"/>
              <w:rPr>
                <w:sz w:val="20"/>
                <w:szCs w:val="20"/>
                <w:color w:val="auto"/>
              </w:rPr>
            </w:pPr>
            <w:r>
              <w:rPr>
                <w:rFonts w:ascii="Arial" w:cs="Arial" w:eastAsia="Arial" w:hAnsi="Arial"/>
                <w:sz w:val="13"/>
                <w:szCs w:val="13"/>
                <w:color w:val="auto"/>
              </w:rPr>
              <w:t>Unrealized loss on derivatives, net of tax</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(1.4)</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Defined benefit pension plans and</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220"/>
              <w:spacing w:after="0"/>
              <w:rPr>
                <w:sz w:val="20"/>
                <w:szCs w:val="20"/>
                <w:color w:val="auto"/>
              </w:rPr>
            </w:pPr>
            <w:r>
              <w:rPr>
                <w:rFonts w:ascii="Arial" w:cs="Arial" w:eastAsia="Arial" w:hAnsi="Arial"/>
                <w:sz w:val="13"/>
                <w:szCs w:val="13"/>
                <w:color w:val="auto"/>
              </w:rPr>
              <w:t>retiree health care plan, net of tax</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(5.8)</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spacing w:after="0"/>
              <w:rPr>
                <w:sz w:val="20"/>
                <w:szCs w:val="20"/>
                <w:color w:val="auto"/>
              </w:rPr>
            </w:pPr>
            <w:r>
              <w:rPr>
                <w:rFonts w:ascii="Arial" w:cs="Arial" w:eastAsia="Arial" w:hAnsi="Arial"/>
                <w:sz w:val="13"/>
                <w:szCs w:val="13"/>
                <w:color w:val="auto"/>
              </w:rPr>
              <w:t>Total comprehensive income (loss)</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180"/>
              <w:spacing w:after="0"/>
              <w:rPr>
                <w:sz w:val="20"/>
                <w:szCs w:val="20"/>
                <w:color w:val="auto"/>
              </w:rPr>
            </w:pPr>
            <w:r>
              <w:rPr>
                <w:rFonts w:ascii="Arial" w:cs="Arial" w:eastAsia="Arial" w:hAnsi="Arial"/>
                <w:sz w:val="13"/>
                <w:szCs w:val="13"/>
                <w:color w:val="auto"/>
              </w:rPr>
              <w:t>(45.8)</w:t>
            </w: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Effects of changing pension plan</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measurement date pursuant to</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180"/>
              <w:spacing w:after="0"/>
              <w:rPr>
                <w:sz w:val="20"/>
                <w:szCs w:val="20"/>
                <w:color w:val="auto"/>
              </w:rPr>
            </w:pPr>
            <w:r>
              <w:rPr>
                <w:rFonts w:ascii="Arial" w:cs="Arial" w:eastAsia="Arial" w:hAnsi="Arial"/>
                <w:sz w:val="13"/>
                <w:szCs w:val="13"/>
                <w:color w:val="auto"/>
              </w:rPr>
              <w:t>SFAS 158:</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80"/>
              <w:spacing w:after="0"/>
              <w:rPr>
                <w:sz w:val="20"/>
                <w:szCs w:val="20"/>
                <w:color w:val="auto"/>
              </w:rPr>
            </w:pPr>
            <w:r>
              <w:rPr>
                <w:rFonts w:ascii="Arial" w:cs="Arial" w:eastAsia="Arial" w:hAnsi="Arial"/>
                <w:sz w:val="13"/>
                <w:szCs w:val="13"/>
                <w:color w:val="auto"/>
              </w:rPr>
              <w:t>Service cost, interest cost and expected</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ind w:left="340"/>
              <w:spacing w:after="0"/>
              <w:rPr>
                <w:sz w:val="20"/>
                <w:szCs w:val="20"/>
                <w:color w:val="auto"/>
              </w:rPr>
            </w:pPr>
            <w:r>
              <w:rPr>
                <w:rFonts w:ascii="Arial" w:cs="Arial" w:eastAsia="Arial" w:hAnsi="Arial"/>
                <w:sz w:val="13"/>
                <w:szCs w:val="13"/>
                <w:color w:val="auto"/>
              </w:rPr>
              <w:t>return on plan assets for October 1-</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340"/>
              <w:spacing w:after="0"/>
              <w:rPr>
                <w:sz w:val="20"/>
                <w:szCs w:val="20"/>
                <w:color w:val="auto"/>
              </w:rPr>
            </w:pPr>
            <w:r>
              <w:rPr>
                <w:rFonts w:ascii="Arial" w:cs="Arial" w:eastAsia="Arial" w:hAnsi="Arial"/>
                <w:sz w:val="13"/>
                <w:szCs w:val="13"/>
                <w:color w:val="auto"/>
              </w:rPr>
              <w:t>December 31, net of tax</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0.1</w:t>
            </w: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220"/>
              <w:spacing w:after="0"/>
              <w:rPr>
                <w:sz w:val="20"/>
                <w:szCs w:val="20"/>
                <w:color w:val="auto"/>
              </w:rPr>
            </w:pPr>
            <w:r>
              <w:rPr>
                <w:rFonts w:ascii="Arial" w:cs="Arial" w:eastAsia="Arial" w:hAnsi="Arial"/>
                <w:sz w:val="13"/>
                <w:szCs w:val="13"/>
                <w:color w:val="auto"/>
              </w:rPr>
              <w:t>0.1</w:t>
            </w:r>
          </w:p>
        </w:tc>
      </w:tr>
      <w:tr>
        <w:trPr>
          <w:trHeight w:val="164"/>
        </w:trPr>
        <w:tc>
          <w:tcPr>
            <w:tcW w:w="3380" w:type="dxa"/>
            <w:vAlign w:val="bottom"/>
          </w:tcPr>
          <w:p>
            <w:pPr>
              <w:ind w:left="180"/>
              <w:spacing w:after="0"/>
              <w:rPr>
                <w:sz w:val="20"/>
                <w:szCs w:val="20"/>
                <w:color w:val="auto"/>
              </w:rPr>
            </w:pPr>
            <w:r>
              <w:rPr>
                <w:rFonts w:ascii="Arial" w:cs="Arial" w:eastAsia="Arial" w:hAnsi="Arial"/>
                <w:sz w:val="13"/>
                <w:szCs w:val="13"/>
                <w:color w:val="auto"/>
              </w:rPr>
              <w:t>Additional loss for October 1-December 31,</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340"/>
              <w:spacing w:after="0"/>
              <w:rPr>
                <w:sz w:val="20"/>
                <w:szCs w:val="20"/>
                <w:color w:val="auto"/>
              </w:rPr>
            </w:pPr>
            <w:r>
              <w:rPr>
                <w:rFonts w:ascii="Arial" w:cs="Arial" w:eastAsia="Arial" w:hAnsi="Arial"/>
                <w:sz w:val="13"/>
                <w:szCs w:val="13"/>
                <w:color w:val="auto"/>
              </w:rPr>
              <w:t>net of tax</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(1.8)</w:t>
            </w: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180"/>
              <w:spacing w:after="0"/>
              <w:rPr>
                <w:sz w:val="20"/>
                <w:szCs w:val="20"/>
                <w:color w:val="auto"/>
              </w:rPr>
            </w:pPr>
            <w:r>
              <w:rPr>
                <w:rFonts w:ascii="Arial" w:cs="Arial" w:eastAsia="Arial" w:hAnsi="Arial"/>
                <w:sz w:val="13"/>
                <w:szCs w:val="13"/>
                <w:color w:val="auto"/>
              </w:rPr>
              <w:t>(1.8)</w:t>
            </w: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Issuances under equity plans, including</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ind w:left="120"/>
              <w:spacing w:after="0"/>
              <w:rPr>
                <w:sz w:val="20"/>
                <w:szCs w:val="20"/>
                <w:color w:val="auto"/>
              </w:rPr>
            </w:pPr>
            <w:r>
              <w:rPr>
                <w:rFonts w:ascii="Arial" w:cs="Arial" w:eastAsia="Arial" w:hAnsi="Arial"/>
                <w:sz w:val="13"/>
                <w:szCs w:val="13"/>
                <w:color w:val="auto"/>
              </w:rPr>
              <w:t>tax benefits</w:t>
            </w:r>
          </w:p>
        </w:tc>
        <w:tc>
          <w:tcPr>
            <w:tcW w:w="96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341,884</w:t>
            </w: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11.9</w:t>
            </w: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0.8</w:t>
            </w:r>
          </w:p>
        </w:tc>
        <w:tc>
          <w:tcPr>
            <w:tcW w:w="360" w:type="dxa"/>
            <w:vAlign w:val="bottom"/>
            <w:shd w:val="clear" w:color="auto" w:fill="E6EFFF"/>
          </w:tcPr>
          <w:p>
            <w:pPr>
              <w:spacing w:after="0"/>
              <w:rPr>
                <w:sz w:val="14"/>
                <w:szCs w:val="14"/>
                <w:color w:val="auto"/>
              </w:rPr>
            </w:pPr>
          </w:p>
        </w:tc>
        <w:tc>
          <w:tcPr>
            <w:tcW w:w="640" w:type="dxa"/>
            <w:vAlign w:val="bottom"/>
            <w:shd w:val="clear" w:color="auto" w:fill="E6EFFF"/>
          </w:tcPr>
          <w:p>
            <w:pPr>
              <w:jc w:val="right"/>
              <w:spacing w:after="0"/>
              <w:rPr>
                <w:sz w:val="20"/>
                <w:szCs w:val="20"/>
                <w:color w:val="auto"/>
              </w:rPr>
            </w:pPr>
            <w:r>
              <w:rPr>
                <w:rFonts w:ascii="Arial" w:cs="Arial" w:eastAsia="Arial" w:hAnsi="Arial"/>
                <w:sz w:val="13"/>
                <w:szCs w:val="13"/>
                <w:color w:val="auto"/>
              </w:rPr>
              <w:t>12.7</w:t>
            </w:r>
          </w:p>
        </w:tc>
        <w:tc>
          <w:tcPr>
            <w:tcW w:w="220" w:type="dxa"/>
            <w:vAlign w:val="bottom"/>
            <w:shd w:val="clear" w:color="auto" w:fill="E6EFFF"/>
          </w:tcPr>
          <w:p>
            <w:pPr>
              <w:spacing w:after="0"/>
              <w:rPr>
                <w:sz w:val="14"/>
                <w:szCs w:val="14"/>
                <w:color w:val="auto"/>
              </w:rPr>
            </w:pP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21.1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21.1</w:t>
            </w:r>
          </w:p>
        </w:tc>
        <w:tc>
          <w:tcPr>
            <w:tcW w:w="220" w:type="dxa"/>
            <w:vAlign w:val="bottom"/>
          </w:tcPr>
          <w:p>
            <w:pPr>
              <w:spacing w:after="0"/>
              <w:rPr>
                <w:sz w:val="14"/>
                <w:szCs w:val="14"/>
                <w:color w:val="auto"/>
              </w:rPr>
            </w:pPr>
          </w:p>
        </w:tc>
      </w:tr>
      <w:tr>
        <w:trPr>
          <w:trHeight w:val="165"/>
        </w:trPr>
        <w:tc>
          <w:tcPr>
            <w:tcW w:w="3380" w:type="dxa"/>
            <w:vAlign w:val="bottom"/>
            <w:shd w:val="clear" w:color="auto" w:fill="E6EFFF"/>
          </w:tcPr>
          <w:p>
            <w:pPr>
              <w:spacing w:after="0"/>
              <w:rPr>
                <w:sz w:val="20"/>
                <w:szCs w:val="20"/>
                <w:color w:val="auto"/>
              </w:rPr>
            </w:pPr>
            <w:r>
              <w:rPr>
                <w:rFonts w:ascii="Arial" w:cs="Arial" w:eastAsia="Arial" w:hAnsi="Arial"/>
                <w:sz w:val="13"/>
                <w:szCs w:val="13"/>
                <w:color w:val="auto"/>
              </w:rPr>
              <w:t>Dividends ($0.74 per share)</w:t>
            </w:r>
          </w:p>
        </w:tc>
        <w:tc>
          <w:tcPr>
            <w:tcW w:w="96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(58.1)</w:t>
            </w:r>
          </w:p>
        </w:tc>
        <w:tc>
          <w:tcPr>
            <w:tcW w:w="180" w:type="dxa"/>
            <w:vAlign w:val="bottom"/>
            <w:shd w:val="clear" w:color="auto" w:fill="E6EFFF"/>
          </w:tcPr>
          <w:p>
            <w:pPr>
              <w:spacing w:after="0"/>
              <w:rPr>
                <w:sz w:val="14"/>
                <w:szCs w:val="14"/>
                <w:color w:val="auto"/>
              </w:rPr>
            </w:pPr>
          </w:p>
        </w:tc>
        <w:tc>
          <w:tcPr>
            <w:tcW w:w="110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180"/>
              <w:spacing w:after="0"/>
              <w:rPr>
                <w:sz w:val="20"/>
                <w:szCs w:val="20"/>
                <w:color w:val="auto"/>
              </w:rPr>
            </w:pPr>
            <w:r>
              <w:rPr>
                <w:rFonts w:ascii="Arial" w:cs="Arial" w:eastAsia="Arial" w:hAnsi="Arial"/>
                <w:sz w:val="13"/>
                <w:szCs w:val="13"/>
                <w:color w:val="auto"/>
              </w:rPr>
              <w:t>(58.1)</w:t>
            </w:r>
          </w:p>
        </w:tc>
      </w:tr>
      <w:tr>
        <w:trPr>
          <w:trHeight w:val="164"/>
        </w:trPr>
        <w:tc>
          <w:tcPr>
            <w:tcW w:w="3380" w:type="dxa"/>
            <w:vAlign w:val="bottom"/>
          </w:tcPr>
          <w:p>
            <w:pPr>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(113.7)</w:t>
            </w:r>
          </w:p>
        </w:tc>
        <w:tc>
          <w:tcPr>
            <w:tcW w:w="3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(113.7)</w:t>
            </w:r>
          </w:p>
        </w:tc>
      </w:tr>
      <w:tr>
        <w:trPr>
          <w:trHeight w:val="155"/>
        </w:trPr>
        <w:tc>
          <w:tcPr>
            <w:tcW w:w="3380" w:type="dxa"/>
            <w:vAlign w:val="bottom"/>
            <w:tcBorders>
              <w:top w:val="single" w:sz="8" w:color="auto"/>
              <w:bottom w:val="single" w:sz="8" w:color="auto"/>
            </w:tcBorders>
            <w:shd w:val="clear" w:color="auto" w:fill="E6EFFF"/>
          </w:tcPr>
          <w:p>
            <w:pPr>
              <w:spacing w:after="0"/>
              <w:rPr>
                <w:sz w:val="20"/>
                <w:szCs w:val="20"/>
                <w:color w:val="auto"/>
              </w:rPr>
            </w:pPr>
            <w:r>
              <w:rPr>
                <w:rFonts w:ascii="Arial" w:cs="Arial" w:eastAsia="Arial" w:hAnsi="Arial"/>
                <w:sz w:val="13"/>
                <w:szCs w:val="13"/>
                <w:color w:val="auto"/>
              </w:rPr>
              <w:t>Balance, December 31, 2008</w:t>
            </w:r>
          </w:p>
        </w:tc>
        <w:tc>
          <w:tcPr>
            <w:tcW w:w="960" w:type="dxa"/>
            <w:vAlign w:val="bottom"/>
            <w:tcBorders>
              <w:top w:val="single" w:sz="8" w:color="auto"/>
              <w:bottom w:val="single" w:sz="8" w:color="auto"/>
            </w:tcBorders>
            <w:shd w:val="clear" w:color="auto" w:fill="E6EFFF"/>
          </w:tcPr>
          <w:p>
            <w:pPr>
              <w:jc w:val="right"/>
              <w:ind w:right="33"/>
              <w:spacing w:after="0"/>
              <w:rPr>
                <w:sz w:val="20"/>
                <w:szCs w:val="20"/>
                <w:color w:val="auto"/>
              </w:rPr>
            </w:pPr>
            <w:r>
              <w:rPr>
                <w:rFonts w:ascii="Arial" w:cs="Arial" w:eastAsia="Arial" w:hAnsi="Arial"/>
                <w:sz w:val="13"/>
                <w:szCs w:val="13"/>
                <w:color w:val="auto"/>
              </w:rPr>
              <w:t>103,756,138</w:t>
            </w:r>
          </w:p>
        </w:tc>
        <w:tc>
          <w:tcPr>
            <w:tcW w:w="320" w:type="dxa"/>
            <w:vAlign w:val="bottom"/>
            <w:tcBorders>
              <w:top w:val="single" w:sz="8" w:color="auto"/>
              <w:bottom w:val="single" w:sz="8" w:color="auto"/>
            </w:tcBorders>
            <w:shd w:val="clear" w:color="auto" w:fill="E6EFFF"/>
          </w:tcPr>
          <w:p>
            <w:pPr>
              <w:jc w:val="right"/>
              <w:ind w:right="53"/>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gridSpan w:val="2"/>
            <w:shd w:val="clear" w:color="auto" w:fill="E6EFFF"/>
          </w:tcPr>
          <w:p>
            <w:pPr>
              <w:jc w:val="right"/>
              <w:ind w:right="100"/>
              <w:spacing w:after="0" w:line="155" w:lineRule="exact"/>
              <w:rPr>
                <w:sz w:val="20"/>
                <w:szCs w:val="20"/>
                <w:color w:val="auto"/>
              </w:rPr>
            </w:pPr>
            <w:r>
              <w:rPr>
                <w:rFonts w:ascii="Arial" w:cs="Arial" w:eastAsia="Arial" w:hAnsi="Arial"/>
                <w:sz w:val="14"/>
                <w:szCs w:val="14"/>
                <w:color w:val="auto"/>
              </w:rPr>
              <w:t>1.0</w:t>
            </w:r>
          </w:p>
        </w:tc>
        <w:tc>
          <w:tcPr>
            <w:tcW w:w="320" w:type="dxa"/>
            <w:vAlign w:val="bottom"/>
            <w:tcBorders>
              <w:top w:val="single" w:sz="8" w:color="auto"/>
              <w:bottom w:val="single" w:sz="8" w:color="auto"/>
            </w:tcBorders>
            <w:shd w:val="clear" w:color="auto" w:fill="E6EFFF"/>
          </w:tcPr>
          <w:p>
            <w:pPr>
              <w:jc w:val="right"/>
              <w:ind w:right="53"/>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E6EFFF"/>
          </w:tcPr>
          <w:p>
            <w:pPr>
              <w:jc w:val="right"/>
              <w:ind w:right="33"/>
              <w:spacing w:after="0" w:line="155" w:lineRule="exact"/>
              <w:rPr>
                <w:sz w:val="20"/>
                <w:szCs w:val="20"/>
                <w:color w:val="auto"/>
              </w:rPr>
            </w:pPr>
            <w:r>
              <w:rPr>
                <w:rFonts w:ascii="Arial" w:cs="Arial" w:eastAsia="Arial" w:hAnsi="Arial"/>
                <w:sz w:val="14"/>
                <w:szCs w:val="14"/>
                <w:color w:val="auto"/>
              </w:rPr>
              <w:t>2,514.8</w:t>
            </w:r>
          </w:p>
        </w:tc>
        <w:tc>
          <w:tcPr>
            <w:tcW w:w="2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E6EFFF"/>
          </w:tcPr>
          <w:p>
            <w:pPr>
              <w:jc w:val="right"/>
              <w:ind w:right="73"/>
              <w:spacing w:after="0" w:line="155" w:lineRule="exact"/>
              <w:rPr>
                <w:sz w:val="20"/>
                <w:szCs w:val="20"/>
                <w:color w:val="auto"/>
              </w:rPr>
            </w:pPr>
            <w:r>
              <w:rPr>
                <w:rFonts w:ascii="Arial" w:cs="Arial" w:eastAsia="Arial" w:hAnsi="Arial"/>
                <w:sz w:val="14"/>
                <w:szCs w:val="14"/>
                <w:color w:val="auto"/>
              </w:rPr>
              <w:t>1,201.2</w:t>
            </w:r>
          </w:p>
        </w:tc>
        <w:tc>
          <w:tcPr>
            <w:tcW w:w="18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E6EFFF"/>
          </w:tcPr>
          <w:p>
            <w:pPr>
              <w:jc w:val="right"/>
              <w:ind w:right="33"/>
              <w:spacing w:after="0" w:line="155" w:lineRule="exact"/>
              <w:rPr>
                <w:sz w:val="20"/>
                <w:szCs w:val="20"/>
                <w:color w:val="auto"/>
              </w:rPr>
            </w:pPr>
            <w:r>
              <w:rPr>
                <w:rFonts w:ascii="Arial" w:cs="Arial" w:eastAsia="Arial" w:hAnsi="Arial"/>
                <w:sz w:val="14"/>
                <w:szCs w:val="14"/>
                <w:color w:val="auto"/>
              </w:rPr>
              <w:t>(8.9)</w:t>
            </w:r>
          </w:p>
        </w:tc>
        <w:tc>
          <w:tcPr>
            <w:tcW w:w="320" w:type="dxa"/>
            <w:vAlign w:val="bottom"/>
            <w:tcBorders>
              <w:top w:val="single" w:sz="8" w:color="auto"/>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6EFFF"/>
          </w:tcPr>
          <w:p>
            <w:pPr>
              <w:jc w:val="right"/>
              <w:ind w:right="33"/>
              <w:spacing w:after="0" w:line="155" w:lineRule="exact"/>
              <w:rPr>
                <w:sz w:val="20"/>
                <w:szCs w:val="20"/>
                <w:color w:val="auto"/>
              </w:rPr>
            </w:pPr>
            <w:r>
              <w:rPr>
                <w:rFonts w:ascii="Arial" w:cs="Arial" w:eastAsia="Arial" w:hAnsi="Arial"/>
                <w:sz w:val="14"/>
                <w:szCs w:val="14"/>
                <w:color w:val="auto"/>
              </w:rPr>
              <w:t>(1,224.3)</w:t>
            </w:r>
          </w:p>
        </w:tc>
        <w:tc>
          <w:tcPr>
            <w:tcW w:w="360" w:type="dxa"/>
            <w:vAlign w:val="bottom"/>
            <w:tcBorders>
              <w:top w:val="single" w:sz="8" w:color="auto"/>
              <w:bottom w:val="single" w:sz="8" w:color="auto"/>
            </w:tcBorders>
            <w:shd w:val="clear" w:color="auto" w:fill="E6EFFF"/>
          </w:tcPr>
          <w:p>
            <w:pPr>
              <w:jc w:val="right"/>
              <w:ind w:right="132"/>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2,483.8</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18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Consolidated Statements of Shareholders’ Equity</w:t>
            </w:r>
          </w:p>
        </w:tc>
        <w:tc>
          <w:tcPr>
            <w:tcW w:w="29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180" w:type="dxa"/>
            <w:vAlign w:val="bottom"/>
            <w:vMerge w:val="continue"/>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180" w:type="dxa"/>
            <w:vAlign w:val="bottom"/>
            <w:shd w:val="clear" w:color="auto" w:fill="808080"/>
          </w:tcPr>
          <w:p>
            <w:pPr>
              <w:spacing w:after="0"/>
              <w:rPr>
                <w:sz w:val="5"/>
                <w:szCs w:val="5"/>
                <w:color w:val="auto"/>
              </w:rPr>
            </w:pPr>
          </w:p>
        </w:tc>
        <w:tc>
          <w:tcPr>
            <w:tcW w:w="2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114" w:right="1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01.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Summary Of Significant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NATURE OF OPERATIONS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Manpower Inc. is a world leader in the employment services industry. Our worldwide network of over 4,400 offices in 82 countries and territories enables us to meet the needs of our clients in all industry segments. Our largest operations, based on revenues, are located in the U.S., France, Italy and the U.K. We specialize in permanent, temporary and contract recruitment; employee assessment and selection; training; outsourcing; and outplacement and consulting services. We provide services to a wide variety of clients, none of which individually comprise a significant portion of revenues for us as a whole.</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USE OF ESTIMATES</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BASIS OF CONSOLIDATION</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Financial Accounting Standards Board (“FASB”) Interpretation No. 46(R), “Consolidation of Variable Interest Entities.” These investments were $81.0 and $98.7 as of December 31, 2008 and 2007, respectively, and are included as Other Assets in the consolidated balance sheets. Included in Shareholders’ Equity as of December 31, 2008 and 2007 are $53.2 and $52.3 of unremitted earnings from investments accounted for using the equity method. All significant intercompany accounts and transactions have been eliminated in consolidation.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REVENUES AND RECEIVABLES</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workers are placed, we record revenue based on the hours worked. Permanent recruitment revenues are recorded as placements are made. Provisions for sales allowances, based on historical experience, are recognized at the time the related sale is recognized.</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$30.9 for the year ended December 31, 2008 and $35.7 for the years ended December 31, 2007 and 2006.</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our outplacement business, we recognize revenue from individual programs over the estimated period in which services are rendered to candidates. For group programs and large projects within the outplacement business, we recognize revenue over the period in which the contracts are completed. In our consulting business, revenue is recognized upon the performance of the obligations under the consulting service contract. The amount billed for outplacement and consulting services in excess of the amount recognized as revenue is recorded as Deferred Revenue and included in Accrued Liabilities in our consolidated balance sheets. We had $48.1 and $46.3 recorded as Deferred Revenue as of December 31, 2008 and 2007, respectively.</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record revenues from sales of services and the related direct costs in accordance with Emerging Issues Task Force Issue No. 99-19, “Reporting Revenue Gross as a Principal versus Net as an Agent.” In situations where we act as a principal in the transaction, we report gross revenues and cost of services. When we act as an agent, we report the revenues on a net basis. Amounts billed to clients for out-of-pocket or other cost reimbursements are included in Revenues from Services, and the related costs are included in Cost of Services.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ALLOWANCE FOR DOUBTFUL ACCOUNTS</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66" w:lineRule="exact"/>
        <w:rPr>
          <w:sz w:val="20"/>
          <w:szCs w:val="20"/>
          <w:color w:val="auto"/>
        </w:rPr>
      </w:pPr>
    </w:p>
    <w:p>
      <w:pPr>
        <w:spacing w:after="0"/>
        <w:tabs>
          <w:tab w:leader="none" w:pos="2840" w:val="left"/>
          <w:tab w:leader="none" w:pos="8580" w:val="left"/>
        </w:tabs>
        <w:rPr>
          <w:sz w:val="20"/>
          <w:szCs w:val="20"/>
          <w:color w:val="auto"/>
        </w:rPr>
      </w:pPr>
      <w:r>
        <w:rPr>
          <w:rFonts w:ascii="Arial" w:cs="Arial" w:eastAsia="Arial" w:hAnsi="Arial"/>
          <w:sz w:val="12"/>
          <w:szCs w:val="12"/>
          <w:b w:val="1"/>
          <w:bCs w:val="1"/>
          <w:color w:val="auto"/>
        </w:rPr>
        <w:t>46</w:t>
      </w:r>
      <w:r>
        <w:rPr>
          <w:sz w:val="20"/>
          <w:szCs w:val="20"/>
          <w:color w:val="auto"/>
        </w:rPr>
        <w:tab/>
      </w:r>
      <w:r>
        <w:rPr>
          <w:rFonts w:ascii="Arial" w:cs="Arial" w:eastAsia="Arial" w:hAnsi="Arial"/>
          <w:sz w:val="12"/>
          <w:szCs w:val="12"/>
          <w:b w:val="1"/>
          <w:bCs w:val="1"/>
          <w:color w:val="939598"/>
        </w:rPr>
        <w:t>Notes To Consolidated Financial Statements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7964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729869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104" w:name="page105"/>
    <w:bookmarkEnd w:id="104"/>
    <w:p>
      <w:pPr>
        <w:jc w:val="both"/>
        <w:ind w:right="40"/>
        <w:spacing w:after="0" w:line="246" w:lineRule="auto"/>
        <w:rPr>
          <w:sz w:val="20"/>
          <w:szCs w:val="20"/>
          <w:color w:val="auto"/>
        </w:rPr>
      </w:pPr>
      <w:r>
        <w:rPr>
          <w:rFonts w:ascii="Arial" w:cs="Arial" w:eastAsia="Arial" w:hAnsi="Arial"/>
          <w:sz w:val="16"/>
          <w:szCs w:val="16"/>
          <w:color w:val="auto"/>
        </w:rPr>
        <w:t>Bad debt expense is recorded as Selling and Administrative Expenses in our consolidated statements of operations and was $23.4, $21.8 and $27.4 in 2008, 2007 and 2006,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$21.5, $20.8 and $14.1 for 2008, 2007 and 2006,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ADVERTISING COSTS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expense production costs of advertising as they are incurred. Advertising expenses were $62.6, $69.5 and $69.4 in 2008, 2007 and 2006,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EMPLOYMENT-RELATED ITEMS</w:t>
      </w:r>
    </w:p>
    <w:p>
      <w:pPr>
        <w:spacing w:after="0" w:line="198"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In April 2007, we received a letter from the Central Agency For Social Security Organizations in France (“Central Agency”) regarding a modification to the calculation of payroll taxes under certain French social programs aimed at encouraging the employment of low-wage workers. This modification reduced the amount of payroll taxes that we are required to remit retroactive to January 1, 2006. In July 2007, the French Senate passed an amendment to this social security legislation, which eliminated the payroll tax benefit resulting from the modification effective October 1, 2007.</w:t>
      </w:r>
    </w:p>
    <w:p>
      <w:pPr>
        <w:spacing w:after="0" w:line="17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Included in 2007 is $149.6 ($88.6 after tax, or $1.05 per diluted share) of net benefit related to this modification, including an increase to Gross Profit of $157.1 and an increase to Selling and Administrative Expenses of $7.5. The proceeds related to this modification for a portion of 2006 and all of 2007 have been received in 2007. The remaining proceeds for 2006 were received in 2008.</w:t>
      </w:r>
    </w:p>
    <w:p>
      <w:pPr>
        <w:spacing w:after="0" w:line="16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April 2008, we received additional information, which was based on communications with the Central Agency indicating that this modification is also applicable to 2005. Therefore, we recorded $68.2 ($43.8 after tax, or $0.55 per diluted share) of a net benefit to Gross Profit in 2008 related to this modification. The proceeds for a majority of 2005 have been received. The remaining proceeds for 2005 are expected to be received in 2009.</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REORGANIZATION COSTS</w:t>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In the fourth quarter of 2008, we recorded a restructuring charge of $37.2, primarily related to office closures and consolidations, and severance costs in several countries. As of December 31, 2008, $8.4 has been paid. We expect a majority of the remaining $28.8 will be paid in 2009.</w:t>
      </w:r>
    </w:p>
    <w:p>
      <w:pPr>
        <w:spacing w:after="0" w:line="161"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In the fourth quarter of 2007, we established reserves totaling $4.4 in France for office closure costs and $4.0 at Jefferson Wells for severances and other office closure costs related to reorganizations at these entities. Payments against the $4.4 reserve in France started in 2008 and have totaled $2.6 as of December 31, 2008. We expect a majority of the remaining $1.8 will be paid in 2009. Of the $4.0 accrued at Jefferson Wells, $3.7 has been paid as of December 31, 2008, of which $3.6 was paid during 2008. We expect a majority of the remaining $0.3 will be paid in 2009.</w:t>
      </w:r>
    </w:p>
    <w:p>
      <w:pPr>
        <w:spacing w:after="0" w:line="170"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In 2006, we recorded expenses totaling $9.5 related to reorganizations in the U.K. for severance and other office closure costs. As of December 31, 2008, $8.6 has been paid, of which $1.3 was paid during 2008. We expect a majority of the remaining $0.9 will be paid in 2009. In 2006, we also recorded expenses totaling $6.9 at Right Management for severance costs, of which $1.6 was reversed in 2007 as fewer than expected former employees had claimed the severance. As of December 31, 2008, $5.2 has been paid, of which $0.4 was paid during 2008. We expect the remaining $0.1 will be paid in 2009.</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INCOME TAXES</w:t>
      </w:r>
    </w:p>
    <w:p>
      <w:pPr>
        <w:spacing w:after="0" w:line="198"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account for income taxes in accordance with FASB Statement No. 109, “Accounting for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ACCOUNTS RECEIVABLE SECURITIZATION</w:t>
      </w:r>
    </w:p>
    <w:p>
      <w:pPr>
        <w:spacing w:after="0" w:line="198"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We account for the securitization of accounts receivable in accordance with FASB Statement No. 140, “Accounting for Transfers and Servicing of Financial Assets and Extinguishments of Liabilities” (“SFAS 140”). Accordingly, transfers of receivables are evaluated for sale accounting treatment and, if such a transfer qualifies as a sale under SFAS 140, the related receivable balance is removed from our consolidated balance sheets and the loss related to the transfer is recorded as other expense. If the transfer of receivables does not qualify for sale accounting, the related receivable balance remains on our consolidated balance sheet, the corresponding advance is recorded as debt and the related cost of the transaction is recorded as interest expense. (See Note 6 for further information.)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January 1, 2008, we implemented FASB Statement No. 157 “Fair Value Measurements” (“SFAS 157”) for our financial assets and financial liabilities.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Borders>
              <w:bottom w:val="single" w:sz="8" w:color="4D8ABE"/>
            </w:tcBorders>
          </w:tcPr>
          <w:p>
            <w:pPr>
              <w:spacing w:after="0"/>
              <w:rPr>
                <w:sz w:val="14"/>
                <w:szCs w:val="14"/>
                <w:color w:val="auto"/>
              </w:rPr>
            </w:pPr>
          </w:p>
        </w:tc>
        <w:tc>
          <w:tcPr>
            <w:tcW w:w="520" w:type="dxa"/>
            <w:vAlign w:val="bottom"/>
            <w:tcBorders>
              <w:bottom w:val="single" w:sz="8" w:color="4D8ABE"/>
            </w:tcBorders>
          </w:tcPr>
          <w:p>
            <w:pPr>
              <w:spacing w:after="0"/>
              <w:rPr>
                <w:sz w:val="14"/>
                <w:szCs w:val="14"/>
                <w:color w:val="auto"/>
              </w:rPr>
            </w:pPr>
          </w:p>
        </w:tc>
        <w:tc>
          <w:tcPr>
            <w:tcW w:w="960" w:type="dxa"/>
            <w:vAlign w:val="bottom"/>
            <w:tcBorders>
              <w:bottom w:val="single" w:sz="8" w:color="4D8ABE"/>
            </w:tcBorders>
          </w:tcPr>
          <w:p>
            <w:pPr>
              <w:spacing w:after="0"/>
              <w:rPr>
                <w:sz w:val="14"/>
                <w:szCs w:val="14"/>
                <w:color w:val="auto"/>
              </w:rPr>
            </w:pPr>
          </w:p>
        </w:tc>
        <w:tc>
          <w:tcPr>
            <w:tcW w:w="160" w:type="dxa"/>
            <w:vAlign w:val="bottom"/>
            <w:tcBorders>
              <w:bottom w:val="single" w:sz="8" w:color="4D8ABE"/>
            </w:tcBorders>
          </w:tcPr>
          <w:p>
            <w:pPr>
              <w:spacing w:after="0"/>
              <w:rPr>
                <w:sz w:val="14"/>
                <w:szCs w:val="14"/>
                <w:color w:val="auto"/>
              </w:rPr>
            </w:pPr>
          </w:p>
        </w:tc>
        <w:tc>
          <w:tcPr>
            <w:tcW w:w="2720" w:type="dxa"/>
            <w:vAlign w:val="bottom"/>
            <w:tcBorders>
              <w:bottom w:val="single" w:sz="8" w:color="4D8ABE"/>
            </w:tcBorders>
            <w:gridSpan w:val="3"/>
          </w:tcPr>
          <w:p>
            <w:pPr>
              <w:jc w:val="right"/>
              <w:ind w:right="92"/>
              <w:spacing w:after="0"/>
              <w:rPr>
                <w:sz w:val="20"/>
                <w:szCs w:val="20"/>
                <w:color w:val="auto"/>
              </w:rPr>
            </w:pPr>
            <w:r>
              <w:rPr>
                <w:rFonts w:ascii="Arial" w:cs="Arial" w:eastAsia="Arial" w:hAnsi="Arial"/>
                <w:sz w:val="14"/>
                <w:szCs w:val="14"/>
                <w:color w:val="4D8ABE"/>
              </w:rPr>
              <w:t>Fair Value Measurements Using</w:t>
            </w:r>
          </w:p>
        </w:tc>
        <w:tc>
          <w:tcPr>
            <w:tcW w:w="320" w:type="dxa"/>
            <w:vAlign w:val="bottom"/>
            <w:tcBorders>
              <w:bottom w:val="single" w:sz="8" w:color="4D8ABE"/>
            </w:tcBorders>
          </w:tcPr>
          <w:p>
            <w:pPr>
              <w:spacing w:after="0"/>
              <w:rPr>
                <w:sz w:val="14"/>
                <w:szCs w:val="14"/>
                <w:color w:val="auto"/>
              </w:rPr>
            </w:pPr>
          </w:p>
        </w:tc>
        <w:tc>
          <w:tcPr>
            <w:tcW w:w="1000" w:type="dxa"/>
            <w:vAlign w:val="bottom"/>
            <w:tcBorders>
              <w:bottom w:val="single" w:sz="8" w:color="4D8ABE"/>
            </w:tcBorders>
          </w:tcPr>
          <w:p>
            <w:pPr>
              <w:spacing w:after="0"/>
              <w:rPr>
                <w:sz w:val="14"/>
                <w:szCs w:val="14"/>
                <w:color w:val="auto"/>
              </w:rPr>
            </w:pPr>
          </w:p>
        </w:tc>
        <w:tc>
          <w:tcPr>
            <w:tcW w:w="220" w:type="dxa"/>
            <w:vAlign w:val="bottom"/>
          </w:tcPr>
          <w:p>
            <w:pPr>
              <w:spacing w:after="0"/>
              <w:rPr>
                <w:sz w:val="14"/>
                <w:szCs w:val="14"/>
                <w:color w:val="auto"/>
              </w:rPr>
            </w:pPr>
          </w:p>
        </w:tc>
      </w:tr>
      <w:tr>
        <w:trPr>
          <w:trHeight w:val="154"/>
        </w:trPr>
        <w:tc>
          <w:tcPr>
            <w:tcW w:w="5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92"/>
              <w:spacing w:after="0" w:line="154" w:lineRule="exact"/>
              <w:rPr>
                <w:sz w:val="20"/>
                <w:szCs w:val="20"/>
                <w:color w:val="auto"/>
              </w:rPr>
            </w:pPr>
            <w:r>
              <w:rPr>
                <w:rFonts w:ascii="Arial" w:cs="Arial" w:eastAsia="Arial" w:hAnsi="Arial"/>
                <w:sz w:val="14"/>
                <w:szCs w:val="14"/>
                <w:color w:val="4D8ABE"/>
              </w:rPr>
              <w:t>Quoted Prices in</w:t>
            </w:r>
          </w:p>
        </w:tc>
        <w:tc>
          <w:tcPr>
            <w:tcW w:w="300" w:type="dxa"/>
            <w:vAlign w:val="bottom"/>
          </w:tcPr>
          <w:p>
            <w:pPr>
              <w:spacing w:after="0"/>
              <w:rPr>
                <w:sz w:val="13"/>
                <w:szCs w:val="13"/>
                <w:color w:val="auto"/>
              </w:rPr>
            </w:pPr>
          </w:p>
        </w:tc>
        <w:tc>
          <w:tcPr>
            <w:tcW w:w="1180" w:type="dxa"/>
            <w:vAlign w:val="bottom"/>
          </w:tcPr>
          <w:p>
            <w:pPr>
              <w:jc w:val="right"/>
              <w:ind w:right="92"/>
              <w:spacing w:after="0" w:line="154" w:lineRule="exact"/>
              <w:rPr>
                <w:sz w:val="20"/>
                <w:szCs w:val="20"/>
                <w:color w:val="auto"/>
              </w:rPr>
            </w:pPr>
            <w:r>
              <w:rPr>
                <w:rFonts w:ascii="Arial" w:cs="Arial" w:eastAsia="Arial" w:hAnsi="Arial"/>
                <w:sz w:val="14"/>
                <w:szCs w:val="14"/>
                <w:color w:val="4D8ABE"/>
              </w:rPr>
              <w:t>Significant</w:t>
            </w:r>
          </w:p>
        </w:tc>
        <w:tc>
          <w:tcPr>
            <w:tcW w:w="320" w:type="dxa"/>
            <w:vAlign w:val="bottom"/>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Arial" w:cs="Arial" w:eastAsia="Arial" w:hAnsi="Arial"/>
                <w:sz w:val="14"/>
                <w:szCs w:val="14"/>
                <w:color w:val="4D8ABE"/>
              </w:rPr>
              <w:t>Significant</w:t>
            </w:r>
          </w:p>
        </w:tc>
        <w:tc>
          <w:tcPr>
            <w:tcW w:w="220" w:type="dxa"/>
            <w:vAlign w:val="bottom"/>
          </w:tcPr>
          <w:p>
            <w:pPr>
              <w:spacing w:after="0"/>
              <w:rPr>
                <w:sz w:val="13"/>
                <w:szCs w:val="13"/>
                <w:color w:val="auto"/>
              </w:rPr>
            </w:pPr>
          </w:p>
        </w:tc>
      </w:tr>
      <w:tr>
        <w:trPr>
          <w:trHeight w:val="164"/>
        </w:trPr>
        <w:tc>
          <w:tcPr>
            <w:tcW w:w="5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4D8ABE"/>
              </w:rPr>
              <w:t>Active Markets</w:t>
            </w:r>
          </w:p>
        </w:tc>
        <w:tc>
          <w:tcPr>
            <w:tcW w:w="30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4D8ABE"/>
              </w:rPr>
              <w:t>Other</w:t>
            </w:r>
          </w:p>
        </w:tc>
        <w:tc>
          <w:tcPr>
            <w:tcW w:w="3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4D8ABE"/>
              </w:rPr>
              <w:t>Unobservable</w:t>
            </w:r>
          </w:p>
        </w:tc>
      </w:tr>
      <w:tr>
        <w:trPr>
          <w:trHeight w:val="164"/>
        </w:trPr>
        <w:tc>
          <w:tcPr>
            <w:tcW w:w="5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4D8ABE"/>
              </w:rPr>
              <w:t>for Identical</w:t>
            </w:r>
          </w:p>
        </w:tc>
        <w:tc>
          <w:tcPr>
            <w:tcW w:w="30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4D8ABE"/>
              </w:rPr>
              <w:t>Observable</w:t>
            </w:r>
          </w:p>
        </w:tc>
        <w:tc>
          <w:tcPr>
            <w:tcW w:w="3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4D8ABE"/>
              </w:rPr>
              <w:t>Inputs</w:t>
            </w:r>
          </w:p>
        </w:tc>
      </w:tr>
      <w:tr>
        <w:trPr>
          <w:trHeight w:val="176"/>
        </w:trPr>
        <w:tc>
          <w:tcPr>
            <w:tcW w:w="5560" w:type="dxa"/>
            <w:vAlign w:val="bottom"/>
            <w:tcBorders>
              <w:right w:val="single" w:sz="8" w:color="4D8ABE"/>
            </w:tcBorders>
          </w:tcPr>
          <w:p>
            <w:pPr>
              <w:spacing w:after="0"/>
              <w:rPr>
                <w:sz w:val="15"/>
                <w:szCs w:val="15"/>
                <w:color w:val="auto"/>
              </w:rPr>
            </w:pPr>
          </w:p>
        </w:tc>
        <w:tc>
          <w:tcPr>
            <w:tcW w:w="520" w:type="dxa"/>
            <w:vAlign w:val="bottom"/>
            <w:shd w:val="clear" w:color="auto" w:fill="4D8ABE"/>
          </w:tcPr>
          <w:p>
            <w:pPr>
              <w:spacing w:after="0"/>
              <w:rPr>
                <w:sz w:val="15"/>
                <w:szCs w:val="15"/>
                <w:color w:val="auto"/>
              </w:rPr>
            </w:pPr>
          </w:p>
        </w:tc>
        <w:tc>
          <w:tcPr>
            <w:tcW w:w="96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16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4D8ABE"/>
              </w:rPr>
              <w:t>Assets (Level 1)</w:t>
            </w:r>
          </w:p>
        </w:tc>
        <w:tc>
          <w:tcPr>
            <w:tcW w:w="300" w:type="dxa"/>
            <w:vAlign w:val="bottom"/>
          </w:tcPr>
          <w:p>
            <w:pPr>
              <w:spacing w:after="0"/>
              <w:rPr>
                <w:sz w:val="15"/>
                <w:szCs w:val="15"/>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4D8ABE"/>
              </w:rPr>
              <w:t>Inputs (Level 2)</w:t>
            </w:r>
          </w:p>
        </w:tc>
        <w:tc>
          <w:tcPr>
            <w:tcW w:w="32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4D8ABE"/>
              </w:rPr>
              <w:t>(Level 3)</w:t>
            </w:r>
          </w:p>
        </w:tc>
      </w:tr>
      <w:tr>
        <w:trPr>
          <w:trHeight w:val="155"/>
        </w:trPr>
        <w:tc>
          <w:tcPr>
            <w:tcW w:w="5560" w:type="dxa"/>
            <w:vAlign w:val="bottom"/>
            <w:tcBorders>
              <w:top w:val="single" w:sz="8" w:color="4D8ABE"/>
              <w:right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Assets</w:t>
            </w:r>
          </w:p>
        </w:tc>
        <w:tc>
          <w:tcPr>
            <w:tcW w:w="520" w:type="dxa"/>
            <w:vAlign w:val="bottom"/>
            <w:tcBorders>
              <w:top w:val="single" w:sz="8" w:color="4D8ABE"/>
            </w:tcBorders>
          </w:tcPr>
          <w:p>
            <w:pPr>
              <w:spacing w:after="0"/>
              <w:rPr>
                <w:sz w:val="13"/>
                <w:szCs w:val="13"/>
                <w:color w:val="auto"/>
              </w:rPr>
            </w:pPr>
          </w:p>
        </w:tc>
        <w:tc>
          <w:tcPr>
            <w:tcW w:w="960" w:type="dxa"/>
            <w:vAlign w:val="bottom"/>
            <w:tcBorders>
              <w:top w:val="single" w:sz="8" w:color="4D8ABE"/>
              <w:right w:val="single" w:sz="8" w:color="4D8ABE"/>
            </w:tcBorders>
          </w:tcPr>
          <w:p>
            <w:pPr>
              <w:spacing w:after="0"/>
              <w:rPr>
                <w:sz w:val="13"/>
                <w:szCs w:val="13"/>
                <w:color w:val="auto"/>
              </w:rPr>
            </w:pPr>
          </w:p>
        </w:tc>
        <w:tc>
          <w:tcPr>
            <w:tcW w:w="160" w:type="dxa"/>
            <w:vAlign w:val="bottom"/>
            <w:tcBorders>
              <w:top w:val="single" w:sz="8" w:color="4D8ABE"/>
            </w:tcBorders>
          </w:tcPr>
          <w:p>
            <w:pPr>
              <w:spacing w:after="0"/>
              <w:rPr>
                <w:sz w:val="13"/>
                <w:szCs w:val="13"/>
                <w:color w:val="auto"/>
              </w:rPr>
            </w:pPr>
          </w:p>
        </w:tc>
        <w:tc>
          <w:tcPr>
            <w:tcW w:w="1240" w:type="dxa"/>
            <w:vAlign w:val="bottom"/>
            <w:tcBorders>
              <w:top w:val="single" w:sz="8" w:color="4D8ABE"/>
            </w:tcBorders>
          </w:tcPr>
          <w:p>
            <w:pPr>
              <w:spacing w:after="0"/>
              <w:rPr>
                <w:sz w:val="13"/>
                <w:szCs w:val="13"/>
                <w:color w:val="auto"/>
              </w:rPr>
            </w:pPr>
          </w:p>
        </w:tc>
        <w:tc>
          <w:tcPr>
            <w:tcW w:w="300" w:type="dxa"/>
            <w:vAlign w:val="bottom"/>
            <w:tcBorders>
              <w:top w:val="single" w:sz="8" w:color="4D8ABE"/>
            </w:tcBorders>
          </w:tcPr>
          <w:p>
            <w:pPr>
              <w:spacing w:after="0"/>
              <w:rPr>
                <w:sz w:val="13"/>
                <w:szCs w:val="13"/>
                <w:color w:val="auto"/>
              </w:rPr>
            </w:pPr>
          </w:p>
        </w:tc>
        <w:tc>
          <w:tcPr>
            <w:tcW w:w="1180" w:type="dxa"/>
            <w:vAlign w:val="bottom"/>
            <w:tcBorders>
              <w:top w:val="single" w:sz="8" w:color="4D8ABE"/>
            </w:tcBorders>
          </w:tcPr>
          <w:p>
            <w:pPr>
              <w:spacing w:after="0"/>
              <w:rPr>
                <w:sz w:val="13"/>
                <w:szCs w:val="13"/>
                <w:color w:val="auto"/>
              </w:rPr>
            </w:pPr>
          </w:p>
        </w:tc>
        <w:tc>
          <w:tcPr>
            <w:tcW w:w="320" w:type="dxa"/>
            <w:vAlign w:val="bottom"/>
            <w:tcBorders>
              <w:top w:val="single" w:sz="8" w:color="4D8ABE"/>
            </w:tcBorders>
          </w:tcPr>
          <w:p>
            <w:pPr>
              <w:spacing w:after="0"/>
              <w:rPr>
                <w:sz w:val="13"/>
                <w:szCs w:val="13"/>
                <w:color w:val="auto"/>
              </w:rPr>
            </w:pPr>
          </w:p>
        </w:tc>
        <w:tc>
          <w:tcPr>
            <w:tcW w:w="100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r>
      <w:tr>
        <w:trPr>
          <w:trHeight w:val="165"/>
        </w:trPr>
        <w:tc>
          <w:tcPr>
            <w:tcW w:w="556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Available-for-sale securities</w:t>
            </w:r>
          </w:p>
        </w:tc>
        <w:tc>
          <w:tcPr>
            <w:tcW w:w="520" w:type="dxa"/>
            <w:vAlign w:val="bottom"/>
            <w:shd w:val="clear" w:color="auto" w:fill="E6EFFF"/>
          </w:tcPr>
          <w:p>
            <w:pPr>
              <w:jc w:val="right"/>
              <w:ind w:right="352"/>
              <w:spacing w:after="0"/>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0.2</w:t>
            </w:r>
          </w:p>
        </w:tc>
        <w:tc>
          <w:tcPr>
            <w:tcW w:w="160" w:type="dxa"/>
            <w:vAlign w:val="bottom"/>
            <w:shd w:val="clear" w:color="auto" w:fill="E6EF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0.2</w:t>
            </w:r>
          </w:p>
        </w:tc>
        <w:tc>
          <w:tcPr>
            <w:tcW w:w="30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w:t>
            </w:r>
          </w:p>
        </w:tc>
        <w:tc>
          <w:tcPr>
            <w:tcW w:w="118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w:t>
            </w:r>
          </w:p>
        </w:tc>
        <w:tc>
          <w:tcPr>
            <w:tcW w:w="32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5560" w:type="dxa"/>
            <w:vAlign w:val="bottom"/>
            <w:tcBorders>
              <w:top w:val="single" w:sz="8" w:color="auto"/>
              <w:right w:val="single" w:sz="8" w:color="4D8ABE"/>
            </w:tcBorders>
          </w:tcPr>
          <w:p>
            <w:pPr>
              <w:spacing w:after="0"/>
              <w:rPr>
                <w:sz w:val="20"/>
                <w:szCs w:val="20"/>
                <w:color w:val="auto"/>
              </w:rPr>
            </w:pPr>
            <w:r>
              <w:rPr>
                <w:rFonts w:ascii="Arial" w:cs="Arial" w:eastAsia="Arial" w:hAnsi="Arial"/>
                <w:sz w:val="14"/>
                <w:szCs w:val="14"/>
                <w:b w:val="1"/>
                <w:bCs w:val="1"/>
                <w:color w:val="939598"/>
              </w:rPr>
              <w:t>Liabilities</w:t>
            </w:r>
          </w:p>
        </w:tc>
        <w:tc>
          <w:tcPr>
            <w:tcW w:w="520" w:type="dxa"/>
            <w:vAlign w:val="bottom"/>
            <w:tcBorders>
              <w:top w:val="single" w:sz="8" w:color="auto"/>
            </w:tcBorders>
          </w:tcPr>
          <w:p>
            <w:pPr>
              <w:spacing w:after="0"/>
              <w:rPr>
                <w:sz w:val="14"/>
                <w:szCs w:val="14"/>
                <w:color w:val="auto"/>
              </w:rPr>
            </w:pPr>
          </w:p>
        </w:tc>
        <w:tc>
          <w:tcPr>
            <w:tcW w:w="960" w:type="dxa"/>
            <w:vAlign w:val="bottom"/>
            <w:tcBorders>
              <w:top w:val="single" w:sz="8" w:color="auto"/>
              <w:right w:val="single" w:sz="8" w:color="4D8ABE"/>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E6EFFF"/>
            </w:tcBorders>
          </w:tcPr>
          <w:p>
            <w:pPr>
              <w:spacing w:after="0"/>
              <w:rPr>
                <w:sz w:val="14"/>
                <w:szCs w:val="14"/>
                <w:color w:val="auto"/>
              </w:rPr>
            </w:pPr>
          </w:p>
        </w:tc>
      </w:tr>
      <w:tr>
        <w:trPr>
          <w:trHeight w:val="164"/>
        </w:trPr>
        <w:tc>
          <w:tcPr>
            <w:tcW w:w="556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Interest rate swap</w:t>
            </w:r>
          </w:p>
        </w:tc>
        <w:tc>
          <w:tcPr>
            <w:tcW w:w="520" w:type="dxa"/>
            <w:vAlign w:val="bottom"/>
            <w:shd w:val="clear" w:color="auto" w:fill="E6EFFF"/>
          </w:tcPr>
          <w:p>
            <w:pPr>
              <w:jc w:val="right"/>
              <w:ind w:right="352"/>
              <w:spacing w:after="0"/>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7.4</w:t>
            </w:r>
          </w:p>
        </w:tc>
        <w:tc>
          <w:tcPr>
            <w:tcW w:w="160" w:type="dxa"/>
            <w:vAlign w:val="bottom"/>
            <w:shd w:val="clear" w:color="auto" w:fill="E6EF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w:t>
            </w:r>
          </w:p>
        </w:tc>
        <w:tc>
          <w:tcPr>
            <w:tcW w:w="118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7.4</w:t>
            </w:r>
          </w:p>
        </w:tc>
        <w:tc>
          <w:tcPr>
            <w:tcW w:w="32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556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Foreign currency forward contract</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8.4</w:t>
            </w:r>
          </w:p>
        </w:tc>
        <w:tc>
          <w:tcPr>
            <w:tcW w:w="160" w:type="dxa"/>
            <w:vAlign w:val="bottom"/>
          </w:tcPr>
          <w:p>
            <w:pPr>
              <w:spacing w:after="0"/>
              <w:rPr>
                <w:sz w:val="14"/>
                <w:szCs w:val="14"/>
                <w:color w:val="auto"/>
              </w:rPr>
            </w:pPr>
          </w:p>
        </w:tc>
        <w:tc>
          <w:tcPr>
            <w:tcW w:w="12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color w:val="auto"/>
              </w:rPr>
              <w:t>8.4</w:t>
            </w:r>
          </w:p>
        </w:tc>
        <w:tc>
          <w:tcPr>
            <w:tcW w:w="3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55"/>
        </w:trPr>
        <w:tc>
          <w:tcPr>
            <w:tcW w:w="5560" w:type="dxa"/>
            <w:vAlign w:val="bottom"/>
            <w:tcBorders>
              <w:top w:val="single" w:sz="8" w:color="auto"/>
              <w:bottom w:val="single" w:sz="8" w:color="auto"/>
              <w:right w:val="single" w:sz="8" w:color="4D8ABE"/>
            </w:tcBorders>
            <w:shd w:val="clear" w:color="auto" w:fill="E6EFFF"/>
          </w:tcPr>
          <w:p>
            <w:pPr>
              <w:spacing w:after="0"/>
              <w:rPr>
                <w:sz w:val="13"/>
                <w:szCs w:val="13"/>
                <w:color w:val="auto"/>
              </w:rPr>
            </w:pPr>
          </w:p>
        </w:tc>
        <w:tc>
          <w:tcPr>
            <w:tcW w:w="520" w:type="dxa"/>
            <w:vAlign w:val="bottom"/>
            <w:tcBorders>
              <w:top w:val="single" w:sz="8" w:color="auto"/>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15.8</w:t>
            </w:r>
          </w:p>
        </w:tc>
        <w:tc>
          <w:tcPr>
            <w:tcW w:w="16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E6EFFF"/>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15.8</w:t>
            </w:r>
          </w:p>
        </w:tc>
        <w:tc>
          <w:tcPr>
            <w:tcW w:w="320" w:type="dxa"/>
            <w:vAlign w:val="bottom"/>
            <w:tcBorders>
              <w:top w:val="single" w:sz="8" w:color="auto"/>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determine the fair value of our available-for-sale securities by using market quotes as of the last day of the period. The fair value of the interest rate swap and foreign currency forward contracts are measured at the mark-to-market value, from either directly or indirectly observable third parties.</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carrying values of Cash and Cash Equivalents, Accounts Receivable, Accounts Payable, and other current assets and liabilities approximates their fair values because of the short-term nature of these instruments. The carrying value of Long-Term Debt approximates fair value, except for the Euro-denominated notes. The fair value of the Euro-denominated notes, as determined by the quoted market prices, was $654.7 and $722.5 as of December 31, 2008 and 2007, respectively, compared to a carrying value of $696.6 and $727.1,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GOODWILL AND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have goodwill, amortizable intangible assets and intangible assets that do not require amortization,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Borders>
              <w:bottom w:val="single" w:sz="8" w:color="auto"/>
              <w:right w:val="single" w:sz="8" w:color="4D8ABE"/>
            </w:tcBorders>
          </w:tcPr>
          <w:p>
            <w:pPr>
              <w:spacing w:after="0"/>
              <w:rPr>
                <w:sz w:val="15"/>
                <w:szCs w:val="15"/>
                <w:color w:val="auto"/>
              </w:rPr>
            </w:pPr>
          </w:p>
        </w:tc>
        <w:tc>
          <w:tcPr>
            <w:tcW w:w="300" w:type="dxa"/>
            <w:vAlign w:val="bottom"/>
            <w:tcBorders>
              <w:bottom w:val="single" w:sz="8" w:color="auto"/>
            </w:tcBorders>
            <w:shd w:val="clear" w:color="auto" w:fill="4D8ABE"/>
          </w:tcPr>
          <w:p>
            <w:pPr>
              <w:spacing w:after="0"/>
              <w:rPr>
                <w:sz w:val="15"/>
                <w:szCs w:val="15"/>
                <w:color w:val="auto"/>
              </w:rPr>
            </w:pPr>
          </w:p>
        </w:tc>
        <w:tc>
          <w:tcPr>
            <w:tcW w:w="740" w:type="dxa"/>
            <w:vAlign w:val="bottom"/>
            <w:tcBorders>
              <w:bottom w:val="single" w:sz="8" w:color="auto"/>
            </w:tcBorders>
            <w:shd w:val="clear" w:color="auto" w:fill="4D8ABE"/>
          </w:tcPr>
          <w:p>
            <w:pPr>
              <w:spacing w:after="0"/>
              <w:rPr>
                <w:sz w:val="15"/>
                <w:szCs w:val="15"/>
                <w:color w:val="auto"/>
              </w:rPr>
            </w:pPr>
          </w:p>
        </w:tc>
        <w:tc>
          <w:tcPr>
            <w:tcW w:w="200" w:type="dxa"/>
            <w:vAlign w:val="bottom"/>
            <w:tcBorders>
              <w:bottom w:val="single" w:sz="8" w:color="auto"/>
            </w:tcBorders>
            <w:shd w:val="clear" w:color="auto" w:fill="4D8ABE"/>
          </w:tcPr>
          <w:p>
            <w:pPr>
              <w:spacing w:after="0"/>
              <w:rPr>
                <w:sz w:val="15"/>
                <w:szCs w:val="15"/>
                <w:color w:val="auto"/>
              </w:rPr>
            </w:pPr>
          </w:p>
        </w:tc>
        <w:tc>
          <w:tcPr>
            <w:tcW w:w="980" w:type="dxa"/>
            <w:vAlign w:val="bottom"/>
            <w:tcBorders>
              <w:bottom w:val="single" w:sz="8" w:color="auto"/>
            </w:tcBorders>
            <w:shd w:val="clear" w:color="auto" w:fill="4D8ABE"/>
          </w:tcPr>
          <w:p>
            <w:pPr>
              <w:spacing w:after="0"/>
              <w:rPr>
                <w:sz w:val="15"/>
                <w:szCs w:val="15"/>
                <w:color w:val="auto"/>
              </w:rPr>
            </w:pPr>
          </w:p>
        </w:tc>
        <w:tc>
          <w:tcPr>
            <w:tcW w:w="420" w:type="dxa"/>
            <w:vAlign w:val="bottom"/>
            <w:tcBorders>
              <w:bottom w:val="single" w:sz="8" w:color="auto"/>
            </w:tcBorders>
            <w:shd w:val="clear" w:color="auto" w:fill="4D8ABE"/>
          </w:tcPr>
          <w:p>
            <w:pPr>
              <w:spacing w:after="0"/>
              <w:rPr>
                <w:sz w:val="15"/>
                <w:szCs w:val="15"/>
                <w:color w:val="auto"/>
              </w:rPr>
            </w:pPr>
          </w:p>
        </w:tc>
        <w:tc>
          <w:tcPr>
            <w:tcW w:w="820" w:type="dxa"/>
            <w:vAlign w:val="bottom"/>
            <w:tcBorders>
              <w:bottom w:val="single" w:sz="8" w:color="auto"/>
              <w:right w:val="single" w:sz="8" w:color="4D8ABE"/>
            </w:tcBorders>
            <w:shd w:val="clear" w:color="auto" w:fill="4D8ABE"/>
          </w:tcPr>
          <w:p>
            <w:pPr>
              <w:jc w:val="right"/>
              <w:ind w:right="173"/>
              <w:spacing w:after="0"/>
              <w:rPr>
                <w:sz w:val="20"/>
                <w:szCs w:val="20"/>
                <w:color w:val="auto"/>
              </w:rPr>
            </w:pPr>
            <w:r>
              <w:rPr>
                <w:rFonts w:ascii="Arial" w:cs="Arial" w:eastAsia="Arial" w:hAnsi="Arial"/>
                <w:sz w:val="13"/>
                <w:szCs w:val="13"/>
                <w:b w:val="1"/>
                <w:bCs w:val="1"/>
                <w:color w:val="FFFFFF"/>
              </w:rPr>
              <w:t>2008</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D8ABE"/>
              </w:rPr>
              <w:t>2007</w:t>
            </w:r>
          </w:p>
        </w:tc>
        <w:tc>
          <w:tcPr>
            <w:tcW w:w="220" w:type="dxa"/>
            <w:vAlign w:val="bottom"/>
          </w:tcPr>
          <w:p>
            <w:pPr>
              <w:spacing w:after="0"/>
              <w:rPr>
                <w:sz w:val="15"/>
                <w:szCs w:val="15"/>
                <w:color w:val="auto"/>
              </w:rPr>
            </w:pPr>
          </w:p>
        </w:tc>
      </w:tr>
      <w:tr>
        <w:trPr>
          <w:trHeight w:val="141"/>
        </w:trPr>
        <w:tc>
          <w:tcPr>
            <w:tcW w:w="4600" w:type="dxa"/>
            <w:vAlign w:val="bottom"/>
            <w:tcBorders>
              <w:right w:val="single" w:sz="8" w:color="4D8ABE"/>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73"/>
              <w:spacing w:after="0" w:line="141" w:lineRule="exact"/>
              <w:rPr>
                <w:sz w:val="20"/>
                <w:szCs w:val="20"/>
                <w:color w:val="auto"/>
              </w:rPr>
            </w:pPr>
            <w:r>
              <w:rPr>
                <w:rFonts w:ascii="Arial" w:cs="Arial" w:eastAsia="Arial" w:hAnsi="Arial"/>
                <w:sz w:val="13"/>
                <w:szCs w:val="13"/>
                <w:b w:val="1"/>
                <w:bCs w:val="1"/>
                <w:color w:val="4D8ABE"/>
              </w:rPr>
              <w:t>Accumulated</w:t>
            </w:r>
          </w:p>
        </w:tc>
        <w:tc>
          <w:tcPr>
            <w:tcW w:w="420" w:type="dxa"/>
            <w:vAlign w:val="bottom"/>
          </w:tcPr>
          <w:p>
            <w:pPr>
              <w:spacing w:after="0"/>
              <w:rPr>
                <w:sz w:val="12"/>
                <w:szCs w:val="12"/>
                <w:color w:val="auto"/>
              </w:rPr>
            </w:pPr>
          </w:p>
        </w:tc>
        <w:tc>
          <w:tcPr>
            <w:tcW w:w="820" w:type="dxa"/>
            <w:vAlign w:val="bottom"/>
            <w:tcBorders>
              <w:right w:val="single" w:sz="8" w:color="4D8ABE"/>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73"/>
              <w:spacing w:after="0" w:line="141" w:lineRule="exact"/>
              <w:rPr>
                <w:sz w:val="20"/>
                <w:szCs w:val="20"/>
                <w:color w:val="auto"/>
              </w:rPr>
            </w:pPr>
            <w:r>
              <w:rPr>
                <w:rFonts w:ascii="Arial" w:cs="Arial" w:eastAsia="Arial" w:hAnsi="Arial"/>
                <w:sz w:val="13"/>
                <w:szCs w:val="13"/>
                <w:color w:val="4D8ABE"/>
              </w:rPr>
              <w:t>Accumulated</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7"/>
        </w:trPr>
        <w:tc>
          <w:tcPr>
            <w:tcW w:w="4600" w:type="dxa"/>
            <w:vAlign w:val="bottom"/>
            <w:tcBorders>
              <w:right w:val="single" w:sz="8" w:color="4D8ABE"/>
            </w:tcBorders>
          </w:tcPr>
          <w:p>
            <w:pPr>
              <w:spacing w:after="0"/>
              <w:rPr>
                <w:sz w:val="20"/>
                <w:szCs w:val="20"/>
                <w:color w:val="auto"/>
              </w:rPr>
            </w:pPr>
            <w:r>
              <w:rPr>
                <w:rFonts w:ascii="Arial" w:cs="Arial" w:eastAsia="Arial" w:hAnsi="Arial"/>
                <w:sz w:val="13"/>
                <w:szCs w:val="13"/>
                <w:color w:val="4D8ABE"/>
              </w:rPr>
              <w:t>December 31</w:t>
            </w:r>
          </w:p>
        </w:tc>
        <w:tc>
          <w:tcPr>
            <w:tcW w:w="300" w:type="dxa"/>
            <w:vAlign w:val="bottom"/>
          </w:tcPr>
          <w:p>
            <w:pPr>
              <w:spacing w:after="0"/>
              <w:rPr>
                <w:sz w:val="15"/>
                <w:szCs w:val="15"/>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4D8ABE"/>
              </w:rPr>
              <w:t>Gross</w:t>
            </w:r>
          </w:p>
        </w:tc>
        <w:tc>
          <w:tcPr>
            <w:tcW w:w="200" w:type="dxa"/>
            <w:vAlign w:val="bottom"/>
          </w:tcPr>
          <w:p>
            <w:pPr>
              <w:spacing w:after="0"/>
              <w:rPr>
                <w:sz w:val="15"/>
                <w:szCs w:val="15"/>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4D8ABE"/>
              </w:rPr>
              <w:t>Amortization</w:t>
            </w:r>
          </w:p>
        </w:tc>
        <w:tc>
          <w:tcPr>
            <w:tcW w:w="420" w:type="dxa"/>
            <w:vAlign w:val="bottom"/>
          </w:tcPr>
          <w:p>
            <w:pPr>
              <w:spacing w:after="0"/>
              <w:rPr>
                <w:sz w:val="15"/>
                <w:szCs w:val="15"/>
                <w:color w:val="auto"/>
              </w:rPr>
            </w:pPr>
          </w:p>
        </w:tc>
        <w:tc>
          <w:tcPr>
            <w:tcW w:w="820" w:type="dxa"/>
            <w:vAlign w:val="bottom"/>
            <w:tcBorders>
              <w:right w:val="single" w:sz="8" w:color="4D8ABE"/>
            </w:tcBorders>
          </w:tcPr>
          <w:p>
            <w:pPr>
              <w:jc w:val="right"/>
              <w:ind w:right="173"/>
              <w:spacing w:after="0"/>
              <w:rPr>
                <w:sz w:val="20"/>
                <w:szCs w:val="20"/>
                <w:color w:val="auto"/>
              </w:rPr>
            </w:pPr>
            <w:r>
              <w:rPr>
                <w:rFonts w:ascii="Arial" w:cs="Arial" w:eastAsia="Arial" w:hAnsi="Arial"/>
                <w:sz w:val="13"/>
                <w:szCs w:val="13"/>
                <w:b w:val="1"/>
                <w:bCs w:val="1"/>
                <w:color w:val="4D8ABE"/>
              </w:rPr>
              <w:t>Net</w:t>
            </w:r>
          </w:p>
        </w:tc>
        <w:tc>
          <w:tcPr>
            <w:tcW w:w="280" w:type="dxa"/>
            <w:vAlign w:val="bottom"/>
          </w:tcPr>
          <w:p>
            <w:pPr>
              <w:spacing w:after="0"/>
              <w:rPr>
                <w:sz w:val="15"/>
                <w:szCs w:val="15"/>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4D8ABE"/>
              </w:rPr>
              <w:t>Gross</w:t>
            </w:r>
          </w:p>
        </w:tc>
        <w:tc>
          <w:tcPr>
            <w:tcW w:w="220" w:type="dxa"/>
            <w:vAlign w:val="bottom"/>
          </w:tcPr>
          <w:p>
            <w:pPr>
              <w:spacing w:after="0"/>
              <w:rPr>
                <w:sz w:val="15"/>
                <w:szCs w:val="15"/>
                <w:color w:val="auto"/>
              </w:rPr>
            </w:pPr>
          </w:p>
        </w:tc>
        <w:tc>
          <w:tcPr>
            <w:tcW w:w="920" w:type="dxa"/>
            <w:vAlign w:val="bottom"/>
          </w:tcPr>
          <w:p>
            <w:pPr>
              <w:jc w:val="right"/>
              <w:ind w:right="73"/>
              <w:spacing w:after="0"/>
              <w:rPr>
                <w:sz w:val="20"/>
                <w:szCs w:val="20"/>
                <w:color w:val="auto"/>
              </w:rPr>
            </w:pPr>
            <w:r>
              <w:rPr>
                <w:rFonts w:ascii="Arial" w:cs="Arial" w:eastAsia="Arial" w:hAnsi="Arial"/>
                <w:sz w:val="13"/>
                <w:szCs w:val="13"/>
                <w:color w:val="4D8ABE"/>
              </w:rPr>
              <w:t>Amortization</w:t>
            </w:r>
          </w:p>
        </w:tc>
        <w:tc>
          <w:tcPr>
            <w:tcW w:w="3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4D8ABE"/>
              </w:rPr>
              <w:t>Net</w:t>
            </w:r>
          </w:p>
        </w:tc>
      </w:tr>
      <w:tr>
        <w:trPr>
          <w:trHeight w:val="156"/>
        </w:trPr>
        <w:tc>
          <w:tcPr>
            <w:tcW w:w="4600" w:type="dxa"/>
            <w:vAlign w:val="bottom"/>
            <w:tcBorders>
              <w:top w:val="single" w:sz="8" w:color="4D8ABE"/>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3"/>
                <w:szCs w:val="13"/>
                <w:color w:val="auto"/>
              </w:rPr>
              <w:t>Goodwill</w:t>
            </w:r>
          </w:p>
        </w:tc>
        <w:tc>
          <w:tcPr>
            <w:tcW w:w="300" w:type="dxa"/>
            <w:vAlign w:val="bottom"/>
            <w:tcBorders>
              <w:top w:val="single" w:sz="8" w:color="4D8ABE"/>
              <w:bottom w:val="single" w:sz="8" w:color="auto"/>
            </w:tcBorders>
            <w:shd w:val="clear" w:color="auto" w:fill="E6EFFF"/>
          </w:tcPr>
          <w:p>
            <w:pPr>
              <w:jc w:val="right"/>
              <w:ind w:right="132"/>
              <w:spacing w:after="0" w:line="155" w:lineRule="exact"/>
              <w:rPr>
                <w:sz w:val="20"/>
                <w:szCs w:val="20"/>
                <w:color w:val="auto"/>
              </w:rPr>
            </w:pPr>
            <w:r>
              <w:rPr>
                <w:rFonts w:ascii="Arial" w:cs="Arial" w:eastAsia="Arial" w:hAnsi="Arial"/>
                <w:sz w:val="14"/>
                <w:szCs w:val="14"/>
                <w:b w:val="1"/>
                <w:bCs w:val="1"/>
                <w:color w:val="4D8ABE"/>
              </w:rPr>
              <w:t>$</w:t>
            </w:r>
          </w:p>
        </w:tc>
        <w:tc>
          <w:tcPr>
            <w:tcW w:w="740" w:type="dxa"/>
            <w:vAlign w:val="bottom"/>
            <w:tcBorders>
              <w:top w:val="single" w:sz="8" w:color="4D8ABE"/>
              <w:bottom w:val="single" w:sz="8" w:color="auto"/>
            </w:tcBorders>
            <w:shd w:val="clear" w:color="auto" w:fill="E6EFFF"/>
          </w:tcPr>
          <w:p>
            <w:pPr>
              <w:jc w:val="right"/>
              <w:ind w:right="73"/>
              <w:spacing w:after="0" w:line="155" w:lineRule="exact"/>
              <w:rPr>
                <w:sz w:val="20"/>
                <w:szCs w:val="20"/>
                <w:color w:val="auto"/>
              </w:rPr>
            </w:pPr>
            <w:r>
              <w:rPr>
                <w:rFonts w:ascii="Arial" w:cs="Arial" w:eastAsia="Arial" w:hAnsi="Arial"/>
                <w:sz w:val="14"/>
                <w:szCs w:val="14"/>
                <w:b w:val="1"/>
                <w:bCs w:val="1"/>
                <w:color w:val="4D8ABE"/>
              </w:rPr>
              <w:t>972.9</w:t>
            </w:r>
          </w:p>
        </w:tc>
        <w:tc>
          <w:tcPr>
            <w:tcW w:w="200" w:type="dxa"/>
            <w:vAlign w:val="bottom"/>
            <w:tcBorders>
              <w:top w:val="single" w:sz="8" w:color="4D8ABE"/>
              <w:bottom w:val="single" w:sz="8" w:color="auto"/>
            </w:tcBorders>
            <w:shd w:val="clear" w:color="auto" w:fill="E6EFFF"/>
          </w:tcPr>
          <w:p>
            <w:pPr>
              <w:jc w:val="right"/>
              <w:spacing w:after="0"/>
              <w:rPr>
                <w:sz w:val="20"/>
                <w:szCs w:val="20"/>
                <w:color w:val="auto"/>
              </w:rPr>
            </w:pPr>
            <w:r>
              <w:rPr>
                <w:rFonts w:ascii="Arial" w:cs="Arial" w:eastAsia="Arial" w:hAnsi="Arial"/>
                <w:sz w:val="13"/>
                <w:szCs w:val="13"/>
                <w:b w:val="1"/>
                <w:bCs w:val="1"/>
                <w:color w:val="4D8ABE"/>
              </w:rPr>
              <w:t>$</w:t>
            </w:r>
          </w:p>
        </w:tc>
        <w:tc>
          <w:tcPr>
            <w:tcW w:w="980" w:type="dxa"/>
            <w:vAlign w:val="bottom"/>
            <w:tcBorders>
              <w:top w:val="single" w:sz="8" w:color="4D8ABE"/>
              <w:bottom w:val="single" w:sz="8" w:color="auto"/>
            </w:tcBorders>
            <w:shd w:val="clear" w:color="auto" w:fill="E6EFFF"/>
          </w:tcPr>
          <w:p>
            <w:pPr>
              <w:jc w:val="right"/>
              <w:ind w:right="73"/>
              <w:spacing w:after="0" w:line="155" w:lineRule="exact"/>
              <w:rPr>
                <w:sz w:val="20"/>
                <w:szCs w:val="20"/>
                <w:color w:val="auto"/>
              </w:rPr>
            </w:pPr>
            <w:r>
              <w:rPr>
                <w:rFonts w:ascii="Arial" w:cs="Arial" w:eastAsia="Arial" w:hAnsi="Arial"/>
                <w:sz w:val="14"/>
                <w:szCs w:val="14"/>
                <w:b w:val="1"/>
                <w:bCs w:val="1"/>
                <w:color w:val="4D8ABE"/>
              </w:rPr>
              <w:t>—</w:t>
            </w:r>
          </w:p>
        </w:tc>
        <w:tc>
          <w:tcPr>
            <w:tcW w:w="420" w:type="dxa"/>
            <w:vAlign w:val="bottom"/>
            <w:tcBorders>
              <w:top w:val="single" w:sz="8" w:color="4D8ABE"/>
              <w:bottom w:val="single" w:sz="8" w:color="auto"/>
            </w:tcBorders>
            <w:shd w:val="clear" w:color="auto" w:fill="E6EFFF"/>
          </w:tcPr>
          <w:p>
            <w:pPr>
              <w:jc w:val="right"/>
              <w:ind w:right="153"/>
              <w:spacing w:after="0"/>
              <w:rPr>
                <w:sz w:val="20"/>
                <w:szCs w:val="20"/>
                <w:color w:val="auto"/>
              </w:rPr>
            </w:pPr>
            <w:r>
              <w:rPr>
                <w:rFonts w:ascii="Arial" w:cs="Arial" w:eastAsia="Arial" w:hAnsi="Arial"/>
                <w:sz w:val="13"/>
                <w:szCs w:val="13"/>
                <w:b w:val="1"/>
                <w:bCs w:val="1"/>
                <w:color w:val="4D8ABE"/>
              </w:rPr>
              <w:t>$</w:t>
            </w:r>
          </w:p>
        </w:tc>
        <w:tc>
          <w:tcPr>
            <w:tcW w:w="820" w:type="dxa"/>
            <w:vAlign w:val="bottom"/>
            <w:tcBorders>
              <w:top w:val="single" w:sz="8" w:color="4D8ABE"/>
              <w:bottom w:val="single" w:sz="8" w:color="auto"/>
              <w:right w:val="single" w:sz="8" w:color="4D8ABE"/>
            </w:tcBorders>
            <w:shd w:val="clear" w:color="auto" w:fill="E6EFFF"/>
          </w:tcPr>
          <w:p>
            <w:pPr>
              <w:jc w:val="right"/>
              <w:ind w:right="173"/>
              <w:spacing w:after="0" w:line="155" w:lineRule="exact"/>
              <w:rPr>
                <w:sz w:val="20"/>
                <w:szCs w:val="20"/>
                <w:color w:val="auto"/>
              </w:rPr>
            </w:pPr>
            <w:r>
              <w:rPr>
                <w:rFonts w:ascii="Arial" w:cs="Arial" w:eastAsia="Arial" w:hAnsi="Arial"/>
                <w:sz w:val="14"/>
                <w:szCs w:val="14"/>
                <w:b w:val="1"/>
                <w:bCs w:val="1"/>
                <w:color w:val="4D8ABE"/>
              </w:rPr>
              <w:t>972.9</w:t>
            </w:r>
          </w:p>
        </w:tc>
        <w:tc>
          <w:tcPr>
            <w:tcW w:w="280" w:type="dxa"/>
            <w:vAlign w:val="bottom"/>
            <w:tcBorders>
              <w:top w:val="single" w:sz="8" w:color="4D8ABE"/>
              <w:bottom w:val="single" w:sz="8" w:color="auto"/>
            </w:tcBorders>
            <w:shd w:val="clear" w:color="auto" w:fill="E6EFFF"/>
          </w:tcPr>
          <w:p>
            <w:pPr>
              <w:jc w:val="right"/>
              <w:ind w:right="113"/>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4D8ABE"/>
              <w:bottom w:val="single" w:sz="8" w:color="auto"/>
            </w:tcBorders>
            <w:shd w:val="clear" w:color="auto" w:fill="E6EFFF"/>
          </w:tcPr>
          <w:p>
            <w:pPr>
              <w:jc w:val="right"/>
              <w:ind w:right="73"/>
              <w:spacing w:after="0" w:line="155" w:lineRule="exact"/>
              <w:rPr>
                <w:sz w:val="20"/>
                <w:szCs w:val="20"/>
                <w:color w:val="auto"/>
              </w:rPr>
            </w:pPr>
            <w:r>
              <w:rPr>
                <w:rFonts w:ascii="Arial" w:cs="Arial" w:eastAsia="Arial" w:hAnsi="Arial"/>
                <w:sz w:val="14"/>
                <w:szCs w:val="14"/>
                <w:color w:val="auto"/>
              </w:rPr>
              <w:t>1,045.9</w:t>
            </w:r>
          </w:p>
        </w:tc>
        <w:tc>
          <w:tcPr>
            <w:tcW w:w="220" w:type="dxa"/>
            <w:vAlign w:val="bottom"/>
            <w:tcBorders>
              <w:top w:val="single" w:sz="8" w:color="4D8ABE"/>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4D8ABE"/>
              <w:bottom w:val="single" w:sz="8" w:color="auto"/>
            </w:tcBorders>
            <w:shd w:val="clear" w:color="auto" w:fill="E6EFFF"/>
          </w:tcPr>
          <w:p>
            <w:pPr>
              <w:jc w:val="right"/>
              <w:ind w:right="73"/>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4D8ABE"/>
              <w:bottom w:val="single" w:sz="8" w:color="auto"/>
            </w:tcBorders>
            <w:shd w:val="clear" w:color="auto" w:fill="E6EFFF"/>
          </w:tcPr>
          <w:p>
            <w:pPr>
              <w:jc w:val="right"/>
              <w:ind w:right="113"/>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4D8ABE"/>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1,045.9</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r>
        <w:trPr>
          <w:trHeight w:val="164"/>
        </w:trPr>
        <w:tc>
          <w:tcPr>
            <w:tcW w:w="4600" w:type="dxa"/>
            <w:vAlign w:val="bottom"/>
            <w:tcBorders>
              <w:right w:val="single" w:sz="8" w:color="4D8ABE"/>
            </w:tcBorders>
          </w:tcPr>
          <w:p>
            <w:pPr>
              <w:spacing w:after="0"/>
              <w:rPr>
                <w:sz w:val="20"/>
                <w:szCs w:val="20"/>
                <w:color w:val="auto"/>
              </w:rPr>
            </w:pPr>
            <w:r>
              <w:rPr>
                <w:rFonts w:ascii="Arial" w:cs="Arial" w:eastAsia="Arial" w:hAnsi="Arial"/>
                <w:sz w:val="13"/>
                <w:szCs w:val="13"/>
                <w:color w:val="auto"/>
              </w:rPr>
              <w:t>Intangible assets:</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right w:val="single" w:sz="8" w:color="4D8ABE"/>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4600" w:type="dxa"/>
            <w:vAlign w:val="bottom"/>
            <w:tcBorders>
              <w:right w:val="single" w:sz="8" w:color="4D8ABE"/>
            </w:tcBorders>
            <w:shd w:val="clear" w:color="auto" w:fill="E6EFFF"/>
          </w:tcPr>
          <w:p>
            <w:pPr>
              <w:ind w:left="40"/>
              <w:spacing w:after="0"/>
              <w:rPr>
                <w:sz w:val="20"/>
                <w:szCs w:val="20"/>
                <w:color w:val="auto"/>
              </w:rPr>
            </w:pPr>
            <w:r>
              <w:rPr>
                <w:rFonts w:ascii="Arial" w:cs="Arial" w:eastAsia="Arial" w:hAnsi="Arial"/>
                <w:sz w:val="13"/>
                <w:szCs w:val="13"/>
                <w:color w:val="auto"/>
              </w:rPr>
              <w:t>Amortizable:</w:t>
            </w:r>
          </w:p>
        </w:tc>
        <w:tc>
          <w:tcPr>
            <w:tcW w:w="300" w:type="dxa"/>
            <w:vAlign w:val="bottom"/>
            <w:shd w:val="clear" w:color="auto" w:fill="E6EFFF"/>
          </w:tcPr>
          <w:p>
            <w:pPr>
              <w:spacing w:after="0"/>
              <w:rPr>
                <w:sz w:val="14"/>
                <w:szCs w:val="14"/>
                <w:color w:val="auto"/>
              </w:rPr>
            </w:pPr>
          </w:p>
        </w:tc>
        <w:tc>
          <w:tcPr>
            <w:tcW w:w="74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820" w:type="dxa"/>
            <w:vAlign w:val="bottom"/>
            <w:tcBorders>
              <w:right w:val="single" w:sz="8" w:color="4D8ABE"/>
            </w:tcBorders>
            <w:shd w:val="clear" w:color="auto" w:fill="E6EFFF"/>
          </w:tcPr>
          <w:p>
            <w:pPr>
              <w:spacing w:after="0"/>
              <w:rPr>
                <w:sz w:val="14"/>
                <w:szCs w:val="14"/>
                <w:color w:val="auto"/>
              </w:rPr>
            </w:pPr>
          </w:p>
        </w:tc>
        <w:tc>
          <w:tcPr>
            <w:tcW w:w="28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20" w:type="dxa"/>
            <w:vAlign w:val="bottom"/>
            <w:shd w:val="clear" w:color="auto" w:fill="E6EFFF"/>
          </w:tcPr>
          <w:p>
            <w:pPr>
              <w:spacing w:after="0"/>
              <w:rPr>
                <w:sz w:val="14"/>
                <w:szCs w:val="14"/>
                <w:color w:val="auto"/>
              </w:rPr>
            </w:pPr>
          </w:p>
        </w:tc>
        <w:tc>
          <w:tcPr>
            <w:tcW w:w="380" w:type="dxa"/>
            <w:vAlign w:val="bottom"/>
            <w:shd w:val="clear" w:color="auto" w:fill="E6EFFF"/>
          </w:tcPr>
          <w:p>
            <w:pPr>
              <w:spacing w:after="0"/>
              <w:rPr>
                <w:sz w:val="14"/>
                <w:szCs w:val="14"/>
                <w:color w:val="auto"/>
              </w:rPr>
            </w:pPr>
          </w:p>
        </w:tc>
        <w:tc>
          <w:tcPr>
            <w:tcW w:w="6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4600" w:type="dxa"/>
            <w:vAlign w:val="bottom"/>
            <w:tcBorders>
              <w:right w:val="single" w:sz="8" w:color="4D8ABE"/>
            </w:tcBorders>
          </w:tcPr>
          <w:p>
            <w:pPr>
              <w:ind w:left="180"/>
              <w:spacing w:after="0"/>
              <w:rPr>
                <w:sz w:val="20"/>
                <w:szCs w:val="20"/>
                <w:color w:val="auto"/>
              </w:rPr>
            </w:pPr>
            <w:r>
              <w:rPr>
                <w:rFonts w:ascii="Arial" w:cs="Arial" w:eastAsia="Arial" w:hAnsi="Arial"/>
                <w:sz w:val="13"/>
                <w:szCs w:val="13"/>
                <w:color w:val="auto"/>
              </w:rPr>
              <w:t>Technology</w:t>
            </w:r>
          </w:p>
        </w:tc>
        <w:tc>
          <w:tcPr>
            <w:tcW w:w="300" w:type="dxa"/>
            <w:vAlign w:val="bottom"/>
          </w:tcPr>
          <w:p>
            <w:pPr>
              <w:spacing w:after="0"/>
              <w:rPr>
                <w:sz w:val="14"/>
                <w:szCs w:val="14"/>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4D8ABE"/>
              </w:rPr>
              <w:t>19.6</w:t>
            </w:r>
          </w:p>
        </w:tc>
        <w:tc>
          <w:tcPr>
            <w:tcW w:w="200" w:type="dxa"/>
            <w:vAlign w:val="bottom"/>
          </w:tcPr>
          <w:p>
            <w:pPr>
              <w:spacing w:after="0"/>
              <w:rPr>
                <w:sz w:val="14"/>
                <w:szCs w:val="14"/>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4D8ABE"/>
              </w:rPr>
              <w:t>19.4</w:t>
            </w:r>
          </w:p>
        </w:tc>
        <w:tc>
          <w:tcPr>
            <w:tcW w:w="420" w:type="dxa"/>
            <w:vAlign w:val="bottom"/>
          </w:tcPr>
          <w:p>
            <w:pPr>
              <w:spacing w:after="0"/>
              <w:rPr>
                <w:sz w:val="14"/>
                <w:szCs w:val="14"/>
                <w:color w:val="auto"/>
              </w:rPr>
            </w:pPr>
          </w:p>
        </w:tc>
        <w:tc>
          <w:tcPr>
            <w:tcW w:w="820" w:type="dxa"/>
            <w:vAlign w:val="bottom"/>
            <w:tcBorders>
              <w:right w:val="single" w:sz="8" w:color="4D8ABE"/>
            </w:tcBorders>
          </w:tcPr>
          <w:p>
            <w:pPr>
              <w:jc w:val="right"/>
              <w:ind w:right="173"/>
              <w:spacing w:after="0"/>
              <w:rPr>
                <w:sz w:val="20"/>
                <w:szCs w:val="20"/>
                <w:color w:val="auto"/>
              </w:rPr>
            </w:pPr>
            <w:r>
              <w:rPr>
                <w:rFonts w:ascii="Arial" w:cs="Arial" w:eastAsia="Arial" w:hAnsi="Arial"/>
                <w:sz w:val="13"/>
                <w:szCs w:val="13"/>
                <w:b w:val="1"/>
                <w:bCs w:val="1"/>
                <w:color w:val="4D8ABE"/>
              </w:rPr>
              <w:t>0.2</w:t>
            </w:r>
          </w:p>
        </w:tc>
        <w:tc>
          <w:tcPr>
            <w:tcW w:w="280" w:type="dxa"/>
            <w:vAlign w:val="bottom"/>
          </w:tcPr>
          <w:p>
            <w:pPr>
              <w:spacing w:after="0"/>
              <w:rPr>
                <w:sz w:val="14"/>
                <w:szCs w:val="14"/>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19.6</w:t>
            </w:r>
          </w:p>
        </w:tc>
        <w:tc>
          <w:tcPr>
            <w:tcW w:w="220" w:type="dxa"/>
            <w:vAlign w:val="bottom"/>
          </w:tcPr>
          <w:p>
            <w:pPr>
              <w:spacing w:after="0"/>
              <w:rPr>
                <w:sz w:val="14"/>
                <w:szCs w:val="14"/>
                <w:color w:val="auto"/>
              </w:rPr>
            </w:pP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15.5</w:t>
            </w:r>
          </w:p>
        </w:tc>
        <w:tc>
          <w:tcPr>
            <w:tcW w:w="3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4.1</w:t>
            </w:r>
          </w:p>
        </w:tc>
      </w:tr>
      <w:tr>
        <w:trPr>
          <w:trHeight w:val="164"/>
        </w:trPr>
        <w:tc>
          <w:tcPr>
            <w:tcW w:w="4600" w:type="dxa"/>
            <w:vAlign w:val="bottom"/>
            <w:tcBorders>
              <w:right w:val="single" w:sz="8" w:color="4D8ABE"/>
            </w:tcBorders>
            <w:shd w:val="clear" w:color="auto" w:fill="E6EFFF"/>
          </w:tcPr>
          <w:p>
            <w:pPr>
              <w:ind w:left="180"/>
              <w:spacing w:after="0"/>
              <w:rPr>
                <w:sz w:val="20"/>
                <w:szCs w:val="20"/>
                <w:color w:val="auto"/>
              </w:rPr>
            </w:pPr>
            <w:r>
              <w:rPr>
                <w:rFonts w:ascii="Arial" w:cs="Arial" w:eastAsia="Arial" w:hAnsi="Arial"/>
                <w:sz w:val="13"/>
                <w:szCs w:val="13"/>
                <w:color w:val="auto"/>
              </w:rPr>
              <w:t>Franchise agreements</w:t>
            </w:r>
          </w:p>
        </w:tc>
        <w:tc>
          <w:tcPr>
            <w:tcW w:w="300" w:type="dxa"/>
            <w:vAlign w:val="bottom"/>
            <w:shd w:val="clear" w:color="auto" w:fill="E6EFFF"/>
          </w:tcPr>
          <w:p>
            <w:pPr>
              <w:spacing w:after="0"/>
              <w:rPr>
                <w:sz w:val="14"/>
                <w:szCs w:val="14"/>
                <w:color w:val="auto"/>
              </w:rPr>
            </w:pPr>
          </w:p>
        </w:tc>
        <w:tc>
          <w:tcPr>
            <w:tcW w:w="740" w:type="dxa"/>
            <w:vAlign w:val="bottom"/>
            <w:shd w:val="clear" w:color="auto" w:fill="E6EFFF"/>
          </w:tcPr>
          <w:p>
            <w:pPr>
              <w:jc w:val="right"/>
              <w:ind w:right="73"/>
              <w:spacing w:after="0"/>
              <w:rPr>
                <w:sz w:val="20"/>
                <w:szCs w:val="20"/>
                <w:color w:val="auto"/>
              </w:rPr>
            </w:pPr>
            <w:r>
              <w:rPr>
                <w:rFonts w:ascii="Arial" w:cs="Arial" w:eastAsia="Arial" w:hAnsi="Arial"/>
                <w:sz w:val="13"/>
                <w:szCs w:val="13"/>
                <w:b w:val="1"/>
                <w:bCs w:val="1"/>
                <w:color w:val="4D8ABE"/>
              </w:rPr>
              <w:t>18.0</w:t>
            </w:r>
          </w:p>
        </w:tc>
        <w:tc>
          <w:tcPr>
            <w:tcW w:w="20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73"/>
              <w:spacing w:after="0"/>
              <w:rPr>
                <w:sz w:val="20"/>
                <w:szCs w:val="20"/>
                <w:color w:val="auto"/>
              </w:rPr>
            </w:pPr>
            <w:r>
              <w:rPr>
                <w:rFonts w:ascii="Arial" w:cs="Arial" w:eastAsia="Arial" w:hAnsi="Arial"/>
                <w:sz w:val="13"/>
                <w:szCs w:val="13"/>
                <w:b w:val="1"/>
                <w:bCs w:val="1"/>
                <w:color w:val="4D8ABE"/>
              </w:rPr>
              <w:t>8.9</w:t>
            </w:r>
          </w:p>
        </w:tc>
        <w:tc>
          <w:tcPr>
            <w:tcW w:w="420" w:type="dxa"/>
            <w:vAlign w:val="bottom"/>
            <w:shd w:val="clear" w:color="auto" w:fill="E6EFFF"/>
          </w:tcPr>
          <w:p>
            <w:pPr>
              <w:spacing w:after="0"/>
              <w:rPr>
                <w:sz w:val="14"/>
                <w:szCs w:val="14"/>
                <w:color w:val="auto"/>
              </w:rPr>
            </w:pPr>
          </w:p>
        </w:tc>
        <w:tc>
          <w:tcPr>
            <w:tcW w:w="820" w:type="dxa"/>
            <w:vAlign w:val="bottom"/>
            <w:tcBorders>
              <w:right w:val="single" w:sz="8" w:color="4D8ABE"/>
            </w:tcBorders>
            <w:shd w:val="clear" w:color="auto" w:fill="E6EFFF"/>
          </w:tcPr>
          <w:p>
            <w:pPr>
              <w:jc w:val="right"/>
              <w:ind w:right="173"/>
              <w:spacing w:after="0"/>
              <w:rPr>
                <w:sz w:val="20"/>
                <w:szCs w:val="20"/>
                <w:color w:val="auto"/>
              </w:rPr>
            </w:pPr>
            <w:r>
              <w:rPr>
                <w:rFonts w:ascii="Arial" w:cs="Arial" w:eastAsia="Arial" w:hAnsi="Arial"/>
                <w:sz w:val="13"/>
                <w:szCs w:val="13"/>
                <w:b w:val="1"/>
                <w:bCs w:val="1"/>
                <w:color w:val="4D8ABE"/>
              </w:rPr>
              <w:t>9.1</w:t>
            </w:r>
          </w:p>
        </w:tc>
        <w:tc>
          <w:tcPr>
            <w:tcW w:w="2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18.0</w:t>
            </w:r>
          </w:p>
        </w:tc>
        <w:tc>
          <w:tcPr>
            <w:tcW w:w="220" w:type="dxa"/>
            <w:vAlign w:val="bottom"/>
            <w:shd w:val="clear" w:color="auto" w:fill="E6EFFF"/>
          </w:tcPr>
          <w:p>
            <w:pPr>
              <w:spacing w:after="0"/>
              <w:rPr>
                <w:sz w:val="14"/>
                <w:szCs w:val="14"/>
                <w:color w:val="auto"/>
              </w:rPr>
            </w:pPr>
          </w:p>
        </w:tc>
        <w:tc>
          <w:tcPr>
            <w:tcW w:w="92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7.1</w:t>
            </w:r>
          </w:p>
        </w:tc>
        <w:tc>
          <w:tcPr>
            <w:tcW w:w="380" w:type="dxa"/>
            <w:vAlign w:val="bottom"/>
            <w:shd w:val="clear" w:color="auto" w:fill="E6EFFF"/>
          </w:tcPr>
          <w:p>
            <w:pPr>
              <w:spacing w:after="0"/>
              <w:rPr>
                <w:sz w:val="14"/>
                <w:szCs w:val="14"/>
                <w:color w:val="auto"/>
              </w:rPr>
            </w:pPr>
          </w:p>
        </w:tc>
        <w:tc>
          <w:tcPr>
            <w:tcW w:w="620" w:type="dxa"/>
            <w:vAlign w:val="bottom"/>
            <w:shd w:val="clear" w:color="auto" w:fill="E6EFFF"/>
          </w:tcPr>
          <w:p>
            <w:pPr>
              <w:jc w:val="right"/>
              <w:spacing w:after="0"/>
              <w:rPr>
                <w:sz w:val="20"/>
                <w:szCs w:val="20"/>
                <w:color w:val="auto"/>
              </w:rPr>
            </w:pPr>
            <w:r>
              <w:rPr>
                <w:rFonts w:ascii="Arial" w:cs="Arial" w:eastAsia="Arial" w:hAnsi="Arial"/>
                <w:sz w:val="13"/>
                <w:szCs w:val="13"/>
                <w:color w:val="auto"/>
              </w:rPr>
              <w:t>10.9</w:t>
            </w:r>
          </w:p>
        </w:tc>
        <w:tc>
          <w:tcPr>
            <w:tcW w:w="220" w:type="dxa"/>
            <w:vAlign w:val="bottom"/>
            <w:shd w:val="clear" w:color="auto" w:fill="E6EFFF"/>
          </w:tcPr>
          <w:p>
            <w:pPr>
              <w:spacing w:after="0"/>
              <w:rPr>
                <w:sz w:val="14"/>
                <w:szCs w:val="14"/>
                <w:color w:val="auto"/>
              </w:rPr>
            </w:pPr>
          </w:p>
        </w:tc>
      </w:tr>
      <w:tr>
        <w:trPr>
          <w:trHeight w:val="164"/>
        </w:trPr>
        <w:tc>
          <w:tcPr>
            <w:tcW w:w="4600" w:type="dxa"/>
            <w:vAlign w:val="bottom"/>
            <w:tcBorders>
              <w:right w:val="single" w:sz="8" w:color="4D8ABE"/>
            </w:tcBorders>
          </w:tcPr>
          <w:p>
            <w:pPr>
              <w:ind w:left="180"/>
              <w:spacing w:after="0"/>
              <w:rPr>
                <w:sz w:val="20"/>
                <w:szCs w:val="20"/>
                <w:color w:val="auto"/>
              </w:rPr>
            </w:pPr>
            <w:r>
              <w:rPr>
                <w:rFonts w:ascii="Arial" w:cs="Arial" w:eastAsia="Arial" w:hAnsi="Arial"/>
                <w:sz w:val="13"/>
                <w:szCs w:val="13"/>
                <w:color w:val="auto"/>
              </w:rPr>
              <w:t>Customer relationships</w:t>
            </w:r>
          </w:p>
        </w:tc>
        <w:tc>
          <w:tcPr>
            <w:tcW w:w="300" w:type="dxa"/>
            <w:vAlign w:val="bottom"/>
          </w:tcPr>
          <w:p>
            <w:pPr>
              <w:spacing w:after="0"/>
              <w:rPr>
                <w:sz w:val="14"/>
                <w:szCs w:val="14"/>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4D8ABE"/>
              </w:rPr>
              <w:t>170.7</w:t>
            </w:r>
          </w:p>
        </w:tc>
        <w:tc>
          <w:tcPr>
            <w:tcW w:w="200" w:type="dxa"/>
            <w:vAlign w:val="bottom"/>
          </w:tcPr>
          <w:p>
            <w:pPr>
              <w:spacing w:after="0"/>
              <w:rPr>
                <w:sz w:val="14"/>
                <w:szCs w:val="14"/>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4D8ABE"/>
              </w:rPr>
              <w:t>43.1</w:t>
            </w:r>
          </w:p>
        </w:tc>
        <w:tc>
          <w:tcPr>
            <w:tcW w:w="420" w:type="dxa"/>
            <w:vAlign w:val="bottom"/>
          </w:tcPr>
          <w:p>
            <w:pPr>
              <w:spacing w:after="0"/>
              <w:rPr>
                <w:sz w:val="14"/>
                <w:szCs w:val="14"/>
                <w:color w:val="auto"/>
              </w:rPr>
            </w:pPr>
          </w:p>
        </w:tc>
        <w:tc>
          <w:tcPr>
            <w:tcW w:w="820" w:type="dxa"/>
            <w:vAlign w:val="bottom"/>
            <w:tcBorders>
              <w:right w:val="single" w:sz="8" w:color="4D8ABE"/>
            </w:tcBorders>
          </w:tcPr>
          <w:p>
            <w:pPr>
              <w:jc w:val="right"/>
              <w:ind w:right="173"/>
              <w:spacing w:after="0"/>
              <w:rPr>
                <w:sz w:val="20"/>
                <w:szCs w:val="20"/>
                <w:color w:val="auto"/>
              </w:rPr>
            </w:pPr>
            <w:r>
              <w:rPr>
                <w:rFonts w:ascii="Arial" w:cs="Arial" w:eastAsia="Arial" w:hAnsi="Arial"/>
                <w:sz w:val="13"/>
                <w:szCs w:val="13"/>
                <w:b w:val="1"/>
                <w:bCs w:val="1"/>
                <w:color w:val="4D8ABE"/>
              </w:rPr>
              <w:t>127.6</w:t>
            </w:r>
          </w:p>
        </w:tc>
        <w:tc>
          <w:tcPr>
            <w:tcW w:w="280" w:type="dxa"/>
            <w:vAlign w:val="bottom"/>
          </w:tcPr>
          <w:p>
            <w:pPr>
              <w:spacing w:after="0"/>
              <w:rPr>
                <w:sz w:val="14"/>
                <w:szCs w:val="14"/>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134.2</w:t>
            </w:r>
          </w:p>
        </w:tc>
        <w:tc>
          <w:tcPr>
            <w:tcW w:w="220" w:type="dxa"/>
            <w:vAlign w:val="bottom"/>
          </w:tcPr>
          <w:p>
            <w:pPr>
              <w:spacing w:after="0"/>
              <w:rPr>
                <w:sz w:val="14"/>
                <w:szCs w:val="14"/>
                <w:color w:val="auto"/>
              </w:rPr>
            </w:pP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29.5</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104.7</w:t>
            </w:r>
          </w:p>
        </w:tc>
        <w:tc>
          <w:tcPr>
            <w:tcW w:w="220" w:type="dxa"/>
            <w:vAlign w:val="bottom"/>
          </w:tcPr>
          <w:p>
            <w:pPr>
              <w:spacing w:after="0"/>
              <w:rPr>
                <w:sz w:val="14"/>
                <w:szCs w:val="14"/>
                <w:color w:val="auto"/>
              </w:rPr>
            </w:pPr>
          </w:p>
        </w:tc>
      </w:tr>
      <w:tr>
        <w:trPr>
          <w:trHeight w:val="164"/>
        </w:trPr>
        <w:tc>
          <w:tcPr>
            <w:tcW w:w="4600" w:type="dxa"/>
            <w:vAlign w:val="bottom"/>
            <w:tcBorders>
              <w:right w:val="single" w:sz="8" w:color="4D8ABE"/>
            </w:tcBorders>
            <w:shd w:val="clear" w:color="auto" w:fill="E6EFFF"/>
          </w:tcPr>
          <w:p>
            <w:pPr>
              <w:ind w:left="180"/>
              <w:spacing w:after="0"/>
              <w:rPr>
                <w:sz w:val="20"/>
                <w:szCs w:val="20"/>
                <w:color w:val="auto"/>
              </w:rPr>
            </w:pPr>
            <w:r>
              <w:rPr>
                <w:rFonts w:ascii="Arial" w:cs="Arial" w:eastAsia="Arial" w:hAnsi="Arial"/>
                <w:sz w:val="13"/>
                <w:szCs w:val="13"/>
                <w:color w:val="auto"/>
              </w:rPr>
              <w:t>Other</w:t>
            </w:r>
          </w:p>
        </w:tc>
        <w:tc>
          <w:tcPr>
            <w:tcW w:w="300" w:type="dxa"/>
            <w:vAlign w:val="bottom"/>
            <w:shd w:val="clear" w:color="auto" w:fill="E6EFFF"/>
          </w:tcPr>
          <w:p>
            <w:pPr>
              <w:spacing w:after="0"/>
              <w:rPr>
                <w:sz w:val="14"/>
                <w:szCs w:val="14"/>
                <w:color w:val="auto"/>
              </w:rPr>
            </w:pPr>
          </w:p>
        </w:tc>
        <w:tc>
          <w:tcPr>
            <w:tcW w:w="740" w:type="dxa"/>
            <w:vAlign w:val="bottom"/>
            <w:shd w:val="clear" w:color="auto" w:fill="E6EFFF"/>
          </w:tcPr>
          <w:p>
            <w:pPr>
              <w:jc w:val="right"/>
              <w:ind w:right="73"/>
              <w:spacing w:after="0"/>
              <w:rPr>
                <w:sz w:val="20"/>
                <w:szCs w:val="20"/>
                <w:color w:val="auto"/>
              </w:rPr>
            </w:pPr>
            <w:r>
              <w:rPr>
                <w:rFonts w:ascii="Arial" w:cs="Arial" w:eastAsia="Arial" w:hAnsi="Arial"/>
                <w:sz w:val="13"/>
                <w:szCs w:val="13"/>
                <w:b w:val="1"/>
                <w:bCs w:val="1"/>
                <w:color w:val="4D8ABE"/>
              </w:rPr>
              <w:t>17.5</w:t>
            </w:r>
          </w:p>
        </w:tc>
        <w:tc>
          <w:tcPr>
            <w:tcW w:w="20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73"/>
              <w:spacing w:after="0"/>
              <w:rPr>
                <w:sz w:val="20"/>
                <w:szCs w:val="20"/>
                <w:color w:val="auto"/>
              </w:rPr>
            </w:pPr>
            <w:r>
              <w:rPr>
                <w:rFonts w:ascii="Arial" w:cs="Arial" w:eastAsia="Arial" w:hAnsi="Arial"/>
                <w:sz w:val="13"/>
                <w:szCs w:val="13"/>
                <w:b w:val="1"/>
                <w:bCs w:val="1"/>
                <w:color w:val="4D8ABE"/>
              </w:rPr>
              <w:t>7.0</w:t>
            </w:r>
          </w:p>
        </w:tc>
        <w:tc>
          <w:tcPr>
            <w:tcW w:w="420" w:type="dxa"/>
            <w:vAlign w:val="bottom"/>
            <w:shd w:val="clear" w:color="auto" w:fill="E6EFFF"/>
          </w:tcPr>
          <w:p>
            <w:pPr>
              <w:spacing w:after="0"/>
              <w:rPr>
                <w:sz w:val="14"/>
                <w:szCs w:val="14"/>
                <w:color w:val="auto"/>
              </w:rPr>
            </w:pPr>
          </w:p>
        </w:tc>
        <w:tc>
          <w:tcPr>
            <w:tcW w:w="820" w:type="dxa"/>
            <w:vAlign w:val="bottom"/>
            <w:tcBorders>
              <w:right w:val="single" w:sz="8" w:color="4D8ABE"/>
            </w:tcBorders>
            <w:shd w:val="clear" w:color="auto" w:fill="E6EFFF"/>
          </w:tcPr>
          <w:p>
            <w:pPr>
              <w:jc w:val="right"/>
              <w:ind w:right="173"/>
              <w:spacing w:after="0"/>
              <w:rPr>
                <w:sz w:val="20"/>
                <w:szCs w:val="20"/>
                <w:color w:val="auto"/>
              </w:rPr>
            </w:pPr>
            <w:r>
              <w:rPr>
                <w:rFonts w:ascii="Arial" w:cs="Arial" w:eastAsia="Arial" w:hAnsi="Arial"/>
                <w:sz w:val="13"/>
                <w:szCs w:val="13"/>
                <w:b w:val="1"/>
                <w:bCs w:val="1"/>
                <w:color w:val="4D8ABE"/>
              </w:rPr>
              <w:t>10.5</w:t>
            </w:r>
          </w:p>
        </w:tc>
        <w:tc>
          <w:tcPr>
            <w:tcW w:w="2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7.8</w:t>
            </w:r>
          </w:p>
        </w:tc>
        <w:tc>
          <w:tcPr>
            <w:tcW w:w="220" w:type="dxa"/>
            <w:vAlign w:val="bottom"/>
            <w:shd w:val="clear" w:color="auto" w:fill="E6EFFF"/>
          </w:tcPr>
          <w:p>
            <w:pPr>
              <w:spacing w:after="0"/>
              <w:rPr>
                <w:sz w:val="14"/>
                <w:szCs w:val="14"/>
                <w:color w:val="auto"/>
              </w:rPr>
            </w:pPr>
          </w:p>
        </w:tc>
        <w:tc>
          <w:tcPr>
            <w:tcW w:w="92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4.0</w:t>
            </w:r>
          </w:p>
        </w:tc>
        <w:tc>
          <w:tcPr>
            <w:tcW w:w="380" w:type="dxa"/>
            <w:vAlign w:val="bottom"/>
            <w:shd w:val="clear" w:color="auto" w:fill="E6EFFF"/>
          </w:tcPr>
          <w:p>
            <w:pPr>
              <w:spacing w:after="0"/>
              <w:rPr>
                <w:sz w:val="14"/>
                <w:szCs w:val="14"/>
                <w:color w:val="auto"/>
              </w:rPr>
            </w:pPr>
          </w:p>
        </w:tc>
        <w:tc>
          <w:tcPr>
            <w:tcW w:w="840" w:type="dxa"/>
            <w:vAlign w:val="bottom"/>
            <w:gridSpan w:val="2"/>
            <w:shd w:val="clear" w:color="auto" w:fill="E6EFFF"/>
          </w:tcPr>
          <w:p>
            <w:pPr>
              <w:jc w:val="right"/>
              <w:ind w:right="220"/>
              <w:spacing w:after="0"/>
              <w:rPr>
                <w:sz w:val="20"/>
                <w:szCs w:val="20"/>
                <w:color w:val="auto"/>
              </w:rPr>
            </w:pPr>
            <w:r>
              <w:rPr>
                <w:rFonts w:ascii="Arial" w:cs="Arial" w:eastAsia="Arial" w:hAnsi="Arial"/>
                <w:sz w:val="13"/>
                <w:szCs w:val="13"/>
                <w:color w:val="auto"/>
              </w:rPr>
              <w:t>3.8</w:t>
            </w:r>
          </w:p>
        </w:tc>
      </w:tr>
      <w:tr>
        <w:trPr>
          <w:trHeight w:val="155"/>
        </w:trPr>
        <w:tc>
          <w:tcPr>
            <w:tcW w:w="4600" w:type="dxa"/>
            <w:vAlign w:val="bottom"/>
            <w:tcBorders>
              <w:top w:val="single" w:sz="8" w:color="auto"/>
              <w:bottom w:val="single" w:sz="8" w:color="auto"/>
              <w:right w:val="single" w:sz="8" w:color="4D8ABE"/>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4D8ABE"/>
              </w:rPr>
              <w:t>225.8</w:t>
            </w: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4D8ABE"/>
              </w:rPr>
              <w:t>78.4</w:t>
            </w:r>
          </w:p>
        </w:tc>
        <w:tc>
          <w:tcPr>
            <w:tcW w:w="4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right w:val="single" w:sz="8" w:color="4D8ABE"/>
            </w:tcBorders>
          </w:tcPr>
          <w:p>
            <w:pPr>
              <w:jc w:val="right"/>
              <w:ind w:right="173"/>
              <w:spacing w:after="0"/>
              <w:rPr>
                <w:sz w:val="20"/>
                <w:szCs w:val="20"/>
                <w:color w:val="auto"/>
              </w:rPr>
            </w:pPr>
            <w:r>
              <w:rPr>
                <w:rFonts w:ascii="Arial" w:cs="Arial" w:eastAsia="Arial" w:hAnsi="Arial"/>
                <w:sz w:val="13"/>
                <w:szCs w:val="13"/>
                <w:b w:val="1"/>
                <w:bCs w:val="1"/>
                <w:color w:val="4D8ABE"/>
              </w:rPr>
              <w:t>147.4</w:t>
            </w: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rPr>
              <w:t>179.6</w:t>
            </w: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rPr>
              <w:t>56.1</w:t>
            </w:r>
          </w:p>
        </w:tc>
        <w:tc>
          <w:tcPr>
            <w:tcW w:w="3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123.5</w:t>
            </w:r>
          </w:p>
        </w:tc>
        <w:tc>
          <w:tcPr>
            <w:tcW w:w="220" w:type="dxa"/>
            <w:vAlign w:val="bottom"/>
            <w:tcBorders>
              <w:bottom w:val="single" w:sz="8" w:color="E6EFFF"/>
            </w:tcBorders>
          </w:tcPr>
          <w:p>
            <w:pPr>
              <w:spacing w:after="0"/>
              <w:rPr>
                <w:sz w:val="13"/>
                <w:szCs w:val="13"/>
                <w:color w:val="auto"/>
              </w:rPr>
            </w:pPr>
          </w:p>
        </w:tc>
      </w:tr>
      <w:tr>
        <w:trPr>
          <w:trHeight w:val="154"/>
        </w:trPr>
        <w:tc>
          <w:tcPr>
            <w:tcW w:w="4600" w:type="dxa"/>
            <w:vAlign w:val="bottom"/>
            <w:tcBorders>
              <w:bottom w:val="single" w:sz="8" w:color="auto"/>
              <w:right w:val="single" w:sz="8" w:color="4D8ABE"/>
            </w:tcBorders>
            <w:shd w:val="clear" w:color="auto" w:fill="E6EFFF"/>
          </w:tcPr>
          <w:p>
            <w:pPr>
              <w:ind w:left="40"/>
              <w:spacing w:after="0"/>
              <w:rPr>
                <w:sz w:val="20"/>
                <w:szCs w:val="20"/>
                <w:color w:val="auto"/>
              </w:rPr>
            </w:pPr>
            <w:r>
              <w:rPr>
                <w:rFonts w:ascii="Arial" w:cs="Arial" w:eastAsia="Arial" w:hAnsi="Arial"/>
                <w:sz w:val="13"/>
                <w:szCs w:val="13"/>
                <w:color w:val="auto"/>
              </w:rPr>
              <w:t>Non-amortizable:</w:t>
            </w:r>
          </w:p>
        </w:tc>
        <w:tc>
          <w:tcPr>
            <w:tcW w:w="300" w:type="dxa"/>
            <w:vAlign w:val="bottom"/>
            <w:tcBorders>
              <w:bottom w:val="single" w:sz="8" w:color="auto"/>
            </w:tcBorders>
            <w:shd w:val="clear" w:color="auto" w:fill="E6EFFF"/>
          </w:tcPr>
          <w:p>
            <w:pPr>
              <w:spacing w:after="0"/>
              <w:rPr>
                <w:sz w:val="13"/>
                <w:szCs w:val="13"/>
                <w:color w:val="auto"/>
              </w:rPr>
            </w:pPr>
          </w:p>
        </w:tc>
        <w:tc>
          <w:tcPr>
            <w:tcW w:w="740" w:type="dxa"/>
            <w:vAlign w:val="bottom"/>
            <w:tcBorders>
              <w:bottom w:val="single" w:sz="8" w:color="auto"/>
            </w:tcBorders>
            <w:shd w:val="clear" w:color="auto" w:fill="E6EFFF"/>
          </w:tcPr>
          <w:p>
            <w:pPr>
              <w:spacing w:after="0"/>
              <w:rPr>
                <w:sz w:val="13"/>
                <w:szCs w:val="13"/>
                <w:color w:val="auto"/>
              </w:rPr>
            </w:pPr>
          </w:p>
        </w:tc>
        <w:tc>
          <w:tcPr>
            <w:tcW w:w="200" w:type="dxa"/>
            <w:vAlign w:val="bottom"/>
            <w:tcBorders>
              <w:bottom w:val="single" w:sz="8" w:color="auto"/>
            </w:tcBorders>
            <w:shd w:val="clear" w:color="auto" w:fill="E6EFFF"/>
          </w:tcPr>
          <w:p>
            <w:pPr>
              <w:spacing w:after="0"/>
              <w:rPr>
                <w:sz w:val="13"/>
                <w:szCs w:val="13"/>
                <w:color w:val="auto"/>
              </w:rPr>
            </w:pPr>
          </w:p>
        </w:tc>
        <w:tc>
          <w:tcPr>
            <w:tcW w:w="980" w:type="dxa"/>
            <w:vAlign w:val="bottom"/>
            <w:tcBorders>
              <w:bottom w:val="single" w:sz="8" w:color="auto"/>
            </w:tcBorders>
            <w:shd w:val="clear" w:color="auto" w:fill="E6EFFF"/>
          </w:tcPr>
          <w:p>
            <w:pPr>
              <w:spacing w:after="0"/>
              <w:rPr>
                <w:sz w:val="13"/>
                <w:szCs w:val="13"/>
                <w:color w:val="auto"/>
              </w:rPr>
            </w:pPr>
          </w:p>
        </w:tc>
        <w:tc>
          <w:tcPr>
            <w:tcW w:w="420" w:type="dxa"/>
            <w:vAlign w:val="bottom"/>
            <w:tcBorders>
              <w:bottom w:val="single" w:sz="8" w:color="auto"/>
            </w:tcBorders>
            <w:shd w:val="clear" w:color="auto" w:fill="E6EFFF"/>
          </w:tcPr>
          <w:p>
            <w:pPr>
              <w:spacing w:after="0"/>
              <w:rPr>
                <w:sz w:val="13"/>
                <w:szCs w:val="13"/>
                <w:color w:val="auto"/>
              </w:rPr>
            </w:pPr>
          </w:p>
        </w:tc>
        <w:tc>
          <w:tcPr>
            <w:tcW w:w="820" w:type="dxa"/>
            <w:vAlign w:val="bottom"/>
            <w:tcBorders>
              <w:bottom w:val="single" w:sz="8" w:color="auto"/>
              <w:right w:val="single" w:sz="8" w:color="4D8ABE"/>
            </w:tcBorders>
            <w:shd w:val="clear" w:color="auto" w:fill="E6EFFF"/>
          </w:tcPr>
          <w:p>
            <w:pPr>
              <w:spacing w:after="0"/>
              <w:rPr>
                <w:sz w:val="13"/>
                <w:szCs w:val="13"/>
                <w:color w:val="auto"/>
              </w:rPr>
            </w:pPr>
          </w:p>
        </w:tc>
        <w:tc>
          <w:tcPr>
            <w:tcW w:w="280" w:type="dxa"/>
            <w:vAlign w:val="bottom"/>
            <w:tcBorders>
              <w:bottom w:val="single" w:sz="8" w:color="auto"/>
            </w:tcBorders>
            <w:shd w:val="clear" w:color="auto" w:fill="E6EFFF"/>
          </w:tcPr>
          <w:p>
            <w:pPr>
              <w:spacing w:after="0"/>
              <w:rPr>
                <w:sz w:val="13"/>
                <w:szCs w:val="13"/>
                <w:color w:val="auto"/>
              </w:rPr>
            </w:pPr>
          </w:p>
        </w:tc>
        <w:tc>
          <w:tcPr>
            <w:tcW w:w="760" w:type="dxa"/>
            <w:vAlign w:val="bottom"/>
            <w:tcBorders>
              <w:bottom w:val="single" w:sz="8" w:color="auto"/>
            </w:tcBorders>
            <w:shd w:val="clear" w:color="auto" w:fill="E6EFFF"/>
          </w:tcPr>
          <w:p>
            <w:pPr>
              <w:spacing w:after="0"/>
              <w:rPr>
                <w:sz w:val="13"/>
                <w:szCs w:val="13"/>
                <w:color w:val="auto"/>
              </w:rPr>
            </w:pPr>
          </w:p>
        </w:tc>
        <w:tc>
          <w:tcPr>
            <w:tcW w:w="220" w:type="dxa"/>
            <w:vAlign w:val="bottom"/>
            <w:tcBorders>
              <w:bottom w:val="single" w:sz="8" w:color="auto"/>
            </w:tcBorders>
            <w:shd w:val="clear" w:color="auto" w:fill="E6EFFF"/>
          </w:tcPr>
          <w:p>
            <w:pPr>
              <w:spacing w:after="0"/>
              <w:rPr>
                <w:sz w:val="13"/>
                <w:szCs w:val="13"/>
                <w:color w:val="auto"/>
              </w:rPr>
            </w:pPr>
          </w:p>
        </w:tc>
        <w:tc>
          <w:tcPr>
            <w:tcW w:w="920" w:type="dxa"/>
            <w:vAlign w:val="bottom"/>
            <w:tcBorders>
              <w:bottom w:val="single" w:sz="8" w:color="auto"/>
            </w:tcBorders>
            <w:shd w:val="clear" w:color="auto" w:fill="E6EFFF"/>
          </w:tcPr>
          <w:p>
            <w:pPr>
              <w:spacing w:after="0"/>
              <w:rPr>
                <w:sz w:val="13"/>
                <w:szCs w:val="13"/>
                <w:color w:val="auto"/>
              </w:rPr>
            </w:pPr>
          </w:p>
        </w:tc>
        <w:tc>
          <w:tcPr>
            <w:tcW w:w="380" w:type="dxa"/>
            <w:vAlign w:val="bottom"/>
            <w:tcBorders>
              <w:bottom w:val="single" w:sz="8" w:color="auto"/>
            </w:tcBorders>
            <w:shd w:val="clear" w:color="auto" w:fill="E6EFFF"/>
          </w:tcPr>
          <w:p>
            <w:pPr>
              <w:spacing w:after="0"/>
              <w:rPr>
                <w:sz w:val="13"/>
                <w:szCs w:val="13"/>
                <w:color w:val="auto"/>
              </w:rPr>
            </w:pPr>
          </w:p>
        </w:tc>
        <w:tc>
          <w:tcPr>
            <w:tcW w:w="620" w:type="dxa"/>
            <w:vAlign w:val="bottom"/>
            <w:tcBorders>
              <w:bottom w:val="single" w:sz="8" w:color="auto"/>
            </w:tcBorders>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r>
      <w:tr>
        <w:trPr>
          <w:trHeight w:val="155"/>
        </w:trPr>
        <w:tc>
          <w:tcPr>
            <w:tcW w:w="4600" w:type="dxa"/>
            <w:vAlign w:val="bottom"/>
            <w:tcBorders>
              <w:right w:val="single" w:sz="8" w:color="4D8ABE"/>
            </w:tcBorders>
          </w:tcPr>
          <w:p>
            <w:pPr>
              <w:ind w:left="180"/>
              <w:spacing w:after="0"/>
              <w:rPr>
                <w:sz w:val="20"/>
                <w:szCs w:val="20"/>
                <w:color w:val="auto"/>
              </w:rPr>
            </w:pPr>
            <w:r>
              <w:rPr>
                <w:rFonts w:ascii="Arial" w:cs="Arial" w:eastAsia="Arial" w:hAnsi="Arial"/>
                <w:sz w:val="13"/>
                <w:szCs w:val="13"/>
                <w:color w:val="auto"/>
              </w:rPr>
              <w:t>Tradename</w:t>
            </w:r>
          </w:p>
        </w:tc>
        <w:tc>
          <w:tcPr>
            <w:tcW w:w="300" w:type="dxa"/>
            <w:vAlign w:val="bottom"/>
          </w:tcPr>
          <w:p>
            <w:pPr>
              <w:spacing w:after="0"/>
              <w:rPr>
                <w:sz w:val="13"/>
                <w:szCs w:val="13"/>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4D8ABE"/>
              </w:rPr>
              <w:t>171.2</w:t>
            </w:r>
          </w:p>
        </w:tc>
        <w:tc>
          <w:tcPr>
            <w:tcW w:w="20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4D8ABE"/>
              </w:rPr>
              <w:t>—</w:t>
            </w:r>
          </w:p>
        </w:tc>
        <w:tc>
          <w:tcPr>
            <w:tcW w:w="420" w:type="dxa"/>
            <w:vAlign w:val="bottom"/>
          </w:tcPr>
          <w:p>
            <w:pPr>
              <w:spacing w:after="0"/>
              <w:rPr>
                <w:sz w:val="13"/>
                <w:szCs w:val="13"/>
                <w:color w:val="auto"/>
              </w:rPr>
            </w:pPr>
          </w:p>
        </w:tc>
        <w:tc>
          <w:tcPr>
            <w:tcW w:w="820" w:type="dxa"/>
            <w:vAlign w:val="bottom"/>
            <w:tcBorders>
              <w:right w:val="single" w:sz="8" w:color="4D8ABE"/>
            </w:tcBorders>
          </w:tcPr>
          <w:p>
            <w:pPr>
              <w:jc w:val="right"/>
              <w:ind w:right="173"/>
              <w:spacing w:after="0"/>
              <w:rPr>
                <w:sz w:val="20"/>
                <w:szCs w:val="20"/>
                <w:color w:val="auto"/>
              </w:rPr>
            </w:pPr>
            <w:r>
              <w:rPr>
                <w:rFonts w:ascii="Arial" w:cs="Arial" w:eastAsia="Arial" w:hAnsi="Arial"/>
                <w:sz w:val="13"/>
                <w:szCs w:val="13"/>
                <w:b w:val="1"/>
                <w:bCs w:val="1"/>
                <w:color w:val="4D8ABE"/>
              </w:rPr>
              <w:t>171.2</w:t>
            </w:r>
          </w:p>
        </w:tc>
        <w:tc>
          <w:tcPr>
            <w:tcW w:w="280" w:type="dxa"/>
            <w:vAlign w:val="bottom"/>
          </w:tcPr>
          <w:p>
            <w:pPr>
              <w:spacing w:after="0"/>
              <w:rPr>
                <w:sz w:val="13"/>
                <w:szCs w:val="13"/>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193.5</w:t>
            </w:r>
          </w:p>
        </w:tc>
        <w:tc>
          <w:tcPr>
            <w:tcW w:w="220" w:type="dxa"/>
            <w:vAlign w:val="bottom"/>
          </w:tcPr>
          <w:p>
            <w:pPr>
              <w:spacing w:after="0"/>
              <w:rPr>
                <w:sz w:val="13"/>
                <w:szCs w:val="13"/>
                <w:color w:val="auto"/>
              </w:rPr>
            </w:pP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193.5</w:t>
            </w:r>
          </w:p>
        </w:tc>
        <w:tc>
          <w:tcPr>
            <w:tcW w:w="220" w:type="dxa"/>
            <w:vAlign w:val="bottom"/>
          </w:tcPr>
          <w:p>
            <w:pPr>
              <w:spacing w:after="0"/>
              <w:rPr>
                <w:sz w:val="13"/>
                <w:szCs w:val="13"/>
                <w:color w:val="auto"/>
              </w:rPr>
            </w:pPr>
          </w:p>
        </w:tc>
      </w:tr>
      <w:tr>
        <w:trPr>
          <w:trHeight w:val="164"/>
        </w:trPr>
        <w:tc>
          <w:tcPr>
            <w:tcW w:w="4600" w:type="dxa"/>
            <w:vAlign w:val="bottom"/>
            <w:tcBorders>
              <w:bottom w:val="single" w:sz="8" w:color="auto"/>
              <w:right w:val="single" w:sz="8" w:color="4D8ABE"/>
            </w:tcBorders>
            <w:shd w:val="clear" w:color="auto" w:fill="E6EFFF"/>
          </w:tcPr>
          <w:p>
            <w:pPr>
              <w:ind w:left="180"/>
              <w:spacing w:after="0"/>
              <w:rPr>
                <w:sz w:val="20"/>
                <w:szCs w:val="20"/>
                <w:color w:val="auto"/>
              </w:rPr>
            </w:pPr>
            <w:r>
              <w:rPr>
                <w:rFonts w:ascii="Arial" w:cs="Arial" w:eastAsia="Arial" w:hAnsi="Arial"/>
                <w:sz w:val="13"/>
                <w:szCs w:val="13"/>
                <w:color w:val="auto"/>
              </w:rPr>
              <w:t>Reacquired franchise rights</w:t>
            </w:r>
          </w:p>
        </w:tc>
        <w:tc>
          <w:tcPr>
            <w:tcW w:w="300" w:type="dxa"/>
            <w:vAlign w:val="bottom"/>
            <w:tcBorders>
              <w:bottom w:val="single" w:sz="8" w:color="auto"/>
            </w:tcBorders>
            <w:shd w:val="clear" w:color="auto" w:fill="E6EFFF"/>
          </w:tcPr>
          <w:p>
            <w:pPr>
              <w:spacing w:after="0"/>
              <w:rPr>
                <w:sz w:val="14"/>
                <w:szCs w:val="14"/>
                <w:color w:val="auto"/>
              </w:rPr>
            </w:pPr>
          </w:p>
        </w:tc>
        <w:tc>
          <w:tcPr>
            <w:tcW w:w="740" w:type="dxa"/>
            <w:vAlign w:val="bottom"/>
            <w:tcBorders>
              <w:bottom w:val="single" w:sz="8" w:color="auto"/>
            </w:tcBorders>
            <w:shd w:val="clear" w:color="auto" w:fill="E6EFFF"/>
          </w:tcPr>
          <w:p>
            <w:pPr>
              <w:jc w:val="right"/>
              <w:ind w:right="73"/>
              <w:spacing w:after="0"/>
              <w:rPr>
                <w:sz w:val="20"/>
                <w:szCs w:val="20"/>
                <w:color w:val="auto"/>
              </w:rPr>
            </w:pPr>
            <w:r>
              <w:rPr>
                <w:rFonts w:ascii="Arial" w:cs="Arial" w:eastAsia="Arial" w:hAnsi="Arial"/>
                <w:sz w:val="13"/>
                <w:szCs w:val="13"/>
                <w:b w:val="1"/>
                <w:bCs w:val="1"/>
                <w:color w:val="4D8ABE"/>
              </w:rPr>
              <w:t>96.6</w:t>
            </w:r>
          </w:p>
        </w:tc>
        <w:tc>
          <w:tcPr>
            <w:tcW w:w="200" w:type="dxa"/>
            <w:vAlign w:val="bottom"/>
            <w:tcBorders>
              <w:bottom w:val="single" w:sz="8" w:color="auto"/>
            </w:tcBorders>
            <w:shd w:val="clear" w:color="auto" w:fill="E6EFFF"/>
          </w:tcPr>
          <w:p>
            <w:pPr>
              <w:spacing w:after="0"/>
              <w:rPr>
                <w:sz w:val="14"/>
                <w:szCs w:val="14"/>
                <w:color w:val="auto"/>
              </w:rPr>
            </w:pPr>
          </w:p>
        </w:tc>
        <w:tc>
          <w:tcPr>
            <w:tcW w:w="980" w:type="dxa"/>
            <w:vAlign w:val="bottom"/>
            <w:tcBorders>
              <w:bottom w:val="single" w:sz="8" w:color="auto"/>
            </w:tcBorders>
            <w:shd w:val="clear" w:color="auto" w:fill="E6EFFF"/>
          </w:tcPr>
          <w:p>
            <w:pPr>
              <w:jc w:val="right"/>
              <w:ind w:right="73"/>
              <w:spacing w:after="0"/>
              <w:rPr>
                <w:sz w:val="20"/>
                <w:szCs w:val="20"/>
                <w:color w:val="auto"/>
              </w:rPr>
            </w:pPr>
            <w:r>
              <w:rPr>
                <w:rFonts w:ascii="Arial" w:cs="Arial" w:eastAsia="Arial" w:hAnsi="Arial"/>
                <w:sz w:val="13"/>
                <w:szCs w:val="13"/>
                <w:b w:val="1"/>
                <w:bCs w:val="1"/>
                <w:color w:val="4D8ABE"/>
              </w:rPr>
              <w:t>—</w:t>
            </w:r>
          </w:p>
        </w:tc>
        <w:tc>
          <w:tcPr>
            <w:tcW w:w="420" w:type="dxa"/>
            <w:vAlign w:val="bottom"/>
            <w:tcBorders>
              <w:bottom w:val="single" w:sz="8" w:color="auto"/>
            </w:tcBorders>
            <w:shd w:val="clear" w:color="auto" w:fill="E6EFFF"/>
          </w:tcPr>
          <w:p>
            <w:pPr>
              <w:spacing w:after="0"/>
              <w:rPr>
                <w:sz w:val="14"/>
                <w:szCs w:val="14"/>
                <w:color w:val="auto"/>
              </w:rPr>
            </w:pPr>
          </w:p>
        </w:tc>
        <w:tc>
          <w:tcPr>
            <w:tcW w:w="820" w:type="dxa"/>
            <w:vAlign w:val="bottom"/>
            <w:tcBorders>
              <w:bottom w:val="single" w:sz="8" w:color="auto"/>
              <w:right w:val="single" w:sz="8" w:color="4D8ABE"/>
            </w:tcBorders>
            <w:shd w:val="clear" w:color="auto" w:fill="E6EFFF"/>
          </w:tcPr>
          <w:p>
            <w:pPr>
              <w:jc w:val="right"/>
              <w:ind w:right="173"/>
              <w:spacing w:after="0"/>
              <w:rPr>
                <w:sz w:val="20"/>
                <w:szCs w:val="20"/>
                <w:color w:val="auto"/>
              </w:rPr>
            </w:pPr>
            <w:r>
              <w:rPr>
                <w:rFonts w:ascii="Arial" w:cs="Arial" w:eastAsia="Arial" w:hAnsi="Arial"/>
                <w:sz w:val="13"/>
                <w:szCs w:val="13"/>
                <w:b w:val="1"/>
                <w:bCs w:val="1"/>
                <w:color w:val="4D8ABE"/>
              </w:rPr>
              <w:t>96.6</w:t>
            </w:r>
          </w:p>
        </w:tc>
        <w:tc>
          <w:tcPr>
            <w:tcW w:w="280" w:type="dxa"/>
            <w:vAlign w:val="bottom"/>
            <w:tcBorders>
              <w:bottom w:val="single" w:sz="8" w:color="auto"/>
            </w:tcBorders>
            <w:shd w:val="clear" w:color="auto" w:fill="E6EFFF"/>
          </w:tcPr>
          <w:p>
            <w:pPr>
              <w:spacing w:after="0"/>
              <w:rPr>
                <w:sz w:val="14"/>
                <w:szCs w:val="14"/>
                <w:color w:val="auto"/>
              </w:rPr>
            </w:pPr>
          </w:p>
        </w:tc>
        <w:tc>
          <w:tcPr>
            <w:tcW w:w="760" w:type="dxa"/>
            <w:vAlign w:val="bottom"/>
            <w:tcBorders>
              <w:bottom w:val="single" w:sz="8" w:color="auto"/>
            </w:tcBorders>
            <w:shd w:val="clear" w:color="auto" w:fill="E6EFFF"/>
          </w:tcPr>
          <w:p>
            <w:pPr>
              <w:jc w:val="right"/>
              <w:ind w:right="73"/>
              <w:spacing w:after="0"/>
              <w:rPr>
                <w:sz w:val="20"/>
                <w:szCs w:val="20"/>
                <w:color w:val="auto"/>
              </w:rPr>
            </w:pPr>
            <w:r>
              <w:rPr>
                <w:rFonts w:ascii="Arial" w:cs="Arial" w:eastAsia="Arial" w:hAnsi="Arial"/>
                <w:sz w:val="13"/>
                <w:szCs w:val="13"/>
                <w:color w:val="auto"/>
              </w:rPr>
              <w:t>47.8</w:t>
            </w:r>
          </w:p>
        </w:tc>
        <w:tc>
          <w:tcPr>
            <w:tcW w:w="220" w:type="dxa"/>
            <w:vAlign w:val="bottom"/>
            <w:tcBorders>
              <w:bottom w:val="single" w:sz="8" w:color="auto"/>
            </w:tcBorders>
            <w:shd w:val="clear" w:color="auto" w:fill="E6EFFF"/>
          </w:tcPr>
          <w:p>
            <w:pPr>
              <w:spacing w:after="0"/>
              <w:rPr>
                <w:sz w:val="14"/>
                <w:szCs w:val="14"/>
                <w:color w:val="auto"/>
              </w:rPr>
            </w:pPr>
          </w:p>
        </w:tc>
        <w:tc>
          <w:tcPr>
            <w:tcW w:w="920" w:type="dxa"/>
            <w:vAlign w:val="bottom"/>
            <w:tcBorders>
              <w:bottom w:val="single" w:sz="8" w:color="auto"/>
            </w:tcBorders>
            <w:shd w:val="clear" w:color="auto" w:fill="E6EFFF"/>
          </w:tcPr>
          <w:p>
            <w:pPr>
              <w:jc w:val="right"/>
              <w:ind w:right="73"/>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E6EFFF"/>
          </w:tcPr>
          <w:p>
            <w:pPr>
              <w:spacing w:after="0"/>
              <w:rPr>
                <w:sz w:val="14"/>
                <w:szCs w:val="14"/>
                <w:color w:val="auto"/>
              </w:rPr>
            </w:pPr>
          </w:p>
        </w:tc>
        <w:tc>
          <w:tcPr>
            <w:tcW w:w="6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47.8</w:t>
            </w:r>
          </w:p>
        </w:tc>
        <w:tc>
          <w:tcPr>
            <w:tcW w:w="220" w:type="dxa"/>
            <w:vAlign w:val="bottom"/>
            <w:shd w:val="clear" w:color="auto" w:fill="E6EFFF"/>
          </w:tcPr>
          <w:p>
            <w:pPr>
              <w:spacing w:after="0"/>
              <w:rPr>
                <w:sz w:val="14"/>
                <w:szCs w:val="14"/>
                <w:color w:val="auto"/>
              </w:rPr>
            </w:pPr>
          </w:p>
        </w:tc>
      </w:tr>
      <w:tr>
        <w:trPr>
          <w:trHeight w:val="155"/>
        </w:trPr>
        <w:tc>
          <w:tcPr>
            <w:tcW w:w="4600" w:type="dxa"/>
            <w:vAlign w:val="bottom"/>
            <w:tcBorders>
              <w:right w:val="single" w:sz="8" w:color="4D8ABE"/>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b w:val="1"/>
                <w:bCs w:val="1"/>
                <w:color w:val="4D8ABE"/>
              </w:rPr>
              <w:t>267.8</w:t>
            </w:r>
          </w:p>
        </w:tc>
        <w:tc>
          <w:tcPr>
            <w:tcW w:w="200" w:type="dxa"/>
            <w:vAlign w:val="bottom"/>
          </w:tcPr>
          <w:p>
            <w:pPr>
              <w:spacing w:after="0"/>
              <w:rPr>
                <w:sz w:val="13"/>
                <w:szCs w:val="13"/>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4D8ABE"/>
              </w:rPr>
              <w:t>—</w:t>
            </w:r>
          </w:p>
        </w:tc>
        <w:tc>
          <w:tcPr>
            <w:tcW w:w="420" w:type="dxa"/>
            <w:vAlign w:val="bottom"/>
          </w:tcPr>
          <w:p>
            <w:pPr>
              <w:spacing w:after="0"/>
              <w:rPr>
                <w:sz w:val="13"/>
                <w:szCs w:val="13"/>
                <w:color w:val="auto"/>
              </w:rPr>
            </w:pPr>
          </w:p>
        </w:tc>
        <w:tc>
          <w:tcPr>
            <w:tcW w:w="820" w:type="dxa"/>
            <w:vAlign w:val="bottom"/>
            <w:tcBorders>
              <w:right w:val="single" w:sz="8" w:color="4D8ABE"/>
            </w:tcBorders>
          </w:tcPr>
          <w:p>
            <w:pPr>
              <w:jc w:val="right"/>
              <w:ind w:right="173"/>
              <w:spacing w:after="0"/>
              <w:rPr>
                <w:sz w:val="20"/>
                <w:szCs w:val="20"/>
                <w:color w:val="auto"/>
              </w:rPr>
            </w:pPr>
            <w:r>
              <w:rPr>
                <w:rFonts w:ascii="Arial" w:cs="Arial" w:eastAsia="Arial" w:hAnsi="Arial"/>
                <w:sz w:val="13"/>
                <w:szCs w:val="13"/>
                <w:b w:val="1"/>
                <w:bCs w:val="1"/>
                <w:color w:val="4D8ABE"/>
              </w:rPr>
              <w:t>267.8</w:t>
            </w:r>
          </w:p>
        </w:tc>
        <w:tc>
          <w:tcPr>
            <w:tcW w:w="280" w:type="dxa"/>
            <w:vAlign w:val="bottom"/>
          </w:tcPr>
          <w:p>
            <w:pPr>
              <w:spacing w:after="0"/>
              <w:rPr>
                <w:sz w:val="13"/>
                <w:szCs w:val="13"/>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241.3</w:t>
            </w:r>
          </w:p>
        </w:tc>
        <w:tc>
          <w:tcPr>
            <w:tcW w:w="220" w:type="dxa"/>
            <w:vAlign w:val="bottom"/>
          </w:tcPr>
          <w:p>
            <w:pPr>
              <w:spacing w:after="0"/>
              <w:rPr>
                <w:sz w:val="13"/>
                <w:szCs w:val="13"/>
                <w:color w:val="auto"/>
              </w:rPr>
            </w:pP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241.3</w:t>
            </w:r>
          </w:p>
        </w:tc>
        <w:tc>
          <w:tcPr>
            <w:tcW w:w="220" w:type="dxa"/>
            <w:vAlign w:val="bottom"/>
          </w:tcPr>
          <w:p>
            <w:pPr>
              <w:spacing w:after="0"/>
              <w:rPr>
                <w:sz w:val="13"/>
                <w:szCs w:val="13"/>
                <w:color w:val="auto"/>
              </w:rPr>
            </w:pPr>
          </w:p>
        </w:tc>
      </w:tr>
      <w:tr>
        <w:trPr>
          <w:trHeight w:val="165"/>
        </w:trPr>
        <w:tc>
          <w:tcPr>
            <w:tcW w:w="460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3"/>
                <w:szCs w:val="13"/>
                <w:color w:val="auto"/>
              </w:rPr>
              <w:t>Total intangible assets</w:t>
            </w:r>
          </w:p>
        </w:tc>
        <w:tc>
          <w:tcPr>
            <w:tcW w:w="300" w:type="dxa"/>
            <w:vAlign w:val="bottom"/>
            <w:tcBorders>
              <w:bottom w:val="single" w:sz="8" w:color="auto"/>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w:t>
            </w:r>
          </w:p>
        </w:tc>
        <w:tc>
          <w:tcPr>
            <w:tcW w:w="740" w:type="dxa"/>
            <w:vAlign w:val="bottom"/>
            <w:tcBorders>
              <w:bottom w:val="single" w:sz="8" w:color="auto"/>
            </w:tcBorders>
            <w:shd w:val="clear" w:color="auto" w:fill="E6EFFF"/>
          </w:tcPr>
          <w:p>
            <w:pPr>
              <w:jc w:val="right"/>
              <w:ind w:right="73"/>
              <w:spacing w:after="0"/>
              <w:rPr>
                <w:sz w:val="20"/>
                <w:szCs w:val="20"/>
                <w:color w:val="auto"/>
              </w:rPr>
            </w:pPr>
            <w:r>
              <w:rPr>
                <w:rFonts w:ascii="Arial" w:cs="Arial" w:eastAsia="Arial" w:hAnsi="Arial"/>
                <w:sz w:val="14"/>
                <w:szCs w:val="14"/>
                <w:b w:val="1"/>
                <w:bCs w:val="1"/>
                <w:color w:val="4D8ABE"/>
              </w:rPr>
              <w:t>493.6</w:t>
            </w:r>
          </w:p>
        </w:tc>
        <w:tc>
          <w:tcPr>
            <w:tcW w:w="2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b w:val="1"/>
                <w:bCs w:val="1"/>
                <w:color w:val="4D8ABE"/>
              </w:rPr>
              <w:t>$</w:t>
            </w:r>
          </w:p>
        </w:tc>
        <w:tc>
          <w:tcPr>
            <w:tcW w:w="980" w:type="dxa"/>
            <w:vAlign w:val="bottom"/>
            <w:tcBorders>
              <w:bottom w:val="single" w:sz="8" w:color="auto"/>
            </w:tcBorders>
            <w:shd w:val="clear" w:color="auto" w:fill="E6EFFF"/>
          </w:tcPr>
          <w:p>
            <w:pPr>
              <w:jc w:val="right"/>
              <w:ind w:right="73"/>
              <w:spacing w:after="0"/>
              <w:rPr>
                <w:sz w:val="20"/>
                <w:szCs w:val="20"/>
                <w:color w:val="auto"/>
              </w:rPr>
            </w:pPr>
            <w:r>
              <w:rPr>
                <w:rFonts w:ascii="Arial" w:cs="Arial" w:eastAsia="Arial" w:hAnsi="Arial"/>
                <w:sz w:val="14"/>
                <w:szCs w:val="14"/>
                <w:b w:val="1"/>
                <w:bCs w:val="1"/>
                <w:color w:val="4D8ABE"/>
              </w:rPr>
              <w:t>78.4</w:t>
            </w:r>
          </w:p>
        </w:tc>
        <w:tc>
          <w:tcPr>
            <w:tcW w:w="420" w:type="dxa"/>
            <w:vAlign w:val="bottom"/>
            <w:tcBorders>
              <w:bottom w:val="single" w:sz="8" w:color="auto"/>
            </w:tcBorders>
            <w:shd w:val="clear" w:color="auto" w:fill="E6EFFF"/>
          </w:tcPr>
          <w:p>
            <w:pPr>
              <w:jc w:val="right"/>
              <w:ind w:right="153"/>
              <w:spacing w:after="0"/>
              <w:rPr>
                <w:sz w:val="20"/>
                <w:szCs w:val="20"/>
                <w:color w:val="auto"/>
              </w:rPr>
            </w:pPr>
            <w:r>
              <w:rPr>
                <w:rFonts w:ascii="Arial" w:cs="Arial" w:eastAsia="Arial" w:hAnsi="Arial"/>
                <w:sz w:val="13"/>
                <w:szCs w:val="13"/>
                <w:b w:val="1"/>
                <w:bCs w:val="1"/>
                <w:color w:val="4D8ABE"/>
              </w:rPr>
              <w:t>$</w:t>
            </w:r>
          </w:p>
        </w:tc>
        <w:tc>
          <w:tcPr>
            <w:tcW w:w="820" w:type="dxa"/>
            <w:vAlign w:val="bottom"/>
            <w:tcBorders>
              <w:bottom w:val="single" w:sz="8" w:color="auto"/>
              <w:right w:val="single" w:sz="8" w:color="4D8ABE"/>
            </w:tcBorders>
            <w:shd w:val="clear" w:color="auto" w:fill="E6EFFF"/>
          </w:tcPr>
          <w:p>
            <w:pPr>
              <w:jc w:val="right"/>
              <w:ind w:right="173"/>
              <w:spacing w:after="0"/>
              <w:rPr>
                <w:sz w:val="20"/>
                <w:szCs w:val="20"/>
                <w:color w:val="auto"/>
              </w:rPr>
            </w:pPr>
            <w:r>
              <w:rPr>
                <w:rFonts w:ascii="Arial" w:cs="Arial" w:eastAsia="Arial" w:hAnsi="Arial"/>
                <w:sz w:val="14"/>
                <w:szCs w:val="14"/>
                <w:b w:val="1"/>
                <w:bCs w:val="1"/>
                <w:color w:val="4D8ABE"/>
              </w:rPr>
              <w:t>415.2</w:t>
            </w:r>
          </w:p>
        </w:tc>
        <w:tc>
          <w:tcPr>
            <w:tcW w:w="280" w:type="dxa"/>
            <w:vAlign w:val="bottom"/>
            <w:tcBorders>
              <w:bottom w:val="single" w:sz="8" w:color="auto"/>
            </w:tcBorders>
            <w:shd w:val="clear" w:color="auto" w:fill="E6EFFF"/>
          </w:tcPr>
          <w:p>
            <w:pPr>
              <w:jc w:val="right"/>
              <w:ind w:right="11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E6EFFF"/>
          </w:tcPr>
          <w:p>
            <w:pPr>
              <w:jc w:val="right"/>
              <w:ind w:right="73"/>
              <w:spacing w:after="0"/>
              <w:rPr>
                <w:sz w:val="20"/>
                <w:szCs w:val="20"/>
                <w:color w:val="auto"/>
              </w:rPr>
            </w:pPr>
            <w:r>
              <w:rPr>
                <w:rFonts w:ascii="Arial" w:cs="Arial" w:eastAsia="Arial" w:hAnsi="Arial"/>
                <w:sz w:val="14"/>
                <w:szCs w:val="14"/>
                <w:color w:val="auto"/>
              </w:rPr>
              <w:t>420.9</w:t>
            </w:r>
          </w:p>
        </w:tc>
        <w:tc>
          <w:tcPr>
            <w:tcW w:w="2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E6EFFF"/>
          </w:tcPr>
          <w:p>
            <w:pPr>
              <w:jc w:val="right"/>
              <w:ind w:right="73"/>
              <w:spacing w:after="0"/>
              <w:rPr>
                <w:sz w:val="20"/>
                <w:szCs w:val="20"/>
                <w:color w:val="auto"/>
              </w:rPr>
            </w:pPr>
            <w:r>
              <w:rPr>
                <w:rFonts w:ascii="Arial" w:cs="Arial" w:eastAsia="Arial" w:hAnsi="Arial"/>
                <w:sz w:val="14"/>
                <w:szCs w:val="14"/>
                <w:color w:val="auto"/>
              </w:rPr>
              <w:t>56.1</w:t>
            </w:r>
          </w:p>
        </w:tc>
        <w:tc>
          <w:tcPr>
            <w:tcW w:w="380" w:type="dxa"/>
            <w:vAlign w:val="bottom"/>
            <w:tcBorders>
              <w:bottom w:val="single" w:sz="8" w:color="auto"/>
            </w:tcBorders>
            <w:shd w:val="clear" w:color="auto" w:fill="E6EFFF"/>
          </w:tcPr>
          <w:p>
            <w:pPr>
              <w:jc w:val="right"/>
              <w:ind w:right="11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364.8</w:t>
            </w:r>
          </w:p>
        </w:tc>
        <w:tc>
          <w:tcPr>
            <w:tcW w:w="220" w:type="dxa"/>
            <w:vAlign w:val="bottom"/>
            <w:tcBorders>
              <w:bottom w:val="single" w:sz="8" w:color="E6EFFF"/>
            </w:tcBorders>
            <w:shd w:val="clear" w:color="auto" w:fill="E6EFFF"/>
          </w:tcPr>
          <w:p>
            <w:pPr>
              <w:spacing w:after="0"/>
              <w:rPr>
                <w:sz w:val="14"/>
                <w:szCs w:val="14"/>
                <w:color w:val="auto"/>
              </w:rPr>
            </w:pPr>
          </w:p>
        </w:tc>
      </w:tr>
    </w:tbl>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Amortization expense related to intangibles was $22.3 in 2008, $14.5 in 2007 and $13.1 in 2006. Amortization expense expected in each of the next five years is as follows: 2009 – $24.9, 2010 – $21.5, 2011 – $19.2, 2012 – $13.4, and 2013 – $12.0. The weighted-average useful lives of the technology, franchise agreements, and client relationships are 5, 10, and 16 years, respectively. The majority of the non-amortizable tradename results from our acquisition of Right Management. The tradename has been assigned an indefinite life based on our expectation of renewing the tradename, as required, without material modifications and at a minimal cost, and our expectation of positive cash flows beyond the foreseeable future. The reacquired franchise rights result from our franchise acquisitions in the U.S. These rights entitle us to operate permanently in particular territories, and have therefore been assigned an indefinite life.</w:t>
      </w:r>
    </w:p>
    <w:p>
      <w:pPr>
        <w:spacing w:after="0" w:line="355" w:lineRule="exact"/>
        <w:rPr>
          <w:sz w:val="20"/>
          <w:szCs w:val="20"/>
          <w:color w:val="auto"/>
        </w:rPr>
      </w:pPr>
    </w:p>
    <w:p>
      <w:pPr>
        <w:spacing w:after="0"/>
        <w:tabs>
          <w:tab w:leader="none" w:pos="2840" w:val="left"/>
          <w:tab w:leader="none" w:pos="8580" w:val="left"/>
        </w:tabs>
        <w:rPr>
          <w:sz w:val="20"/>
          <w:szCs w:val="20"/>
          <w:color w:val="auto"/>
        </w:rPr>
      </w:pPr>
      <w:r>
        <w:rPr>
          <w:rFonts w:ascii="Arial" w:cs="Arial" w:eastAsia="Arial" w:hAnsi="Arial"/>
          <w:sz w:val="12"/>
          <w:szCs w:val="12"/>
          <w:b w:val="1"/>
          <w:bCs w:val="1"/>
          <w:color w:val="auto"/>
        </w:rPr>
        <w:t>48</w:t>
      </w:r>
      <w:r>
        <w:rPr>
          <w:sz w:val="20"/>
          <w:szCs w:val="20"/>
          <w:color w:val="auto"/>
        </w:rPr>
        <w:tab/>
      </w:r>
      <w:r>
        <w:rPr>
          <w:rFonts w:ascii="Arial" w:cs="Arial" w:eastAsia="Arial" w:hAnsi="Arial"/>
          <w:sz w:val="12"/>
          <w:szCs w:val="12"/>
          <w:b w:val="1"/>
          <w:bCs w:val="1"/>
          <w:color w:val="939598"/>
        </w:rPr>
        <w:t>Notes To Consolidated Financial Statements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7964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729869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106" w:name="page107"/>
    <w:bookmarkEnd w:id="106"/>
    <w:p>
      <w:pPr>
        <w:jc w:val="both"/>
        <w:ind w:right="40"/>
        <w:spacing w:after="0" w:line="249" w:lineRule="auto"/>
        <w:rPr>
          <w:sz w:val="20"/>
          <w:szCs w:val="20"/>
          <w:color w:val="auto"/>
        </w:rPr>
      </w:pPr>
      <w:r>
        <w:rPr>
          <w:rFonts w:ascii="Arial" w:cs="Arial" w:eastAsia="Arial" w:hAnsi="Arial"/>
          <w:sz w:val="16"/>
          <w:szCs w:val="16"/>
          <w:color w:val="auto"/>
        </w:rPr>
        <w:t>In connection with FASB Statement No. 142, “Goodwill and Other Intangible Assets” (“SFAS 142”), we are required to perform goodwill and indefinite-lived intangible asset impairment reviews, at least annually, using a fair-value-based approach. The majority of our goodwill and indefinite-lived intangible assets results from our acquisitions of Right Management, Elan, Jefferson Wells, U.S. franchises and Vitae.</w:t>
      </w:r>
    </w:p>
    <w:p>
      <w:pPr>
        <w:spacing w:after="0" w:line="167"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SFAS 142 requires a two-step method for determining goodwill impairment. In the first step, we determine the fair value of each reporting unit, generally by utilizing an income approach derived from a discounted cash flow methodology and, for certain larger reporting units, a combination of the income approach and the market approach derived from comparable public companies. Significant assumptions used in this analysis include: expected future revenue growth rates, operating unit profit margins, and working capital levels; a discount rate; and a terminal value multiple. The fair value of the reporting unit is then compared to its carrying value. If the reporting unit’s fair value is less than its carrying value, we are required to perform the second step. In this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174"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Under SFAS 142,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161"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completed our annual impairment review during the third quarter of 2008. In the first step, the fair value for each reporting unit other than Right Management exceeded its carrying value. For Right Management, we were required to perform the second step. As a result of deteriorating market conditions and general economic uncertainty, market comparables and forecasted cash flows for the Right Management reporting unit were lower than in previous years, which led to a determination that the goodwill recorded for Right Management was partially impaired. For the year ended December 31, 2008, we recognized an impairment loss of $140.8 related to goodwill. There was no tax benefit associated with this impairment loss.</w:t>
      </w:r>
    </w:p>
    <w:p>
      <w:pPr>
        <w:spacing w:after="0" w:line="17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At the same time, we also determined that the tradename intangible asset for Right Management was partially impaired as a result of a decrease in forecasted royalties. As a result, we recognized an impairment loss of $22.3 related to our tradename intangible asset for the year ended December 31, 2008. We recognized a deferred tax benefit of $8.5 associated with this impairment loss.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goodwill and intangible asset impairment charge is a non-cash charge.</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MARKETABLE SECURITIES</w:t>
      </w:r>
    </w:p>
    <w:p>
      <w:pPr>
        <w:spacing w:after="0" w:line="198"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We account for our marketable security investments under FASB Statement No. 115, “Accounting for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(Loss) Income, which is a separate component of Shareholders’ Equity. Realized gains and losses, and unrealized losses determined to be other-than-temporary, are recorded in our consolidated statements of operations. No realized gains or losses were recorded in 2008, 2007 or 2006. As of December 31, 2008 and 2007, our available-for-sale investments had a market value of $0.2 and $0.3, respectively, and an adjusted cost basis of $0.1, and none had unrealized losses.</w:t>
      </w:r>
    </w:p>
    <w:p>
      <w:pPr>
        <w:spacing w:after="0" w:line="172"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We hold a 49% interest in our Swiss franchise, which maintains an investment portfolio with a market value of $131.8 and $144.9 as of December 31, 2008 and 2007, respectively. This portfolio is comprised of a wide variety of European and U.S. debt and equity securities as well as various professionally-managed funds, all of which are classified as available-for-sale. Our net share of realized gains and losses, and declines in value determined to be other-than-temporary, are included in our consolidated statements of operations. For the years ended December 31, 2008, 2007 and 2006, realized gains totaled $0.2, $0.2 and $1.5, respectively, and realized losses totaled $0.5, $0.2 and $0.9, respectively. Our share of net unrealized gains and unrealized losses that are determined to be temporary related to these investments are included in Accumulated Other Comprehensive (Loss) Income, with the offsetting amount increasing or decreasing our investment in the franchise.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CAPITALIZED SOFTWARE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$33.6 and $40.4 as of December 31, 2008 and 2007, respectively, is included in Other Assets in the consolidated balance sheets. Amortization expense related to the capitalized software costs was $12.1, $10.7 and $9.5 for 2008, 2007 and 2006, respectively.</w:t>
      </w: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PROPERTY AND EQUIPMENT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 summary of property and equipment as of December 31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Borders>
              <w:right w:val="single" w:sz="8" w:color="4D8ABE"/>
            </w:tcBorders>
          </w:tcPr>
          <w:p>
            <w:pPr>
              <w:spacing w:after="0"/>
              <w:rPr>
                <w:sz w:val="15"/>
                <w:szCs w:val="15"/>
                <w:color w:val="auto"/>
              </w:rPr>
            </w:pPr>
          </w:p>
        </w:tc>
        <w:tc>
          <w:tcPr>
            <w:tcW w:w="500" w:type="dxa"/>
            <w:vAlign w:val="bottom"/>
            <w:shd w:val="clear" w:color="auto" w:fill="4D8ABE"/>
          </w:tcPr>
          <w:p>
            <w:pPr>
              <w:spacing w:after="0"/>
              <w:rPr>
                <w:sz w:val="15"/>
                <w:szCs w:val="15"/>
                <w:color w:val="auto"/>
              </w:rPr>
            </w:pPr>
          </w:p>
        </w:tc>
        <w:tc>
          <w:tcPr>
            <w:tcW w:w="9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color w:val="FFFFFF"/>
              </w:rPr>
              <w:t>2008</w:t>
            </w:r>
          </w:p>
        </w:tc>
        <w:tc>
          <w:tcPr>
            <w:tcW w:w="5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4D8ABE"/>
              </w:rPr>
              <w:t>2007</w:t>
            </w:r>
          </w:p>
        </w:tc>
      </w:tr>
      <w:tr>
        <w:trPr>
          <w:trHeight w:val="155"/>
        </w:trPr>
        <w:tc>
          <w:tcPr>
            <w:tcW w:w="8520" w:type="dxa"/>
            <w:vAlign w:val="bottom"/>
            <w:tcBorders>
              <w:top w:val="single" w:sz="8" w:color="4D8ABE"/>
              <w:right w:val="single" w:sz="8" w:color="4D8ABE"/>
            </w:tcBorders>
          </w:tcPr>
          <w:p>
            <w:pPr>
              <w:spacing w:after="0" w:line="155" w:lineRule="exact"/>
              <w:rPr>
                <w:sz w:val="20"/>
                <w:szCs w:val="20"/>
                <w:color w:val="auto"/>
              </w:rPr>
            </w:pPr>
            <w:r>
              <w:rPr>
                <w:rFonts w:ascii="Arial" w:cs="Arial" w:eastAsia="Arial" w:hAnsi="Arial"/>
                <w:sz w:val="14"/>
                <w:szCs w:val="14"/>
                <w:color w:val="auto"/>
              </w:rPr>
              <w:t>Land</w:t>
            </w:r>
          </w:p>
        </w:tc>
        <w:tc>
          <w:tcPr>
            <w:tcW w:w="500" w:type="dxa"/>
            <w:vAlign w:val="bottom"/>
            <w:tcBorders>
              <w:top w:val="single" w:sz="8" w:color="4D8ABE"/>
            </w:tcBorders>
          </w:tcPr>
          <w:p>
            <w:pPr>
              <w:jc w:val="right"/>
              <w:ind w:right="332"/>
              <w:spacing w:after="0" w:line="155" w:lineRule="exact"/>
              <w:rPr>
                <w:sz w:val="20"/>
                <w:szCs w:val="20"/>
                <w:color w:val="auto"/>
              </w:rPr>
            </w:pPr>
            <w:r>
              <w:rPr>
                <w:rFonts w:ascii="Arial" w:cs="Arial" w:eastAsia="Arial" w:hAnsi="Arial"/>
                <w:sz w:val="14"/>
                <w:szCs w:val="14"/>
                <w:color w:val="4D8ABE"/>
              </w:rPr>
              <w:t>$</w:t>
            </w:r>
          </w:p>
        </w:tc>
        <w:tc>
          <w:tcPr>
            <w:tcW w:w="980" w:type="dxa"/>
            <w:vAlign w:val="bottom"/>
            <w:tcBorders>
              <w:top w:val="single" w:sz="8" w:color="4D8ABE"/>
              <w:right w:val="single" w:sz="8" w:color="4D8ABE"/>
            </w:tcBorders>
          </w:tcPr>
          <w:p>
            <w:pPr>
              <w:jc w:val="right"/>
              <w:ind w:right="172"/>
              <w:spacing w:after="0" w:line="155" w:lineRule="exact"/>
              <w:rPr>
                <w:sz w:val="20"/>
                <w:szCs w:val="20"/>
                <w:color w:val="auto"/>
              </w:rPr>
            </w:pPr>
            <w:r>
              <w:rPr>
                <w:rFonts w:ascii="Arial" w:cs="Arial" w:eastAsia="Arial" w:hAnsi="Arial"/>
                <w:sz w:val="14"/>
                <w:szCs w:val="14"/>
                <w:color w:val="4D8ABE"/>
              </w:rPr>
              <w:t>3.5</w:t>
            </w:r>
          </w:p>
        </w:tc>
        <w:tc>
          <w:tcPr>
            <w:tcW w:w="500" w:type="dxa"/>
            <w:vAlign w:val="bottom"/>
            <w:tcBorders>
              <w:top w:val="single" w:sz="8" w:color="4D8ABE"/>
            </w:tcBorders>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3"/>
                <w:szCs w:val="13"/>
                <w:color w:val="auto"/>
              </w:rPr>
            </w:pPr>
          </w:p>
        </w:tc>
      </w:tr>
      <w:tr>
        <w:trPr>
          <w:trHeight w:val="165"/>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Buildings</w:t>
            </w: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color w:val="4D8ABE"/>
              </w:rPr>
              <w:t>18.7</w:t>
            </w:r>
          </w:p>
        </w:tc>
        <w:tc>
          <w:tcPr>
            <w:tcW w:w="500" w:type="dxa"/>
            <w:vAlign w:val="bottom"/>
            <w:shd w:val="clear" w:color="auto" w:fill="E6EFFF"/>
          </w:tcPr>
          <w:p>
            <w:pPr>
              <w:spacing w:after="0"/>
              <w:rPr>
                <w:sz w:val="14"/>
                <w:szCs w:val="14"/>
                <w:color w:val="auto"/>
              </w:rPr>
            </w:pPr>
          </w:p>
        </w:tc>
        <w:tc>
          <w:tcPr>
            <w:tcW w:w="7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17.4</w:t>
            </w:r>
          </w:p>
        </w:tc>
        <w:tc>
          <w:tcPr>
            <w:tcW w:w="220" w:type="dxa"/>
            <w:vAlign w:val="bottom"/>
            <w:shd w:val="clear" w:color="auto" w:fill="E6EFFF"/>
          </w:tcPr>
          <w:p>
            <w:pPr>
              <w:spacing w:after="0"/>
              <w:rPr>
                <w:sz w:val="14"/>
                <w:szCs w:val="14"/>
                <w:color w:val="auto"/>
              </w:rPr>
            </w:pP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Furniture, fixtures, and autos</w:t>
            </w: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color w:val="4D8ABE"/>
              </w:rPr>
              <w:t>222.2</w:t>
            </w:r>
          </w:p>
        </w:tc>
        <w:tc>
          <w:tcPr>
            <w:tcW w:w="5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230.2</w:t>
            </w:r>
          </w:p>
        </w:tc>
      </w:tr>
      <w:tr>
        <w:trPr>
          <w:trHeight w:val="165"/>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Computer equipment</w:t>
            </w: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color w:val="4D8ABE"/>
              </w:rPr>
              <w:t>180.4</w:t>
            </w:r>
          </w:p>
        </w:tc>
        <w:tc>
          <w:tcPr>
            <w:tcW w:w="500" w:type="dxa"/>
            <w:vAlign w:val="bottom"/>
            <w:shd w:val="clear" w:color="auto" w:fill="E6EFFF"/>
          </w:tcPr>
          <w:p>
            <w:pPr>
              <w:spacing w:after="0"/>
              <w:rPr>
                <w:sz w:val="14"/>
                <w:szCs w:val="14"/>
                <w:color w:val="auto"/>
              </w:rPr>
            </w:pPr>
          </w:p>
        </w:tc>
        <w:tc>
          <w:tcPr>
            <w:tcW w:w="9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189.3</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Leasehold improvements</w:t>
            </w: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color w:val="4D8ABE"/>
              </w:rPr>
              <w:t>319.2</w:t>
            </w:r>
          </w:p>
        </w:tc>
        <w:tc>
          <w:tcPr>
            <w:tcW w:w="5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322.3</w:t>
            </w:r>
          </w:p>
        </w:tc>
      </w:tr>
      <w:tr>
        <w:trPr>
          <w:trHeight w:val="155"/>
        </w:trPr>
        <w:tc>
          <w:tcPr>
            <w:tcW w:w="8520" w:type="dxa"/>
            <w:vAlign w:val="bottom"/>
            <w:tcBorders>
              <w:top w:val="single" w:sz="8" w:color="auto"/>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Property and equipment</w:t>
            </w:r>
          </w:p>
        </w:tc>
        <w:tc>
          <w:tcPr>
            <w:tcW w:w="500" w:type="dxa"/>
            <w:vAlign w:val="bottom"/>
            <w:tcBorders>
              <w:top w:val="single" w:sz="8" w:color="auto"/>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4D8ABE"/>
              </w:rPr>
              <w:t>$</w:t>
            </w:r>
          </w:p>
        </w:tc>
        <w:tc>
          <w:tcPr>
            <w:tcW w:w="98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color w:val="4D8ABE"/>
              </w:rPr>
              <w:t>744.0</w:t>
            </w:r>
          </w:p>
        </w:tc>
        <w:tc>
          <w:tcPr>
            <w:tcW w:w="500" w:type="dxa"/>
            <w:vAlign w:val="bottom"/>
            <w:tcBorders>
              <w:top w:val="single" w:sz="8" w:color="auto"/>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760.8</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Property and equipment are stated at cost and are depreciated using primarily the straight-line method over the following estimated useful lives: buildings – up to 40 years; leasehold improvements – lesser of life of asset or expected lease term; furniture and equipment – 3 to 15 years.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FASB Statement No. 144, “Accounting for the Impairment or Disposal of Long-Lived Assets.”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DERIVATIVE FINANCIAL INSTRUMENTS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account for our derivative instruments in accordance with FASB Statement Nos. 133, 137, and 149 related to “Accounting for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Income and recognized in the consolidated statements of operations when the hedged item affects earnings. The ineffective portions of the changes in the fair value of hedges are recognized in earnings.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FOREIGN CURRENCY TRANSLATION</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financial statements of our non-U.S. subsidiaries have been translated in accordance with FASB Statement No. 52, “Foreign Currency Translation” (“SFAS 52”). Under SFAS 52, asset and liability accounts are translated at the current exchange rate and income statement items are translated at the weighted-average exchange rate for the year. The resulting translation adjustments are recorded as a component of Accumulated Other Comprehensive (Loss) Income, which is included in Shareholders' Equity.</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Certain foreign currency 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(Loss) Income.</w:t>
      </w:r>
    </w:p>
    <w:p>
      <w:pPr>
        <w:spacing w:after="0" w:line="166" w:lineRule="exact"/>
        <w:rPr>
          <w:sz w:val="20"/>
          <w:szCs w:val="20"/>
          <w:color w:val="auto"/>
        </w:rPr>
      </w:pPr>
    </w:p>
    <w:p>
      <w:pPr>
        <w:spacing w:after="0"/>
        <w:tabs>
          <w:tab w:leader="none" w:pos="2840" w:val="left"/>
          <w:tab w:leader="none" w:pos="8580" w:val="left"/>
        </w:tabs>
        <w:rPr>
          <w:sz w:val="20"/>
          <w:szCs w:val="20"/>
          <w:color w:val="auto"/>
        </w:rPr>
      </w:pPr>
      <w:r>
        <w:rPr>
          <w:rFonts w:ascii="Arial" w:cs="Arial" w:eastAsia="Arial" w:hAnsi="Arial"/>
          <w:sz w:val="12"/>
          <w:szCs w:val="12"/>
          <w:b w:val="1"/>
          <w:bCs w:val="1"/>
          <w:color w:val="auto"/>
        </w:rPr>
        <w:t>50</w:t>
      </w:r>
      <w:r>
        <w:rPr>
          <w:sz w:val="20"/>
          <w:szCs w:val="20"/>
          <w:color w:val="auto"/>
        </w:rPr>
        <w:tab/>
      </w:r>
      <w:r>
        <w:rPr>
          <w:rFonts w:ascii="Arial" w:cs="Arial" w:eastAsia="Arial" w:hAnsi="Arial"/>
          <w:sz w:val="12"/>
          <w:szCs w:val="12"/>
          <w:b w:val="1"/>
          <w:bCs w:val="1"/>
          <w:color w:val="939598"/>
        </w:rPr>
        <w:t>Notes To Consolidated Financial Statements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7964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729869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b w:val="1"/>
          <w:bCs w:val="1"/>
          <w:color w:val="4D8ABE"/>
        </w:rPr>
        <w:t>SHAREHOLDERS’ EQUITY</w:t>
      </w:r>
    </w:p>
    <w:p>
      <w:pPr>
        <w:spacing w:after="0" w:line="198"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In August 2007, October 2006 and 2005, the Board of Directors authorized the repurchase of 5.0 million shares of our common stock, not to exceed a total purchase price of $400.0, $325.0 and $250.0, respectively.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have repurchased 2.2 million and 1.7 million shares of common stock during 2008 and 2007, respectively, at a total cost of $112.2 and $105.7 during 2008 and 2007, respectively. There are 1.1 million shares, at a cost of up to $182.1, remaining authorized for repurchase under this authorization as of December 31, 2008. Under the 2006 authorization, we repurchased 4.4 million shares of common stock at a total cost of $325.0 during 2007. Under the 2005 authorization, we repurchased 4.3 million shares at a total cost of $250.0 during 2005 and the first eight months of 2006.</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STATEMENT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consider all highly liquid investments with an original maturity of three months or less when purchased to be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RECENTLY ISSUED ACCOUNTING STANDARDS</w:t>
      </w:r>
    </w:p>
    <w:p>
      <w:pPr>
        <w:spacing w:after="0" w:line="198"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December 2008, the FASB issued FASB Staff Position No. FAS 132(R)-1, “Employers’ Disclosures about Postretirement Benefit Plan Assets” (“FSP FAS132(R)-1”). FSP FAS132(R)-1 requires additional disclosures about plan assets of a defined benefit pension or other postretirement plan. FSP FAS132(R)-1 will be effective for us in 2009.</w:t>
      </w:r>
    </w:p>
    <w:p>
      <w:pPr>
        <w:spacing w:after="0" w:line="16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December 2007, the FASB issued Statement No. 141 (revised 2007), “Business Combinations” (“SFAS 141(R)”). SFAS 141(R) changes the requirements for an acquirer’s recognition and measurement of the assets acquired and the liabilities assumed in a business combination. SFAS 141(R) is effective for us in 2009. The impact of SFAS 141(R) is dependent on the level of future acquisitions.</w:t>
      </w:r>
    </w:p>
    <w:p>
      <w:pPr>
        <w:spacing w:after="0" w:line="167"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In April 2008, the FASB issued FASB Staff Position No. FAS 142-3, “Determination of the Useful Life of Intangible Assets” (“FSP FAS 142-3”). FSP FAS 142-3 amends the factors that should be considered in developing renewal or extension assumptions used to determine the useful life of a recognized intangible asset under SFAS 142, “Goodwill and Other Intangible Assets.” FSP FAS 142-3 is effective for us in 2009 and must be applied prospectively. We do not expect the adoption of this statement to have a material impact on our consolidated financial statements.</w:t>
      </w:r>
    </w:p>
    <w:p>
      <w:pPr>
        <w:spacing w:after="0" w:line="170"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The FASB issued Statement No. 157, SFAS 157 in September 2006. SFAS 157 defines fair value, establishes a framework for measuring fair value in accordance with generally accepted accounting principles, and expands disclosures about fair value measurements. Subsequently in February 2008, the FASB issued FASB Staff Position No. FAS 157-1, “Application of FASB Statement No. 157 to FASB Statement No. 13 and Other Accounting Pronouncements That Address Fair Value Measurements for Purposes of Lease Classification or Measurement under Statement 13” (“FSP FAS 157-1”) and FASB Staff Position No. FAS 157-2, “Partial Deferral of the Effective Date of Statement 157” (“FSP FAS 157-2”). FSP FAS 157-1 removed leasing transactions accounted for under Statement No. 13 and related guidance from the scope of SFAS 157. FSP FAS 157-2 deferred the effective date of SFAS 157 for all nonfinancial assets and nonfinancial liabilities to fiscal years beginning after November 15, 2008. We implemented SFAS 157 for financial assets and financial liabilities effective January 1, 2008 with no material impact on our consolidated financial statements. We are currently assessing the impact of SFAS 157 for nonfinancial assets and nonfinancial liabilities on our financial statements. (See Fair Value Instruments of Note 1 for further information about our fair value measurements as of December 31, 2008.)</w:t>
      </w:r>
    </w:p>
    <w:p>
      <w:pPr>
        <w:spacing w:after="0" w:line="171"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In December 2006, we adopted Statement No. 158, “Employers’ Accounting for Defined Benefit Pension and Other Postretirement Plans, an amendment of FASB Statements No. 87, 88, 106, and 132(R)” (“SFAS 158”). Under its measurement date provisions, SFAS 158 requires us to measure the funded status of our defined benefit and retiree medical plans as of the balance sheet date in 2008, rather than as of an earlier measurement date. We adopted the measurement date provisions as of December 31, 2008. The net impact of the measurement date change was a $1.7 decrease in pension asset, which was accounted for as a $0.1 increase in Retained Earnings and a $1.8 decrease in Accumulated Other Comprehensive (Loss) Income on our consolidated balance sheet. See the consolidated statements of shareholders’ equity for the effect of applying the provisions.</w:t>
      </w:r>
    </w:p>
    <w:p>
      <w:pPr>
        <w:spacing w:after="0" w:line="172"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January 2008, we adopted Statement No. 159, “The Fair Value Option for Financial Assets and Financial Liabilities” (“SFAS 159”). SFAS 159 permits entities to choose to measure many financial assets and financial liabilities at fair value. Unrealized gains and losses on items for which the fair value option has been elected are reported in earnings. As of the initial adoption, we did not elect the fair value option for any existing eligible items under SFAS 159.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2" w:right="1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86"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In December 2007, the FASB issued Statement No. 160, “Noncontrolling Interests in Consolidated Financial Statements, an amendment of ARB No. 51” (“SFAS 160”). SFAS 160 requires (a) that noncontrolling (minority) interests be reported as a component of shareholders’ equity, (b) that net income attributable to the parent and to the noncontrolling interest be separately identified in the consolidated statement of operations, (c) that changes in a parent’s ownership interest while the parent retains its controlling interest be accounted for as equity transactions, (d) that any retained noncontrolling equity investment upon the deconsolidation of a subsidiary be initially measured at fair value, and (e) that sufficient disclosures are provided that clearly identify and distinguish between the interests of the parent and the interests of the noncontrolling owners. SFAS 160 is effective for us in 2009 and must be applied prospectively. However, the presentation and disclosure requirements of the statement shall be applied retrospectively for all periods presented. We do not expect the adoption of this statement to have a material impact on our consolidated financial statements.</w:t>
      </w:r>
    </w:p>
    <w:p>
      <w:pPr>
        <w:spacing w:after="0" w:line="174"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March 2008, the FASB issued Statement No. 161, “Disclosures about Derivative Instruments and Hedging Activities” (“SFAS 161”). SFAS 161 requires enhanced disclosures about derivative instruments and hedging activities to enable investors to better understand their effects on an entity’s financial position, financial performance, and cash flows. SFAS 161 is effective for us in 2009.</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02.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Acquisitions And Discontinued Operations</w:t>
      </w:r>
    </w:p>
    <w:p>
      <w:pPr>
        <w:spacing w:after="0" w:line="186"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From time to time, we acquire and invest in companies throughout the world, including franchises. The total cash consideration for acquisitions, net of cash acquired, was $242.0, $122.8 and $13.0 in 2008, 2007 and 2006, respectively.</w:t>
      </w:r>
    </w:p>
    <w:p>
      <w:pPr>
        <w:spacing w:after="0" w:line="161"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April 2008, we acquired Vitae, a leading professional placement firm in the Netherlands, for total consideration, net of cash acquired, of $114.7 (€72.6) . The agreement also included contingent consideration of up to €10.0 that may be paid in 2010. Goodwill and Intangible Assets resulting from this transaction were $85.4 and $23.6, respectively, as of December 31, 2008.</w:t>
      </w:r>
    </w:p>
    <w:p>
      <w:pPr>
        <w:spacing w:after="0" w:line="167"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Cash consideration related to other acquisitions, including franchises, net of cash acquired, was $127.3, $122.8 and $13.0 for 2008, 2007 and 2006, respectively. Goodwill and Intangible Assets resulting from the 2008 acquisitions were $55.1 and $69.4, respectively, as of December 31, 2008.</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DISCONTINUED OPERATIONS</w:t>
      </w:r>
    </w:p>
    <w:p>
      <w:pPr>
        <w:spacing w:after="0" w:line="198"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In January 2006, we sold a non-core payroll processing business in Sweden. In addition, in December 2006, we sold a non-core facilities management services business in the Nordics. Pre-tax gains of $123.5 ($89.5 after tax, or $1.02 per diluted share) related to these sales were recorded in Income from Discontinued Operations in 2006. Net proceeds from these transactions of $123.9 were received in 2006. Also in December 2006, we recorded a net loss of $1.7 on the disposal of one of our Right Management subsidiaries. We have recorded the results of these operations as discontinued operations for the year ended December 31, 2006.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Summarized financial information for the discontinued operations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40" w:type="dxa"/>
            <w:vAlign w:val="bottom"/>
            <w:tcBorders>
              <w:bottom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4620" w:type="dxa"/>
            <w:vAlign w:val="bottom"/>
            <w:tcBorders>
              <w:bottom w:val="single" w:sz="8" w:color="4D8ABE"/>
            </w:tcBorders>
          </w:tcPr>
          <w:p>
            <w:pPr>
              <w:spacing w:after="0"/>
              <w:rPr>
                <w:sz w:val="14"/>
                <w:szCs w:val="14"/>
                <w:color w:val="auto"/>
              </w:rPr>
            </w:pPr>
          </w:p>
        </w:tc>
        <w:tc>
          <w:tcPr>
            <w:tcW w:w="3640" w:type="dxa"/>
            <w:vAlign w:val="bottom"/>
            <w:tcBorders>
              <w:bottom w:val="single" w:sz="8" w:color="4D8ABE"/>
            </w:tcBorders>
          </w:tcPr>
          <w:p>
            <w:pPr>
              <w:spacing w:after="0"/>
              <w:rPr>
                <w:sz w:val="14"/>
                <w:szCs w:val="14"/>
                <w:color w:val="auto"/>
              </w:rPr>
            </w:pPr>
          </w:p>
        </w:tc>
        <w:tc>
          <w:tcPr>
            <w:tcW w:w="640" w:type="dxa"/>
            <w:vAlign w:val="bottom"/>
            <w:tcBorders>
              <w:bottom w:val="single" w:sz="8" w:color="4D8ABE"/>
            </w:tcBorders>
          </w:tcPr>
          <w:p>
            <w:pPr>
              <w:jc w:val="right"/>
              <w:spacing w:after="0"/>
              <w:rPr>
                <w:sz w:val="20"/>
                <w:szCs w:val="20"/>
                <w:color w:val="auto"/>
              </w:rPr>
            </w:pPr>
            <w:r>
              <w:rPr>
                <w:rFonts w:ascii="Arial" w:cs="Arial" w:eastAsia="Arial" w:hAnsi="Arial"/>
                <w:sz w:val="14"/>
                <w:szCs w:val="14"/>
                <w:color w:val="4D8ABE"/>
              </w:rPr>
              <w:t>2006</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5"/>
        </w:trPr>
        <w:tc>
          <w:tcPr>
            <w:tcW w:w="2340" w:type="dxa"/>
            <w:vAlign w:val="bottom"/>
          </w:tcPr>
          <w:p>
            <w:pPr>
              <w:spacing w:after="0" w:line="145" w:lineRule="exact"/>
              <w:rPr>
                <w:sz w:val="20"/>
                <w:szCs w:val="20"/>
                <w:color w:val="auto"/>
              </w:rPr>
            </w:pPr>
            <w:r>
              <w:rPr>
                <w:rFonts w:ascii="Arial" w:cs="Arial" w:eastAsia="Arial" w:hAnsi="Arial"/>
                <w:sz w:val="14"/>
                <w:szCs w:val="14"/>
                <w:color w:val="auto"/>
              </w:rPr>
              <w:t>Revenues from services</w:t>
            </w:r>
          </w:p>
        </w:tc>
        <w:tc>
          <w:tcPr>
            <w:tcW w:w="4620" w:type="dxa"/>
            <w:vAlign w:val="bottom"/>
          </w:tcPr>
          <w:p>
            <w:pPr>
              <w:spacing w:after="0"/>
              <w:rPr>
                <w:sz w:val="12"/>
                <w:szCs w:val="12"/>
                <w:color w:val="auto"/>
              </w:rPr>
            </w:pPr>
          </w:p>
        </w:tc>
        <w:tc>
          <w:tcPr>
            <w:tcW w:w="3640" w:type="dxa"/>
            <w:vAlign w:val="bottom"/>
          </w:tcPr>
          <w:p>
            <w:pPr>
              <w:jc w:val="right"/>
              <w:ind w:right="695"/>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224.0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4"/>
        </w:trPr>
        <w:tc>
          <w:tcPr>
            <w:tcW w:w="6960" w:type="dxa"/>
            <w:vAlign w:val="bottom"/>
            <w:gridSpan w:val="2"/>
            <w:shd w:val="clear" w:color="auto" w:fill="E6EFFF"/>
          </w:tcPr>
          <w:p>
            <w:pPr>
              <w:spacing w:after="0"/>
              <w:rPr>
                <w:sz w:val="20"/>
                <w:szCs w:val="20"/>
                <w:color w:val="auto"/>
              </w:rPr>
            </w:pPr>
            <w:r>
              <w:rPr>
                <w:rFonts w:ascii="Arial" w:cs="Arial" w:eastAsia="Arial" w:hAnsi="Arial"/>
                <w:sz w:val="14"/>
                <w:szCs w:val="14"/>
                <w:color w:val="auto"/>
              </w:rPr>
              <w:t>Cost of services and Selling and administrative expenses</w:t>
            </w:r>
          </w:p>
        </w:tc>
        <w:tc>
          <w:tcPr>
            <w:tcW w:w="3640" w:type="dxa"/>
            <w:vAlign w:val="bottom"/>
            <w:shd w:val="clear" w:color="auto" w:fill="E6EFFF"/>
          </w:tcPr>
          <w:p>
            <w:pPr>
              <w:spacing w:after="0"/>
              <w:rPr>
                <w:sz w:val="14"/>
                <w:szCs w:val="14"/>
                <w:color w:val="auto"/>
              </w:rPr>
            </w:pPr>
          </w:p>
        </w:tc>
        <w:tc>
          <w:tcPr>
            <w:tcW w:w="6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217.0</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340" w:type="dxa"/>
            <w:vAlign w:val="bottom"/>
          </w:tcPr>
          <w:p>
            <w:pPr>
              <w:spacing w:after="0"/>
              <w:rPr>
                <w:sz w:val="20"/>
                <w:szCs w:val="20"/>
                <w:color w:val="auto"/>
              </w:rPr>
            </w:pPr>
            <w:r>
              <w:rPr>
                <w:rFonts w:ascii="Arial" w:cs="Arial" w:eastAsia="Arial" w:hAnsi="Arial"/>
                <w:sz w:val="14"/>
                <w:szCs w:val="14"/>
                <w:color w:val="auto"/>
              </w:rPr>
              <w:t>Earnings before income taxes</w:t>
            </w:r>
          </w:p>
        </w:tc>
        <w:tc>
          <w:tcPr>
            <w:tcW w:w="4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340" w:type="dxa"/>
            <w:vAlign w:val="bottom"/>
            <w:shd w:val="clear" w:color="auto" w:fill="E6EFFF"/>
          </w:tcPr>
          <w:p>
            <w:pPr>
              <w:spacing w:after="0"/>
              <w:rPr>
                <w:sz w:val="20"/>
                <w:szCs w:val="20"/>
                <w:color w:val="auto"/>
              </w:rPr>
            </w:pPr>
            <w:r>
              <w:rPr>
                <w:rFonts w:ascii="Arial" w:cs="Arial" w:eastAsia="Arial" w:hAnsi="Arial"/>
                <w:sz w:val="14"/>
                <w:szCs w:val="14"/>
                <w:color w:val="auto"/>
              </w:rPr>
              <w:t>Provision for income taxes</w:t>
            </w:r>
          </w:p>
        </w:tc>
        <w:tc>
          <w:tcPr>
            <w:tcW w:w="4620" w:type="dxa"/>
            <w:vAlign w:val="bottom"/>
            <w:shd w:val="clear" w:color="auto" w:fill="E6EFFF"/>
          </w:tcPr>
          <w:p>
            <w:pPr>
              <w:spacing w:after="0"/>
              <w:rPr>
                <w:sz w:val="14"/>
                <w:szCs w:val="14"/>
                <w:color w:val="auto"/>
              </w:rPr>
            </w:pPr>
          </w:p>
        </w:tc>
        <w:tc>
          <w:tcPr>
            <w:tcW w:w="364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14"/>
                <w:szCs w:val="14"/>
                <w:color w:val="auto"/>
              </w:rPr>
            </w:pPr>
          </w:p>
        </w:tc>
      </w:tr>
      <w:tr>
        <w:trPr>
          <w:trHeight w:val="164"/>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gain on sale of businesses, net of income taxes of $34.0</w:t>
            </w:r>
          </w:p>
        </w:tc>
        <w:tc>
          <w:tcPr>
            <w:tcW w:w="3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w:t>
            </w:r>
          </w:p>
        </w:tc>
        <w:tc>
          <w:tcPr>
            <w:tcW w:w="220" w:type="dxa"/>
            <w:vAlign w:val="bottom"/>
            <w:tcBorders>
              <w:bottom w:val="single" w:sz="8" w:color="E6EFFF"/>
            </w:tcBorders>
          </w:tcPr>
          <w:p>
            <w:pPr>
              <w:spacing w:after="0"/>
              <w:rPr>
                <w:sz w:val="14"/>
                <w:szCs w:val="14"/>
                <w:color w:val="auto"/>
              </w:rPr>
            </w:pPr>
          </w:p>
        </w:tc>
        <w:tc>
          <w:tcPr>
            <w:tcW w:w="40" w:type="dxa"/>
            <w:vAlign w:val="bottom"/>
          </w:tcPr>
          <w:p>
            <w:pPr>
              <w:spacing w:after="0"/>
              <w:rPr>
                <w:sz w:val="14"/>
                <w:szCs w:val="14"/>
                <w:color w:val="auto"/>
              </w:rPr>
            </w:pPr>
          </w:p>
        </w:tc>
      </w:tr>
      <w:tr>
        <w:trPr>
          <w:trHeight w:val="145"/>
        </w:trPr>
        <w:tc>
          <w:tcPr>
            <w:tcW w:w="6960" w:type="dxa"/>
            <w:vAlign w:val="bottom"/>
            <w:tcBorders>
              <w:bottom w:val="single" w:sz="8" w:color="auto"/>
            </w:tcBorders>
            <w:gridSpan w:val="2"/>
            <w:shd w:val="clear" w:color="auto" w:fill="E6EFFF"/>
          </w:tcPr>
          <w:p>
            <w:pPr>
              <w:spacing w:after="0" w:line="145" w:lineRule="exact"/>
              <w:rPr>
                <w:sz w:val="20"/>
                <w:szCs w:val="20"/>
                <w:color w:val="auto"/>
              </w:rPr>
            </w:pPr>
            <w:r>
              <w:rPr>
                <w:rFonts w:ascii="Arial" w:cs="Arial" w:eastAsia="Arial" w:hAnsi="Arial"/>
                <w:sz w:val="14"/>
                <w:szCs w:val="14"/>
                <w:color w:val="auto"/>
              </w:rPr>
              <w:t>Income from discontinued operations, net of income taxes</w:t>
            </w:r>
          </w:p>
        </w:tc>
        <w:tc>
          <w:tcPr>
            <w:tcW w:w="3640" w:type="dxa"/>
            <w:vAlign w:val="bottom"/>
            <w:tcBorders>
              <w:bottom w:val="single" w:sz="8" w:color="auto"/>
            </w:tcBorders>
            <w:shd w:val="clear" w:color="auto" w:fill="E6EFFF"/>
          </w:tcPr>
          <w:p>
            <w:pPr>
              <w:jc w:val="right"/>
              <w:ind w:right="695"/>
              <w:spacing w:after="0" w:line="14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6EFFF"/>
          </w:tcPr>
          <w:p>
            <w:pPr>
              <w:jc w:val="right"/>
              <w:spacing w:after="0" w:line="145" w:lineRule="exact"/>
              <w:rPr>
                <w:sz w:val="20"/>
                <w:szCs w:val="20"/>
                <w:color w:val="auto"/>
              </w:rPr>
            </w:pPr>
            <w:r>
              <w:rPr>
                <w:rFonts w:ascii="Arial" w:cs="Arial" w:eastAsia="Arial" w:hAnsi="Arial"/>
                <w:sz w:val="14"/>
                <w:szCs w:val="14"/>
                <w:color w:val="auto"/>
              </w:rPr>
              <w:t>92.3</w:t>
            </w:r>
          </w:p>
        </w:tc>
        <w:tc>
          <w:tcPr>
            <w:tcW w:w="220" w:type="dxa"/>
            <w:vAlign w:val="bottom"/>
            <w:tcBorders>
              <w:bottom w:val="single" w:sz="8" w:color="E6EFFF"/>
            </w:tcBorders>
            <w:shd w:val="clear" w:color="auto" w:fill="E6EFFF"/>
          </w:tcPr>
          <w:p>
            <w:pPr>
              <w:spacing w:after="0"/>
              <w:rPr>
                <w:sz w:val="12"/>
                <w:szCs w:val="12"/>
                <w:color w:val="auto"/>
              </w:rPr>
            </w:pPr>
          </w:p>
        </w:tc>
        <w:tc>
          <w:tcPr>
            <w:tcW w:w="40" w:type="dxa"/>
            <w:vAlign w:val="bottom"/>
          </w:tcPr>
          <w:p>
            <w:pPr>
              <w:spacing w:after="0"/>
              <w:rPr>
                <w:sz w:val="12"/>
                <w:szCs w:val="12"/>
                <w:color w:val="auto"/>
              </w:rPr>
            </w:pPr>
          </w:p>
        </w:tc>
      </w:tr>
      <w:tr>
        <w:trPr>
          <w:trHeight w:val="370"/>
        </w:trPr>
        <w:tc>
          <w:tcPr>
            <w:tcW w:w="2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2340" w:type="dxa"/>
            <w:vAlign w:val="bottom"/>
          </w:tcPr>
          <w:p>
            <w:pPr>
              <w:spacing w:after="0"/>
              <w:rPr>
                <w:sz w:val="20"/>
                <w:szCs w:val="20"/>
                <w:color w:val="auto"/>
              </w:rPr>
            </w:pPr>
            <w:r>
              <w:rPr>
                <w:rFonts w:ascii="Arial" w:cs="Arial" w:eastAsia="Arial" w:hAnsi="Arial"/>
                <w:sz w:val="12"/>
                <w:szCs w:val="12"/>
                <w:b w:val="1"/>
                <w:bCs w:val="1"/>
                <w:color w:val="auto"/>
              </w:rPr>
              <w:t>52</w:t>
            </w:r>
          </w:p>
        </w:tc>
        <w:tc>
          <w:tcPr>
            <w:tcW w:w="4620" w:type="dxa"/>
            <w:vAlign w:val="bottom"/>
          </w:tcPr>
          <w:p>
            <w:pPr>
              <w:ind w:left="52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640" w:type="dxa"/>
            <w:vAlign w:val="bottom"/>
          </w:tcPr>
          <w:p>
            <w:pPr>
              <w:jc w:val="right"/>
              <w:ind w:right="235"/>
              <w:spacing w:after="0"/>
              <w:rPr>
                <w:sz w:val="20"/>
                <w:szCs w:val="20"/>
                <w:color w:val="auto"/>
              </w:rPr>
            </w:pPr>
            <w:r>
              <w:rPr>
                <w:rFonts w:ascii="Arial" w:cs="Arial" w:eastAsia="Arial" w:hAnsi="Arial"/>
                <w:sz w:val="12"/>
                <w:szCs w:val="12"/>
                <w:b w:val="1"/>
                <w:bCs w:val="1"/>
                <w:color w:val="auto"/>
              </w:rPr>
              <w:t>Manpower Annual Report 2008</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7"/>
        </w:trPr>
        <w:tc>
          <w:tcPr>
            <w:tcW w:w="2340" w:type="dxa"/>
            <w:vAlign w:val="bottom"/>
          </w:tcPr>
          <w:p>
            <w:pPr>
              <w:spacing w:after="0"/>
              <w:rPr>
                <w:sz w:val="4"/>
                <w:szCs w:val="4"/>
                <w:color w:val="auto"/>
              </w:rPr>
            </w:pPr>
          </w:p>
        </w:tc>
        <w:tc>
          <w:tcPr>
            <w:tcW w:w="46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234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00"/>
          </w:cols>
          <w:pgMar w:left="220" w:top="114" w:right="17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86B6A5"/>
        </w:rPr>
        <w:t>03.</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Stock Compensation Plans</w:t>
      </w:r>
    </w:p>
    <w:p>
      <w:pPr>
        <w:spacing w:after="0" w:line="186"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We account for share-based payments according to FASB Statement No. 123(R), “Share-Based Payment” (“SFAS 123(R)”). During 2008, 2007 and 2006 we recognized approximately $21.1, $26.0 and $22.5, respectively, in share-based compensation expense related to stock options, deferred stock, restricted stock, and the stock purchase plan, all of which is recorded in Selling and Administrative Expenses. The total income tax benefit recognized related to share-based compensation during 2008, 2007 and 2006 was $3.2, $3.3 and $3.0, respectively. Cash received from stock option exercises for 2008, 2007 and 2006 was $12.2, $35.0 and $54.0, respectively. The excess income tax benefit recognized related to share-based compensation awards, which is recorded in Capital in Excess of Par Value, for 2008, 2007 and 2006 was approximately $0.3, $5.3 and $8.2, respectively. We recognize compensation expense on grants of share-based compensation awards on a straight-line basis over the vesting period of each award.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STOCK OPTIONS</w:t>
      </w:r>
    </w:p>
    <w:p>
      <w:pPr>
        <w:spacing w:after="0" w:line="198"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All share-based compensation is currently granted under our 2003 Equity Incentive Plan of Manpower Inc. (“2003 Plan”). Options and stock appreciation rights are granted at a price not less than 100% of the fair market value of the common stock at the date of grant. Generally, options are granted with a vesting period of up to four years and expire ten years from date of grant. As of December 31, 2008, 2007 and 2006 no stock appreciation rights had been granted or were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4D8ABE"/>
              </w:rPr>
              <w:t>Wtd. Avg.</w:t>
            </w:r>
          </w:p>
        </w:tc>
        <w:tc>
          <w:tcPr>
            <w:tcW w:w="4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4D8ABE"/>
              </w:rPr>
              <w:t>Aggregate</w:t>
            </w:r>
          </w:p>
        </w:tc>
      </w:tr>
      <w:tr>
        <w:trPr>
          <w:trHeight w:val="164"/>
        </w:trPr>
        <w:tc>
          <w:tcPr>
            <w:tcW w:w="40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4D8ABE"/>
              </w:rPr>
              <w:t>Wtd. Avg.</w:t>
            </w:r>
          </w:p>
        </w:tc>
        <w:tc>
          <w:tcPr>
            <w:tcW w:w="1260" w:type="dxa"/>
            <w:vAlign w:val="bottom"/>
          </w:tcPr>
          <w:p>
            <w:pPr>
              <w:jc w:val="right"/>
              <w:ind w:right="52"/>
              <w:spacing w:after="0"/>
              <w:rPr>
                <w:sz w:val="20"/>
                <w:szCs w:val="20"/>
                <w:color w:val="auto"/>
              </w:rPr>
            </w:pPr>
            <w:r>
              <w:rPr>
                <w:rFonts w:ascii="Arial" w:cs="Arial" w:eastAsia="Arial" w:hAnsi="Arial"/>
                <w:sz w:val="14"/>
                <w:szCs w:val="14"/>
                <w:color w:val="4D8ABE"/>
              </w:rPr>
              <w:t>Remaining</w:t>
            </w:r>
          </w:p>
        </w:tc>
        <w:tc>
          <w:tcPr>
            <w:tcW w:w="4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4D8ABE"/>
              </w:rPr>
              <w:t>Intrinsic</w:t>
            </w:r>
          </w:p>
        </w:tc>
      </w:tr>
      <w:tr>
        <w:trPr>
          <w:trHeight w:val="164"/>
        </w:trPr>
        <w:tc>
          <w:tcPr>
            <w:tcW w:w="40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4D8ABE"/>
              </w:rPr>
              <w:t>Exercise Price</w:t>
            </w:r>
          </w:p>
        </w:tc>
        <w:tc>
          <w:tcPr>
            <w:tcW w:w="1260" w:type="dxa"/>
            <w:vAlign w:val="bottom"/>
          </w:tcPr>
          <w:p>
            <w:pPr>
              <w:jc w:val="right"/>
              <w:ind w:right="52"/>
              <w:spacing w:after="0"/>
              <w:rPr>
                <w:sz w:val="20"/>
                <w:szCs w:val="20"/>
                <w:color w:val="auto"/>
              </w:rPr>
            </w:pPr>
            <w:r>
              <w:rPr>
                <w:rFonts w:ascii="Arial" w:cs="Arial" w:eastAsia="Arial" w:hAnsi="Arial"/>
                <w:sz w:val="14"/>
                <w:szCs w:val="14"/>
                <w:color w:val="4D8ABE"/>
              </w:rPr>
              <w:t>Contractual</w:t>
            </w:r>
          </w:p>
        </w:tc>
        <w:tc>
          <w:tcPr>
            <w:tcW w:w="4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4D8ABE"/>
              </w:rPr>
              <w:t>Value</w:t>
            </w:r>
          </w:p>
        </w:tc>
      </w:tr>
      <w:tr>
        <w:trPr>
          <w:trHeight w:val="165"/>
        </w:trPr>
        <w:tc>
          <w:tcPr>
            <w:tcW w:w="4040" w:type="dxa"/>
            <w:vAlign w:val="bottom"/>
          </w:tcPr>
          <w:p>
            <w:pPr>
              <w:spacing w:after="0"/>
              <w:rPr>
                <w:sz w:val="14"/>
                <w:szCs w:val="14"/>
                <w:color w:val="auto"/>
              </w:rPr>
            </w:pPr>
          </w:p>
        </w:tc>
        <w:tc>
          <w:tcPr>
            <w:tcW w:w="2900" w:type="dxa"/>
            <w:vAlign w:val="bottom"/>
          </w:tcPr>
          <w:p>
            <w:pPr>
              <w:jc w:val="right"/>
              <w:ind w:right="32"/>
              <w:spacing w:after="0"/>
              <w:rPr>
                <w:sz w:val="20"/>
                <w:szCs w:val="20"/>
                <w:color w:val="auto"/>
              </w:rPr>
            </w:pPr>
            <w:r>
              <w:rPr>
                <w:rFonts w:ascii="Arial" w:cs="Arial" w:eastAsia="Arial" w:hAnsi="Arial"/>
                <w:sz w:val="14"/>
                <w:szCs w:val="14"/>
                <w:color w:val="4D8ABE"/>
              </w:rPr>
              <w:t>Shares (000)</w:t>
            </w:r>
          </w:p>
        </w:tc>
        <w:tc>
          <w:tcPr>
            <w:tcW w:w="32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4D8ABE"/>
              </w:rPr>
              <w:t>Per Share</w:t>
            </w:r>
          </w:p>
        </w:tc>
        <w:tc>
          <w:tcPr>
            <w:tcW w:w="1260" w:type="dxa"/>
            <w:vAlign w:val="bottom"/>
          </w:tcPr>
          <w:p>
            <w:pPr>
              <w:jc w:val="right"/>
              <w:ind w:right="52"/>
              <w:spacing w:after="0"/>
              <w:rPr>
                <w:sz w:val="20"/>
                <w:szCs w:val="20"/>
                <w:color w:val="auto"/>
              </w:rPr>
            </w:pPr>
            <w:r>
              <w:rPr>
                <w:rFonts w:ascii="Arial" w:cs="Arial" w:eastAsia="Arial" w:hAnsi="Arial"/>
                <w:sz w:val="14"/>
                <w:szCs w:val="14"/>
                <w:color w:val="4D8ABE"/>
              </w:rPr>
              <w:t>Term (years)</w:t>
            </w:r>
          </w:p>
        </w:tc>
        <w:tc>
          <w:tcPr>
            <w:tcW w:w="4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4D8ABE"/>
              </w:rPr>
              <w:t>(in millions)</w:t>
            </w:r>
          </w:p>
        </w:tc>
      </w:tr>
      <w:tr>
        <w:trPr>
          <w:trHeight w:val="155"/>
        </w:trPr>
        <w:tc>
          <w:tcPr>
            <w:tcW w:w="4040" w:type="dxa"/>
            <w:vAlign w:val="bottom"/>
            <w:tcBorders>
              <w:top w:val="single" w:sz="8" w:color="4D8ABE"/>
            </w:tcBorders>
          </w:tcPr>
          <w:p>
            <w:pPr>
              <w:spacing w:after="0" w:line="155" w:lineRule="exact"/>
              <w:rPr>
                <w:sz w:val="20"/>
                <w:szCs w:val="20"/>
                <w:color w:val="auto"/>
              </w:rPr>
            </w:pPr>
            <w:r>
              <w:rPr>
                <w:rFonts w:ascii="Arial" w:cs="Arial" w:eastAsia="Arial" w:hAnsi="Arial"/>
                <w:sz w:val="14"/>
                <w:szCs w:val="14"/>
                <w:color w:val="auto"/>
              </w:rPr>
              <w:t>Outstanding, January 1, 2006</w:t>
            </w:r>
          </w:p>
        </w:tc>
        <w:tc>
          <w:tcPr>
            <w:tcW w:w="2900" w:type="dxa"/>
            <w:vAlign w:val="bottom"/>
            <w:tcBorders>
              <w:top w:val="single" w:sz="8" w:color="4D8ABE"/>
            </w:tcBorders>
          </w:tcPr>
          <w:p>
            <w:pPr>
              <w:jc w:val="right"/>
              <w:ind w:right="72"/>
              <w:spacing w:after="0" w:line="155" w:lineRule="exact"/>
              <w:rPr>
                <w:sz w:val="20"/>
                <w:szCs w:val="20"/>
                <w:color w:val="auto"/>
              </w:rPr>
            </w:pPr>
            <w:r>
              <w:rPr>
                <w:rFonts w:ascii="Arial" w:cs="Arial" w:eastAsia="Arial" w:hAnsi="Arial"/>
                <w:sz w:val="14"/>
                <w:szCs w:val="14"/>
                <w:color w:val="auto"/>
              </w:rPr>
              <w:t>5,329</w:t>
            </w:r>
          </w:p>
        </w:tc>
        <w:tc>
          <w:tcPr>
            <w:tcW w:w="320" w:type="dxa"/>
            <w:vAlign w:val="bottom"/>
            <w:tcBorders>
              <w:top w:val="single" w:sz="8" w:color="4D8ABE"/>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36</w:t>
            </w:r>
          </w:p>
        </w:tc>
        <w:tc>
          <w:tcPr>
            <w:tcW w:w="340" w:type="dxa"/>
            <w:vAlign w:val="bottom"/>
          </w:tcPr>
          <w:p>
            <w:pPr>
              <w:spacing w:after="0"/>
              <w:rPr>
                <w:sz w:val="13"/>
                <w:szCs w:val="13"/>
                <w:color w:val="auto"/>
              </w:rPr>
            </w:pPr>
          </w:p>
        </w:tc>
        <w:tc>
          <w:tcPr>
            <w:tcW w:w="1260" w:type="dxa"/>
            <w:vAlign w:val="bottom"/>
            <w:tcBorders>
              <w:top w:val="single" w:sz="8" w:color="4D8ABE"/>
            </w:tcBorders>
          </w:tcPr>
          <w:p>
            <w:pPr>
              <w:spacing w:after="0"/>
              <w:rPr>
                <w:sz w:val="13"/>
                <w:szCs w:val="13"/>
                <w:color w:val="auto"/>
              </w:rPr>
            </w:pPr>
          </w:p>
        </w:tc>
        <w:tc>
          <w:tcPr>
            <w:tcW w:w="420" w:type="dxa"/>
            <w:vAlign w:val="bottom"/>
            <w:tcBorders>
              <w:top w:val="single" w:sz="8" w:color="4D8ABE"/>
            </w:tcBorders>
          </w:tcPr>
          <w:p>
            <w:pPr>
              <w:spacing w:after="0"/>
              <w:rPr>
                <w:sz w:val="13"/>
                <w:szCs w:val="13"/>
                <w:color w:val="auto"/>
              </w:rPr>
            </w:pPr>
          </w:p>
        </w:tc>
        <w:tc>
          <w:tcPr>
            <w:tcW w:w="94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r>
      <w:tr>
        <w:trPr>
          <w:trHeight w:val="165"/>
        </w:trPr>
        <w:tc>
          <w:tcPr>
            <w:tcW w:w="4040" w:type="dxa"/>
            <w:vAlign w:val="bottom"/>
            <w:shd w:val="clear" w:color="auto" w:fill="E6EFFF"/>
          </w:tcPr>
          <w:p>
            <w:pPr>
              <w:ind w:left="120"/>
              <w:spacing w:after="0"/>
              <w:rPr>
                <w:sz w:val="20"/>
                <w:szCs w:val="20"/>
                <w:color w:val="auto"/>
              </w:rPr>
            </w:pPr>
            <w:r>
              <w:rPr>
                <w:rFonts w:ascii="Arial" w:cs="Arial" w:eastAsia="Arial" w:hAnsi="Arial"/>
                <w:sz w:val="14"/>
                <w:szCs w:val="14"/>
                <w:color w:val="auto"/>
              </w:rPr>
              <w:t>Granted</w:t>
            </w:r>
          </w:p>
        </w:tc>
        <w:tc>
          <w:tcPr>
            <w:tcW w:w="29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958</w:t>
            </w:r>
          </w:p>
        </w:tc>
        <w:tc>
          <w:tcPr>
            <w:tcW w:w="320" w:type="dxa"/>
            <w:vAlign w:val="bottom"/>
            <w:shd w:val="clear" w:color="auto" w:fill="E6EFFF"/>
          </w:tcPr>
          <w:p>
            <w:pPr>
              <w:spacing w:after="0"/>
              <w:rPr>
                <w:sz w:val="14"/>
                <w:szCs w:val="14"/>
                <w:color w:val="auto"/>
              </w:rPr>
            </w:pPr>
          </w:p>
        </w:tc>
        <w:tc>
          <w:tcPr>
            <w:tcW w:w="1360" w:type="dxa"/>
            <w:vAlign w:val="bottom"/>
            <w:gridSpan w:val="2"/>
            <w:shd w:val="clear" w:color="auto" w:fill="E6EFFF"/>
          </w:tcPr>
          <w:p>
            <w:pPr>
              <w:jc w:val="right"/>
              <w:ind w:right="340"/>
              <w:spacing w:after="0"/>
              <w:rPr>
                <w:sz w:val="20"/>
                <w:szCs w:val="20"/>
                <w:color w:val="auto"/>
              </w:rPr>
            </w:pPr>
            <w:r>
              <w:rPr>
                <w:rFonts w:ascii="Arial" w:cs="Arial" w:eastAsia="Arial" w:hAnsi="Arial"/>
                <w:sz w:val="14"/>
                <w:szCs w:val="14"/>
                <w:color w:val="auto"/>
              </w:rPr>
              <w:t>53</w:t>
            </w:r>
          </w:p>
        </w:tc>
        <w:tc>
          <w:tcPr>
            <w:tcW w:w="126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404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2900" w:type="dxa"/>
            <w:vAlign w:val="bottom"/>
          </w:tcPr>
          <w:p>
            <w:pPr>
              <w:jc w:val="right"/>
              <w:ind w:right="32"/>
              <w:spacing w:after="0"/>
              <w:rPr>
                <w:sz w:val="20"/>
                <w:szCs w:val="20"/>
                <w:color w:val="auto"/>
              </w:rPr>
            </w:pPr>
            <w:r>
              <w:rPr>
                <w:rFonts w:ascii="Arial" w:cs="Arial" w:eastAsia="Arial" w:hAnsi="Arial"/>
                <w:sz w:val="14"/>
                <w:szCs w:val="14"/>
                <w:color w:val="auto"/>
              </w:rPr>
              <w:t>(1,525)</w:t>
            </w:r>
          </w:p>
        </w:tc>
        <w:tc>
          <w:tcPr>
            <w:tcW w:w="32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rPr>
              <w:t>33</w:t>
            </w:r>
          </w:p>
        </w:tc>
        <w:tc>
          <w:tcPr>
            <w:tcW w:w="1260" w:type="dxa"/>
            <w:vAlign w:val="bottom"/>
          </w:tcPr>
          <w:p>
            <w:pPr>
              <w:spacing w:after="0"/>
              <w:rPr>
                <w:sz w:val="14"/>
                <w:szCs w:val="14"/>
                <w:color w:val="auto"/>
              </w:rPr>
            </w:pPr>
          </w:p>
        </w:tc>
        <w:tc>
          <w:tcPr>
            <w:tcW w:w="4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41</w:t>
            </w:r>
          </w:p>
        </w:tc>
      </w:tr>
      <w:tr>
        <w:trPr>
          <w:trHeight w:val="165"/>
        </w:trPr>
        <w:tc>
          <w:tcPr>
            <w:tcW w:w="4040" w:type="dxa"/>
            <w:vAlign w:val="bottom"/>
            <w:shd w:val="clear" w:color="auto" w:fill="E6EFFF"/>
          </w:tcPr>
          <w:p>
            <w:pPr>
              <w:ind w:left="120"/>
              <w:spacing w:after="0"/>
              <w:rPr>
                <w:sz w:val="20"/>
                <w:szCs w:val="20"/>
                <w:color w:val="auto"/>
              </w:rPr>
            </w:pPr>
            <w:r>
              <w:rPr>
                <w:rFonts w:ascii="Arial" w:cs="Arial" w:eastAsia="Arial" w:hAnsi="Arial"/>
                <w:sz w:val="14"/>
                <w:szCs w:val="14"/>
                <w:color w:val="auto"/>
              </w:rPr>
              <w:t>Expired or cancelled</w:t>
            </w:r>
          </w:p>
        </w:tc>
        <w:tc>
          <w:tcPr>
            <w:tcW w:w="290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(265)</w:t>
            </w:r>
          </w:p>
        </w:tc>
        <w:tc>
          <w:tcPr>
            <w:tcW w:w="320" w:type="dxa"/>
            <w:vAlign w:val="bottom"/>
            <w:shd w:val="clear" w:color="auto" w:fill="E6EFFF"/>
          </w:tcPr>
          <w:p>
            <w:pPr>
              <w:spacing w:after="0"/>
              <w:rPr>
                <w:sz w:val="14"/>
                <w:szCs w:val="14"/>
                <w:color w:val="auto"/>
              </w:rPr>
            </w:pPr>
          </w:p>
        </w:tc>
        <w:tc>
          <w:tcPr>
            <w:tcW w:w="1360" w:type="dxa"/>
            <w:vAlign w:val="bottom"/>
            <w:gridSpan w:val="2"/>
            <w:shd w:val="clear" w:color="auto" w:fill="E6EFFF"/>
          </w:tcPr>
          <w:p>
            <w:pPr>
              <w:jc w:val="right"/>
              <w:ind w:right="340"/>
              <w:spacing w:after="0"/>
              <w:rPr>
                <w:sz w:val="20"/>
                <w:szCs w:val="20"/>
                <w:color w:val="auto"/>
              </w:rPr>
            </w:pPr>
            <w:r>
              <w:rPr>
                <w:rFonts w:ascii="Arial" w:cs="Arial" w:eastAsia="Arial" w:hAnsi="Arial"/>
                <w:sz w:val="14"/>
                <w:szCs w:val="14"/>
                <w:color w:val="auto"/>
              </w:rPr>
              <w:t>43</w:t>
            </w:r>
          </w:p>
        </w:tc>
        <w:tc>
          <w:tcPr>
            <w:tcW w:w="126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55"/>
        </w:trPr>
        <w:tc>
          <w:tcPr>
            <w:tcW w:w="40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Outstanding, December 31, 2006</w:t>
            </w:r>
          </w:p>
        </w:tc>
        <w:tc>
          <w:tcPr>
            <w:tcW w:w="29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4,497</w:t>
            </w:r>
          </w:p>
        </w:tc>
        <w:tc>
          <w:tcPr>
            <w:tcW w:w="3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w:t>
            </w:r>
          </w:p>
        </w:tc>
        <w:tc>
          <w:tcPr>
            <w:tcW w:w="340" w:type="dxa"/>
            <w:vAlign w:val="bottom"/>
            <w:tcBorders>
              <w:bottom w:val="single" w:sz="8" w:color="E6EF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6.9</w:t>
            </w: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E6EFFF"/>
            </w:tcBorders>
          </w:tcPr>
          <w:p>
            <w:pPr>
              <w:spacing w:after="0"/>
              <w:rPr>
                <w:sz w:val="13"/>
                <w:szCs w:val="13"/>
                <w:color w:val="auto"/>
              </w:rPr>
            </w:pPr>
          </w:p>
        </w:tc>
      </w:tr>
      <w:tr>
        <w:trPr>
          <w:trHeight w:val="184"/>
        </w:trPr>
        <w:tc>
          <w:tcPr>
            <w:tcW w:w="40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4"/>
                <w:szCs w:val="14"/>
                <w:color w:val="auto"/>
              </w:rPr>
              <w:t>Exercisable, December 31, 2006</w:t>
            </w:r>
          </w:p>
        </w:tc>
        <w:tc>
          <w:tcPr>
            <w:tcW w:w="290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2,159</w:t>
            </w:r>
          </w:p>
        </w:tc>
        <w:tc>
          <w:tcPr>
            <w:tcW w:w="32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34</w:t>
            </w:r>
          </w:p>
        </w:tc>
        <w:tc>
          <w:tcPr>
            <w:tcW w:w="340" w:type="dxa"/>
            <w:vAlign w:val="bottom"/>
            <w:tcBorders>
              <w:bottom w:val="single" w:sz="8" w:color="E6EFFF"/>
            </w:tcBorders>
            <w:shd w:val="clear" w:color="auto" w:fill="E6EFFF"/>
          </w:tcPr>
          <w:p>
            <w:pPr>
              <w:spacing w:after="0"/>
              <w:rPr>
                <w:sz w:val="16"/>
                <w:szCs w:val="16"/>
                <w:color w:val="auto"/>
              </w:rPr>
            </w:pPr>
          </w:p>
        </w:tc>
        <w:tc>
          <w:tcPr>
            <w:tcW w:w="1260" w:type="dxa"/>
            <w:vAlign w:val="bottom"/>
            <w:tcBorders>
              <w:bottom w:val="single" w:sz="8" w:color="auto"/>
            </w:tcBorders>
            <w:shd w:val="clear" w:color="auto" w:fill="E6EFFF"/>
          </w:tcPr>
          <w:p>
            <w:pPr>
              <w:jc w:val="right"/>
              <w:ind w:right="52"/>
              <w:spacing w:after="0"/>
              <w:rPr>
                <w:sz w:val="20"/>
                <w:szCs w:val="20"/>
                <w:color w:val="auto"/>
              </w:rPr>
            </w:pPr>
            <w:r>
              <w:rPr>
                <w:rFonts w:ascii="Arial" w:cs="Arial" w:eastAsia="Arial" w:hAnsi="Arial"/>
                <w:sz w:val="14"/>
                <w:szCs w:val="14"/>
                <w:color w:val="auto"/>
              </w:rPr>
              <w:t>5.4</w:t>
            </w:r>
          </w:p>
        </w:tc>
        <w:tc>
          <w:tcPr>
            <w:tcW w:w="420" w:type="dxa"/>
            <w:vAlign w:val="bottom"/>
            <w:tcBorders>
              <w:bottom w:val="single" w:sz="8" w:color="auto"/>
            </w:tcBorders>
            <w:shd w:val="clear" w:color="auto" w:fill="E6EFFF"/>
          </w:tcPr>
          <w:p>
            <w:pPr>
              <w:spacing w:after="0"/>
              <w:rPr>
                <w:sz w:val="16"/>
                <w:szCs w:val="16"/>
                <w:color w:val="auto"/>
              </w:rPr>
            </w:pPr>
          </w:p>
        </w:tc>
        <w:tc>
          <w:tcPr>
            <w:tcW w:w="940" w:type="dxa"/>
            <w:vAlign w:val="bottom"/>
            <w:tcBorders>
              <w:bottom w:val="single" w:sz="8" w:color="auto"/>
            </w:tcBorders>
            <w:shd w:val="clear" w:color="auto" w:fill="E6EFFF"/>
          </w:tcPr>
          <w:p>
            <w:pPr>
              <w:spacing w:after="0"/>
              <w:rPr>
                <w:sz w:val="16"/>
                <w:szCs w:val="16"/>
                <w:color w:val="auto"/>
              </w:rPr>
            </w:pPr>
          </w:p>
        </w:tc>
        <w:tc>
          <w:tcPr>
            <w:tcW w:w="220" w:type="dxa"/>
            <w:vAlign w:val="bottom"/>
            <w:tcBorders>
              <w:bottom w:val="single" w:sz="8" w:color="E6EFFF"/>
            </w:tcBorders>
            <w:shd w:val="clear" w:color="auto" w:fill="E6EFFF"/>
          </w:tcPr>
          <w:p>
            <w:pPr>
              <w:spacing w:after="0"/>
              <w:rPr>
                <w:sz w:val="16"/>
                <w:szCs w:val="16"/>
                <w:color w:val="auto"/>
              </w:rPr>
            </w:pPr>
          </w:p>
        </w:tc>
      </w:tr>
      <w:tr>
        <w:trPr>
          <w:trHeight w:val="145"/>
        </w:trPr>
        <w:tc>
          <w:tcPr>
            <w:tcW w:w="4040" w:type="dxa"/>
            <w:vAlign w:val="bottom"/>
          </w:tcPr>
          <w:p>
            <w:pPr>
              <w:spacing w:after="0" w:line="145" w:lineRule="exact"/>
              <w:rPr>
                <w:sz w:val="20"/>
                <w:szCs w:val="20"/>
                <w:color w:val="auto"/>
              </w:rPr>
            </w:pPr>
            <w:r>
              <w:rPr>
                <w:rFonts w:ascii="Arial" w:cs="Arial" w:eastAsia="Arial" w:hAnsi="Arial"/>
                <w:sz w:val="14"/>
                <w:szCs w:val="14"/>
                <w:color w:val="auto"/>
              </w:rPr>
              <w:t>Outstanding, January 1, 2007</w:t>
            </w:r>
          </w:p>
        </w:tc>
        <w:tc>
          <w:tcPr>
            <w:tcW w:w="2900" w:type="dxa"/>
            <w:vAlign w:val="bottom"/>
          </w:tcPr>
          <w:p>
            <w:pPr>
              <w:jc w:val="right"/>
              <w:ind w:right="72"/>
              <w:spacing w:after="0" w:line="145" w:lineRule="exact"/>
              <w:rPr>
                <w:sz w:val="20"/>
                <w:szCs w:val="20"/>
                <w:color w:val="auto"/>
              </w:rPr>
            </w:pPr>
            <w:r>
              <w:rPr>
                <w:rFonts w:ascii="Arial" w:cs="Arial" w:eastAsia="Arial" w:hAnsi="Arial"/>
                <w:sz w:val="14"/>
                <w:szCs w:val="14"/>
                <w:color w:val="auto"/>
              </w:rPr>
              <w:t>4,497</w:t>
            </w:r>
          </w:p>
        </w:tc>
        <w:tc>
          <w:tcPr>
            <w:tcW w:w="320" w:type="dxa"/>
            <w:vAlign w:val="bottom"/>
          </w:tcPr>
          <w:p>
            <w:pPr>
              <w:jc w:val="right"/>
              <w:ind w:right="92"/>
              <w:spacing w:after="0" w:line="145"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5" w:lineRule="exact"/>
              <w:rPr>
                <w:sz w:val="20"/>
                <w:szCs w:val="20"/>
                <w:color w:val="auto"/>
              </w:rPr>
            </w:pPr>
            <w:r>
              <w:rPr>
                <w:rFonts w:ascii="Arial" w:cs="Arial" w:eastAsia="Arial" w:hAnsi="Arial"/>
                <w:sz w:val="14"/>
                <w:szCs w:val="14"/>
                <w:color w:val="auto"/>
              </w:rPr>
              <w:t>41</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5"/>
        </w:trPr>
        <w:tc>
          <w:tcPr>
            <w:tcW w:w="4040" w:type="dxa"/>
            <w:vAlign w:val="bottom"/>
            <w:shd w:val="clear" w:color="auto" w:fill="E6EFFF"/>
          </w:tcPr>
          <w:p>
            <w:pPr>
              <w:ind w:left="120"/>
              <w:spacing w:after="0"/>
              <w:rPr>
                <w:sz w:val="20"/>
                <w:szCs w:val="20"/>
                <w:color w:val="auto"/>
              </w:rPr>
            </w:pPr>
            <w:r>
              <w:rPr>
                <w:rFonts w:ascii="Arial" w:cs="Arial" w:eastAsia="Arial" w:hAnsi="Arial"/>
                <w:sz w:val="14"/>
                <w:szCs w:val="14"/>
                <w:color w:val="auto"/>
              </w:rPr>
              <w:t>Granted</w:t>
            </w:r>
          </w:p>
        </w:tc>
        <w:tc>
          <w:tcPr>
            <w:tcW w:w="29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835</w:t>
            </w:r>
          </w:p>
        </w:tc>
        <w:tc>
          <w:tcPr>
            <w:tcW w:w="320" w:type="dxa"/>
            <w:vAlign w:val="bottom"/>
            <w:shd w:val="clear" w:color="auto" w:fill="E6EFFF"/>
          </w:tcPr>
          <w:p>
            <w:pPr>
              <w:spacing w:after="0"/>
              <w:rPr>
                <w:sz w:val="14"/>
                <w:szCs w:val="14"/>
                <w:color w:val="auto"/>
              </w:rPr>
            </w:pPr>
          </w:p>
        </w:tc>
        <w:tc>
          <w:tcPr>
            <w:tcW w:w="1360" w:type="dxa"/>
            <w:vAlign w:val="bottom"/>
            <w:gridSpan w:val="2"/>
            <w:shd w:val="clear" w:color="auto" w:fill="E6EFFF"/>
          </w:tcPr>
          <w:p>
            <w:pPr>
              <w:jc w:val="right"/>
              <w:ind w:right="340"/>
              <w:spacing w:after="0"/>
              <w:rPr>
                <w:sz w:val="20"/>
                <w:szCs w:val="20"/>
                <w:color w:val="auto"/>
              </w:rPr>
            </w:pPr>
            <w:r>
              <w:rPr>
                <w:rFonts w:ascii="Arial" w:cs="Arial" w:eastAsia="Arial" w:hAnsi="Arial"/>
                <w:sz w:val="14"/>
                <w:szCs w:val="14"/>
                <w:color w:val="auto"/>
              </w:rPr>
              <w:t>77</w:t>
            </w:r>
          </w:p>
        </w:tc>
        <w:tc>
          <w:tcPr>
            <w:tcW w:w="126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404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2900" w:type="dxa"/>
            <w:vAlign w:val="bottom"/>
          </w:tcPr>
          <w:p>
            <w:pPr>
              <w:jc w:val="right"/>
              <w:ind w:right="32"/>
              <w:spacing w:after="0"/>
              <w:rPr>
                <w:sz w:val="20"/>
                <w:szCs w:val="20"/>
                <w:color w:val="auto"/>
              </w:rPr>
            </w:pPr>
            <w:r>
              <w:rPr>
                <w:rFonts w:ascii="Arial" w:cs="Arial" w:eastAsia="Arial" w:hAnsi="Arial"/>
                <w:sz w:val="14"/>
                <w:szCs w:val="14"/>
                <w:color w:val="auto"/>
              </w:rPr>
              <w:t>(703)</w:t>
            </w:r>
          </w:p>
        </w:tc>
        <w:tc>
          <w:tcPr>
            <w:tcW w:w="32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rPr>
              <w:t>36</w:t>
            </w:r>
          </w:p>
        </w:tc>
        <w:tc>
          <w:tcPr>
            <w:tcW w:w="1260" w:type="dxa"/>
            <w:vAlign w:val="bottom"/>
          </w:tcPr>
          <w:p>
            <w:pPr>
              <w:spacing w:after="0"/>
              <w:rPr>
                <w:sz w:val="14"/>
                <w:szCs w:val="14"/>
                <w:color w:val="auto"/>
              </w:rPr>
            </w:pPr>
          </w:p>
        </w:tc>
        <w:tc>
          <w:tcPr>
            <w:tcW w:w="4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31</w:t>
            </w:r>
          </w:p>
        </w:tc>
      </w:tr>
      <w:tr>
        <w:trPr>
          <w:trHeight w:val="165"/>
        </w:trPr>
        <w:tc>
          <w:tcPr>
            <w:tcW w:w="4040" w:type="dxa"/>
            <w:vAlign w:val="bottom"/>
            <w:shd w:val="clear" w:color="auto" w:fill="E6EFFF"/>
          </w:tcPr>
          <w:p>
            <w:pPr>
              <w:ind w:left="120"/>
              <w:spacing w:after="0"/>
              <w:rPr>
                <w:sz w:val="20"/>
                <w:szCs w:val="20"/>
                <w:color w:val="auto"/>
              </w:rPr>
            </w:pPr>
            <w:r>
              <w:rPr>
                <w:rFonts w:ascii="Arial" w:cs="Arial" w:eastAsia="Arial" w:hAnsi="Arial"/>
                <w:sz w:val="14"/>
                <w:szCs w:val="14"/>
                <w:color w:val="auto"/>
              </w:rPr>
              <w:t>Expired or cancelled</w:t>
            </w:r>
          </w:p>
        </w:tc>
        <w:tc>
          <w:tcPr>
            <w:tcW w:w="290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(250)</w:t>
            </w:r>
          </w:p>
        </w:tc>
        <w:tc>
          <w:tcPr>
            <w:tcW w:w="320" w:type="dxa"/>
            <w:vAlign w:val="bottom"/>
            <w:shd w:val="clear" w:color="auto" w:fill="E6EFFF"/>
          </w:tcPr>
          <w:p>
            <w:pPr>
              <w:spacing w:after="0"/>
              <w:rPr>
                <w:sz w:val="14"/>
                <w:szCs w:val="14"/>
                <w:color w:val="auto"/>
              </w:rPr>
            </w:pPr>
          </w:p>
        </w:tc>
        <w:tc>
          <w:tcPr>
            <w:tcW w:w="1360" w:type="dxa"/>
            <w:vAlign w:val="bottom"/>
            <w:gridSpan w:val="2"/>
            <w:shd w:val="clear" w:color="auto" w:fill="E6EFFF"/>
          </w:tcPr>
          <w:p>
            <w:pPr>
              <w:jc w:val="right"/>
              <w:ind w:right="340"/>
              <w:spacing w:after="0"/>
              <w:rPr>
                <w:sz w:val="20"/>
                <w:szCs w:val="20"/>
                <w:color w:val="auto"/>
              </w:rPr>
            </w:pPr>
            <w:r>
              <w:rPr>
                <w:rFonts w:ascii="Arial" w:cs="Arial" w:eastAsia="Arial" w:hAnsi="Arial"/>
                <w:sz w:val="14"/>
                <w:szCs w:val="14"/>
                <w:color w:val="auto"/>
              </w:rPr>
              <w:t>51</w:t>
            </w:r>
          </w:p>
        </w:tc>
        <w:tc>
          <w:tcPr>
            <w:tcW w:w="126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55"/>
        </w:trPr>
        <w:tc>
          <w:tcPr>
            <w:tcW w:w="40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Outstanding, December 31, 2007</w:t>
            </w:r>
          </w:p>
        </w:tc>
        <w:tc>
          <w:tcPr>
            <w:tcW w:w="29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4,379</w:t>
            </w:r>
          </w:p>
        </w:tc>
        <w:tc>
          <w:tcPr>
            <w:tcW w:w="3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w:t>
            </w:r>
          </w:p>
        </w:tc>
        <w:tc>
          <w:tcPr>
            <w:tcW w:w="340" w:type="dxa"/>
            <w:vAlign w:val="bottom"/>
            <w:tcBorders>
              <w:bottom w:val="single" w:sz="8" w:color="E6EF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6.5</w:t>
            </w: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E6EFFF"/>
            </w:tcBorders>
          </w:tcPr>
          <w:p>
            <w:pPr>
              <w:spacing w:after="0"/>
              <w:rPr>
                <w:sz w:val="13"/>
                <w:szCs w:val="13"/>
                <w:color w:val="auto"/>
              </w:rPr>
            </w:pPr>
          </w:p>
        </w:tc>
      </w:tr>
      <w:tr>
        <w:trPr>
          <w:trHeight w:val="184"/>
        </w:trPr>
        <w:tc>
          <w:tcPr>
            <w:tcW w:w="40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4"/>
                <w:szCs w:val="14"/>
                <w:color w:val="auto"/>
              </w:rPr>
              <w:t>Exercisable, December 31, 2007</w:t>
            </w:r>
          </w:p>
        </w:tc>
        <w:tc>
          <w:tcPr>
            <w:tcW w:w="290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2,300</w:t>
            </w:r>
          </w:p>
        </w:tc>
        <w:tc>
          <w:tcPr>
            <w:tcW w:w="32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37</w:t>
            </w:r>
          </w:p>
        </w:tc>
        <w:tc>
          <w:tcPr>
            <w:tcW w:w="340" w:type="dxa"/>
            <w:vAlign w:val="bottom"/>
            <w:tcBorders>
              <w:bottom w:val="single" w:sz="8" w:color="E6EFFF"/>
            </w:tcBorders>
            <w:shd w:val="clear" w:color="auto" w:fill="E6EFFF"/>
          </w:tcPr>
          <w:p>
            <w:pPr>
              <w:spacing w:after="0"/>
              <w:rPr>
                <w:sz w:val="16"/>
                <w:szCs w:val="16"/>
                <w:color w:val="auto"/>
              </w:rPr>
            </w:pPr>
          </w:p>
        </w:tc>
        <w:tc>
          <w:tcPr>
            <w:tcW w:w="1260" w:type="dxa"/>
            <w:vAlign w:val="bottom"/>
            <w:tcBorders>
              <w:bottom w:val="single" w:sz="8" w:color="auto"/>
            </w:tcBorders>
            <w:shd w:val="clear" w:color="auto" w:fill="E6EFFF"/>
          </w:tcPr>
          <w:p>
            <w:pPr>
              <w:jc w:val="right"/>
              <w:ind w:right="52"/>
              <w:spacing w:after="0"/>
              <w:rPr>
                <w:sz w:val="20"/>
                <w:szCs w:val="20"/>
                <w:color w:val="auto"/>
              </w:rPr>
            </w:pPr>
            <w:r>
              <w:rPr>
                <w:rFonts w:ascii="Arial" w:cs="Arial" w:eastAsia="Arial" w:hAnsi="Arial"/>
                <w:sz w:val="14"/>
                <w:szCs w:val="14"/>
                <w:color w:val="auto"/>
              </w:rPr>
              <w:t>5.1</w:t>
            </w:r>
          </w:p>
        </w:tc>
        <w:tc>
          <w:tcPr>
            <w:tcW w:w="420" w:type="dxa"/>
            <w:vAlign w:val="bottom"/>
            <w:tcBorders>
              <w:bottom w:val="single" w:sz="8" w:color="auto"/>
            </w:tcBorders>
            <w:shd w:val="clear" w:color="auto" w:fill="E6EFFF"/>
          </w:tcPr>
          <w:p>
            <w:pPr>
              <w:spacing w:after="0"/>
              <w:rPr>
                <w:sz w:val="16"/>
                <w:szCs w:val="16"/>
                <w:color w:val="auto"/>
              </w:rPr>
            </w:pPr>
          </w:p>
        </w:tc>
        <w:tc>
          <w:tcPr>
            <w:tcW w:w="940" w:type="dxa"/>
            <w:vAlign w:val="bottom"/>
            <w:tcBorders>
              <w:bottom w:val="single" w:sz="8" w:color="auto"/>
            </w:tcBorders>
            <w:shd w:val="clear" w:color="auto" w:fill="E6EFFF"/>
          </w:tcPr>
          <w:p>
            <w:pPr>
              <w:spacing w:after="0"/>
              <w:rPr>
                <w:sz w:val="16"/>
                <w:szCs w:val="16"/>
                <w:color w:val="auto"/>
              </w:rPr>
            </w:pPr>
          </w:p>
        </w:tc>
        <w:tc>
          <w:tcPr>
            <w:tcW w:w="220" w:type="dxa"/>
            <w:vAlign w:val="bottom"/>
            <w:tcBorders>
              <w:bottom w:val="single" w:sz="8" w:color="E6EFFF"/>
            </w:tcBorders>
            <w:shd w:val="clear" w:color="auto" w:fill="E6EFFF"/>
          </w:tcPr>
          <w:p>
            <w:pPr>
              <w:spacing w:after="0"/>
              <w:rPr>
                <w:sz w:val="16"/>
                <w:szCs w:val="16"/>
                <w:color w:val="auto"/>
              </w:rPr>
            </w:pPr>
          </w:p>
        </w:tc>
      </w:tr>
      <w:tr>
        <w:trPr>
          <w:trHeight w:val="145"/>
        </w:trPr>
        <w:tc>
          <w:tcPr>
            <w:tcW w:w="4040" w:type="dxa"/>
            <w:vAlign w:val="bottom"/>
          </w:tcPr>
          <w:p>
            <w:pPr>
              <w:spacing w:after="0" w:line="145" w:lineRule="exact"/>
              <w:rPr>
                <w:sz w:val="20"/>
                <w:szCs w:val="20"/>
                <w:color w:val="auto"/>
              </w:rPr>
            </w:pPr>
            <w:r>
              <w:rPr>
                <w:rFonts w:ascii="Arial" w:cs="Arial" w:eastAsia="Arial" w:hAnsi="Arial"/>
                <w:sz w:val="14"/>
                <w:szCs w:val="14"/>
                <w:color w:val="auto"/>
              </w:rPr>
              <w:t>Outstanding, January 1, 2008</w:t>
            </w:r>
          </w:p>
        </w:tc>
        <w:tc>
          <w:tcPr>
            <w:tcW w:w="2900" w:type="dxa"/>
            <w:vAlign w:val="bottom"/>
          </w:tcPr>
          <w:p>
            <w:pPr>
              <w:jc w:val="right"/>
              <w:ind w:right="72"/>
              <w:spacing w:after="0" w:line="145" w:lineRule="exact"/>
              <w:rPr>
                <w:sz w:val="20"/>
                <w:szCs w:val="20"/>
                <w:color w:val="auto"/>
              </w:rPr>
            </w:pPr>
            <w:r>
              <w:rPr>
                <w:rFonts w:ascii="Arial" w:cs="Arial" w:eastAsia="Arial" w:hAnsi="Arial"/>
                <w:sz w:val="14"/>
                <w:szCs w:val="14"/>
                <w:color w:val="auto"/>
              </w:rPr>
              <w:t>4,379</w:t>
            </w:r>
          </w:p>
        </w:tc>
        <w:tc>
          <w:tcPr>
            <w:tcW w:w="320" w:type="dxa"/>
            <w:vAlign w:val="bottom"/>
          </w:tcPr>
          <w:p>
            <w:pPr>
              <w:jc w:val="right"/>
              <w:ind w:right="92"/>
              <w:spacing w:after="0" w:line="145"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5" w:lineRule="exact"/>
              <w:rPr>
                <w:sz w:val="20"/>
                <w:szCs w:val="20"/>
                <w:color w:val="auto"/>
              </w:rPr>
            </w:pPr>
            <w:r>
              <w:rPr>
                <w:rFonts w:ascii="Arial" w:cs="Arial" w:eastAsia="Arial" w:hAnsi="Arial"/>
                <w:sz w:val="14"/>
                <w:szCs w:val="14"/>
                <w:color w:val="auto"/>
              </w:rPr>
              <w:t>48</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5"/>
        </w:trPr>
        <w:tc>
          <w:tcPr>
            <w:tcW w:w="4040" w:type="dxa"/>
            <w:vAlign w:val="bottom"/>
            <w:shd w:val="clear" w:color="auto" w:fill="E6EFFF"/>
          </w:tcPr>
          <w:p>
            <w:pPr>
              <w:ind w:left="120"/>
              <w:spacing w:after="0"/>
              <w:rPr>
                <w:sz w:val="20"/>
                <w:szCs w:val="20"/>
                <w:color w:val="auto"/>
              </w:rPr>
            </w:pPr>
            <w:r>
              <w:rPr>
                <w:rFonts w:ascii="Arial" w:cs="Arial" w:eastAsia="Arial" w:hAnsi="Arial"/>
                <w:sz w:val="14"/>
                <w:szCs w:val="14"/>
                <w:color w:val="auto"/>
              </w:rPr>
              <w:t>Granted</w:t>
            </w:r>
          </w:p>
        </w:tc>
        <w:tc>
          <w:tcPr>
            <w:tcW w:w="29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980</w:t>
            </w:r>
          </w:p>
        </w:tc>
        <w:tc>
          <w:tcPr>
            <w:tcW w:w="320" w:type="dxa"/>
            <w:vAlign w:val="bottom"/>
            <w:shd w:val="clear" w:color="auto" w:fill="E6EFFF"/>
          </w:tcPr>
          <w:p>
            <w:pPr>
              <w:spacing w:after="0"/>
              <w:rPr>
                <w:sz w:val="14"/>
                <w:szCs w:val="14"/>
                <w:color w:val="auto"/>
              </w:rPr>
            </w:pPr>
          </w:p>
        </w:tc>
        <w:tc>
          <w:tcPr>
            <w:tcW w:w="1360" w:type="dxa"/>
            <w:vAlign w:val="bottom"/>
            <w:gridSpan w:val="2"/>
            <w:shd w:val="clear" w:color="auto" w:fill="E6EFFF"/>
          </w:tcPr>
          <w:p>
            <w:pPr>
              <w:jc w:val="right"/>
              <w:ind w:right="340"/>
              <w:spacing w:after="0"/>
              <w:rPr>
                <w:sz w:val="20"/>
                <w:szCs w:val="20"/>
                <w:color w:val="auto"/>
              </w:rPr>
            </w:pPr>
            <w:r>
              <w:rPr>
                <w:rFonts w:ascii="Arial" w:cs="Arial" w:eastAsia="Arial" w:hAnsi="Arial"/>
                <w:sz w:val="14"/>
                <w:szCs w:val="14"/>
                <w:color w:val="auto"/>
              </w:rPr>
              <w:t>56</w:t>
            </w:r>
          </w:p>
        </w:tc>
        <w:tc>
          <w:tcPr>
            <w:tcW w:w="126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404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2900" w:type="dxa"/>
            <w:vAlign w:val="bottom"/>
          </w:tcPr>
          <w:p>
            <w:pPr>
              <w:jc w:val="right"/>
              <w:ind w:right="32"/>
              <w:spacing w:after="0"/>
              <w:rPr>
                <w:sz w:val="20"/>
                <w:szCs w:val="20"/>
                <w:color w:val="auto"/>
              </w:rPr>
            </w:pPr>
            <w:r>
              <w:rPr>
                <w:rFonts w:ascii="Arial" w:cs="Arial" w:eastAsia="Arial" w:hAnsi="Arial"/>
                <w:sz w:val="14"/>
                <w:szCs w:val="14"/>
                <w:color w:val="auto"/>
              </w:rPr>
              <w:t>(161)</w:t>
            </w:r>
          </w:p>
        </w:tc>
        <w:tc>
          <w:tcPr>
            <w:tcW w:w="32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rPr>
              <w:t>36</w:t>
            </w:r>
          </w:p>
        </w:tc>
        <w:tc>
          <w:tcPr>
            <w:tcW w:w="1260" w:type="dxa"/>
            <w:vAlign w:val="bottom"/>
          </w:tcPr>
          <w:p>
            <w:pPr>
              <w:spacing w:after="0"/>
              <w:rPr>
                <w:sz w:val="14"/>
                <w:szCs w:val="14"/>
                <w:color w:val="auto"/>
              </w:rPr>
            </w:pPr>
          </w:p>
        </w:tc>
        <w:tc>
          <w:tcPr>
            <w:tcW w:w="4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r>
      <w:tr>
        <w:trPr>
          <w:trHeight w:val="165"/>
        </w:trPr>
        <w:tc>
          <w:tcPr>
            <w:tcW w:w="4040" w:type="dxa"/>
            <w:vAlign w:val="bottom"/>
            <w:shd w:val="clear" w:color="auto" w:fill="E6EFFF"/>
          </w:tcPr>
          <w:p>
            <w:pPr>
              <w:ind w:left="120"/>
              <w:spacing w:after="0"/>
              <w:rPr>
                <w:sz w:val="20"/>
                <w:szCs w:val="20"/>
                <w:color w:val="auto"/>
              </w:rPr>
            </w:pPr>
            <w:r>
              <w:rPr>
                <w:rFonts w:ascii="Arial" w:cs="Arial" w:eastAsia="Arial" w:hAnsi="Arial"/>
                <w:sz w:val="14"/>
                <w:szCs w:val="14"/>
                <w:color w:val="auto"/>
              </w:rPr>
              <w:t>Expired or cancelled</w:t>
            </w:r>
          </w:p>
        </w:tc>
        <w:tc>
          <w:tcPr>
            <w:tcW w:w="290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(171)</w:t>
            </w:r>
          </w:p>
        </w:tc>
        <w:tc>
          <w:tcPr>
            <w:tcW w:w="320" w:type="dxa"/>
            <w:vAlign w:val="bottom"/>
            <w:shd w:val="clear" w:color="auto" w:fill="E6EFFF"/>
          </w:tcPr>
          <w:p>
            <w:pPr>
              <w:spacing w:after="0"/>
              <w:rPr>
                <w:sz w:val="14"/>
                <w:szCs w:val="14"/>
                <w:color w:val="auto"/>
              </w:rPr>
            </w:pPr>
          </w:p>
        </w:tc>
        <w:tc>
          <w:tcPr>
            <w:tcW w:w="1360" w:type="dxa"/>
            <w:vAlign w:val="bottom"/>
            <w:gridSpan w:val="2"/>
            <w:shd w:val="clear" w:color="auto" w:fill="E6EFFF"/>
          </w:tcPr>
          <w:p>
            <w:pPr>
              <w:jc w:val="right"/>
              <w:ind w:right="340"/>
              <w:spacing w:after="0"/>
              <w:rPr>
                <w:sz w:val="20"/>
                <w:szCs w:val="20"/>
                <w:color w:val="auto"/>
              </w:rPr>
            </w:pPr>
            <w:r>
              <w:rPr>
                <w:rFonts w:ascii="Arial" w:cs="Arial" w:eastAsia="Arial" w:hAnsi="Arial"/>
                <w:sz w:val="14"/>
                <w:szCs w:val="14"/>
                <w:color w:val="auto"/>
              </w:rPr>
              <w:t>57</w:t>
            </w:r>
          </w:p>
        </w:tc>
        <w:tc>
          <w:tcPr>
            <w:tcW w:w="126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55"/>
        </w:trPr>
        <w:tc>
          <w:tcPr>
            <w:tcW w:w="40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Outstanding, December 31, 2008</w:t>
            </w:r>
          </w:p>
        </w:tc>
        <w:tc>
          <w:tcPr>
            <w:tcW w:w="29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5,027</w:t>
            </w:r>
          </w:p>
        </w:tc>
        <w:tc>
          <w:tcPr>
            <w:tcW w:w="3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340" w:type="dxa"/>
            <w:vAlign w:val="bottom"/>
            <w:tcBorders>
              <w:bottom w:val="single" w:sz="8" w:color="E6EF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6.2</w:t>
            </w:r>
          </w:p>
        </w:tc>
        <w:tc>
          <w:tcPr>
            <w:tcW w:w="4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220" w:type="dxa"/>
            <w:vAlign w:val="bottom"/>
            <w:tcBorders>
              <w:bottom w:val="single" w:sz="8" w:color="E6EFFF"/>
            </w:tcBorders>
          </w:tcPr>
          <w:p>
            <w:pPr>
              <w:spacing w:after="0"/>
              <w:rPr>
                <w:sz w:val="13"/>
                <w:szCs w:val="13"/>
                <w:color w:val="auto"/>
              </w:rPr>
            </w:pPr>
          </w:p>
        </w:tc>
      </w:tr>
      <w:tr>
        <w:trPr>
          <w:trHeight w:val="165"/>
        </w:trPr>
        <w:tc>
          <w:tcPr>
            <w:tcW w:w="40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4"/>
                <w:szCs w:val="14"/>
                <w:color w:val="auto"/>
              </w:rPr>
              <w:t>Exercisable, December 31, 2008</w:t>
            </w:r>
          </w:p>
        </w:tc>
        <w:tc>
          <w:tcPr>
            <w:tcW w:w="290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2,868</w:t>
            </w:r>
          </w:p>
        </w:tc>
        <w:tc>
          <w:tcPr>
            <w:tcW w:w="32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42</w:t>
            </w:r>
          </w:p>
        </w:tc>
        <w:tc>
          <w:tcPr>
            <w:tcW w:w="340" w:type="dxa"/>
            <w:vAlign w:val="bottom"/>
            <w:tcBorders>
              <w:bottom w:val="single" w:sz="8" w:color="E6EFFF"/>
            </w:tcBorders>
            <w:shd w:val="clear" w:color="auto" w:fill="E6EFFF"/>
          </w:tcPr>
          <w:p>
            <w:pPr>
              <w:spacing w:after="0"/>
              <w:rPr>
                <w:sz w:val="14"/>
                <w:szCs w:val="14"/>
                <w:color w:val="auto"/>
              </w:rPr>
            </w:pPr>
          </w:p>
        </w:tc>
        <w:tc>
          <w:tcPr>
            <w:tcW w:w="1260" w:type="dxa"/>
            <w:vAlign w:val="bottom"/>
            <w:tcBorders>
              <w:bottom w:val="single" w:sz="8" w:color="auto"/>
            </w:tcBorders>
            <w:shd w:val="clear" w:color="auto" w:fill="E6EFFF"/>
          </w:tcPr>
          <w:p>
            <w:pPr>
              <w:jc w:val="right"/>
              <w:ind w:right="52"/>
              <w:spacing w:after="0"/>
              <w:rPr>
                <w:sz w:val="20"/>
                <w:szCs w:val="20"/>
                <w:color w:val="auto"/>
              </w:rPr>
            </w:pPr>
            <w:r>
              <w:rPr>
                <w:rFonts w:ascii="Arial" w:cs="Arial" w:eastAsia="Arial" w:hAnsi="Arial"/>
                <w:sz w:val="14"/>
                <w:szCs w:val="14"/>
                <w:color w:val="auto"/>
              </w:rPr>
              <w:t>4.8</w:t>
            </w:r>
          </w:p>
        </w:tc>
        <w:tc>
          <w:tcPr>
            <w:tcW w:w="420" w:type="dxa"/>
            <w:vAlign w:val="bottom"/>
            <w:tcBorders>
              <w:bottom w:val="single" w:sz="8" w:color="auto"/>
            </w:tcBorders>
            <w:shd w:val="clear" w:color="auto" w:fill="E6EFFF"/>
          </w:tcPr>
          <w:p>
            <w:pPr>
              <w:jc w:val="right"/>
              <w:ind w:right="172"/>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E6EFFF"/>
            </w:tcBorders>
            <w:shd w:val="clear" w:color="auto" w:fill="E6EFFF"/>
          </w:tcPr>
          <w:p>
            <w:pPr>
              <w:spacing w:after="0"/>
              <w:rPr>
                <w:sz w:val="14"/>
                <w:szCs w:val="14"/>
                <w:color w:val="auto"/>
              </w:rPr>
            </w:pPr>
          </w:p>
        </w:tc>
      </w:tr>
    </w:tbl>
    <w:p>
      <w:pPr>
        <w:spacing w:after="0" w:line="164" w:lineRule="exact"/>
        <w:rPr>
          <w:sz w:val="20"/>
          <w:szCs w:val="20"/>
          <w:color w:val="auto"/>
        </w:rPr>
      </w:pPr>
    </w:p>
    <w:p>
      <w:pPr>
        <w:sectPr>
          <w:pgSz w:w="11900" w:h="16838" w:orient="portrait"/>
          <w:cols w:equalWidth="0" w:num="1">
            <w:col w:w="11500"/>
          </w:cols>
          <w:pgMar w:left="220" w:top="114" w:right="179" w:bottom="1440" w:gutter="0" w:footer="0" w:header="0"/>
        </w:sectPr>
      </w:pPr>
    </w:p>
    <w:p>
      <w:pPr>
        <w:spacing w:after="0"/>
        <w:rPr>
          <w:sz w:val="20"/>
          <w:szCs w:val="20"/>
          <w:color w:val="auto"/>
        </w:rPr>
      </w:pPr>
      <w:r>
        <w:rPr>
          <w:rFonts w:ascii="Arial" w:cs="Arial" w:eastAsia="Arial" w:hAnsi="Arial"/>
          <w:sz w:val="14"/>
          <w:szCs w:val="14"/>
          <w:color w:val="auto"/>
        </w:rPr>
        <w:t>Options outstanding and exercisable as of December 31, 2008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4D8ABE"/>
              </w:rPr>
              <w:t>Options</w:t>
            </w:r>
          </w:p>
        </w:tc>
      </w:tr>
      <w:tr>
        <w:trPr>
          <w:trHeight w:val="165"/>
        </w:trPr>
        <w:tc>
          <w:tcPr>
            <w:tcW w:w="2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4D8ABE"/>
              </w:rPr>
              <w:t>Outstanding</w:t>
            </w:r>
          </w:p>
        </w:tc>
      </w:tr>
      <w:tr>
        <w:trPr>
          <w:trHeight w:val="154"/>
        </w:trPr>
        <w:tc>
          <w:tcPr>
            <w:tcW w:w="2720" w:type="dxa"/>
            <w:vAlign w:val="bottom"/>
            <w:tcBorders>
              <w:top w:val="single" w:sz="8" w:color="4D8ABE"/>
            </w:tcBorders>
          </w:tcPr>
          <w:p>
            <w:pPr>
              <w:spacing w:after="0"/>
              <w:rPr>
                <w:sz w:val="13"/>
                <w:szCs w:val="13"/>
                <w:color w:val="auto"/>
              </w:rPr>
            </w:pPr>
          </w:p>
        </w:tc>
        <w:tc>
          <w:tcPr>
            <w:tcW w:w="2900" w:type="dxa"/>
            <w:vAlign w:val="bottom"/>
            <w:tcBorders>
              <w:top w:val="single" w:sz="8" w:color="4D8ABE"/>
            </w:tcBorders>
          </w:tcPr>
          <w:p>
            <w:pPr>
              <w:spacing w:after="0"/>
              <w:rPr>
                <w:sz w:val="13"/>
                <w:szCs w:val="13"/>
                <w:color w:val="auto"/>
              </w:rPr>
            </w:pPr>
          </w:p>
        </w:tc>
        <w:tc>
          <w:tcPr>
            <w:tcW w:w="1300" w:type="dxa"/>
            <w:vAlign w:val="bottom"/>
            <w:tcBorders>
              <w:top w:val="single" w:sz="8" w:color="4D8ABE"/>
            </w:tcBorders>
          </w:tcPr>
          <w:p>
            <w:pPr>
              <w:jc w:val="right"/>
              <w:ind w:right="53"/>
              <w:spacing w:after="0"/>
              <w:rPr>
                <w:sz w:val="20"/>
                <w:szCs w:val="20"/>
                <w:color w:val="auto"/>
              </w:rPr>
            </w:pPr>
            <w:r>
              <w:rPr>
                <w:rFonts w:ascii="Arial" w:cs="Arial" w:eastAsia="Arial" w:hAnsi="Arial"/>
                <w:sz w:val="13"/>
                <w:szCs w:val="13"/>
                <w:color w:val="4D8ABE"/>
              </w:rPr>
              <w:t>Weighted-</w:t>
            </w:r>
          </w:p>
        </w:tc>
        <w:tc>
          <w:tcPr>
            <w:tcW w:w="340" w:type="dxa"/>
            <w:vAlign w:val="bottom"/>
            <w:tcBorders>
              <w:top w:val="single" w:sz="8" w:color="4D8ABE"/>
            </w:tcBorders>
          </w:tcPr>
          <w:p>
            <w:pPr>
              <w:spacing w:after="0"/>
              <w:rPr>
                <w:sz w:val="13"/>
                <w:szCs w:val="13"/>
                <w:color w:val="auto"/>
              </w:rPr>
            </w:pPr>
          </w:p>
        </w:tc>
        <w:tc>
          <w:tcPr>
            <w:tcW w:w="1020" w:type="dxa"/>
            <w:vAlign w:val="bottom"/>
            <w:tcBorders>
              <w:top w:val="single" w:sz="8" w:color="4D8ABE"/>
            </w:tcBorders>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2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4D8ABE"/>
              </w:rPr>
              <w:t>Average</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2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4D8ABE"/>
              </w:rPr>
              <w:t>Remaining</w:t>
            </w:r>
          </w:p>
        </w:tc>
        <w:tc>
          <w:tcPr>
            <w:tcW w:w="3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4D8ABE"/>
              </w:rPr>
              <w:t>Weighted-</w:t>
            </w:r>
          </w:p>
        </w:tc>
      </w:tr>
      <w:tr>
        <w:trPr>
          <w:trHeight w:val="164"/>
        </w:trPr>
        <w:tc>
          <w:tcPr>
            <w:tcW w:w="2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4D8ABE"/>
              </w:rPr>
              <w:t>Contractual Life</w:t>
            </w:r>
          </w:p>
        </w:tc>
        <w:tc>
          <w:tcPr>
            <w:tcW w:w="3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4D8ABE"/>
              </w:rPr>
              <w:t>Average</w:t>
            </w:r>
          </w:p>
        </w:tc>
      </w:tr>
      <w:tr>
        <w:trPr>
          <w:trHeight w:val="165"/>
        </w:trPr>
        <w:tc>
          <w:tcPr>
            <w:tcW w:w="2720" w:type="dxa"/>
            <w:vAlign w:val="bottom"/>
          </w:tcPr>
          <w:p>
            <w:pPr>
              <w:spacing w:after="0"/>
              <w:rPr>
                <w:sz w:val="20"/>
                <w:szCs w:val="20"/>
                <w:color w:val="auto"/>
              </w:rPr>
            </w:pPr>
            <w:r>
              <w:rPr>
                <w:rFonts w:ascii="Arial" w:cs="Arial" w:eastAsia="Arial" w:hAnsi="Arial"/>
                <w:sz w:val="13"/>
                <w:szCs w:val="13"/>
                <w:color w:val="4D8ABE"/>
              </w:rPr>
              <w:t>Exercise Price</w:t>
            </w:r>
          </w:p>
        </w:tc>
        <w:tc>
          <w:tcPr>
            <w:tcW w:w="2900" w:type="dxa"/>
            <w:vAlign w:val="bottom"/>
          </w:tcPr>
          <w:p>
            <w:pPr>
              <w:jc w:val="right"/>
              <w:ind w:right="193"/>
              <w:spacing w:after="0"/>
              <w:rPr>
                <w:sz w:val="20"/>
                <w:szCs w:val="20"/>
                <w:color w:val="auto"/>
              </w:rPr>
            </w:pPr>
            <w:r>
              <w:rPr>
                <w:rFonts w:ascii="Arial" w:cs="Arial" w:eastAsia="Arial" w:hAnsi="Arial"/>
                <w:sz w:val="13"/>
                <w:szCs w:val="13"/>
                <w:color w:val="4D8ABE"/>
              </w:rPr>
              <w:t>Shares (000)</w:t>
            </w:r>
          </w:p>
        </w:tc>
        <w:tc>
          <w:tcPr>
            <w:tcW w:w="1300" w:type="dxa"/>
            <w:vAlign w:val="bottom"/>
          </w:tcPr>
          <w:p>
            <w:pPr>
              <w:jc w:val="right"/>
              <w:ind w:right="53"/>
              <w:spacing w:after="0"/>
              <w:rPr>
                <w:sz w:val="20"/>
                <w:szCs w:val="20"/>
                <w:color w:val="auto"/>
              </w:rPr>
            </w:pPr>
            <w:r>
              <w:rPr>
                <w:rFonts w:ascii="Arial" w:cs="Arial" w:eastAsia="Arial" w:hAnsi="Arial"/>
                <w:sz w:val="13"/>
                <w:szCs w:val="13"/>
                <w:color w:val="4D8ABE"/>
              </w:rPr>
              <w:t>(years)</w:t>
            </w:r>
          </w:p>
        </w:tc>
        <w:tc>
          <w:tcPr>
            <w:tcW w:w="3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4D8ABE"/>
              </w:rPr>
              <w:t>Exercise Price</w:t>
            </w:r>
          </w:p>
        </w:tc>
      </w:tr>
      <w:tr>
        <w:trPr>
          <w:trHeight w:val="155"/>
        </w:trPr>
        <w:tc>
          <w:tcPr>
            <w:tcW w:w="2720" w:type="dxa"/>
            <w:vAlign w:val="bottom"/>
            <w:tcBorders>
              <w:top w:val="single" w:sz="8" w:color="4D8ABE"/>
            </w:tcBorders>
          </w:tcPr>
          <w:p>
            <w:pPr>
              <w:spacing w:after="0"/>
              <w:rPr>
                <w:sz w:val="20"/>
                <w:szCs w:val="20"/>
                <w:color w:val="auto"/>
              </w:rPr>
            </w:pPr>
            <w:r>
              <w:rPr>
                <w:rFonts w:ascii="Arial" w:cs="Arial" w:eastAsia="Arial" w:hAnsi="Arial"/>
                <w:sz w:val="13"/>
                <w:szCs w:val="13"/>
                <w:color w:val="auto"/>
              </w:rPr>
              <w:t>$9-$39</w:t>
            </w:r>
          </w:p>
        </w:tc>
        <w:tc>
          <w:tcPr>
            <w:tcW w:w="2900" w:type="dxa"/>
            <w:vAlign w:val="bottom"/>
            <w:tcBorders>
              <w:top w:val="single" w:sz="8" w:color="4D8ABE"/>
            </w:tcBorders>
          </w:tcPr>
          <w:p>
            <w:pPr>
              <w:jc w:val="right"/>
              <w:ind w:right="233"/>
              <w:spacing w:after="0"/>
              <w:rPr>
                <w:sz w:val="20"/>
                <w:szCs w:val="20"/>
                <w:color w:val="auto"/>
              </w:rPr>
            </w:pPr>
            <w:r>
              <w:rPr>
                <w:rFonts w:ascii="Arial" w:cs="Arial" w:eastAsia="Arial" w:hAnsi="Arial"/>
                <w:sz w:val="13"/>
                <w:szCs w:val="13"/>
                <w:color w:val="auto"/>
              </w:rPr>
              <w:t>1,225</w:t>
            </w:r>
          </w:p>
        </w:tc>
        <w:tc>
          <w:tcPr>
            <w:tcW w:w="1300" w:type="dxa"/>
            <w:vAlign w:val="bottom"/>
            <w:tcBorders>
              <w:top w:val="single" w:sz="8" w:color="4D8ABE"/>
            </w:tcBorders>
          </w:tcPr>
          <w:p>
            <w:pPr>
              <w:jc w:val="right"/>
              <w:ind w:right="53"/>
              <w:spacing w:after="0"/>
              <w:rPr>
                <w:sz w:val="20"/>
                <w:szCs w:val="20"/>
                <w:color w:val="auto"/>
              </w:rPr>
            </w:pPr>
            <w:r>
              <w:rPr>
                <w:rFonts w:ascii="Arial" w:cs="Arial" w:eastAsia="Arial" w:hAnsi="Arial"/>
                <w:sz w:val="13"/>
                <w:szCs w:val="13"/>
                <w:color w:val="auto"/>
              </w:rPr>
              <w:t>2.7</w:t>
            </w:r>
          </w:p>
        </w:tc>
        <w:tc>
          <w:tcPr>
            <w:tcW w:w="340" w:type="dxa"/>
            <w:vAlign w:val="bottom"/>
            <w:tcBorders>
              <w:top w:val="single" w:sz="8" w:color="4D8ABE"/>
            </w:tcBorders>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r>
      <w:tr>
        <w:trPr>
          <w:trHeight w:val="164"/>
        </w:trPr>
        <w:tc>
          <w:tcPr>
            <w:tcW w:w="2720" w:type="dxa"/>
            <w:vAlign w:val="bottom"/>
          </w:tcPr>
          <w:p>
            <w:pPr>
              <w:spacing w:after="0"/>
              <w:rPr>
                <w:sz w:val="20"/>
                <w:szCs w:val="20"/>
                <w:color w:val="auto"/>
              </w:rPr>
            </w:pPr>
            <w:r>
              <w:rPr>
                <w:rFonts w:ascii="Arial" w:cs="Arial" w:eastAsia="Arial" w:hAnsi="Arial"/>
                <w:sz w:val="13"/>
                <w:szCs w:val="13"/>
                <w:color w:val="auto"/>
              </w:rPr>
              <w:t>$40-$45</w:t>
            </w:r>
          </w:p>
        </w:tc>
        <w:tc>
          <w:tcPr>
            <w:tcW w:w="2900" w:type="dxa"/>
            <w:vAlign w:val="bottom"/>
          </w:tcPr>
          <w:p>
            <w:pPr>
              <w:jc w:val="right"/>
              <w:ind w:right="233"/>
              <w:spacing w:after="0"/>
              <w:rPr>
                <w:sz w:val="20"/>
                <w:szCs w:val="20"/>
                <w:color w:val="auto"/>
              </w:rPr>
            </w:pPr>
            <w:r>
              <w:rPr>
                <w:rFonts w:ascii="Arial" w:cs="Arial" w:eastAsia="Arial" w:hAnsi="Arial"/>
                <w:sz w:val="13"/>
                <w:szCs w:val="13"/>
                <w:color w:val="auto"/>
              </w:rPr>
              <w:t>1,333</w:t>
            </w: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5.5</w:t>
            </w:r>
          </w:p>
        </w:tc>
        <w:tc>
          <w:tcPr>
            <w:tcW w:w="3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44</w:t>
            </w:r>
          </w:p>
        </w:tc>
      </w:tr>
      <w:tr>
        <w:trPr>
          <w:trHeight w:val="164"/>
        </w:trPr>
        <w:tc>
          <w:tcPr>
            <w:tcW w:w="2720" w:type="dxa"/>
            <w:vAlign w:val="bottom"/>
          </w:tcPr>
          <w:p>
            <w:pPr>
              <w:spacing w:after="0"/>
              <w:rPr>
                <w:sz w:val="20"/>
                <w:szCs w:val="20"/>
                <w:color w:val="auto"/>
              </w:rPr>
            </w:pPr>
            <w:r>
              <w:rPr>
                <w:rFonts w:ascii="Arial" w:cs="Arial" w:eastAsia="Arial" w:hAnsi="Arial"/>
                <w:sz w:val="13"/>
                <w:szCs w:val="13"/>
                <w:color w:val="auto"/>
              </w:rPr>
              <w:t>$46-$55</w:t>
            </w:r>
          </w:p>
        </w:tc>
        <w:tc>
          <w:tcPr>
            <w:tcW w:w="2900" w:type="dxa"/>
            <w:vAlign w:val="bottom"/>
          </w:tcPr>
          <w:p>
            <w:pPr>
              <w:jc w:val="right"/>
              <w:ind w:right="233"/>
              <w:spacing w:after="0"/>
              <w:rPr>
                <w:sz w:val="20"/>
                <w:szCs w:val="20"/>
                <w:color w:val="auto"/>
              </w:rPr>
            </w:pPr>
            <w:r>
              <w:rPr>
                <w:rFonts w:ascii="Arial" w:cs="Arial" w:eastAsia="Arial" w:hAnsi="Arial"/>
                <w:sz w:val="13"/>
                <w:szCs w:val="13"/>
                <w:color w:val="auto"/>
              </w:rPr>
              <w:t>884</w:t>
            </w: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7.3</w:t>
            </w:r>
          </w:p>
        </w:tc>
        <w:tc>
          <w:tcPr>
            <w:tcW w:w="3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53</w:t>
            </w:r>
          </w:p>
        </w:tc>
      </w:tr>
      <w:tr>
        <w:trPr>
          <w:trHeight w:val="165"/>
        </w:trPr>
        <w:tc>
          <w:tcPr>
            <w:tcW w:w="2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$56-$93</w:t>
            </w:r>
          </w:p>
        </w:tc>
        <w:tc>
          <w:tcPr>
            <w:tcW w:w="29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1,585</w:t>
            </w: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8.6</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66</w:t>
            </w:r>
          </w:p>
        </w:tc>
      </w:tr>
      <w:tr>
        <w:trPr>
          <w:trHeight w:val="156"/>
        </w:trPr>
        <w:tc>
          <w:tcPr>
            <w:tcW w:w="27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5,027</w:t>
            </w: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6.2</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-547370</wp:posOffset>
            </wp:positionV>
            <wp:extent cx="7279640" cy="111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9640" cy="1111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-332105</wp:posOffset>
            </wp:positionV>
            <wp:extent cx="7279640" cy="1041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9640" cy="1041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-123190</wp:posOffset>
            </wp:positionV>
            <wp:extent cx="7279640" cy="1174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9640" cy="117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4D8ABE"/>
              </w:rPr>
              <w:t>Options</w:t>
            </w:r>
          </w:p>
        </w:tc>
      </w:tr>
      <w:tr>
        <w:trPr>
          <w:trHeight w:val="165"/>
        </w:trPr>
        <w:tc>
          <w:tcPr>
            <w:tcW w:w="1280" w:type="dxa"/>
            <w:vAlign w:val="bottom"/>
            <w:tcBorders>
              <w:bottom w:val="single" w:sz="8" w:color="4D8ABE"/>
            </w:tcBorders>
          </w:tcPr>
          <w:p>
            <w:pPr>
              <w:spacing w:after="0"/>
              <w:rPr>
                <w:sz w:val="14"/>
                <w:szCs w:val="14"/>
                <w:color w:val="auto"/>
              </w:rPr>
            </w:pPr>
          </w:p>
        </w:tc>
        <w:tc>
          <w:tcPr>
            <w:tcW w:w="320" w:type="dxa"/>
            <w:vAlign w:val="bottom"/>
            <w:tcBorders>
              <w:bottom w:val="single" w:sz="8" w:color="4D8ABE"/>
            </w:tcBorders>
          </w:tcPr>
          <w:p>
            <w:pPr>
              <w:spacing w:after="0"/>
              <w:rPr>
                <w:sz w:val="14"/>
                <w:szCs w:val="14"/>
                <w:color w:val="auto"/>
              </w:rPr>
            </w:pPr>
          </w:p>
        </w:tc>
        <w:tc>
          <w:tcPr>
            <w:tcW w:w="1020" w:type="dxa"/>
            <w:vAlign w:val="bottom"/>
            <w:tcBorders>
              <w:bottom w:val="single" w:sz="8" w:color="4D8ABE"/>
            </w:tcBorders>
          </w:tcPr>
          <w:p>
            <w:pPr>
              <w:jc w:val="right"/>
              <w:spacing w:after="0"/>
              <w:rPr>
                <w:sz w:val="20"/>
                <w:szCs w:val="20"/>
                <w:color w:val="auto"/>
              </w:rPr>
            </w:pPr>
            <w:r>
              <w:rPr>
                <w:rFonts w:ascii="Arial" w:cs="Arial" w:eastAsia="Arial" w:hAnsi="Arial"/>
                <w:sz w:val="13"/>
                <w:szCs w:val="13"/>
                <w:color w:val="4D8ABE"/>
              </w:rPr>
              <w:t>Exercisable</w:t>
            </w:r>
          </w:p>
        </w:tc>
        <w:tc>
          <w:tcPr>
            <w:tcW w:w="20" w:type="dxa"/>
            <w:vAlign w:val="bottom"/>
          </w:tcPr>
          <w:p>
            <w:pPr>
              <w:spacing w:after="0"/>
              <w:rPr>
                <w:sz w:val="14"/>
                <w:szCs w:val="14"/>
                <w:color w:val="auto"/>
              </w:rPr>
            </w:pPr>
          </w:p>
        </w:tc>
      </w:tr>
      <w:tr>
        <w:trPr>
          <w:trHeight w:val="483"/>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4D8ABE"/>
              </w:rPr>
              <w:t>Weighted-</w:t>
            </w:r>
          </w:p>
        </w:tc>
      </w:tr>
      <w:tr>
        <w:trPr>
          <w:trHeight w:val="164"/>
        </w:trPr>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4D8ABE"/>
              </w:rPr>
              <w:t>Average</w:t>
            </w:r>
          </w:p>
        </w:tc>
      </w:tr>
      <w:tr>
        <w:trPr>
          <w:trHeight w:val="165"/>
        </w:trPr>
        <w:tc>
          <w:tcPr>
            <w:tcW w:w="1280" w:type="dxa"/>
            <w:vAlign w:val="bottom"/>
          </w:tcPr>
          <w:p>
            <w:pPr>
              <w:jc w:val="right"/>
              <w:ind w:right="33"/>
              <w:spacing w:after="0"/>
              <w:rPr>
                <w:sz w:val="20"/>
                <w:szCs w:val="20"/>
                <w:color w:val="auto"/>
              </w:rPr>
            </w:pPr>
            <w:r>
              <w:rPr>
                <w:rFonts w:ascii="Arial" w:cs="Arial" w:eastAsia="Arial" w:hAnsi="Arial"/>
                <w:sz w:val="13"/>
                <w:szCs w:val="13"/>
                <w:color w:val="4D8ABE"/>
              </w:rPr>
              <w:t>Shares (000)</w:t>
            </w:r>
          </w:p>
        </w:tc>
        <w:tc>
          <w:tcPr>
            <w:tcW w:w="3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4D8ABE"/>
              </w:rPr>
              <w:t>Exercise Price</w:t>
            </w:r>
          </w:p>
        </w:tc>
      </w:tr>
      <w:tr>
        <w:trPr>
          <w:trHeight w:val="155"/>
        </w:trPr>
        <w:tc>
          <w:tcPr>
            <w:tcW w:w="1280" w:type="dxa"/>
            <w:vAlign w:val="bottom"/>
            <w:tcBorders>
              <w:top w:val="single" w:sz="8" w:color="4D8ABE"/>
            </w:tcBorders>
          </w:tcPr>
          <w:p>
            <w:pPr>
              <w:jc w:val="right"/>
              <w:ind w:right="73"/>
              <w:spacing w:after="0"/>
              <w:rPr>
                <w:sz w:val="20"/>
                <w:szCs w:val="20"/>
                <w:color w:val="auto"/>
              </w:rPr>
            </w:pPr>
            <w:r>
              <w:rPr>
                <w:rFonts w:ascii="Arial" w:cs="Arial" w:eastAsia="Arial" w:hAnsi="Arial"/>
                <w:sz w:val="13"/>
                <w:szCs w:val="13"/>
                <w:color w:val="auto"/>
              </w:rPr>
              <w:t>1,225</w:t>
            </w:r>
          </w:p>
        </w:tc>
        <w:tc>
          <w:tcPr>
            <w:tcW w:w="320" w:type="dxa"/>
            <w:vAlign w:val="bottom"/>
            <w:tcBorders>
              <w:top w:val="single" w:sz="8" w:color="4D8ABE"/>
            </w:tcBorders>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r>
      <w:tr>
        <w:trPr>
          <w:trHeight w:val="164"/>
        </w:trPr>
        <w:tc>
          <w:tcPr>
            <w:tcW w:w="1280" w:type="dxa"/>
            <w:vAlign w:val="bottom"/>
          </w:tcPr>
          <w:p>
            <w:pPr>
              <w:jc w:val="right"/>
              <w:ind w:right="73"/>
              <w:spacing w:after="0"/>
              <w:rPr>
                <w:sz w:val="20"/>
                <w:szCs w:val="20"/>
                <w:color w:val="auto"/>
              </w:rPr>
            </w:pPr>
            <w:r>
              <w:rPr>
                <w:rFonts w:ascii="Arial" w:cs="Arial" w:eastAsia="Arial" w:hAnsi="Arial"/>
                <w:sz w:val="13"/>
                <w:szCs w:val="13"/>
                <w:color w:val="auto"/>
              </w:rPr>
              <w:t>1,061</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w:t>
            </w:r>
          </w:p>
        </w:tc>
        <w:tc>
          <w:tcPr>
            <w:tcW w:w="20" w:type="dxa"/>
            <w:vAlign w:val="bottom"/>
          </w:tcPr>
          <w:p>
            <w:pPr>
              <w:spacing w:after="0"/>
              <w:rPr>
                <w:sz w:val="14"/>
                <w:szCs w:val="14"/>
                <w:color w:val="auto"/>
              </w:rPr>
            </w:pPr>
          </w:p>
        </w:tc>
      </w:tr>
      <w:tr>
        <w:trPr>
          <w:trHeight w:val="164"/>
        </w:trPr>
        <w:tc>
          <w:tcPr>
            <w:tcW w:w="1280" w:type="dxa"/>
            <w:vAlign w:val="bottom"/>
          </w:tcPr>
          <w:p>
            <w:pPr>
              <w:jc w:val="right"/>
              <w:ind w:right="73"/>
              <w:spacing w:after="0"/>
              <w:rPr>
                <w:sz w:val="20"/>
                <w:szCs w:val="20"/>
                <w:color w:val="auto"/>
              </w:rPr>
            </w:pPr>
            <w:r>
              <w:rPr>
                <w:rFonts w:ascii="Arial" w:cs="Arial" w:eastAsia="Arial" w:hAnsi="Arial"/>
                <w:sz w:val="13"/>
                <w:szCs w:val="13"/>
                <w:color w:val="auto"/>
              </w:rPr>
              <w:t>383</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w:t>
            </w:r>
          </w:p>
        </w:tc>
        <w:tc>
          <w:tcPr>
            <w:tcW w:w="20" w:type="dxa"/>
            <w:vAlign w:val="bottom"/>
          </w:tcPr>
          <w:p>
            <w:pPr>
              <w:spacing w:after="0"/>
              <w:rPr>
                <w:sz w:val="14"/>
                <w:szCs w:val="14"/>
                <w:color w:val="auto"/>
              </w:rPr>
            </w:pPr>
          </w:p>
        </w:tc>
      </w:tr>
      <w:tr>
        <w:trPr>
          <w:trHeight w:val="165"/>
        </w:trPr>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199</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20" w:type="dxa"/>
            <w:vAlign w:val="bottom"/>
          </w:tcPr>
          <w:p>
            <w:pPr>
              <w:spacing w:after="0"/>
              <w:rPr>
                <w:sz w:val="14"/>
                <w:szCs w:val="14"/>
                <w:color w:val="auto"/>
              </w:rPr>
            </w:pPr>
          </w:p>
        </w:tc>
      </w:tr>
      <w:tr>
        <w:trPr>
          <w:trHeight w:val="156"/>
        </w:trPr>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2,868</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w:t>
            </w:r>
          </w:p>
        </w:tc>
        <w:tc>
          <w:tcPr>
            <w:tcW w:w="20" w:type="dxa"/>
            <w:vAlign w:val="bottom"/>
            <w:tcBorders>
              <w:bottom w:val="single" w:sz="8" w:color="auto"/>
            </w:tcBorders>
          </w:tcPr>
          <w:p>
            <w:pPr>
              <w:spacing w:after="0"/>
              <w:rPr>
                <w:sz w:val="13"/>
                <w:szCs w:val="13"/>
                <w:color w:val="auto"/>
              </w:rPr>
            </w:pPr>
          </w:p>
        </w:tc>
      </w:tr>
    </w:tbl>
    <w:p>
      <w:pPr>
        <w:spacing w:after="0" w:line="180" w:lineRule="exact"/>
        <w:rPr>
          <w:sz w:val="20"/>
          <w:szCs w:val="20"/>
          <w:color w:val="auto"/>
        </w:rPr>
      </w:pPr>
    </w:p>
    <w:p>
      <w:pPr>
        <w:sectPr>
          <w:pgSz w:w="11900" w:h="16838" w:orient="portrait"/>
          <w:cols w:equalWidth="0" w:num="2">
            <w:col w:w="8280" w:space="340"/>
            <w:col w:w="2880"/>
          </w:cols>
          <w:pgMar w:left="220" w:top="114" w:right="179" w:bottom="1440" w:gutter="0" w:footer="0" w:header="0"/>
          <w:type w:val="continuous"/>
        </w:sectPr>
      </w:pPr>
    </w:p>
    <w:p>
      <w:pPr>
        <w:jc w:val="both"/>
        <w:ind w:right="40"/>
        <w:spacing w:after="0" w:line="247" w:lineRule="auto"/>
        <w:rPr>
          <w:sz w:val="20"/>
          <w:szCs w:val="20"/>
          <w:color w:val="auto"/>
        </w:rPr>
      </w:pPr>
      <w:r>
        <w:rPr>
          <w:rFonts w:ascii="Arial" w:cs="Arial" w:eastAsia="Arial" w:hAnsi="Arial"/>
          <w:sz w:val="16"/>
          <w:szCs w:val="16"/>
          <w:color w:val="auto"/>
        </w:rPr>
        <w:t>We have recognized expense of $14.0, $13.3 and $13.0 related to stock options for the years ended December 31, 2008, 2007 and 2006, respectively. The total fair value of options vested during the same periods were $12.5, $12.8 and $15.9, respectively. As of December 31, 2008, total unrecognized compensation cost was approximately $26.2, net of estimated forfeitures, which we expect to recognize over a weighted-average period of approximately 1.7 years.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114" w:right="17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estimated the fair value of each stock option on the date of grant using the Black-Scholes option pricing model and the following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14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1780" w:type="dxa"/>
            <w:vAlign w:val="bottom"/>
          </w:tcPr>
          <w:p>
            <w:pPr>
              <w:jc w:val="right"/>
              <w:ind w:right="472"/>
              <w:spacing w:after="0"/>
              <w:rPr>
                <w:sz w:val="20"/>
                <w:szCs w:val="20"/>
                <w:color w:val="auto"/>
              </w:rPr>
            </w:pPr>
            <w:r>
              <w:rPr>
                <w:rFonts w:ascii="Arial" w:cs="Arial" w:eastAsia="Arial" w:hAnsi="Arial"/>
                <w:sz w:val="14"/>
                <w:szCs w:val="14"/>
                <w:color w:val="4D8ABE"/>
              </w:rPr>
              <w:t>2007</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tcPr>
          <w:p>
            <w:pPr>
              <w:spacing w:after="0" w:line="155" w:lineRule="exact"/>
              <w:rPr>
                <w:sz w:val="20"/>
                <w:szCs w:val="20"/>
                <w:color w:val="auto"/>
              </w:rPr>
            </w:pPr>
            <w:r>
              <w:rPr>
                <w:rFonts w:ascii="Arial" w:cs="Arial" w:eastAsia="Arial" w:hAnsi="Arial"/>
                <w:sz w:val="14"/>
                <w:szCs w:val="14"/>
                <w:color w:val="auto"/>
              </w:rPr>
              <w:t>Average risk-free interest rate</w:t>
            </w:r>
          </w:p>
        </w:tc>
        <w:tc>
          <w:tcPr>
            <w:tcW w:w="1480" w:type="dxa"/>
            <w:vAlign w:val="bottom"/>
            <w:tcBorders>
              <w:top w:val="single" w:sz="8" w:color="4D8ABE"/>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2.7%</w:t>
            </w:r>
          </w:p>
        </w:tc>
        <w:tc>
          <w:tcPr>
            <w:tcW w:w="1780" w:type="dxa"/>
            <w:vAlign w:val="bottom"/>
            <w:tcBorders>
              <w:top w:val="single" w:sz="8" w:color="4D8ABE"/>
            </w:tcBorders>
          </w:tcPr>
          <w:p>
            <w:pPr>
              <w:jc w:val="right"/>
              <w:ind w:right="472"/>
              <w:spacing w:after="0" w:line="155" w:lineRule="exact"/>
              <w:rPr>
                <w:sz w:val="20"/>
                <w:szCs w:val="20"/>
                <w:color w:val="auto"/>
              </w:rPr>
            </w:pPr>
            <w:r>
              <w:rPr>
                <w:rFonts w:ascii="Arial" w:cs="Arial" w:eastAsia="Arial" w:hAnsi="Arial"/>
                <w:sz w:val="14"/>
                <w:szCs w:val="14"/>
                <w:color w:val="auto"/>
              </w:rPr>
              <w:t>4.8%</w:t>
            </w:r>
          </w:p>
        </w:tc>
        <w:tc>
          <w:tcPr>
            <w:tcW w:w="94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3"/>
                <w:szCs w:val="13"/>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Expected dividend yield</w:t>
            </w:r>
          </w:p>
        </w:tc>
        <w:tc>
          <w:tcPr>
            <w:tcW w:w="14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1.2%</w:t>
            </w:r>
          </w:p>
        </w:tc>
        <w:tc>
          <w:tcPr>
            <w:tcW w:w="1780" w:type="dxa"/>
            <w:vAlign w:val="bottom"/>
            <w:shd w:val="clear" w:color="auto" w:fill="E6EFFF"/>
          </w:tcPr>
          <w:p>
            <w:pPr>
              <w:jc w:val="right"/>
              <w:ind w:right="472"/>
              <w:spacing w:after="0"/>
              <w:rPr>
                <w:sz w:val="20"/>
                <w:szCs w:val="20"/>
                <w:color w:val="auto"/>
              </w:rPr>
            </w:pPr>
            <w:r>
              <w:rPr>
                <w:rFonts w:ascii="Arial" w:cs="Arial" w:eastAsia="Arial" w:hAnsi="Arial"/>
                <w:sz w:val="14"/>
                <w:szCs w:val="14"/>
                <w:color w:val="auto"/>
              </w:rPr>
              <w:t>0.9%</w:t>
            </w:r>
          </w:p>
        </w:tc>
        <w:tc>
          <w:tcPr>
            <w:tcW w:w="9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Expected volatility</w:t>
            </w:r>
          </w:p>
        </w:tc>
        <w:tc>
          <w:tcPr>
            <w:tcW w:w="14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30.0%</w:t>
            </w:r>
          </w:p>
        </w:tc>
        <w:tc>
          <w:tcPr>
            <w:tcW w:w="1780" w:type="dxa"/>
            <w:vAlign w:val="bottom"/>
          </w:tcPr>
          <w:p>
            <w:pPr>
              <w:jc w:val="right"/>
              <w:ind w:right="472"/>
              <w:spacing w:after="0"/>
              <w:rPr>
                <w:sz w:val="20"/>
                <w:szCs w:val="20"/>
                <w:color w:val="auto"/>
              </w:rPr>
            </w:pPr>
            <w:r>
              <w:rPr>
                <w:rFonts w:ascii="Arial" w:cs="Arial" w:eastAsia="Arial" w:hAnsi="Arial"/>
                <w:sz w:val="14"/>
                <w:szCs w:val="14"/>
                <w:color w:val="auto"/>
              </w:rPr>
              <w:t>27.0%</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30.0%</w:t>
            </w:r>
          </w:p>
        </w:tc>
      </w:tr>
      <w:tr>
        <w:trPr>
          <w:trHeight w:val="164"/>
        </w:trPr>
        <w:tc>
          <w:tcPr>
            <w:tcW w:w="704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Expected term (years)</w:t>
            </w:r>
          </w:p>
        </w:tc>
        <w:tc>
          <w:tcPr>
            <w:tcW w:w="148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4.9</w:t>
            </w:r>
          </w:p>
        </w:tc>
        <w:tc>
          <w:tcPr>
            <w:tcW w:w="1780" w:type="dxa"/>
            <w:vAlign w:val="bottom"/>
            <w:tcBorders>
              <w:bottom w:val="single" w:sz="8" w:color="auto"/>
            </w:tcBorders>
            <w:shd w:val="clear" w:color="auto" w:fill="E6EFFF"/>
          </w:tcPr>
          <w:p>
            <w:pPr>
              <w:jc w:val="right"/>
              <w:ind w:right="472"/>
              <w:spacing w:after="0"/>
              <w:rPr>
                <w:sz w:val="20"/>
                <w:szCs w:val="20"/>
                <w:color w:val="auto"/>
              </w:rPr>
            </w:pPr>
            <w:r>
              <w:rPr>
                <w:rFonts w:ascii="Arial" w:cs="Arial" w:eastAsia="Arial" w:hAnsi="Arial"/>
                <w:sz w:val="14"/>
                <w:szCs w:val="14"/>
                <w:color w:val="auto"/>
              </w:rPr>
              <w:t>4.7</w:t>
            </w:r>
          </w:p>
        </w:tc>
        <w:tc>
          <w:tcPr>
            <w:tcW w:w="9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5.0</w:t>
            </w:r>
          </w:p>
        </w:tc>
        <w:tc>
          <w:tcPr>
            <w:tcW w:w="220" w:type="dxa"/>
            <w:vAlign w:val="bottom"/>
            <w:shd w:val="clear" w:color="auto" w:fill="E6EFFF"/>
          </w:tcPr>
          <w:p>
            <w:pPr>
              <w:spacing w:after="0"/>
              <w:rPr>
                <w:sz w:val="14"/>
                <w:szCs w:val="14"/>
                <w:color w:val="auto"/>
              </w:rPr>
            </w:pPr>
          </w:p>
        </w:tc>
      </w:tr>
    </w:tbl>
    <w:p>
      <w:pPr>
        <w:spacing w:after="0" w:line="180"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The average risk-free interest rate is based on the five-year U.S.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of options granted during the year was $15.17, $22.27 and $16.26 in 2008, 2007 and 2006,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DEFERRED STOCK</w:t>
      </w:r>
    </w:p>
    <w:p>
      <w:pPr>
        <w:spacing w:after="0" w:line="198"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2003 Plan and the deferred stock is settled in shares of common stock according to the terms and conditions under the 2003 Plan. As of December 31, 2008, 2007 and 2006, there were 13,819, 9,743 and 7,446 respectively, shares of deferred stock awarded under this arrangement, all of which are vested.</w:t>
      </w:r>
    </w:p>
    <w:p>
      <w:pPr>
        <w:spacing w:after="0" w:line="170"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Non-employee directors also receive an annual grant of deferred stock (or restricted stock, if they so elect) as additional compensation for board service. The award vests in one year in equal quarterly installments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2003 Plan. As of December 31, 2008, 2007 and 2006, there were 9,663, 10,864 and 15,725, respectively, shares of deferred stock and 7,028, 2,331 and 7,548, respectively, shares of restricted stock granted under this arrangement, all of which are vested. We recognized expense of $0.8, $1.0 and $0.8 related to deferred stock in 2008, 2007 and 2006,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RESTRICTED STOCK</w:t>
      </w:r>
    </w:p>
    <w:p>
      <w:pPr>
        <w:spacing w:after="0" w:line="198"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We grant restricted stock and restricted stock unit awards to certain employees and to non-employee directors who may elect to receive restricted stock rather than deferred stock as described above. Restrictions lapse over periods ranging up to six years. We value restricted stock awards at the closing market value of our common stock on the date of grant.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restricted stock activity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color w:val="4D8ABE"/>
              </w:rPr>
              <w:t>Wtd. Avg.</w:t>
            </w:r>
          </w:p>
        </w:tc>
        <w:tc>
          <w:tcPr>
            <w:tcW w:w="5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4D8ABE"/>
              </w:rPr>
              <w:t>Aggregate</w:t>
            </w:r>
          </w:p>
        </w:tc>
        <w:tc>
          <w:tcPr>
            <w:tcW w:w="40" w:type="dxa"/>
            <w:vAlign w:val="bottom"/>
          </w:tcPr>
          <w:p>
            <w:pPr>
              <w:spacing w:after="0"/>
              <w:rPr>
                <w:sz w:val="14"/>
                <w:szCs w:val="14"/>
                <w:color w:val="auto"/>
              </w:rPr>
            </w:pPr>
          </w:p>
        </w:tc>
      </w:tr>
      <w:tr>
        <w:trPr>
          <w:trHeight w:val="164"/>
        </w:trPr>
        <w:tc>
          <w:tcPr>
            <w:tcW w:w="2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color w:val="4D8ABE"/>
              </w:rPr>
              <w:t>Wtd. Avg.</w:t>
            </w:r>
          </w:p>
        </w:tc>
        <w:tc>
          <w:tcPr>
            <w:tcW w:w="1440" w:type="dxa"/>
            <w:vAlign w:val="bottom"/>
          </w:tcPr>
          <w:p>
            <w:pPr>
              <w:jc w:val="right"/>
              <w:ind w:right="53"/>
              <w:spacing w:after="0"/>
              <w:rPr>
                <w:sz w:val="20"/>
                <w:szCs w:val="20"/>
                <w:color w:val="auto"/>
              </w:rPr>
            </w:pPr>
            <w:r>
              <w:rPr>
                <w:rFonts w:ascii="Arial" w:cs="Arial" w:eastAsia="Arial" w:hAnsi="Arial"/>
                <w:sz w:val="14"/>
                <w:szCs w:val="14"/>
                <w:color w:val="4D8ABE"/>
              </w:rPr>
              <w:t>Remaining</w:t>
            </w:r>
          </w:p>
        </w:tc>
        <w:tc>
          <w:tcPr>
            <w:tcW w:w="5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4D8ABE"/>
              </w:rPr>
              <w:t>Intrinsic</w:t>
            </w:r>
          </w:p>
        </w:tc>
        <w:tc>
          <w:tcPr>
            <w:tcW w:w="40" w:type="dxa"/>
            <w:vAlign w:val="bottom"/>
          </w:tcPr>
          <w:p>
            <w:pPr>
              <w:spacing w:after="0"/>
              <w:rPr>
                <w:sz w:val="14"/>
                <w:szCs w:val="14"/>
                <w:color w:val="auto"/>
              </w:rPr>
            </w:pPr>
          </w:p>
        </w:tc>
      </w:tr>
      <w:tr>
        <w:trPr>
          <w:trHeight w:val="164"/>
        </w:trPr>
        <w:tc>
          <w:tcPr>
            <w:tcW w:w="2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color w:val="4D8ABE"/>
              </w:rPr>
              <w:t>Price</w:t>
            </w:r>
          </w:p>
        </w:tc>
        <w:tc>
          <w:tcPr>
            <w:tcW w:w="1440" w:type="dxa"/>
            <w:vAlign w:val="bottom"/>
          </w:tcPr>
          <w:p>
            <w:pPr>
              <w:jc w:val="right"/>
              <w:ind w:right="53"/>
              <w:spacing w:after="0"/>
              <w:rPr>
                <w:sz w:val="20"/>
                <w:szCs w:val="20"/>
                <w:color w:val="auto"/>
              </w:rPr>
            </w:pPr>
            <w:r>
              <w:rPr>
                <w:rFonts w:ascii="Arial" w:cs="Arial" w:eastAsia="Arial" w:hAnsi="Arial"/>
                <w:sz w:val="14"/>
                <w:szCs w:val="14"/>
                <w:color w:val="4D8ABE"/>
              </w:rPr>
              <w:t>Contractual</w:t>
            </w:r>
          </w:p>
        </w:tc>
        <w:tc>
          <w:tcPr>
            <w:tcW w:w="5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4D8ABE"/>
              </w:rPr>
              <w:t>Value</w:t>
            </w:r>
          </w:p>
        </w:tc>
        <w:tc>
          <w:tcPr>
            <w:tcW w:w="40" w:type="dxa"/>
            <w:vAlign w:val="bottom"/>
          </w:tcPr>
          <w:p>
            <w:pPr>
              <w:spacing w:after="0"/>
              <w:rPr>
                <w:sz w:val="14"/>
                <w:szCs w:val="14"/>
                <w:color w:val="auto"/>
              </w:rPr>
            </w:pPr>
          </w:p>
        </w:tc>
      </w:tr>
      <w:tr>
        <w:trPr>
          <w:trHeight w:val="165"/>
        </w:trPr>
        <w:tc>
          <w:tcPr>
            <w:tcW w:w="2360" w:type="dxa"/>
            <w:vAlign w:val="bottom"/>
          </w:tcPr>
          <w:p>
            <w:pPr>
              <w:spacing w:after="0"/>
              <w:rPr>
                <w:sz w:val="14"/>
                <w:szCs w:val="14"/>
                <w:color w:val="auto"/>
              </w:rPr>
            </w:pPr>
          </w:p>
        </w:tc>
        <w:tc>
          <w:tcPr>
            <w:tcW w:w="4580" w:type="dxa"/>
            <w:vAlign w:val="bottom"/>
          </w:tcPr>
          <w:p>
            <w:pPr>
              <w:jc w:val="right"/>
              <w:ind w:right="32"/>
              <w:spacing w:after="0"/>
              <w:rPr>
                <w:sz w:val="20"/>
                <w:szCs w:val="20"/>
                <w:color w:val="auto"/>
              </w:rPr>
            </w:pPr>
            <w:r>
              <w:rPr>
                <w:rFonts w:ascii="Arial" w:cs="Arial" w:eastAsia="Arial" w:hAnsi="Arial"/>
                <w:sz w:val="14"/>
                <w:szCs w:val="14"/>
                <w:color w:val="4D8ABE"/>
              </w:rPr>
              <w:t>Shares (000)</w:t>
            </w:r>
          </w:p>
        </w:tc>
        <w:tc>
          <w:tcPr>
            <w:tcW w:w="440" w:type="dxa"/>
            <w:vAlign w:val="bottom"/>
          </w:tcPr>
          <w:p>
            <w:pPr>
              <w:spacing w:after="0"/>
              <w:rPr>
                <w:sz w:val="14"/>
                <w:szCs w:val="14"/>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color w:val="4D8ABE"/>
              </w:rPr>
              <w:t>Per Share</w:t>
            </w:r>
          </w:p>
        </w:tc>
        <w:tc>
          <w:tcPr>
            <w:tcW w:w="1440" w:type="dxa"/>
            <w:vAlign w:val="bottom"/>
          </w:tcPr>
          <w:p>
            <w:pPr>
              <w:jc w:val="right"/>
              <w:ind w:right="53"/>
              <w:spacing w:after="0"/>
              <w:rPr>
                <w:sz w:val="20"/>
                <w:szCs w:val="20"/>
                <w:color w:val="auto"/>
              </w:rPr>
            </w:pPr>
            <w:r>
              <w:rPr>
                <w:rFonts w:ascii="Arial" w:cs="Arial" w:eastAsia="Arial" w:hAnsi="Arial"/>
                <w:sz w:val="14"/>
                <w:szCs w:val="14"/>
                <w:color w:val="4D8ABE"/>
              </w:rPr>
              <w:t>Term (years)</w:t>
            </w:r>
          </w:p>
        </w:tc>
        <w:tc>
          <w:tcPr>
            <w:tcW w:w="5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4D8ABE"/>
              </w:rPr>
              <w:t>(in millions)</w:t>
            </w:r>
          </w:p>
        </w:tc>
        <w:tc>
          <w:tcPr>
            <w:tcW w:w="40" w:type="dxa"/>
            <w:vAlign w:val="bottom"/>
          </w:tcPr>
          <w:p>
            <w:pPr>
              <w:spacing w:after="0"/>
              <w:rPr>
                <w:sz w:val="14"/>
                <w:szCs w:val="14"/>
                <w:color w:val="auto"/>
              </w:rPr>
            </w:pPr>
          </w:p>
        </w:tc>
      </w:tr>
      <w:tr>
        <w:trPr>
          <w:trHeight w:val="155"/>
        </w:trPr>
        <w:tc>
          <w:tcPr>
            <w:tcW w:w="2360" w:type="dxa"/>
            <w:vAlign w:val="bottom"/>
            <w:tcBorders>
              <w:top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Unvested, January 1, 2006</w:t>
            </w:r>
          </w:p>
        </w:tc>
        <w:tc>
          <w:tcPr>
            <w:tcW w:w="4580" w:type="dxa"/>
            <w:vAlign w:val="bottom"/>
            <w:tcBorders>
              <w:top w:val="single" w:sz="8" w:color="4D8ABE"/>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202</w:t>
            </w:r>
          </w:p>
        </w:tc>
        <w:tc>
          <w:tcPr>
            <w:tcW w:w="440" w:type="dxa"/>
            <w:vAlign w:val="bottom"/>
            <w:tcBorders>
              <w:top w:val="single" w:sz="8" w:color="4D8ABE"/>
            </w:tcBorders>
            <w:shd w:val="clear" w:color="auto" w:fill="E6EFFF"/>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4D8ABE"/>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41</w:t>
            </w:r>
          </w:p>
        </w:tc>
        <w:tc>
          <w:tcPr>
            <w:tcW w:w="1440" w:type="dxa"/>
            <w:vAlign w:val="bottom"/>
            <w:tcBorders>
              <w:top w:val="single" w:sz="8" w:color="4D8ABE"/>
            </w:tcBorders>
            <w:shd w:val="clear" w:color="auto" w:fill="E6EFFF"/>
          </w:tcPr>
          <w:p>
            <w:pPr>
              <w:spacing w:after="0"/>
              <w:rPr>
                <w:sz w:val="13"/>
                <w:szCs w:val="13"/>
                <w:color w:val="auto"/>
              </w:rPr>
            </w:pPr>
          </w:p>
        </w:tc>
        <w:tc>
          <w:tcPr>
            <w:tcW w:w="540" w:type="dxa"/>
            <w:vAlign w:val="bottom"/>
            <w:tcBorders>
              <w:top w:val="single" w:sz="8" w:color="4D8ABE"/>
            </w:tcBorders>
            <w:shd w:val="clear" w:color="auto" w:fill="E6EFFF"/>
          </w:tcPr>
          <w:p>
            <w:pPr>
              <w:spacing w:after="0"/>
              <w:rPr>
                <w:sz w:val="13"/>
                <w:szCs w:val="13"/>
                <w:color w:val="auto"/>
              </w:rPr>
            </w:pPr>
          </w:p>
        </w:tc>
        <w:tc>
          <w:tcPr>
            <w:tcW w:w="820" w:type="dxa"/>
            <w:vAlign w:val="bottom"/>
            <w:tcBorders>
              <w:top w:val="single" w:sz="8" w:color="4D8ABE"/>
            </w:tcBorders>
            <w:shd w:val="clear" w:color="auto" w:fill="E6EFFF"/>
          </w:tcPr>
          <w:p>
            <w:pPr>
              <w:spacing w:after="0"/>
              <w:rPr>
                <w:sz w:val="13"/>
                <w:szCs w:val="13"/>
                <w:color w:val="auto"/>
              </w:rPr>
            </w:pPr>
          </w:p>
        </w:tc>
        <w:tc>
          <w:tcPr>
            <w:tcW w:w="220" w:type="dxa"/>
            <w:vAlign w:val="bottom"/>
            <w:tcBorders>
              <w:top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360" w:type="dxa"/>
            <w:vAlign w:val="bottom"/>
          </w:tcPr>
          <w:p>
            <w:pPr>
              <w:ind w:left="120"/>
              <w:spacing w:after="0"/>
              <w:rPr>
                <w:sz w:val="20"/>
                <w:szCs w:val="20"/>
                <w:color w:val="auto"/>
              </w:rPr>
            </w:pPr>
            <w:r>
              <w:rPr>
                <w:rFonts w:ascii="Arial" w:cs="Arial" w:eastAsia="Arial" w:hAnsi="Arial"/>
                <w:sz w:val="14"/>
                <w:szCs w:val="14"/>
                <w:color w:val="auto"/>
              </w:rPr>
              <w:t>Granted</w:t>
            </w:r>
          </w:p>
        </w:tc>
        <w:tc>
          <w:tcPr>
            <w:tcW w:w="4580" w:type="dxa"/>
            <w:vAlign w:val="bottom"/>
          </w:tcPr>
          <w:p>
            <w:pPr>
              <w:jc w:val="right"/>
              <w:ind w:right="72"/>
              <w:spacing w:after="0"/>
              <w:rPr>
                <w:sz w:val="20"/>
                <w:szCs w:val="20"/>
                <w:color w:val="auto"/>
              </w:rPr>
            </w:pPr>
            <w:r>
              <w:rPr>
                <w:rFonts w:ascii="Arial" w:cs="Arial" w:eastAsia="Arial" w:hAnsi="Arial"/>
                <w:sz w:val="14"/>
                <w:szCs w:val="14"/>
                <w:color w:val="auto"/>
              </w:rPr>
              <w:t>54</w:t>
            </w:r>
          </w:p>
        </w:tc>
        <w:tc>
          <w:tcPr>
            <w:tcW w:w="440" w:type="dxa"/>
            <w:vAlign w:val="bottom"/>
          </w:tcPr>
          <w:p>
            <w:pPr>
              <w:spacing w:after="0"/>
              <w:rPr>
                <w:sz w:val="14"/>
                <w:szCs w:val="14"/>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52</w:t>
            </w: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360" w:type="dxa"/>
            <w:vAlign w:val="bottom"/>
            <w:shd w:val="clear" w:color="auto" w:fill="E6EFFF"/>
          </w:tcPr>
          <w:p>
            <w:pPr>
              <w:ind w:left="120"/>
              <w:spacing w:after="0"/>
              <w:rPr>
                <w:sz w:val="20"/>
                <w:szCs w:val="20"/>
                <w:color w:val="auto"/>
              </w:rPr>
            </w:pPr>
            <w:r>
              <w:rPr>
                <w:rFonts w:ascii="Arial" w:cs="Arial" w:eastAsia="Arial" w:hAnsi="Arial"/>
                <w:sz w:val="14"/>
                <w:szCs w:val="14"/>
                <w:color w:val="auto"/>
              </w:rPr>
              <w:t>Vested</w:t>
            </w:r>
          </w:p>
        </w:tc>
        <w:tc>
          <w:tcPr>
            <w:tcW w:w="458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(46)</w:t>
            </w:r>
          </w:p>
        </w:tc>
        <w:tc>
          <w:tcPr>
            <w:tcW w:w="440" w:type="dxa"/>
            <w:vAlign w:val="bottom"/>
            <w:shd w:val="clear" w:color="auto" w:fill="E6EFFF"/>
          </w:tcPr>
          <w:p>
            <w:pPr>
              <w:spacing w:after="0"/>
              <w:rPr>
                <w:sz w:val="14"/>
                <w:szCs w:val="14"/>
                <w:color w:val="auto"/>
              </w:rPr>
            </w:pPr>
          </w:p>
        </w:tc>
        <w:tc>
          <w:tcPr>
            <w:tcW w:w="106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39</w:t>
            </w:r>
          </w:p>
        </w:tc>
        <w:tc>
          <w:tcPr>
            <w:tcW w:w="1440" w:type="dxa"/>
            <w:vAlign w:val="bottom"/>
            <w:shd w:val="clear" w:color="auto" w:fill="E6EFFF"/>
          </w:tcPr>
          <w:p>
            <w:pPr>
              <w:spacing w:after="0"/>
              <w:rPr>
                <w:sz w:val="14"/>
                <w:szCs w:val="14"/>
                <w:color w:val="auto"/>
              </w:rPr>
            </w:pPr>
          </w:p>
        </w:tc>
        <w:tc>
          <w:tcPr>
            <w:tcW w:w="54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3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Forfeited</w:t>
            </w:r>
          </w:p>
        </w:tc>
        <w:tc>
          <w:tcPr>
            <w:tcW w:w="4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44</w:t>
            </w:r>
          </w:p>
        </w:tc>
        <w:tc>
          <w:tcPr>
            <w:tcW w:w="1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E6EFFF"/>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360" w:type="dxa"/>
            <w:vAlign w:val="bottom"/>
            <w:shd w:val="clear" w:color="auto" w:fill="E6EFFF"/>
          </w:tcPr>
          <w:p>
            <w:pPr>
              <w:spacing w:after="0" w:line="155" w:lineRule="exact"/>
              <w:rPr>
                <w:sz w:val="20"/>
                <w:szCs w:val="20"/>
                <w:color w:val="auto"/>
              </w:rPr>
            </w:pPr>
            <w:r>
              <w:rPr>
                <w:rFonts w:ascii="Arial" w:cs="Arial" w:eastAsia="Arial" w:hAnsi="Arial"/>
                <w:sz w:val="14"/>
                <w:szCs w:val="14"/>
                <w:color w:val="auto"/>
              </w:rPr>
              <w:t>Unvested, December 31, 2006</w:t>
            </w:r>
          </w:p>
        </w:tc>
        <w:tc>
          <w:tcPr>
            <w:tcW w:w="4580" w:type="dxa"/>
            <w:vAlign w:val="bottom"/>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205</w:t>
            </w:r>
          </w:p>
        </w:tc>
        <w:tc>
          <w:tcPr>
            <w:tcW w:w="440" w:type="dxa"/>
            <w:vAlign w:val="bottom"/>
            <w:shd w:val="clear" w:color="auto" w:fill="E6EFFF"/>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44</w:t>
            </w:r>
          </w:p>
        </w:tc>
        <w:tc>
          <w:tcPr>
            <w:tcW w:w="1440" w:type="dxa"/>
            <w:vAlign w:val="bottom"/>
            <w:shd w:val="clear" w:color="auto" w:fill="E6EFFF"/>
          </w:tcPr>
          <w:p>
            <w:pPr>
              <w:jc w:val="right"/>
              <w:ind w:right="53"/>
              <w:spacing w:after="0" w:line="155" w:lineRule="exact"/>
              <w:rPr>
                <w:sz w:val="20"/>
                <w:szCs w:val="20"/>
                <w:color w:val="auto"/>
              </w:rPr>
            </w:pPr>
            <w:r>
              <w:rPr>
                <w:rFonts w:ascii="Arial" w:cs="Arial" w:eastAsia="Arial" w:hAnsi="Arial"/>
                <w:sz w:val="14"/>
                <w:szCs w:val="14"/>
                <w:color w:val="auto"/>
              </w:rPr>
              <w:t>1.8</w:t>
            </w:r>
          </w:p>
        </w:tc>
        <w:tc>
          <w:tcPr>
            <w:tcW w:w="540" w:type="dxa"/>
            <w:vAlign w:val="bottom"/>
            <w:shd w:val="clear" w:color="auto" w:fill="E6EFFF"/>
          </w:tcPr>
          <w:p>
            <w:pPr>
              <w:spacing w:after="0"/>
              <w:rPr>
                <w:sz w:val="13"/>
                <w:szCs w:val="13"/>
                <w:color w:val="auto"/>
              </w:rPr>
            </w:pPr>
          </w:p>
        </w:tc>
        <w:tc>
          <w:tcPr>
            <w:tcW w:w="82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360" w:type="dxa"/>
            <w:vAlign w:val="bottom"/>
          </w:tcPr>
          <w:p>
            <w:pPr>
              <w:ind w:left="120"/>
              <w:spacing w:after="0"/>
              <w:rPr>
                <w:sz w:val="20"/>
                <w:szCs w:val="20"/>
                <w:color w:val="auto"/>
              </w:rPr>
            </w:pPr>
            <w:r>
              <w:rPr>
                <w:rFonts w:ascii="Arial" w:cs="Arial" w:eastAsia="Arial" w:hAnsi="Arial"/>
                <w:sz w:val="14"/>
                <w:szCs w:val="14"/>
                <w:color w:val="auto"/>
              </w:rPr>
              <w:t>Granted</w:t>
            </w:r>
          </w:p>
        </w:tc>
        <w:tc>
          <w:tcPr>
            <w:tcW w:w="4580" w:type="dxa"/>
            <w:vAlign w:val="bottom"/>
          </w:tcPr>
          <w:p>
            <w:pPr>
              <w:jc w:val="right"/>
              <w:ind w:right="72"/>
              <w:spacing w:after="0"/>
              <w:rPr>
                <w:sz w:val="20"/>
                <w:szCs w:val="20"/>
                <w:color w:val="auto"/>
              </w:rPr>
            </w:pPr>
            <w:r>
              <w:rPr>
                <w:rFonts w:ascii="Arial" w:cs="Arial" w:eastAsia="Arial" w:hAnsi="Arial"/>
                <w:sz w:val="14"/>
                <w:szCs w:val="14"/>
                <w:color w:val="auto"/>
              </w:rPr>
              <w:t>26</w:t>
            </w:r>
          </w:p>
        </w:tc>
        <w:tc>
          <w:tcPr>
            <w:tcW w:w="4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83</w:t>
            </w: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360" w:type="dxa"/>
            <w:vAlign w:val="bottom"/>
            <w:shd w:val="clear" w:color="auto" w:fill="E6EFFF"/>
          </w:tcPr>
          <w:p>
            <w:pPr>
              <w:ind w:left="120"/>
              <w:spacing w:after="0"/>
              <w:rPr>
                <w:sz w:val="20"/>
                <w:szCs w:val="20"/>
                <w:color w:val="auto"/>
              </w:rPr>
            </w:pPr>
            <w:r>
              <w:rPr>
                <w:rFonts w:ascii="Arial" w:cs="Arial" w:eastAsia="Arial" w:hAnsi="Arial"/>
                <w:sz w:val="14"/>
                <w:szCs w:val="14"/>
                <w:color w:val="auto"/>
              </w:rPr>
              <w:t>Vested</w:t>
            </w:r>
          </w:p>
        </w:tc>
        <w:tc>
          <w:tcPr>
            <w:tcW w:w="458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(12)</w:t>
            </w:r>
          </w:p>
        </w:tc>
        <w:tc>
          <w:tcPr>
            <w:tcW w:w="440" w:type="dxa"/>
            <w:vAlign w:val="bottom"/>
            <w:shd w:val="clear" w:color="auto" w:fill="E6EFFF"/>
          </w:tcPr>
          <w:p>
            <w:pPr>
              <w:spacing w:after="0"/>
              <w:rPr>
                <w:sz w:val="14"/>
                <w:szCs w:val="14"/>
                <w:color w:val="auto"/>
              </w:rPr>
            </w:pPr>
          </w:p>
        </w:tc>
        <w:tc>
          <w:tcPr>
            <w:tcW w:w="106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51</w:t>
            </w:r>
          </w:p>
        </w:tc>
        <w:tc>
          <w:tcPr>
            <w:tcW w:w="1440" w:type="dxa"/>
            <w:vAlign w:val="bottom"/>
            <w:shd w:val="clear" w:color="auto" w:fill="E6EFFF"/>
          </w:tcPr>
          <w:p>
            <w:pPr>
              <w:spacing w:after="0"/>
              <w:rPr>
                <w:sz w:val="14"/>
                <w:szCs w:val="14"/>
                <w:color w:val="auto"/>
              </w:rPr>
            </w:pPr>
          </w:p>
        </w:tc>
        <w:tc>
          <w:tcPr>
            <w:tcW w:w="54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3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Forfeited</w:t>
            </w:r>
          </w:p>
        </w:tc>
        <w:tc>
          <w:tcPr>
            <w:tcW w:w="4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53</w:t>
            </w:r>
          </w:p>
        </w:tc>
        <w:tc>
          <w:tcPr>
            <w:tcW w:w="1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E6EFFF"/>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360" w:type="dxa"/>
            <w:vAlign w:val="bottom"/>
            <w:shd w:val="clear" w:color="auto" w:fill="E6EFFF"/>
          </w:tcPr>
          <w:p>
            <w:pPr>
              <w:spacing w:after="0" w:line="155" w:lineRule="exact"/>
              <w:rPr>
                <w:sz w:val="20"/>
                <w:szCs w:val="20"/>
                <w:color w:val="auto"/>
              </w:rPr>
            </w:pPr>
            <w:r>
              <w:rPr>
                <w:rFonts w:ascii="Arial" w:cs="Arial" w:eastAsia="Arial" w:hAnsi="Arial"/>
                <w:sz w:val="14"/>
                <w:szCs w:val="14"/>
                <w:color w:val="auto"/>
              </w:rPr>
              <w:t>Unvested, December 31, 2007</w:t>
            </w:r>
          </w:p>
        </w:tc>
        <w:tc>
          <w:tcPr>
            <w:tcW w:w="4580" w:type="dxa"/>
            <w:vAlign w:val="bottom"/>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215</w:t>
            </w:r>
          </w:p>
        </w:tc>
        <w:tc>
          <w:tcPr>
            <w:tcW w:w="440" w:type="dxa"/>
            <w:vAlign w:val="bottom"/>
            <w:shd w:val="clear" w:color="auto" w:fill="E6EFFF"/>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49</w:t>
            </w:r>
          </w:p>
        </w:tc>
        <w:tc>
          <w:tcPr>
            <w:tcW w:w="1440" w:type="dxa"/>
            <w:vAlign w:val="bottom"/>
            <w:shd w:val="clear" w:color="auto" w:fill="E6EFFF"/>
          </w:tcPr>
          <w:p>
            <w:pPr>
              <w:jc w:val="right"/>
              <w:ind w:right="53"/>
              <w:spacing w:after="0" w:line="155" w:lineRule="exact"/>
              <w:rPr>
                <w:sz w:val="20"/>
                <w:szCs w:val="20"/>
                <w:color w:val="auto"/>
              </w:rPr>
            </w:pPr>
            <w:r>
              <w:rPr>
                <w:rFonts w:ascii="Arial" w:cs="Arial" w:eastAsia="Arial" w:hAnsi="Arial"/>
                <w:sz w:val="14"/>
                <w:szCs w:val="14"/>
                <w:color w:val="auto"/>
              </w:rPr>
              <w:t>2.2</w:t>
            </w:r>
          </w:p>
        </w:tc>
        <w:tc>
          <w:tcPr>
            <w:tcW w:w="540" w:type="dxa"/>
            <w:vAlign w:val="bottom"/>
            <w:shd w:val="clear" w:color="auto" w:fill="E6EFFF"/>
          </w:tcPr>
          <w:p>
            <w:pPr>
              <w:spacing w:after="0"/>
              <w:rPr>
                <w:sz w:val="13"/>
                <w:szCs w:val="13"/>
                <w:color w:val="auto"/>
              </w:rPr>
            </w:pPr>
          </w:p>
        </w:tc>
        <w:tc>
          <w:tcPr>
            <w:tcW w:w="82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360" w:type="dxa"/>
            <w:vAlign w:val="bottom"/>
          </w:tcPr>
          <w:p>
            <w:pPr>
              <w:ind w:left="120"/>
              <w:spacing w:after="0"/>
              <w:rPr>
                <w:sz w:val="20"/>
                <w:szCs w:val="20"/>
                <w:color w:val="auto"/>
              </w:rPr>
            </w:pPr>
            <w:r>
              <w:rPr>
                <w:rFonts w:ascii="Arial" w:cs="Arial" w:eastAsia="Arial" w:hAnsi="Arial"/>
                <w:sz w:val="14"/>
                <w:szCs w:val="14"/>
                <w:color w:val="auto"/>
              </w:rPr>
              <w:t>Granted</w:t>
            </w:r>
          </w:p>
        </w:tc>
        <w:tc>
          <w:tcPr>
            <w:tcW w:w="4580" w:type="dxa"/>
            <w:vAlign w:val="bottom"/>
          </w:tcPr>
          <w:p>
            <w:pPr>
              <w:jc w:val="right"/>
              <w:ind w:right="72"/>
              <w:spacing w:after="0"/>
              <w:rPr>
                <w:sz w:val="20"/>
                <w:szCs w:val="20"/>
                <w:color w:val="auto"/>
              </w:rPr>
            </w:pPr>
            <w:r>
              <w:rPr>
                <w:rFonts w:ascii="Arial" w:cs="Arial" w:eastAsia="Arial" w:hAnsi="Arial"/>
                <w:sz w:val="14"/>
                <w:szCs w:val="14"/>
                <w:color w:val="auto"/>
              </w:rPr>
              <w:t>66</w:t>
            </w:r>
          </w:p>
        </w:tc>
        <w:tc>
          <w:tcPr>
            <w:tcW w:w="4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57</w:t>
            </w: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360" w:type="dxa"/>
            <w:vAlign w:val="bottom"/>
            <w:shd w:val="clear" w:color="auto" w:fill="E6EFFF"/>
          </w:tcPr>
          <w:p>
            <w:pPr>
              <w:ind w:left="120"/>
              <w:spacing w:after="0"/>
              <w:rPr>
                <w:sz w:val="20"/>
                <w:szCs w:val="20"/>
                <w:color w:val="auto"/>
              </w:rPr>
            </w:pPr>
            <w:r>
              <w:rPr>
                <w:rFonts w:ascii="Arial" w:cs="Arial" w:eastAsia="Arial" w:hAnsi="Arial"/>
                <w:sz w:val="14"/>
                <w:szCs w:val="14"/>
                <w:color w:val="auto"/>
              </w:rPr>
              <w:t>Vested</w:t>
            </w:r>
          </w:p>
        </w:tc>
        <w:tc>
          <w:tcPr>
            <w:tcW w:w="458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(89)</w:t>
            </w:r>
          </w:p>
        </w:tc>
        <w:tc>
          <w:tcPr>
            <w:tcW w:w="440" w:type="dxa"/>
            <w:vAlign w:val="bottom"/>
            <w:shd w:val="clear" w:color="auto" w:fill="E6EFFF"/>
          </w:tcPr>
          <w:p>
            <w:pPr>
              <w:spacing w:after="0"/>
              <w:rPr>
                <w:sz w:val="14"/>
                <w:szCs w:val="14"/>
                <w:color w:val="auto"/>
              </w:rPr>
            </w:pPr>
          </w:p>
        </w:tc>
        <w:tc>
          <w:tcPr>
            <w:tcW w:w="106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42</w:t>
            </w:r>
          </w:p>
        </w:tc>
        <w:tc>
          <w:tcPr>
            <w:tcW w:w="1440" w:type="dxa"/>
            <w:vAlign w:val="bottom"/>
            <w:shd w:val="clear" w:color="auto" w:fill="E6EFFF"/>
          </w:tcPr>
          <w:p>
            <w:pPr>
              <w:spacing w:after="0"/>
              <w:rPr>
                <w:sz w:val="14"/>
                <w:szCs w:val="14"/>
                <w:color w:val="auto"/>
              </w:rPr>
            </w:pPr>
          </w:p>
        </w:tc>
        <w:tc>
          <w:tcPr>
            <w:tcW w:w="540" w:type="dxa"/>
            <w:vAlign w:val="bottom"/>
            <w:shd w:val="clear" w:color="auto" w:fill="E6EFFF"/>
          </w:tcPr>
          <w:p>
            <w:pPr>
              <w:spacing w:after="0"/>
              <w:rPr>
                <w:sz w:val="14"/>
                <w:szCs w:val="14"/>
                <w:color w:val="auto"/>
              </w:rPr>
            </w:pPr>
          </w:p>
        </w:tc>
        <w:tc>
          <w:tcPr>
            <w:tcW w:w="8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3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Forfeited</w:t>
            </w:r>
          </w:p>
        </w:tc>
        <w:tc>
          <w:tcPr>
            <w:tcW w:w="4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E6EFFF"/>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360" w:type="dxa"/>
            <w:vAlign w:val="bottom"/>
            <w:tcBorders>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Unvested, December 31, 2008</w:t>
            </w:r>
          </w:p>
        </w:tc>
        <w:tc>
          <w:tcPr>
            <w:tcW w:w="4580" w:type="dxa"/>
            <w:vAlign w:val="bottom"/>
            <w:tcBorders>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192</w:t>
            </w:r>
          </w:p>
        </w:tc>
        <w:tc>
          <w:tcPr>
            <w:tcW w:w="440" w:type="dxa"/>
            <w:vAlign w:val="bottom"/>
            <w:tcBorders>
              <w:bottom w:val="single" w:sz="8" w:color="auto"/>
            </w:tcBorders>
            <w:shd w:val="clear" w:color="auto" w:fill="E6EFFF"/>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55</w:t>
            </w:r>
          </w:p>
        </w:tc>
        <w:tc>
          <w:tcPr>
            <w:tcW w:w="1440" w:type="dxa"/>
            <w:vAlign w:val="bottom"/>
            <w:tcBorders>
              <w:bottom w:val="single" w:sz="8" w:color="auto"/>
            </w:tcBorders>
            <w:shd w:val="clear" w:color="auto" w:fill="E6EFFF"/>
          </w:tcPr>
          <w:p>
            <w:pPr>
              <w:jc w:val="right"/>
              <w:ind w:right="53"/>
              <w:spacing w:after="0" w:line="155" w:lineRule="exact"/>
              <w:rPr>
                <w:sz w:val="20"/>
                <w:szCs w:val="20"/>
                <w:color w:val="auto"/>
              </w:rPr>
            </w:pPr>
            <w:r>
              <w:rPr>
                <w:rFonts w:ascii="Arial" w:cs="Arial" w:eastAsia="Arial" w:hAnsi="Arial"/>
                <w:sz w:val="14"/>
                <w:szCs w:val="14"/>
                <w:color w:val="auto"/>
              </w:rPr>
              <w:t>2.7</w:t>
            </w:r>
          </w:p>
        </w:tc>
        <w:tc>
          <w:tcPr>
            <w:tcW w:w="540" w:type="dxa"/>
            <w:vAlign w:val="bottom"/>
            <w:tcBorders>
              <w:bottom w:val="single" w:sz="8" w:color="auto"/>
            </w:tcBorders>
            <w:shd w:val="clear" w:color="auto" w:fill="E6EFFF"/>
          </w:tcPr>
          <w:p>
            <w:pPr>
              <w:jc w:val="right"/>
              <w:ind w:right="29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7</w:t>
            </w:r>
          </w:p>
        </w:tc>
        <w:tc>
          <w:tcPr>
            <w:tcW w:w="220" w:type="dxa"/>
            <w:vAlign w:val="bottom"/>
            <w:tcBorders>
              <w:bottom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370"/>
        </w:trPr>
        <w:tc>
          <w:tcPr>
            <w:tcW w:w="23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2360" w:type="dxa"/>
            <w:vAlign w:val="bottom"/>
          </w:tcPr>
          <w:p>
            <w:pPr>
              <w:spacing w:after="0"/>
              <w:rPr>
                <w:sz w:val="20"/>
                <w:szCs w:val="20"/>
                <w:color w:val="auto"/>
              </w:rPr>
            </w:pPr>
            <w:r>
              <w:rPr>
                <w:rFonts w:ascii="Arial" w:cs="Arial" w:eastAsia="Arial" w:hAnsi="Arial"/>
                <w:sz w:val="12"/>
                <w:szCs w:val="12"/>
                <w:b w:val="1"/>
                <w:bCs w:val="1"/>
                <w:color w:val="auto"/>
              </w:rPr>
              <w:t>54</w:t>
            </w:r>
          </w:p>
        </w:tc>
        <w:tc>
          <w:tcPr>
            <w:tcW w:w="4580" w:type="dxa"/>
            <w:vAlign w:val="bottom"/>
          </w:tcPr>
          <w:p>
            <w:pPr>
              <w:jc w:val="right"/>
              <w:ind w:right="1552"/>
              <w:spacing w:after="0"/>
              <w:rPr>
                <w:sz w:val="20"/>
                <w:szCs w:val="20"/>
                <w:color w:val="auto"/>
              </w:rPr>
            </w:pPr>
            <w:r>
              <w:rPr>
                <w:rFonts w:ascii="Arial" w:cs="Arial" w:eastAsia="Arial" w:hAnsi="Arial"/>
                <w:sz w:val="12"/>
                <w:szCs w:val="12"/>
                <w:b w:val="1"/>
                <w:bCs w:val="1"/>
                <w:color w:val="939598"/>
              </w:rPr>
              <w:t>Notes To Consolidated Financial Statements</w:t>
            </w: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80" w:type="dxa"/>
            <w:vAlign w:val="bottom"/>
            <w:gridSpan w:val="2"/>
          </w:tcPr>
          <w:p>
            <w:pPr>
              <w:jc w:val="right"/>
              <w:ind w:right="52"/>
              <w:spacing w:after="0"/>
              <w:rPr>
                <w:sz w:val="20"/>
                <w:szCs w:val="20"/>
                <w:color w:val="auto"/>
              </w:rPr>
            </w:pPr>
            <w:r>
              <w:rPr>
                <w:rFonts w:ascii="Arial" w:cs="Arial" w:eastAsia="Arial" w:hAnsi="Arial"/>
                <w:sz w:val="12"/>
                <w:szCs w:val="12"/>
                <w:b w:val="1"/>
                <w:bCs w:val="1"/>
                <w:color w:val="auto"/>
              </w:rPr>
              <w:t>Manpower Annual Report 2008</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7"/>
        </w:trPr>
        <w:tc>
          <w:tcPr>
            <w:tcW w:w="2360" w:type="dxa"/>
            <w:vAlign w:val="bottom"/>
          </w:tcPr>
          <w:p>
            <w:pPr>
              <w:spacing w:after="0"/>
              <w:rPr>
                <w:sz w:val="4"/>
                <w:szCs w:val="4"/>
                <w:color w:val="auto"/>
              </w:rPr>
            </w:pPr>
          </w:p>
        </w:tc>
        <w:tc>
          <w:tcPr>
            <w:tcW w:w="4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236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00"/>
          </w:cols>
          <w:pgMar w:left="220" w:top="114" w:right="179" w:bottom="1440" w:gutter="0" w:footer="0" w:header="0"/>
        </w:sectPr>
      </w:pPr>
    </w:p>
    <w:bookmarkStart w:id="112" w:name="page113"/>
    <w:bookmarkEnd w:id="112"/>
    <w:p>
      <w:pPr>
        <w:jc w:val="both"/>
        <w:ind w:right="40"/>
        <w:spacing w:after="0" w:line="249" w:lineRule="auto"/>
        <w:rPr>
          <w:sz w:val="20"/>
          <w:szCs w:val="20"/>
          <w:color w:val="auto"/>
        </w:rPr>
      </w:pPr>
      <w:r>
        <w:rPr>
          <w:rFonts w:ascii="Arial" w:cs="Arial" w:eastAsia="Arial" w:hAnsi="Arial"/>
          <w:sz w:val="16"/>
          <w:szCs w:val="16"/>
          <w:color w:val="auto"/>
        </w:rPr>
        <w:t>During 2008, 2007 and 2006, we recognized $2.8, $2.7 and $2.4, respectively, of expense, related to restricted stock awards. As of December 31, 2008, there was approximately $6.1 of total unrecognized compensation cost related to unvested restricted stock, which we expect to recognize over a weighted-average period of approximately 2.9 years.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PERFORMANCE SHARE UNITS</w:t>
      </w:r>
    </w:p>
    <w:p>
      <w:pPr>
        <w:spacing w:after="0" w:line="198"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Our 2003 Plan allows us to grant performance share units. Vesting of units occurs at the end of the performance period, generally three years, except in the case of death, disability or termination of employment, and the units are settled in shares of our common stock. A payout multiple is applied to the units awarded based on the performance criteria determined by the Executive Compensation Committee of the Board of Directors at the time of grant. Holders of performance share units do not receive dividends during the performance period. Accordingly, the fair value of these units is the quoted market value of our stock on the date of the grant.</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In February 2006, 2007 and 2008, we granted performance share units with a performance criteria of average Operating Profit Margin over the three-year performance period of 2006-2008, 2007-2009 and 2008-2010,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performance share unit activity, at the Target Award level, for each of the performance periods is as follows:</w:t>
      </w:r>
    </w:p>
    <w:p>
      <w:pPr>
        <w:spacing w:after="0" w:line="190" w:lineRule="exact"/>
        <w:rPr>
          <w:sz w:val="20"/>
          <w:szCs w:val="20"/>
          <w:color w:val="auto"/>
        </w:rPr>
      </w:pPr>
    </w:p>
    <w:p>
      <w:pPr>
        <w:ind w:left="8820"/>
        <w:spacing w:after="0"/>
        <w:rPr>
          <w:sz w:val="20"/>
          <w:szCs w:val="20"/>
          <w:color w:val="auto"/>
        </w:rPr>
      </w:pPr>
      <w:r>
        <w:rPr>
          <w:rFonts w:ascii="Arial" w:cs="Arial" w:eastAsia="Arial" w:hAnsi="Arial"/>
          <w:sz w:val="14"/>
          <w:szCs w:val="14"/>
          <w:color w:val="4D8ABE"/>
        </w:rPr>
        <w:t>Share Units for Each Outstanding Grant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20" w:type="dxa"/>
            <w:vAlign w:val="bottom"/>
            <w:tcBorders>
              <w:top w:val="single" w:sz="8" w:color="4D8ABE"/>
              <w:bottom w:val="single" w:sz="8" w:color="4D8ABE"/>
            </w:tcBorders>
          </w:tcPr>
          <w:p>
            <w:pPr>
              <w:spacing w:after="0"/>
              <w:rPr>
                <w:sz w:val="13"/>
                <w:szCs w:val="13"/>
                <w:color w:val="auto"/>
              </w:rPr>
            </w:pPr>
          </w:p>
        </w:tc>
        <w:tc>
          <w:tcPr>
            <w:tcW w:w="3900" w:type="dxa"/>
            <w:vAlign w:val="bottom"/>
            <w:tcBorders>
              <w:top w:val="single" w:sz="8" w:color="4D8ABE"/>
              <w:bottom w:val="single" w:sz="8" w:color="4D8ABE"/>
            </w:tcBorders>
          </w:tcPr>
          <w:p>
            <w:pPr>
              <w:jc w:val="right"/>
              <w:ind w:right="372"/>
              <w:spacing w:after="0" w:line="156" w:lineRule="exact"/>
              <w:rPr>
                <w:sz w:val="20"/>
                <w:szCs w:val="20"/>
                <w:color w:val="auto"/>
              </w:rPr>
            </w:pPr>
            <w:r>
              <w:rPr>
                <w:rFonts w:ascii="Arial" w:cs="Arial" w:eastAsia="Arial" w:hAnsi="Arial"/>
                <w:sz w:val="14"/>
                <w:szCs w:val="14"/>
                <w:color w:val="4D8ABE"/>
              </w:rPr>
              <w:t>2006-2008</w:t>
            </w:r>
          </w:p>
        </w:tc>
        <w:tc>
          <w:tcPr>
            <w:tcW w:w="1480" w:type="dxa"/>
            <w:vAlign w:val="bottom"/>
            <w:tcBorders>
              <w:top w:val="single" w:sz="8" w:color="4D8ABE"/>
              <w:bottom w:val="single" w:sz="8" w:color="4D8ABE"/>
            </w:tcBorders>
          </w:tcPr>
          <w:p>
            <w:pPr>
              <w:jc w:val="right"/>
              <w:ind w:right="372"/>
              <w:spacing w:after="0" w:line="156" w:lineRule="exact"/>
              <w:rPr>
                <w:sz w:val="20"/>
                <w:szCs w:val="20"/>
                <w:color w:val="auto"/>
              </w:rPr>
            </w:pPr>
            <w:r>
              <w:rPr>
                <w:rFonts w:ascii="Arial" w:cs="Arial" w:eastAsia="Arial" w:hAnsi="Arial"/>
                <w:sz w:val="14"/>
                <w:szCs w:val="14"/>
                <w:color w:val="4D8ABE"/>
              </w:rPr>
              <w:t>2007-2009</w:t>
            </w:r>
          </w:p>
        </w:tc>
        <w:tc>
          <w:tcPr>
            <w:tcW w:w="1040" w:type="dxa"/>
            <w:vAlign w:val="bottom"/>
            <w:tcBorders>
              <w:top w:val="single" w:sz="8" w:color="4D8ABE"/>
              <w:bottom w:val="single" w:sz="8" w:color="4D8ABE"/>
            </w:tcBorders>
          </w:tcPr>
          <w:p>
            <w:pPr>
              <w:jc w:val="right"/>
              <w:spacing w:after="0" w:line="156" w:lineRule="exact"/>
              <w:rPr>
                <w:sz w:val="20"/>
                <w:szCs w:val="20"/>
                <w:color w:val="auto"/>
              </w:rPr>
            </w:pPr>
            <w:r>
              <w:rPr>
                <w:rFonts w:ascii="Arial" w:cs="Arial" w:eastAsia="Arial" w:hAnsi="Arial"/>
                <w:sz w:val="14"/>
                <w:szCs w:val="14"/>
                <w:color w:val="4D8ABE"/>
              </w:rPr>
              <w:t>2008-2010</w:t>
            </w:r>
          </w:p>
        </w:tc>
        <w:tc>
          <w:tcPr>
            <w:tcW w:w="220" w:type="dxa"/>
            <w:vAlign w:val="bottom"/>
          </w:tcPr>
          <w:p>
            <w:pPr>
              <w:spacing w:after="0"/>
              <w:rPr>
                <w:sz w:val="13"/>
                <w:szCs w:val="13"/>
                <w:color w:val="auto"/>
              </w:rPr>
            </w:pPr>
          </w:p>
        </w:tc>
      </w:tr>
      <w:tr>
        <w:trPr>
          <w:trHeight w:val="154"/>
        </w:trPr>
        <w:tc>
          <w:tcPr>
            <w:tcW w:w="4820" w:type="dxa"/>
            <w:vAlign w:val="bottom"/>
          </w:tcPr>
          <w:p>
            <w:pPr>
              <w:spacing w:after="0" w:line="155" w:lineRule="exact"/>
              <w:rPr>
                <w:sz w:val="20"/>
                <w:szCs w:val="20"/>
                <w:color w:val="auto"/>
              </w:rPr>
            </w:pPr>
            <w:r>
              <w:rPr>
                <w:rFonts w:ascii="Arial" w:cs="Arial" w:eastAsia="Arial" w:hAnsi="Arial"/>
                <w:sz w:val="14"/>
                <w:szCs w:val="14"/>
                <w:color w:val="auto"/>
              </w:rPr>
              <w:t>Outstanding, January 1, 2006</w:t>
            </w:r>
          </w:p>
        </w:tc>
        <w:tc>
          <w:tcPr>
            <w:tcW w:w="3900" w:type="dxa"/>
            <w:vAlign w:val="bottom"/>
          </w:tcPr>
          <w:p>
            <w:pPr>
              <w:jc w:val="right"/>
              <w:ind w:right="372"/>
              <w:spacing w:after="0" w:line="155"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372"/>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r>
      <w:tr>
        <w:trPr>
          <w:trHeight w:val="165"/>
        </w:trPr>
        <w:tc>
          <w:tcPr>
            <w:tcW w:w="4820" w:type="dxa"/>
            <w:vAlign w:val="bottom"/>
            <w:shd w:val="clear" w:color="auto" w:fill="E6EFFF"/>
          </w:tcPr>
          <w:p>
            <w:pPr>
              <w:spacing w:after="0"/>
              <w:rPr>
                <w:sz w:val="20"/>
                <w:szCs w:val="20"/>
                <w:color w:val="auto"/>
              </w:rPr>
            </w:pPr>
            <w:r>
              <w:rPr>
                <w:rFonts w:ascii="Arial" w:cs="Arial" w:eastAsia="Arial" w:hAnsi="Arial"/>
                <w:sz w:val="14"/>
                <w:szCs w:val="14"/>
                <w:color w:val="auto"/>
              </w:rPr>
              <w:t>Granted</w:t>
            </w:r>
          </w:p>
        </w:tc>
        <w:tc>
          <w:tcPr>
            <w:tcW w:w="3900" w:type="dxa"/>
            <w:vAlign w:val="bottom"/>
            <w:shd w:val="clear" w:color="auto" w:fill="E6EFFF"/>
          </w:tcPr>
          <w:p>
            <w:pPr>
              <w:jc w:val="right"/>
              <w:ind w:right="372"/>
              <w:spacing w:after="0"/>
              <w:rPr>
                <w:sz w:val="20"/>
                <w:szCs w:val="20"/>
                <w:color w:val="auto"/>
              </w:rPr>
            </w:pPr>
            <w:r>
              <w:rPr>
                <w:rFonts w:ascii="Arial" w:cs="Arial" w:eastAsia="Arial" w:hAnsi="Arial"/>
                <w:sz w:val="14"/>
                <w:szCs w:val="14"/>
                <w:color w:val="auto"/>
              </w:rPr>
              <w:t>120,500</w:t>
            </w:r>
          </w:p>
        </w:tc>
        <w:tc>
          <w:tcPr>
            <w:tcW w:w="1480" w:type="dxa"/>
            <w:vAlign w:val="bottom"/>
            <w:shd w:val="clear" w:color="auto" w:fill="E6EFFF"/>
          </w:tcPr>
          <w:p>
            <w:pPr>
              <w:jc w:val="right"/>
              <w:ind w:right="372"/>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4820" w:type="dxa"/>
            <w:vAlign w:val="bottom"/>
          </w:tcPr>
          <w:p>
            <w:pPr>
              <w:spacing w:after="0"/>
              <w:rPr>
                <w:sz w:val="20"/>
                <w:szCs w:val="20"/>
                <w:color w:val="auto"/>
              </w:rPr>
            </w:pPr>
            <w:r>
              <w:rPr>
                <w:rFonts w:ascii="Arial" w:cs="Arial" w:eastAsia="Arial" w:hAnsi="Arial"/>
                <w:sz w:val="14"/>
                <w:szCs w:val="14"/>
                <w:color w:val="auto"/>
              </w:rPr>
              <w:t>Forfeited</w:t>
            </w:r>
          </w:p>
        </w:tc>
        <w:tc>
          <w:tcPr>
            <w:tcW w:w="3900" w:type="dxa"/>
            <w:vAlign w:val="bottom"/>
          </w:tcPr>
          <w:p>
            <w:pPr>
              <w:jc w:val="right"/>
              <w:ind w:right="332"/>
              <w:spacing w:after="0"/>
              <w:rPr>
                <w:sz w:val="20"/>
                <w:szCs w:val="20"/>
                <w:color w:val="auto"/>
              </w:rPr>
            </w:pPr>
            <w:r>
              <w:rPr>
                <w:rFonts w:ascii="Arial" w:cs="Arial" w:eastAsia="Arial" w:hAnsi="Arial"/>
                <w:sz w:val="14"/>
                <w:szCs w:val="14"/>
                <w:color w:val="auto"/>
              </w:rPr>
              <w:t>(17,500)</w:t>
            </w:r>
          </w:p>
        </w:tc>
        <w:tc>
          <w:tcPr>
            <w:tcW w:w="148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55"/>
        </w:trPr>
        <w:tc>
          <w:tcPr>
            <w:tcW w:w="4820" w:type="dxa"/>
            <w:vAlign w:val="bottom"/>
            <w:tcBorders>
              <w:top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Outstanding, December 31, 2006</w:t>
            </w:r>
          </w:p>
        </w:tc>
        <w:tc>
          <w:tcPr>
            <w:tcW w:w="3900" w:type="dxa"/>
            <w:vAlign w:val="bottom"/>
            <w:tcBorders>
              <w:top w:val="single" w:sz="8" w:color="auto"/>
            </w:tcBorders>
            <w:shd w:val="clear" w:color="auto" w:fill="E6EFFF"/>
          </w:tcPr>
          <w:p>
            <w:pPr>
              <w:jc w:val="right"/>
              <w:ind w:right="372"/>
              <w:spacing w:after="0" w:line="155" w:lineRule="exact"/>
              <w:rPr>
                <w:sz w:val="20"/>
                <w:szCs w:val="20"/>
                <w:color w:val="auto"/>
              </w:rPr>
            </w:pPr>
            <w:r>
              <w:rPr>
                <w:rFonts w:ascii="Arial" w:cs="Arial" w:eastAsia="Arial" w:hAnsi="Arial"/>
                <w:sz w:val="14"/>
                <w:szCs w:val="14"/>
                <w:color w:val="auto"/>
              </w:rPr>
              <w:t>103,000</w:t>
            </w:r>
          </w:p>
        </w:tc>
        <w:tc>
          <w:tcPr>
            <w:tcW w:w="1480" w:type="dxa"/>
            <w:vAlign w:val="bottom"/>
            <w:tcBorders>
              <w:top w:val="single" w:sz="8" w:color="auto"/>
            </w:tcBorders>
            <w:shd w:val="clear" w:color="auto" w:fill="E6EFFF"/>
          </w:tcPr>
          <w:p>
            <w:pPr>
              <w:jc w:val="right"/>
              <w:ind w:right="372"/>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4820" w:type="dxa"/>
            <w:vAlign w:val="bottom"/>
          </w:tcPr>
          <w:p>
            <w:pPr>
              <w:spacing w:after="0"/>
              <w:rPr>
                <w:sz w:val="20"/>
                <w:szCs w:val="20"/>
                <w:color w:val="auto"/>
              </w:rPr>
            </w:pPr>
            <w:r>
              <w:rPr>
                <w:rFonts w:ascii="Arial" w:cs="Arial" w:eastAsia="Arial" w:hAnsi="Arial"/>
                <w:sz w:val="14"/>
                <w:szCs w:val="14"/>
                <w:color w:val="auto"/>
              </w:rPr>
              <w:t>Granted</w:t>
            </w:r>
          </w:p>
        </w:tc>
        <w:tc>
          <w:tcPr>
            <w:tcW w:w="390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72"/>
              <w:spacing w:after="0"/>
              <w:rPr>
                <w:sz w:val="20"/>
                <w:szCs w:val="20"/>
                <w:color w:val="auto"/>
              </w:rPr>
            </w:pPr>
            <w:r>
              <w:rPr>
                <w:rFonts w:ascii="Arial" w:cs="Arial" w:eastAsia="Arial" w:hAnsi="Arial"/>
                <w:sz w:val="14"/>
                <w:szCs w:val="14"/>
                <w:color w:val="auto"/>
              </w:rPr>
              <w:t>118,000</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5"/>
        </w:trPr>
        <w:tc>
          <w:tcPr>
            <w:tcW w:w="4820" w:type="dxa"/>
            <w:vAlign w:val="bottom"/>
            <w:shd w:val="clear" w:color="auto" w:fill="E6EFFF"/>
          </w:tcPr>
          <w:p>
            <w:pPr>
              <w:spacing w:after="0"/>
              <w:rPr>
                <w:sz w:val="20"/>
                <w:szCs w:val="20"/>
                <w:color w:val="auto"/>
              </w:rPr>
            </w:pPr>
            <w:r>
              <w:rPr>
                <w:rFonts w:ascii="Arial" w:cs="Arial" w:eastAsia="Arial" w:hAnsi="Arial"/>
                <w:sz w:val="14"/>
                <w:szCs w:val="14"/>
                <w:color w:val="auto"/>
              </w:rPr>
              <w:t>Forfeited</w:t>
            </w:r>
          </w:p>
        </w:tc>
        <w:tc>
          <w:tcPr>
            <w:tcW w:w="3900" w:type="dxa"/>
            <w:vAlign w:val="bottom"/>
            <w:shd w:val="clear" w:color="auto" w:fill="E6EFFF"/>
          </w:tcPr>
          <w:p>
            <w:pPr>
              <w:jc w:val="right"/>
              <w:ind w:right="372"/>
              <w:spacing w:after="0"/>
              <w:rPr>
                <w:sz w:val="20"/>
                <w:szCs w:val="20"/>
                <w:color w:val="auto"/>
              </w:rPr>
            </w:pPr>
            <w:r>
              <w:rPr>
                <w:rFonts w:ascii="Arial" w:cs="Arial" w:eastAsia="Arial" w:hAnsi="Arial"/>
                <w:sz w:val="14"/>
                <w:szCs w:val="14"/>
                <w:color w:val="auto"/>
              </w:rPr>
              <w:t>—</w:t>
            </w:r>
          </w:p>
        </w:tc>
        <w:tc>
          <w:tcPr>
            <w:tcW w:w="1480" w:type="dxa"/>
            <w:vAlign w:val="bottom"/>
            <w:shd w:val="clear" w:color="auto" w:fill="E6EFFF"/>
          </w:tcPr>
          <w:p>
            <w:pPr>
              <w:jc w:val="right"/>
              <w:ind w:right="372"/>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54"/>
        </w:trPr>
        <w:tc>
          <w:tcPr>
            <w:tcW w:w="48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Outstanding, December 31, 2007</w:t>
            </w:r>
          </w:p>
        </w:tc>
        <w:tc>
          <w:tcPr>
            <w:tcW w:w="3900" w:type="dxa"/>
            <w:vAlign w:val="bottom"/>
            <w:tcBorders>
              <w:top w:val="single" w:sz="8" w:color="auto"/>
            </w:tcBorders>
          </w:tcPr>
          <w:p>
            <w:pPr>
              <w:jc w:val="right"/>
              <w:ind w:right="372"/>
              <w:spacing w:after="0" w:line="155" w:lineRule="exact"/>
              <w:rPr>
                <w:sz w:val="20"/>
                <w:szCs w:val="20"/>
                <w:color w:val="auto"/>
              </w:rPr>
            </w:pPr>
            <w:r>
              <w:rPr>
                <w:rFonts w:ascii="Arial" w:cs="Arial" w:eastAsia="Arial" w:hAnsi="Arial"/>
                <w:sz w:val="14"/>
                <w:szCs w:val="14"/>
                <w:color w:val="auto"/>
              </w:rPr>
              <w:t>103,000</w:t>
            </w:r>
          </w:p>
        </w:tc>
        <w:tc>
          <w:tcPr>
            <w:tcW w:w="1480" w:type="dxa"/>
            <w:vAlign w:val="bottom"/>
            <w:tcBorders>
              <w:top w:val="single" w:sz="8" w:color="auto"/>
            </w:tcBorders>
          </w:tcPr>
          <w:p>
            <w:pPr>
              <w:jc w:val="right"/>
              <w:ind w:right="372"/>
              <w:spacing w:after="0" w:line="155" w:lineRule="exact"/>
              <w:rPr>
                <w:sz w:val="20"/>
                <w:szCs w:val="20"/>
                <w:color w:val="auto"/>
              </w:rPr>
            </w:pPr>
            <w:r>
              <w:rPr>
                <w:rFonts w:ascii="Arial" w:cs="Arial" w:eastAsia="Arial" w:hAnsi="Arial"/>
                <w:sz w:val="14"/>
                <w:szCs w:val="14"/>
                <w:color w:val="auto"/>
              </w:rPr>
              <w:t>118,000</w:t>
            </w: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r>
      <w:tr>
        <w:trPr>
          <w:trHeight w:val="165"/>
        </w:trPr>
        <w:tc>
          <w:tcPr>
            <w:tcW w:w="4820" w:type="dxa"/>
            <w:vAlign w:val="bottom"/>
            <w:shd w:val="clear" w:color="auto" w:fill="E6EFFF"/>
          </w:tcPr>
          <w:p>
            <w:pPr>
              <w:spacing w:after="0"/>
              <w:rPr>
                <w:sz w:val="20"/>
                <w:szCs w:val="20"/>
                <w:color w:val="auto"/>
              </w:rPr>
            </w:pPr>
            <w:r>
              <w:rPr>
                <w:rFonts w:ascii="Arial" w:cs="Arial" w:eastAsia="Arial" w:hAnsi="Arial"/>
                <w:sz w:val="14"/>
                <w:szCs w:val="14"/>
                <w:color w:val="auto"/>
              </w:rPr>
              <w:t>Granted</w:t>
            </w:r>
          </w:p>
        </w:tc>
        <w:tc>
          <w:tcPr>
            <w:tcW w:w="3900" w:type="dxa"/>
            <w:vAlign w:val="bottom"/>
            <w:shd w:val="clear" w:color="auto" w:fill="E6EFFF"/>
          </w:tcPr>
          <w:p>
            <w:pPr>
              <w:jc w:val="right"/>
              <w:ind w:right="372"/>
              <w:spacing w:after="0"/>
              <w:rPr>
                <w:sz w:val="20"/>
                <w:szCs w:val="20"/>
                <w:color w:val="auto"/>
              </w:rPr>
            </w:pPr>
            <w:r>
              <w:rPr>
                <w:rFonts w:ascii="Arial" w:cs="Arial" w:eastAsia="Arial" w:hAnsi="Arial"/>
                <w:sz w:val="14"/>
                <w:szCs w:val="14"/>
                <w:color w:val="auto"/>
              </w:rPr>
              <w:t>—</w:t>
            </w:r>
          </w:p>
        </w:tc>
        <w:tc>
          <w:tcPr>
            <w:tcW w:w="1480" w:type="dxa"/>
            <w:vAlign w:val="bottom"/>
            <w:shd w:val="clear" w:color="auto" w:fill="E6EFFF"/>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140,000</w:t>
            </w:r>
          </w:p>
        </w:tc>
        <w:tc>
          <w:tcPr>
            <w:tcW w:w="220" w:type="dxa"/>
            <w:vAlign w:val="bottom"/>
            <w:shd w:val="clear" w:color="auto" w:fill="E6EFFF"/>
          </w:tcPr>
          <w:p>
            <w:pPr>
              <w:spacing w:after="0"/>
              <w:rPr>
                <w:sz w:val="14"/>
                <w:szCs w:val="14"/>
                <w:color w:val="auto"/>
              </w:rPr>
            </w:pPr>
          </w:p>
        </w:tc>
      </w:tr>
      <w:tr>
        <w:trPr>
          <w:trHeight w:val="164"/>
        </w:trPr>
        <w:tc>
          <w:tcPr>
            <w:tcW w:w="4820" w:type="dxa"/>
            <w:vAlign w:val="bottom"/>
          </w:tcPr>
          <w:p>
            <w:pPr>
              <w:spacing w:after="0"/>
              <w:rPr>
                <w:sz w:val="20"/>
                <w:szCs w:val="20"/>
                <w:color w:val="auto"/>
              </w:rPr>
            </w:pPr>
            <w:r>
              <w:rPr>
                <w:rFonts w:ascii="Arial" w:cs="Arial" w:eastAsia="Arial" w:hAnsi="Arial"/>
                <w:sz w:val="14"/>
                <w:szCs w:val="14"/>
                <w:color w:val="auto"/>
              </w:rPr>
              <w:t>Forfeited</w:t>
            </w:r>
          </w:p>
        </w:tc>
        <w:tc>
          <w:tcPr>
            <w:tcW w:w="390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32"/>
              <w:spacing w:after="0"/>
              <w:rPr>
                <w:sz w:val="20"/>
                <w:szCs w:val="20"/>
                <w:color w:val="auto"/>
              </w:rPr>
            </w:pPr>
            <w:r>
              <w:rPr>
                <w:rFonts w:ascii="Arial" w:cs="Arial" w:eastAsia="Arial" w:hAnsi="Arial"/>
                <w:sz w:val="14"/>
                <w:szCs w:val="14"/>
                <w:color w:val="auto"/>
              </w:rPr>
              <w:t>(5,000)</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(2,000)</w:t>
            </w:r>
          </w:p>
        </w:tc>
      </w:tr>
      <w:tr>
        <w:trPr>
          <w:trHeight w:val="155"/>
        </w:trPr>
        <w:tc>
          <w:tcPr>
            <w:tcW w:w="4820" w:type="dxa"/>
            <w:vAlign w:val="bottom"/>
            <w:tcBorders>
              <w:top w:val="single" w:sz="8" w:color="auto"/>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Outstanding, December 31, 2008</w:t>
            </w:r>
          </w:p>
        </w:tc>
        <w:tc>
          <w:tcPr>
            <w:tcW w:w="3900" w:type="dxa"/>
            <w:vAlign w:val="bottom"/>
            <w:tcBorders>
              <w:top w:val="single" w:sz="8" w:color="auto"/>
              <w:bottom w:val="single" w:sz="8" w:color="auto"/>
            </w:tcBorders>
            <w:shd w:val="clear" w:color="auto" w:fill="E6EFFF"/>
          </w:tcPr>
          <w:p>
            <w:pPr>
              <w:jc w:val="right"/>
              <w:ind w:right="372"/>
              <w:spacing w:after="0" w:line="155" w:lineRule="exact"/>
              <w:rPr>
                <w:sz w:val="20"/>
                <w:szCs w:val="20"/>
                <w:color w:val="auto"/>
              </w:rPr>
            </w:pPr>
            <w:r>
              <w:rPr>
                <w:rFonts w:ascii="Arial" w:cs="Arial" w:eastAsia="Arial" w:hAnsi="Arial"/>
                <w:sz w:val="14"/>
                <w:szCs w:val="14"/>
                <w:color w:val="auto"/>
              </w:rPr>
              <w:t>103,000</w:t>
            </w:r>
          </w:p>
        </w:tc>
        <w:tc>
          <w:tcPr>
            <w:tcW w:w="1480" w:type="dxa"/>
            <w:vAlign w:val="bottom"/>
            <w:tcBorders>
              <w:top w:val="single" w:sz="8" w:color="auto"/>
              <w:bottom w:val="single" w:sz="8" w:color="auto"/>
            </w:tcBorders>
            <w:shd w:val="clear" w:color="auto" w:fill="E6EFFF"/>
          </w:tcPr>
          <w:p>
            <w:pPr>
              <w:jc w:val="right"/>
              <w:ind w:right="372"/>
              <w:spacing w:after="0" w:line="155" w:lineRule="exact"/>
              <w:rPr>
                <w:sz w:val="20"/>
                <w:szCs w:val="20"/>
                <w:color w:val="auto"/>
              </w:rPr>
            </w:pPr>
            <w:r>
              <w:rPr>
                <w:rFonts w:ascii="Arial" w:cs="Arial" w:eastAsia="Arial" w:hAnsi="Arial"/>
                <w:sz w:val="14"/>
                <w:szCs w:val="14"/>
                <w:color w:val="auto"/>
              </w:rPr>
              <w:t>113,000</w:t>
            </w:r>
          </w:p>
        </w:tc>
        <w:tc>
          <w:tcPr>
            <w:tcW w:w="104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138,000</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the event the performance criteria exceeds the target performance level, an additional number of shares, up to the Outstanding Award level, may be granted. In the event the performance criteria falls below the target performance level, a reduced number of shares, as low as the Threshold Award level, may be granted. If the average Operating Profit Margin falls below the threshold performance level, no shares will be granted.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Threshold, Target and Outstanding Award levels for each outstanding grant, adjusted for forfeitures,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00" w:type="dxa"/>
            <w:vAlign w:val="bottom"/>
            <w:tcBorders>
              <w:bottom w:val="single" w:sz="8" w:color="4D8ABE"/>
            </w:tcBorders>
          </w:tcPr>
          <w:p>
            <w:pPr>
              <w:spacing w:after="0"/>
              <w:rPr>
                <w:sz w:val="14"/>
                <w:szCs w:val="14"/>
                <w:color w:val="auto"/>
              </w:rPr>
            </w:pPr>
          </w:p>
        </w:tc>
        <w:tc>
          <w:tcPr>
            <w:tcW w:w="4300" w:type="dxa"/>
            <w:vAlign w:val="bottom"/>
            <w:tcBorders>
              <w:bottom w:val="single" w:sz="8" w:color="4D8ABE"/>
            </w:tcBorders>
          </w:tcPr>
          <w:p>
            <w:pPr>
              <w:jc w:val="right"/>
              <w:ind w:right="352"/>
              <w:spacing w:after="0"/>
              <w:rPr>
                <w:sz w:val="20"/>
                <w:szCs w:val="20"/>
                <w:color w:val="auto"/>
              </w:rPr>
            </w:pPr>
            <w:r>
              <w:rPr>
                <w:rFonts w:ascii="Arial" w:cs="Arial" w:eastAsia="Arial" w:hAnsi="Arial"/>
                <w:sz w:val="14"/>
                <w:szCs w:val="14"/>
                <w:color w:val="4D8ABE"/>
              </w:rPr>
              <w:t>2006-2008</w:t>
            </w:r>
          </w:p>
        </w:tc>
        <w:tc>
          <w:tcPr>
            <w:tcW w:w="1480" w:type="dxa"/>
            <w:vAlign w:val="bottom"/>
            <w:tcBorders>
              <w:bottom w:val="single" w:sz="8" w:color="4D8ABE"/>
            </w:tcBorders>
          </w:tcPr>
          <w:p>
            <w:pPr>
              <w:jc w:val="right"/>
              <w:ind w:right="352"/>
              <w:spacing w:after="0"/>
              <w:rPr>
                <w:sz w:val="20"/>
                <w:szCs w:val="20"/>
                <w:color w:val="auto"/>
              </w:rPr>
            </w:pPr>
            <w:r>
              <w:rPr>
                <w:rFonts w:ascii="Arial" w:cs="Arial" w:eastAsia="Arial" w:hAnsi="Arial"/>
                <w:sz w:val="14"/>
                <w:szCs w:val="14"/>
                <w:color w:val="4D8ABE"/>
              </w:rPr>
              <w:t>2007-2009</w:t>
            </w:r>
          </w:p>
        </w:tc>
        <w:tc>
          <w:tcPr>
            <w:tcW w:w="1060" w:type="dxa"/>
            <w:vAlign w:val="bottom"/>
            <w:tcBorders>
              <w:bottom w:val="single" w:sz="8" w:color="4D8ABE"/>
            </w:tcBorders>
          </w:tcPr>
          <w:p>
            <w:pPr>
              <w:jc w:val="right"/>
              <w:spacing w:after="0"/>
              <w:rPr>
                <w:sz w:val="20"/>
                <w:szCs w:val="20"/>
                <w:color w:val="auto"/>
              </w:rPr>
            </w:pPr>
            <w:r>
              <w:rPr>
                <w:rFonts w:ascii="Arial" w:cs="Arial" w:eastAsia="Arial" w:hAnsi="Arial"/>
                <w:sz w:val="14"/>
                <w:szCs w:val="14"/>
                <w:color w:val="4D8ABE"/>
              </w:rPr>
              <w:t>2008-2010</w:t>
            </w:r>
          </w:p>
        </w:tc>
        <w:tc>
          <w:tcPr>
            <w:tcW w:w="220" w:type="dxa"/>
            <w:vAlign w:val="bottom"/>
            <w:tcBorders>
              <w:bottom w:val="single" w:sz="8" w:color="E6EFFF"/>
            </w:tcBorders>
          </w:tcPr>
          <w:p>
            <w:pPr>
              <w:spacing w:after="0"/>
              <w:rPr>
                <w:sz w:val="14"/>
                <w:szCs w:val="14"/>
                <w:color w:val="auto"/>
              </w:rPr>
            </w:pPr>
          </w:p>
        </w:tc>
      </w:tr>
      <w:tr>
        <w:trPr>
          <w:trHeight w:val="155"/>
        </w:trPr>
        <w:tc>
          <w:tcPr>
            <w:tcW w:w="4400" w:type="dxa"/>
            <w:vAlign w:val="bottom"/>
            <w:shd w:val="clear" w:color="auto" w:fill="E6EFFF"/>
          </w:tcPr>
          <w:p>
            <w:pPr>
              <w:spacing w:after="0" w:line="155" w:lineRule="exact"/>
              <w:rPr>
                <w:sz w:val="20"/>
                <w:szCs w:val="20"/>
                <w:color w:val="auto"/>
              </w:rPr>
            </w:pPr>
            <w:r>
              <w:rPr>
                <w:rFonts w:ascii="Arial" w:cs="Arial" w:eastAsia="Arial" w:hAnsi="Arial"/>
                <w:sz w:val="14"/>
                <w:szCs w:val="14"/>
                <w:color w:val="auto"/>
              </w:rPr>
              <w:t>Threshold Award</w:t>
            </w:r>
          </w:p>
        </w:tc>
        <w:tc>
          <w:tcPr>
            <w:tcW w:w="4300" w:type="dxa"/>
            <w:vAlign w:val="bottom"/>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25,750</w:t>
            </w:r>
          </w:p>
        </w:tc>
        <w:tc>
          <w:tcPr>
            <w:tcW w:w="1480" w:type="dxa"/>
            <w:vAlign w:val="bottom"/>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28,250</w:t>
            </w:r>
          </w:p>
        </w:tc>
        <w:tc>
          <w:tcPr>
            <w:tcW w:w="1060" w:type="dxa"/>
            <w:vAlign w:val="bottom"/>
            <w:shd w:val="clear" w:color="auto" w:fill="E6EFFF"/>
          </w:tcPr>
          <w:p>
            <w:pPr>
              <w:jc w:val="right"/>
              <w:spacing w:after="0" w:line="155" w:lineRule="exact"/>
              <w:rPr>
                <w:sz w:val="20"/>
                <w:szCs w:val="20"/>
                <w:color w:val="auto"/>
              </w:rPr>
            </w:pPr>
            <w:r>
              <w:rPr>
                <w:rFonts w:ascii="Arial" w:cs="Arial" w:eastAsia="Arial" w:hAnsi="Arial"/>
                <w:sz w:val="14"/>
                <w:szCs w:val="14"/>
                <w:color w:val="auto"/>
              </w:rPr>
              <w:t>34,500</w:t>
            </w:r>
          </w:p>
        </w:tc>
        <w:tc>
          <w:tcPr>
            <w:tcW w:w="220" w:type="dxa"/>
            <w:vAlign w:val="bottom"/>
            <w:shd w:val="clear" w:color="auto" w:fill="E6EFFF"/>
          </w:tcPr>
          <w:p>
            <w:pPr>
              <w:spacing w:after="0"/>
              <w:rPr>
                <w:sz w:val="13"/>
                <w:szCs w:val="13"/>
                <w:color w:val="auto"/>
              </w:rPr>
            </w:pPr>
          </w:p>
        </w:tc>
      </w:tr>
      <w:tr>
        <w:trPr>
          <w:trHeight w:val="164"/>
        </w:trPr>
        <w:tc>
          <w:tcPr>
            <w:tcW w:w="4400" w:type="dxa"/>
            <w:vAlign w:val="bottom"/>
          </w:tcPr>
          <w:p>
            <w:pPr>
              <w:spacing w:after="0"/>
              <w:rPr>
                <w:sz w:val="20"/>
                <w:szCs w:val="20"/>
                <w:color w:val="auto"/>
              </w:rPr>
            </w:pPr>
            <w:r>
              <w:rPr>
                <w:rFonts w:ascii="Arial" w:cs="Arial" w:eastAsia="Arial" w:hAnsi="Arial"/>
                <w:sz w:val="14"/>
                <w:szCs w:val="14"/>
                <w:color w:val="auto"/>
              </w:rPr>
              <w:t>Target Award</w:t>
            </w:r>
          </w:p>
        </w:tc>
        <w:tc>
          <w:tcPr>
            <w:tcW w:w="4300" w:type="dxa"/>
            <w:vAlign w:val="bottom"/>
          </w:tcPr>
          <w:p>
            <w:pPr>
              <w:jc w:val="right"/>
              <w:ind w:right="352"/>
              <w:spacing w:after="0"/>
              <w:rPr>
                <w:sz w:val="20"/>
                <w:szCs w:val="20"/>
                <w:color w:val="auto"/>
              </w:rPr>
            </w:pPr>
            <w:r>
              <w:rPr>
                <w:rFonts w:ascii="Arial" w:cs="Arial" w:eastAsia="Arial" w:hAnsi="Arial"/>
                <w:sz w:val="14"/>
                <w:szCs w:val="14"/>
                <w:color w:val="auto"/>
              </w:rPr>
              <w:t>103,000</w:t>
            </w:r>
          </w:p>
        </w:tc>
        <w:tc>
          <w:tcPr>
            <w:tcW w:w="1480" w:type="dxa"/>
            <w:vAlign w:val="bottom"/>
          </w:tcPr>
          <w:p>
            <w:pPr>
              <w:jc w:val="right"/>
              <w:ind w:right="352"/>
              <w:spacing w:after="0"/>
              <w:rPr>
                <w:sz w:val="20"/>
                <w:szCs w:val="20"/>
                <w:color w:val="auto"/>
              </w:rPr>
            </w:pPr>
            <w:r>
              <w:rPr>
                <w:rFonts w:ascii="Arial" w:cs="Arial" w:eastAsia="Arial" w:hAnsi="Arial"/>
                <w:sz w:val="14"/>
                <w:szCs w:val="14"/>
                <w:color w:val="auto"/>
              </w:rPr>
              <w:t>113,000</w:t>
            </w:r>
          </w:p>
        </w:tc>
        <w:tc>
          <w:tcPr>
            <w:tcW w:w="1060" w:type="dxa"/>
            <w:vAlign w:val="bottom"/>
          </w:tcPr>
          <w:p>
            <w:pPr>
              <w:jc w:val="right"/>
              <w:spacing w:after="0"/>
              <w:rPr>
                <w:sz w:val="20"/>
                <w:szCs w:val="20"/>
                <w:color w:val="auto"/>
              </w:rPr>
            </w:pPr>
            <w:r>
              <w:rPr>
                <w:rFonts w:ascii="Arial" w:cs="Arial" w:eastAsia="Arial" w:hAnsi="Arial"/>
                <w:sz w:val="14"/>
                <w:szCs w:val="14"/>
                <w:color w:val="auto"/>
              </w:rPr>
              <w:t>138,000</w:t>
            </w:r>
          </w:p>
        </w:tc>
        <w:tc>
          <w:tcPr>
            <w:tcW w:w="220" w:type="dxa"/>
            <w:vAlign w:val="bottom"/>
          </w:tcPr>
          <w:p>
            <w:pPr>
              <w:spacing w:after="0"/>
              <w:rPr>
                <w:sz w:val="14"/>
                <w:szCs w:val="14"/>
                <w:color w:val="auto"/>
              </w:rPr>
            </w:pPr>
          </w:p>
        </w:tc>
      </w:tr>
      <w:tr>
        <w:trPr>
          <w:trHeight w:val="164"/>
        </w:trPr>
        <w:tc>
          <w:tcPr>
            <w:tcW w:w="44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4"/>
                <w:szCs w:val="14"/>
                <w:color w:val="auto"/>
              </w:rPr>
              <w:t>Outstanding Award</w:t>
            </w:r>
          </w:p>
        </w:tc>
        <w:tc>
          <w:tcPr>
            <w:tcW w:w="4300" w:type="dxa"/>
            <w:vAlign w:val="bottom"/>
            <w:tcBorders>
              <w:bottom w:val="single" w:sz="8" w:color="auto"/>
            </w:tcBorders>
            <w:shd w:val="clear" w:color="auto" w:fill="E6EFFF"/>
          </w:tcPr>
          <w:p>
            <w:pPr>
              <w:jc w:val="right"/>
              <w:ind w:right="352"/>
              <w:spacing w:after="0"/>
              <w:rPr>
                <w:sz w:val="20"/>
                <w:szCs w:val="20"/>
                <w:color w:val="auto"/>
              </w:rPr>
            </w:pPr>
            <w:r>
              <w:rPr>
                <w:rFonts w:ascii="Arial" w:cs="Arial" w:eastAsia="Arial" w:hAnsi="Arial"/>
                <w:sz w:val="14"/>
                <w:szCs w:val="14"/>
                <w:color w:val="auto"/>
              </w:rPr>
              <w:t>180,250</w:t>
            </w:r>
          </w:p>
        </w:tc>
        <w:tc>
          <w:tcPr>
            <w:tcW w:w="1480" w:type="dxa"/>
            <w:vAlign w:val="bottom"/>
            <w:tcBorders>
              <w:bottom w:val="single" w:sz="8" w:color="auto"/>
            </w:tcBorders>
            <w:shd w:val="clear" w:color="auto" w:fill="E6EFFF"/>
          </w:tcPr>
          <w:p>
            <w:pPr>
              <w:jc w:val="right"/>
              <w:ind w:right="352"/>
              <w:spacing w:after="0"/>
              <w:rPr>
                <w:sz w:val="20"/>
                <w:szCs w:val="20"/>
                <w:color w:val="auto"/>
              </w:rPr>
            </w:pPr>
            <w:r>
              <w:rPr>
                <w:rFonts w:ascii="Arial" w:cs="Arial" w:eastAsia="Arial" w:hAnsi="Arial"/>
                <w:sz w:val="14"/>
                <w:szCs w:val="14"/>
                <w:color w:val="auto"/>
              </w:rPr>
              <w:t>197,750</w:t>
            </w:r>
          </w:p>
        </w:tc>
        <w:tc>
          <w:tcPr>
            <w:tcW w:w="106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241,500</w:t>
            </w:r>
          </w:p>
        </w:tc>
        <w:tc>
          <w:tcPr>
            <w:tcW w:w="220" w:type="dxa"/>
            <w:vAlign w:val="bottom"/>
            <w:shd w:val="clear" w:color="auto" w:fill="E6EFFF"/>
          </w:tcPr>
          <w:p>
            <w:pPr>
              <w:spacing w:after="0"/>
              <w:rPr>
                <w:sz w:val="14"/>
                <w:szCs w:val="14"/>
                <w:color w:val="auto"/>
              </w:rPr>
            </w:pPr>
          </w:p>
        </w:tc>
      </w:tr>
    </w:tbl>
    <w:p>
      <w:pPr>
        <w:spacing w:after="0" w:line="180"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We recognize and adjust compensation expense based on the likelihood of the performance criteria specified in the award being achieved. The compensation expense is recognized over the performance period and is recorded in Selling and Administrative Expenses. The average Operating Profit Margin for the 2006-2008 performance period reached the outstanding performance level, and the units will be settled for 180,250 shares of common stock during the first quarter of 2009. We currently expect that the average Operating Profit Margin for the 2007-2009 performance period will approximate the threshold performance level and that the average Operating Profit Margin for the 2008-2010 performance period will not meet the threshold performance level. We have recognized a total compensation expense of $1.2, $5.8 and $3.4, in 2008, 2007 and 2006, respectively, related to the performance share units.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OTHER STOCK PLANS</w:t>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Under the 1990 Employee Stock Purchase Plan, designated employees meeting certain service requirements may purchase shares of our common stock through payroll deductions. These shares may be purchased at the lesser of 85% of their fair market value at the beginning or end of each year.</w:t>
      </w:r>
    </w:p>
    <w:p>
      <w:pPr>
        <w:spacing w:after="0" w:line="161"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The fair value of each share purchased under the plan is estimated using the Black-Scholes option-pricing model and the following weighted-average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14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1780" w:type="dxa"/>
            <w:vAlign w:val="bottom"/>
          </w:tcPr>
          <w:p>
            <w:pPr>
              <w:jc w:val="right"/>
              <w:ind w:right="472"/>
              <w:spacing w:after="0"/>
              <w:rPr>
                <w:sz w:val="20"/>
                <w:szCs w:val="20"/>
                <w:color w:val="auto"/>
              </w:rPr>
            </w:pPr>
            <w:r>
              <w:rPr>
                <w:rFonts w:ascii="Arial" w:cs="Arial" w:eastAsia="Arial" w:hAnsi="Arial"/>
                <w:sz w:val="14"/>
                <w:szCs w:val="14"/>
                <w:color w:val="4D8ABE"/>
              </w:rPr>
              <w:t>2007</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tcPr>
          <w:p>
            <w:pPr>
              <w:spacing w:after="0" w:line="155" w:lineRule="exact"/>
              <w:rPr>
                <w:sz w:val="20"/>
                <w:szCs w:val="20"/>
                <w:color w:val="auto"/>
              </w:rPr>
            </w:pPr>
            <w:r>
              <w:rPr>
                <w:rFonts w:ascii="Arial" w:cs="Arial" w:eastAsia="Arial" w:hAnsi="Arial"/>
                <w:sz w:val="14"/>
                <w:szCs w:val="14"/>
                <w:color w:val="auto"/>
              </w:rPr>
              <w:t>Average risk-free interest rate</w:t>
            </w:r>
          </w:p>
        </w:tc>
        <w:tc>
          <w:tcPr>
            <w:tcW w:w="1480" w:type="dxa"/>
            <w:vAlign w:val="bottom"/>
            <w:tcBorders>
              <w:top w:val="single" w:sz="8" w:color="4D8ABE"/>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3.2%</w:t>
            </w:r>
          </w:p>
        </w:tc>
        <w:tc>
          <w:tcPr>
            <w:tcW w:w="1780" w:type="dxa"/>
            <w:vAlign w:val="bottom"/>
            <w:tcBorders>
              <w:top w:val="single" w:sz="8" w:color="4D8ABE"/>
            </w:tcBorders>
          </w:tcPr>
          <w:p>
            <w:pPr>
              <w:jc w:val="right"/>
              <w:ind w:right="472"/>
              <w:spacing w:after="0" w:line="155" w:lineRule="exact"/>
              <w:rPr>
                <w:sz w:val="20"/>
                <w:szCs w:val="20"/>
                <w:color w:val="auto"/>
              </w:rPr>
            </w:pPr>
            <w:r>
              <w:rPr>
                <w:rFonts w:ascii="Arial" w:cs="Arial" w:eastAsia="Arial" w:hAnsi="Arial"/>
                <w:sz w:val="14"/>
                <w:szCs w:val="14"/>
                <w:color w:val="auto"/>
              </w:rPr>
              <w:t>5.0%</w:t>
            </w:r>
          </w:p>
        </w:tc>
        <w:tc>
          <w:tcPr>
            <w:tcW w:w="94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3"/>
                <w:szCs w:val="13"/>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Expected dividend yield</w:t>
            </w:r>
          </w:p>
        </w:tc>
        <w:tc>
          <w:tcPr>
            <w:tcW w:w="14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1.2%</w:t>
            </w:r>
          </w:p>
        </w:tc>
        <w:tc>
          <w:tcPr>
            <w:tcW w:w="1780" w:type="dxa"/>
            <w:vAlign w:val="bottom"/>
            <w:shd w:val="clear" w:color="auto" w:fill="E6EFFF"/>
          </w:tcPr>
          <w:p>
            <w:pPr>
              <w:jc w:val="right"/>
              <w:ind w:right="472"/>
              <w:spacing w:after="0"/>
              <w:rPr>
                <w:sz w:val="20"/>
                <w:szCs w:val="20"/>
                <w:color w:val="auto"/>
              </w:rPr>
            </w:pPr>
            <w:r>
              <w:rPr>
                <w:rFonts w:ascii="Arial" w:cs="Arial" w:eastAsia="Arial" w:hAnsi="Arial"/>
                <w:sz w:val="14"/>
                <w:szCs w:val="14"/>
                <w:color w:val="auto"/>
              </w:rPr>
              <w:t>0.9%</w:t>
            </w:r>
          </w:p>
        </w:tc>
        <w:tc>
          <w:tcPr>
            <w:tcW w:w="9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Expected volatility</w:t>
            </w:r>
          </w:p>
        </w:tc>
        <w:tc>
          <w:tcPr>
            <w:tcW w:w="14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30.0%</w:t>
            </w:r>
          </w:p>
        </w:tc>
        <w:tc>
          <w:tcPr>
            <w:tcW w:w="1780" w:type="dxa"/>
            <w:vAlign w:val="bottom"/>
          </w:tcPr>
          <w:p>
            <w:pPr>
              <w:jc w:val="right"/>
              <w:ind w:right="472"/>
              <w:spacing w:after="0"/>
              <w:rPr>
                <w:sz w:val="20"/>
                <w:szCs w:val="20"/>
                <w:color w:val="auto"/>
              </w:rPr>
            </w:pPr>
            <w:r>
              <w:rPr>
                <w:rFonts w:ascii="Arial" w:cs="Arial" w:eastAsia="Arial" w:hAnsi="Arial"/>
                <w:sz w:val="14"/>
                <w:szCs w:val="14"/>
                <w:color w:val="auto"/>
              </w:rPr>
              <w:t>27.0%</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30.0%</w:t>
            </w:r>
          </w:p>
        </w:tc>
      </w:tr>
      <w:tr>
        <w:trPr>
          <w:trHeight w:val="164"/>
        </w:trPr>
        <w:tc>
          <w:tcPr>
            <w:tcW w:w="704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Expected term (years)</w:t>
            </w:r>
          </w:p>
        </w:tc>
        <w:tc>
          <w:tcPr>
            <w:tcW w:w="148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1.0</w:t>
            </w:r>
          </w:p>
        </w:tc>
        <w:tc>
          <w:tcPr>
            <w:tcW w:w="1780" w:type="dxa"/>
            <w:vAlign w:val="bottom"/>
            <w:tcBorders>
              <w:bottom w:val="single" w:sz="8" w:color="auto"/>
            </w:tcBorders>
            <w:shd w:val="clear" w:color="auto" w:fill="E6EFFF"/>
          </w:tcPr>
          <w:p>
            <w:pPr>
              <w:jc w:val="right"/>
              <w:ind w:right="472"/>
              <w:spacing w:after="0"/>
              <w:rPr>
                <w:sz w:val="20"/>
                <w:szCs w:val="20"/>
                <w:color w:val="auto"/>
              </w:rPr>
            </w:pPr>
            <w:r>
              <w:rPr>
                <w:rFonts w:ascii="Arial" w:cs="Arial" w:eastAsia="Arial" w:hAnsi="Arial"/>
                <w:sz w:val="14"/>
                <w:szCs w:val="14"/>
                <w:color w:val="auto"/>
              </w:rPr>
              <w:t>1.0</w:t>
            </w:r>
          </w:p>
        </w:tc>
        <w:tc>
          <w:tcPr>
            <w:tcW w:w="9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E6EFFF"/>
          </w:tcPr>
          <w:p>
            <w:pPr>
              <w:spacing w:after="0"/>
              <w:rPr>
                <w:sz w:val="14"/>
                <w:szCs w:val="14"/>
                <w:color w:val="auto"/>
              </w:rPr>
            </w:pPr>
          </w:p>
        </w:tc>
      </w:tr>
    </w:tbl>
    <w:p>
      <w:pPr>
        <w:spacing w:after="0" w:line="180"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These assumptions are determined using the same methodology applied in determining the assumptions used in calculating the fair value of our stock options.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We recognized expense of $1.8, $3.0 and $2.6 for shares purchased under the plan in 2008, 2007 and 2006, respectively.</w:t>
      </w:r>
    </w:p>
    <w:p>
      <w:pPr>
        <w:spacing w:after="0" w:line="18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also maintain the Savings Related Share Option Scheme for U.K.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 We recognized expense of $0.5, $0.2 and $0.3 for shares purchased under the plan in 2008, 2007 and 2006, respectively.</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04.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Earnings Per Share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Net Earnings Per Share – Basic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500" w:type="dxa"/>
            <w:vAlign w:val="bottom"/>
            <w:shd w:val="clear" w:color="auto" w:fill="4D8ABE"/>
          </w:tcPr>
          <w:p>
            <w:pPr>
              <w:spacing w:after="0"/>
              <w:rPr>
                <w:sz w:val="15"/>
                <w:szCs w:val="15"/>
                <w:color w:val="auto"/>
              </w:rPr>
            </w:pPr>
          </w:p>
        </w:tc>
        <w:tc>
          <w:tcPr>
            <w:tcW w:w="9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0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4D8ABE"/>
              </w:rPr>
              <w:t>2007</w:t>
            </w:r>
          </w:p>
        </w:tc>
        <w:tc>
          <w:tcPr>
            <w:tcW w:w="6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Net earnings from continuing operations</w:t>
            </w:r>
          </w:p>
        </w:tc>
        <w:tc>
          <w:tcPr>
            <w:tcW w:w="500" w:type="dxa"/>
            <w:vAlign w:val="bottom"/>
            <w:tcBorders>
              <w:top w:val="single" w:sz="8" w:color="4D8ABE"/>
            </w:tcBorders>
            <w:shd w:val="clear" w:color="auto" w:fill="E6EFFF"/>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top w:val="single" w:sz="8" w:color="4D8ABE"/>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218.9</w:t>
            </w:r>
          </w:p>
        </w:tc>
        <w:tc>
          <w:tcPr>
            <w:tcW w:w="500" w:type="dxa"/>
            <w:vAlign w:val="bottom"/>
            <w:tcBorders>
              <w:top w:val="single" w:sz="8" w:color="4D8ABE"/>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4D8ABE"/>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484.7</w:t>
            </w:r>
          </w:p>
        </w:tc>
        <w:tc>
          <w:tcPr>
            <w:tcW w:w="600" w:type="dxa"/>
            <w:vAlign w:val="bottom"/>
            <w:tcBorders>
              <w:top w:val="single" w:sz="8" w:color="4D8ABE"/>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305.7</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Income from discontinued operations, net of taxes</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right w:val="single" w:sz="8" w:color="4D8ABE"/>
            </w:tcBorders>
            <w:shd w:val="clear" w:color="auto" w:fill="E6EFFF"/>
          </w:tcPr>
          <w:p>
            <w:pPr>
              <w:ind w:left="160"/>
              <w:spacing w:after="0" w:line="155" w:lineRule="exact"/>
              <w:rPr>
                <w:sz w:val="20"/>
                <w:szCs w:val="20"/>
                <w:color w:val="auto"/>
              </w:rPr>
            </w:pPr>
            <w:r>
              <w:rPr>
                <w:rFonts w:ascii="Arial" w:cs="Arial" w:eastAsia="Arial" w:hAnsi="Arial"/>
                <w:sz w:val="14"/>
                <w:szCs w:val="14"/>
                <w:color w:val="auto"/>
              </w:rPr>
              <w:t>Net earnings available to common shareholders</w:t>
            </w:r>
          </w:p>
        </w:tc>
        <w:tc>
          <w:tcPr>
            <w:tcW w:w="500" w:type="dxa"/>
            <w:vAlign w:val="bottom"/>
            <w:shd w:val="clear" w:color="auto" w:fill="E6EFFF"/>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218.9</w:t>
            </w:r>
          </w:p>
        </w:tc>
        <w:tc>
          <w:tcPr>
            <w:tcW w:w="500" w:type="dxa"/>
            <w:vAlign w:val="bottom"/>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484.7</w:t>
            </w:r>
          </w:p>
        </w:tc>
        <w:tc>
          <w:tcPr>
            <w:tcW w:w="600" w:type="dxa"/>
            <w:vAlign w:val="bottom"/>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E6EFFF"/>
          </w:tcPr>
          <w:p>
            <w:pPr>
              <w:jc w:val="right"/>
              <w:spacing w:after="0" w:line="155" w:lineRule="exact"/>
              <w:rPr>
                <w:sz w:val="20"/>
                <w:szCs w:val="20"/>
                <w:color w:val="auto"/>
              </w:rPr>
            </w:pPr>
            <w:r>
              <w:rPr>
                <w:rFonts w:ascii="Arial" w:cs="Arial" w:eastAsia="Arial" w:hAnsi="Arial"/>
                <w:sz w:val="14"/>
                <w:szCs w:val="14"/>
                <w:color w:val="auto"/>
              </w:rPr>
              <w:t>398.0</w:t>
            </w:r>
          </w:p>
        </w:tc>
        <w:tc>
          <w:tcPr>
            <w:tcW w:w="220" w:type="dxa"/>
            <w:vAlign w:val="bottom"/>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Weighted-average common shares outstanding</w:t>
            </w: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78.7</w:t>
            </w:r>
          </w:p>
        </w:tc>
        <w:tc>
          <w:tcPr>
            <w:tcW w:w="50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83.1</w:t>
            </w:r>
          </w:p>
        </w:tc>
        <w:tc>
          <w:tcPr>
            <w:tcW w:w="6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86.2</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Net earnings per share from continuing operations – basic</w:t>
            </w:r>
          </w:p>
        </w:tc>
        <w:tc>
          <w:tcPr>
            <w:tcW w:w="500" w:type="dxa"/>
            <w:vAlign w:val="bottom"/>
            <w:shd w:val="clear" w:color="auto" w:fill="E6EFFF"/>
          </w:tcPr>
          <w:p>
            <w:pPr>
              <w:jc w:val="right"/>
              <w:ind w:right="332"/>
              <w:spacing w:after="0"/>
              <w:rPr>
                <w:sz w:val="20"/>
                <w:szCs w:val="20"/>
                <w:color w:val="auto"/>
              </w:rPr>
            </w:pPr>
            <w:r>
              <w:rPr>
                <w:rFonts w:ascii="Arial" w:cs="Arial" w:eastAsia="Arial" w:hAnsi="Arial"/>
                <w:sz w:val="14"/>
                <w:szCs w:val="14"/>
                <w:b w:val="1"/>
                <w:bCs w:val="1"/>
                <w:color w:val="4D8ABE"/>
              </w:rPr>
              <w:t>$</w:t>
            </w: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2.78</w:t>
            </w:r>
          </w:p>
        </w:tc>
        <w:tc>
          <w:tcPr>
            <w:tcW w:w="500" w:type="dxa"/>
            <w:vAlign w:val="bottom"/>
            <w:shd w:val="clear" w:color="auto" w:fill="E6EFFF"/>
          </w:tcPr>
          <w:p>
            <w:pPr>
              <w:jc w:val="right"/>
              <w:ind w:right="332"/>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5.83</w:t>
            </w:r>
          </w:p>
        </w:tc>
        <w:tc>
          <w:tcPr>
            <w:tcW w:w="600" w:type="dxa"/>
            <w:vAlign w:val="bottom"/>
            <w:shd w:val="clear" w:color="auto" w:fill="E6EFFF"/>
          </w:tcPr>
          <w:p>
            <w:pPr>
              <w:jc w:val="right"/>
              <w:ind w:right="332"/>
              <w:spacing w:after="0"/>
              <w:rPr>
                <w:sz w:val="20"/>
                <w:szCs w:val="20"/>
                <w:color w:val="auto"/>
              </w:rPr>
            </w:pPr>
            <w:r>
              <w:rPr>
                <w:rFonts w:ascii="Arial" w:cs="Arial" w:eastAsia="Arial" w:hAnsi="Arial"/>
                <w:sz w:val="14"/>
                <w:szCs w:val="14"/>
                <w:color w:val="auto"/>
              </w:rPr>
              <w:t>$</w:t>
            </w:r>
          </w:p>
        </w:tc>
        <w:tc>
          <w:tcPr>
            <w:tcW w:w="7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3.55</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Net earnings per share from discontinued operations – basic</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2.78</w:t>
            </w:r>
          </w:p>
        </w:tc>
        <w:tc>
          <w:tcPr>
            <w:tcW w:w="500" w:type="dxa"/>
            <w:vAlign w:val="bottom"/>
            <w:tcBorders>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5.83</w:t>
            </w:r>
          </w:p>
        </w:tc>
        <w:tc>
          <w:tcPr>
            <w:tcW w:w="600" w:type="dxa"/>
            <w:vAlign w:val="bottom"/>
            <w:tcBorders>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4.62</w:t>
            </w:r>
          </w:p>
        </w:tc>
        <w:tc>
          <w:tcPr>
            <w:tcW w:w="220" w:type="dxa"/>
            <w:vAlign w:val="bottom"/>
            <w:tcBorders>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Net Earnings Per Share – Diluted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20"/>
                <w:szCs w:val="20"/>
                <w:color w:val="auto"/>
              </w:rPr>
            </w:pPr>
            <w:r>
              <w:rPr>
                <w:rFonts w:ascii="Arial" w:cs="Arial" w:eastAsia="Arial" w:hAnsi="Arial"/>
                <w:sz w:val="14"/>
                <w:szCs w:val="14"/>
                <w:color w:val="4D8ABE"/>
              </w:rPr>
              <w:t>Year Ended December 31</w:t>
            </w:r>
          </w:p>
        </w:tc>
        <w:tc>
          <w:tcPr>
            <w:tcW w:w="4340" w:type="dxa"/>
            <w:vAlign w:val="bottom"/>
            <w:tcBorders>
              <w:right w:val="single" w:sz="8" w:color="4D8ABE"/>
            </w:tcBorders>
          </w:tcPr>
          <w:p>
            <w:pPr>
              <w:spacing w:after="0"/>
              <w:rPr>
                <w:sz w:val="15"/>
                <w:szCs w:val="15"/>
                <w:color w:val="auto"/>
              </w:rPr>
            </w:pPr>
          </w:p>
        </w:tc>
        <w:tc>
          <w:tcPr>
            <w:tcW w:w="500" w:type="dxa"/>
            <w:vAlign w:val="bottom"/>
            <w:shd w:val="clear" w:color="auto" w:fill="4D8ABE"/>
          </w:tcPr>
          <w:p>
            <w:pPr>
              <w:spacing w:after="0"/>
              <w:rPr>
                <w:sz w:val="15"/>
                <w:szCs w:val="15"/>
                <w:color w:val="auto"/>
              </w:rPr>
            </w:pPr>
          </w:p>
        </w:tc>
        <w:tc>
          <w:tcPr>
            <w:tcW w:w="9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0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4D8ABE"/>
              </w:rPr>
              <w:t>2007</w:t>
            </w:r>
          </w:p>
        </w:tc>
        <w:tc>
          <w:tcPr>
            <w:tcW w:w="7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c>
          <w:tcPr>
            <w:tcW w:w="40" w:type="dxa"/>
            <w:vAlign w:val="bottom"/>
          </w:tcPr>
          <w:p>
            <w:pPr>
              <w:spacing w:after="0"/>
              <w:rPr>
                <w:sz w:val="15"/>
                <w:szCs w:val="15"/>
                <w:color w:val="auto"/>
              </w:rPr>
            </w:pPr>
          </w:p>
        </w:tc>
      </w:tr>
      <w:tr>
        <w:trPr>
          <w:trHeight w:val="155"/>
        </w:trPr>
        <w:tc>
          <w:tcPr>
            <w:tcW w:w="2700" w:type="dxa"/>
            <w:vAlign w:val="bottom"/>
            <w:tcBorders>
              <w:top w:val="single" w:sz="8" w:color="4D8ABE"/>
            </w:tcBorders>
          </w:tcPr>
          <w:p>
            <w:pPr>
              <w:spacing w:after="0" w:line="155" w:lineRule="exact"/>
              <w:rPr>
                <w:sz w:val="20"/>
                <w:szCs w:val="20"/>
                <w:color w:val="auto"/>
              </w:rPr>
            </w:pPr>
            <w:r>
              <w:rPr>
                <w:rFonts w:ascii="Arial" w:cs="Arial" w:eastAsia="Arial" w:hAnsi="Arial"/>
                <w:sz w:val="14"/>
                <w:szCs w:val="14"/>
                <w:color w:val="auto"/>
              </w:rPr>
              <w:t>Net earnings from continuing operations</w:t>
            </w:r>
          </w:p>
        </w:tc>
        <w:tc>
          <w:tcPr>
            <w:tcW w:w="4340" w:type="dxa"/>
            <w:vAlign w:val="bottom"/>
            <w:tcBorders>
              <w:top w:val="single" w:sz="8" w:color="4D8ABE"/>
              <w:right w:val="single" w:sz="8" w:color="4D8ABE"/>
            </w:tcBorders>
          </w:tcPr>
          <w:p>
            <w:pPr>
              <w:spacing w:after="0"/>
              <w:rPr>
                <w:sz w:val="13"/>
                <w:szCs w:val="13"/>
                <w:color w:val="auto"/>
              </w:rPr>
            </w:pPr>
          </w:p>
        </w:tc>
        <w:tc>
          <w:tcPr>
            <w:tcW w:w="500" w:type="dxa"/>
            <w:vAlign w:val="bottom"/>
            <w:tcBorders>
              <w:top w:val="single" w:sz="8" w:color="4D8ABE"/>
            </w:tcBorders>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top w:val="single" w:sz="8" w:color="4D8ABE"/>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218.9</w:t>
            </w:r>
          </w:p>
        </w:tc>
        <w:tc>
          <w:tcPr>
            <w:tcW w:w="500" w:type="dxa"/>
            <w:vAlign w:val="bottom"/>
            <w:tcBorders>
              <w:top w:val="single" w:sz="8" w:color="4D8ABE"/>
            </w:tcBorders>
          </w:tcPr>
          <w:p>
            <w:pPr>
              <w:jc w:val="right"/>
              <w:ind w:right="334"/>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4D8ABE"/>
            </w:tcBorders>
          </w:tcPr>
          <w:p>
            <w:pPr>
              <w:jc w:val="right"/>
              <w:ind w:right="72"/>
              <w:spacing w:after="0" w:line="155" w:lineRule="exact"/>
              <w:rPr>
                <w:sz w:val="20"/>
                <w:szCs w:val="20"/>
                <w:color w:val="auto"/>
              </w:rPr>
            </w:pPr>
            <w:r>
              <w:rPr>
                <w:rFonts w:ascii="Arial" w:cs="Arial" w:eastAsia="Arial" w:hAnsi="Arial"/>
                <w:sz w:val="14"/>
                <w:szCs w:val="14"/>
                <w:color w:val="auto"/>
              </w:rPr>
              <w:t>484.7</w:t>
            </w:r>
          </w:p>
        </w:tc>
        <w:tc>
          <w:tcPr>
            <w:tcW w:w="700" w:type="dxa"/>
            <w:vAlign w:val="bottom"/>
            <w:tcBorders>
              <w:top w:val="single" w:sz="8" w:color="4D8ABE"/>
            </w:tcBorders>
          </w:tcPr>
          <w:p>
            <w:pPr>
              <w:jc w:val="right"/>
              <w:ind w:right="432"/>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305.7</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7040" w:type="dxa"/>
            <w:vAlign w:val="bottom"/>
            <w:tcBorders>
              <w:bottom w:val="single" w:sz="8" w:color="auto"/>
              <w:right w:val="single" w:sz="8" w:color="4D8ABE"/>
            </w:tcBorders>
            <w:gridSpan w:val="2"/>
            <w:shd w:val="clear" w:color="auto" w:fill="E6EFFF"/>
          </w:tcPr>
          <w:p>
            <w:pPr>
              <w:spacing w:after="0"/>
              <w:rPr>
                <w:sz w:val="20"/>
                <w:szCs w:val="20"/>
                <w:color w:val="auto"/>
              </w:rPr>
            </w:pPr>
            <w:r>
              <w:rPr>
                <w:rFonts w:ascii="Arial" w:cs="Arial" w:eastAsia="Arial" w:hAnsi="Arial"/>
                <w:sz w:val="14"/>
                <w:szCs w:val="14"/>
                <w:color w:val="auto"/>
              </w:rPr>
              <w:t>Income from discontinued operations, net of taxes</w:t>
            </w:r>
          </w:p>
        </w:tc>
        <w:tc>
          <w:tcPr>
            <w:tcW w:w="500" w:type="dxa"/>
            <w:vAlign w:val="bottom"/>
            <w:tcBorders>
              <w:bottom w:val="single" w:sz="8" w:color="auto"/>
            </w:tcBorders>
            <w:shd w:val="clear" w:color="auto" w:fill="E6EFFF"/>
          </w:tcPr>
          <w:p>
            <w:pPr>
              <w:spacing w:after="0"/>
              <w:rPr>
                <w:sz w:val="14"/>
                <w:szCs w:val="14"/>
                <w:color w:val="auto"/>
              </w:rPr>
            </w:pPr>
          </w:p>
        </w:tc>
        <w:tc>
          <w:tcPr>
            <w:tcW w:w="98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w:t>
            </w:r>
          </w:p>
        </w:tc>
        <w:tc>
          <w:tcPr>
            <w:tcW w:w="500" w:type="dxa"/>
            <w:vAlign w:val="bottom"/>
            <w:tcBorders>
              <w:bottom w:val="single" w:sz="8" w:color="auto"/>
            </w:tcBorders>
            <w:shd w:val="clear" w:color="auto" w:fill="E6EFFF"/>
          </w:tcPr>
          <w:p>
            <w:pPr>
              <w:spacing w:after="0"/>
              <w:rPr>
                <w:sz w:val="14"/>
                <w:szCs w:val="14"/>
                <w:color w:val="auto"/>
              </w:rPr>
            </w:pPr>
          </w:p>
        </w:tc>
        <w:tc>
          <w:tcPr>
            <w:tcW w:w="88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E6EFFF"/>
          </w:tcPr>
          <w:p>
            <w:pPr>
              <w:spacing w:after="0"/>
              <w:rPr>
                <w:sz w:val="14"/>
                <w:szCs w:val="14"/>
                <w:color w:val="auto"/>
              </w:rPr>
            </w:pPr>
          </w:p>
        </w:tc>
        <w:tc>
          <w:tcPr>
            <w:tcW w:w="6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92.3</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7040" w:type="dxa"/>
            <w:vAlign w:val="bottom"/>
            <w:tcBorders>
              <w:right w:val="single" w:sz="8" w:color="4D8ABE"/>
            </w:tcBorders>
            <w:gridSpan w:val="2"/>
          </w:tcPr>
          <w:p>
            <w:pPr>
              <w:ind w:left="160"/>
              <w:spacing w:after="0" w:line="155" w:lineRule="exact"/>
              <w:rPr>
                <w:sz w:val="20"/>
                <w:szCs w:val="20"/>
                <w:color w:val="auto"/>
              </w:rPr>
            </w:pPr>
            <w:r>
              <w:rPr>
                <w:rFonts w:ascii="Arial" w:cs="Arial" w:eastAsia="Arial" w:hAnsi="Arial"/>
                <w:sz w:val="14"/>
                <w:szCs w:val="14"/>
                <w:color w:val="auto"/>
              </w:rPr>
              <w:t>Net earnings available to common shareholders</w:t>
            </w:r>
          </w:p>
        </w:tc>
        <w:tc>
          <w:tcPr>
            <w:tcW w:w="50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218.9</w:t>
            </w:r>
          </w:p>
        </w:tc>
        <w:tc>
          <w:tcPr>
            <w:tcW w:w="500" w:type="dxa"/>
            <w:vAlign w:val="bottom"/>
          </w:tcPr>
          <w:p>
            <w:pPr>
              <w:jc w:val="right"/>
              <w:ind w:right="334"/>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line="155" w:lineRule="exact"/>
              <w:rPr>
                <w:sz w:val="20"/>
                <w:szCs w:val="20"/>
                <w:color w:val="auto"/>
              </w:rPr>
            </w:pPr>
            <w:r>
              <w:rPr>
                <w:rFonts w:ascii="Arial" w:cs="Arial" w:eastAsia="Arial" w:hAnsi="Arial"/>
                <w:sz w:val="14"/>
                <w:szCs w:val="14"/>
                <w:color w:val="auto"/>
              </w:rPr>
              <w:t>484.7</w:t>
            </w:r>
          </w:p>
        </w:tc>
        <w:tc>
          <w:tcPr>
            <w:tcW w:w="700" w:type="dxa"/>
            <w:vAlign w:val="bottom"/>
          </w:tcPr>
          <w:p>
            <w:pPr>
              <w:jc w:val="right"/>
              <w:ind w:right="432"/>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398.0</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7040" w:type="dxa"/>
            <w:vAlign w:val="bottom"/>
            <w:tcBorders>
              <w:right w:val="single" w:sz="8" w:color="4D8ABE"/>
            </w:tcBorders>
            <w:gridSpan w:val="2"/>
            <w:shd w:val="clear" w:color="auto" w:fill="E6EFFF"/>
          </w:tcPr>
          <w:p>
            <w:pPr>
              <w:spacing w:after="0"/>
              <w:rPr>
                <w:sz w:val="20"/>
                <w:szCs w:val="20"/>
                <w:color w:val="auto"/>
              </w:rPr>
            </w:pPr>
            <w:r>
              <w:rPr>
                <w:rFonts w:ascii="Arial" w:cs="Arial" w:eastAsia="Arial" w:hAnsi="Arial"/>
                <w:sz w:val="14"/>
                <w:szCs w:val="14"/>
                <w:color w:val="auto"/>
              </w:rPr>
              <w:t>Weighted-average common shares outstanding</w:t>
            </w: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78.7</w:t>
            </w:r>
          </w:p>
        </w:tc>
        <w:tc>
          <w:tcPr>
            <w:tcW w:w="50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83.1</w:t>
            </w:r>
          </w:p>
        </w:tc>
        <w:tc>
          <w:tcPr>
            <w:tcW w:w="700" w:type="dxa"/>
            <w:vAlign w:val="bottom"/>
            <w:shd w:val="clear" w:color="auto" w:fill="E6EFFF"/>
          </w:tcPr>
          <w:p>
            <w:pPr>
              <w:spacing w:after="0"/>
              <w:rPr>
                <w:sz w:val="14"/>
                <w:szCs w:val="14"/>
                <w:color w:val="auto"/>
              </w:rPr>
            </w:pPr>
          </w:p>
        </w:tc>
        <w:tc>
          <w:tcPr>
            <w:tcW w:w="6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86.2</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700" w:type="dxa"/>
            <w:vAlign w:val="bottom"/>
          </w:tcPr>
          <w:p>
            <w:pPr>
              <w:spacing w:after="0"/>
              <w:rPr>
                <w:sz w:val="20"/>
                <w:szCs w:val="20"/>
                <w:color w:val="auto"/>
              </w:rPr>
            </w:pPr>
            <w:r>
              <w:rPr>
                <w:rFonts w:ascii="Arial" w:cs="Arial" w:eastAsia="Arial" w:hAnsi="Arial"/>
                <w:sz w:val="14"/>
                <w:szCs w:val="14"/>
                <w:color w:val="auto"/>
              </w:rPr>
              <w:t>Effect of restricted stock grants</w:t>
            </w:r>
          </w:p>
        </w:tc>
        <w:tc>
          <w:tcPr>
            <w:tcW w:w="434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0.3</w:t>
            </w:r>
          </w:p>
        </w:tc>
        <w:tc>
          <w:tcPr>
            <w:tcW w:w="50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0.2</w:t>
            </w:r>
          </w:p>
        </w:tc>
        <w:tc>
          <w:tcPr>
            <w:tcW w:w="7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4"/>
                <w:szCs w:val="14"/>
                <w:color w:val="auto"/>
              </w:rPr>
            </w:pPr>
          </w:p>
        </w:tc>
      </w:tr>
      <w:tr>
        <w:trPr>
          <w:trHeight w:val="164"/>
        </w:trPr>
        <w:tc>
          <w:tcPr>
            <w:tcW w:w="2700" w:type="dxa"/>
            <w:vAlign w:val="bottom"/>
            <w:shd w:val="clear" w:color="auto" w:fill="E6EFFF"/>
          </w:tcPr>
          <w:p>
            <w:pPr>
              <w:spacing w:after="0"/>
              <w:rPr>
                <w:sz w:val="20"/>
                <w:szCs w:val="20"/>
                <w:color w:val="auto"/>
              </w:rPr>
            </w:pPr>
            <w:r>
              <w:rPr>
                <w:rFonts w:ascii="Arial" w:cs="Arial" w:eastAsia="Arial" w:hAnsi="Arial"/>
                <w:sz w:val="14"/>
                <w:szCs w:val="14"/>
                <w:color w:val="auto"/>
              </w:rPr>
              <w:t>Effect of dilutive securities – stock options</w:t>
            </w:r>
          </w:p>
        </w:tc>
        <w:tc>
          <w:tcPr>
            <w:tcW w:w="434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0.7</w:t>
            </w:r>
          </w:p>
        </w:tc>
        <w:tc>
          <w:tcPr>
            <w:tcW w:w="50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1.3</w:t>
            </w:r>
          </w:p>
        </w:tc>
        <w:tc>
          <w:tcPr>
            <w:tcW w:w="70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r>
      <w:tr>
        <w:trPr>
          <w:trHeight w:val="155"/>
        </w:trPr>
        <w:tc>
          <w:tcPr>
            <w:tcW w:w="2700" w:type="dxa"/>
            <w:vAlign w:val="bottom"/>
            <w:tcBorders>
              <w:top w:val="single" w:sz="8" w:color="auto"/>
            </w:tcBorders>
          </w:tcPr>
          <w:p>
            <w:pPr>
              <w:spacing w:after="0"/>
              <w:rPr>
                <w:sz w:val="13"/>
                <w:szCs w:val="13"/>
                <w:color w:val="auto"/>
              </w:rPr>
            </w:pPr>
          </w:p>
        </w:tc>
        <w:tc>
          <w:tcPr>
            <w:tcW w:w="4340" w:type="dxa"/>
            <w:vAlign w:val="bottom"/>
            <w:tcBorders>
              <w:top w:val="single" w:sz="8" w:color="auto"/>
              <w:right w:val="single" w:sz="8" w:color="4D8ABE"/>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80" w:type="dxa"/>
            <w:vAlign w:val="bottom"/>
            <w:tcBorders>
              <w:top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79.7</w:t>
            </w:r>
          </w:p>
        </w:tc>
        <w:tc>
          <w:tcPr>
            <w:tcW w:w="5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84.6</w:t>
            </w:r>
          </w:p>
        </w:tc>
        <w:tc>
          <w:tcPr>
            <w:tcW w:w="7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87.7</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7040" w:type="dxa"/>
            <w:vAlign w:val="bottom"/>
            <w:tcBorders>
              <w:right w:val="single" w:sz="8" w:color="4D8ABE"/>
            </w:tcBorders>
            <w:gridSpan w:val="2"/>
            <w:shd w:val="clear" w:color="auto" w:fill="E6EFFF"/>
          </w:tcPr>
          <w:p>
            <w:pPr>
              <w:spacing w:after="0"/>
              <w:rPr>
                <w:sz w:val="20"/>
                <w:szCs w:val="20"/>
                <w:color w:val="auto"/>
              </w:rPr>
            </w:pPr>
            <w:r>
              <w:rPr>
                <w:rFonts w:ascii="Arial" w:cs="Arial" w:eastAsia="Arial" w:hAnsi="Arial"/>
                <w:sz w:val="14"/>
                <w:szCs w:val="14"/>
                <w:color w:val="auto"/>
              </w:rPr>
              <w:t>Net earnings per share from continuing operations – diluted</w:t>
            </w:r>
          </w:p>
        </w:tc>
        <w:tc>
          <w:tcPr>
            <w:tcW w:w="500" w:type="dxa"/>
            <w:vAlign w:val="bottom"/>
            <w:shd w:val="clear" w:color="auto" w:fill="E6EFFF"/>
          </w:tcPr>
          <w:p>
            <w:pPr>
              <w:jc w:val="right"/>
              <w:ind w:right="332"/>
              <w:spacing w:after="0"/>
              <w:rPr>
                <w:sz w:val="20"/>
                <w:szCs w:val="20"/>
                <w:color w:val="auto"/>
              </w:rPr>
            </w:pPr>
            <w:r>
              <w:rPr>
                <w:rFonts w:ascii="Arial" w:cs="Arial" w:eastAsia="Arial" w:hAnsi="Arial"/>
                <w:sz w:val="14"/>
                <w:szCs w:val="14"/>
                <w:b w:val="1"/>
                <w:bCs w:val="1"/>
                <w:color w:val="4D8ABE"/>
              </w:rPr>
              <w:t>$</w:t>
            </w: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2.75</w:t>
            </w:r>
          </w:p>
        </w:tc>
        <w:tc>
          <w:tcPr>
            <w:tcW w:w="500" w:type="dxa"/>
            <w:vAlign w:val="bottom"/>
            <w:shd w:val="clear" w:color="auto" w:fill="E6EFFF"/>
          </w:tcPr>
          <w:p>
            <w:pPr>
              <w:jc w:val="right"/>
              <w:ind w:right="334"/>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5.73</w:t>
            </w:r>
          </w:p>
        </w:tc>
        <w:tc>
          <w:tcPr>
            <w:tcW w:w="700" w:type="dxa"/>
            <w:vAlign w:val="bottom"/>
            <w:shd w:val="clear" w:color="auto" w:fill="E6EFFF"/>
          </w:tcPr>
          <w:p>
            <w:pPr>
              <w:jc w:val="right"/>
              <w:ind w:right="432"/>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3.48</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7040" w:type="dxa"/>
            <w:vAlign w:val="bottom"/>
            <w:tcBorders>
              <w:bottom w:val="single" w:sz="8" w:color="auto"/>
              <w:right w:val="single" w:sz="8" w:color="4D8ABE"/>
            </w:tcBorders>
            <w:gridSpan w:val="2"/>
          </w:tcPr>
          <w:p>
            <w:pPr>
              <w:spacing w:after="0"/>
              <w:rPr>
                <w:sz w:val="20"/>
                <w:szCs w:val="20"/>
                <w:color w:val="auto"/>
              </w:rPr>
            </w:pPr>
            <w:r>
              <w:rPr>
                <w:rFonts w:ascii="Arial" w:cs="Arial" w:eastAsia="Arial" w:hAnsi="Arial"/>
                <w:sz w:val="14"/>
                <w:szCs w:val="14"/>
                <w:color w:val="auto"/>
              </w:rPr>
              <w:t>Net earnings per share from discontinued operations – diluted</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Borders>
              <w:bottom w:val="single" w:sz="8" w:color="E6EFFF"/>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700" w:type="dxa"/>
            <w:vAlign w:val="bottom"/>
            <w:tcBorders>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Total</w:t>
            </w:r>
          </w:p>
        </w:tc>
        <w:tc>
          <w:tcPr>
            <w:tcW w:w="4340" w:type="dxa"/>
            <w:vAlign w:val="bottom"/>
            <w:tcBorders>
              <w:bottom w:val="single" w:sz="8" w:color="auto"/>
              <w:right w:val="single" w:sz="8" w:color="4D8ABE"/>
            </w:tcBorders>
            <w:shd w:val="clear" w:color="auto" w:fill="E6EFFF"/>
          </w:tcPr>
          <w:p>
            <w:pPr>
              <w:spacing w:after="0"/>
              <w:rPr>
                <w:sz w:val="13"/>
                <w:szCs w:val="13"/>
                <w:color w:val="auto"/>
              </w:rPr>
            </w:pPr>
          </w:p>
        </w:tc>
        <w:tc>
          <w:tcPr>
            <w:tcW w:w="500" w:type="dxa"/>
            <w:vAlign w:val="bottom"/>
            <w:tcBorders>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2.75</w:t>
            </w:r>
          </w:p>
        </w:tc>
        <w:tc>
          <w:tcPr>
            <w:tcW w:w="500" w:type="dxa"/>
            <w:vAlign w:val="bottom"/>
            <w:tcBorders>
              <w:bottom w:val="single" w:sz="8" w:color="auto"/>
            </w:tcBorders>
            <w:shd w:val="clear" w:color="auto" w:fill="E6EFFF"/>
          </w:tcPr>
          <w:p>
            <w:pPr>
              <w:jc w:val="right"/>
              <w:ind w:right="334"/>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5.73</w:t>
            </w:r>
          </w:p>
        </w:tc>
        <w:tc>
          <w:tcPr>
            <w:tcW w:w="700" w:type="dxa"/>
            <w:vAlign w:val="bottom"/>
            <w:tcBorders>
              <w:bottom w:val="single" w:sz="8" w:color="auto"/>
            </w:tcBorders>
            <w:shd w:val="clear" w:color="auto" w:fill="E6EFFF"/>
          </w:tcPr>
          <w:p>
            <w:pPr>
              <w:jc w:val="right"/>
              <w:ind w:right="432"/>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4.54</w:t>
            </w:r>
          </w:p>
        </w:tc>
        <w:tc>
          <w:tcPr>
            <w:tcW w:w="220" w:type="dxa"/>
            <w:vAlign w:val="bottom"/>
            <w:tcBorders>
              <w:bottom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370"/>
        </w:trPr>
        <w:tc>
          <w:tcPr>
            <w:tcW w:w="27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2700" w:type="dxa"/>
            <w:vAlign w:val="bottom"/>
          </w:tcPr>
          <w:p>
            <w:pPr>
              <w:spacing w:after="0"/>
              <w:rPr>
                <w:sz w:val="20"/>
                <w:szCs w:val="20"/>
                <w:color w:val="auto"/>
              </w:rPr>
            </w:pPr>
            <w:r>
              <w:rPr>
                <w:rFonts w:ascii="Arial" w:cs="Arial" w:eastAsia="Arial" w:hAnsi="Arial"/>
                <w:sz w:val="12"/>
                <w:szCs w:val="12"/>
                <w:b w:val="1"/>
                <w:bCs w:val="1"/>
                <w:color w:val="auto"/>
              </w:rPr>
              <w:t>56</w:t>
            </w:r>
          </w:p>
        </w:tc>
        <w:tc>
          <w:tcPr>
            <w:tcW w:w="4340" w:type="dxa"/>
            <w:vAlign w:val="bottom"/>
          </w:tcPr>
          <w:p>
            <w:pPr>
              <w:ind w:left="160"/>
              <w:spacing w:after="0"/>
              <w:rPr>
                <w:sz w:val="20"/>
                <w:szCs w:val="20"/>
                <w:color w:val="auto"/>
              </w:rPr>
            </w:pPr>
            <w:r>
              <w:rPr>
                <w:rFonts w:ascii="Arial" w:cs="Arial" w:eastAsia="Arial" w:hAnsi="Arial"/>
                <w:sz w:val="12"/>
                <w:szCs w:val="12"/>
                <w:b w:val="1"/>
                <w:bCs w:val="1"/>
                <w:color w:val="939598"/>
              </w:rPr>
              <w:t>Notes To Consolidated Financial Statements</w:t>
            </w: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gridSpan w:val="3"/>
          </w:tcPr>
          <w:p>
            <w:pPr>
              <w:jc w:val="right"/>
              <w:ind w:right="232"/>
              <w:spacing w:after="0"/>
              <w:rPr>
                <w:sz w:val="20"/>
                <w:szCs w:val="20"/>
                <w:color w:val="auto"/>
              </w:rPr>
            </w:pPr>
            <w:r>
              <w:rPr>
                <w:rFonts w:ascii="Arial" w:cs="Arial" w:eastAsia="Arial" w:hAnsi="Arial"/>
                <w:sz w:val="12"/>
                <w:szCs w:val="12"/>
                <w:b w:val="1"/>
                <w:bCs w:val="1"/>
                <w:color w:val="auto"/>
              </w:rPr>
              <w:t>Manpower Annual Report 2008</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7"/>
        </w:trPr>
        <w:tc>
          <w:tcPr>
            <w:tcW w:w="2700" w:type="dxa"/>
            <w:vAlign w:val="bottom"/>
          </w:tcPr>
          <w:p>
            <w:pPr>
              <w:spacing w:after="0"/>
              <w:rPr>
                <w:sz w:val="4"/>
                <w:szCs w:val="4"/>
                <w:color w:val="auto"/>
              </w:rPr>
            </w:pPr>
          </w:p>
        </w:tc>
        <w:tc>
          <w:tcPr>
            <w:tcW w:w="4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2700" w:type="dxa"/>
            <w:vAlign w:val="bottom"/>
            <w:shd w:val="clear" w:color="auto" w:fill="808080"/>
          </w:tcPr>
          <w:p>
            <w:pPr>
              <w:spacing w:after="0"/>
              <w:rPr>
                <w:sz w:val="5"/>
                <w:szCs w:val="5"/>
                <w:color w:val="auto"/>
              </w:rPr>
            </w:pPr>
          </w:p>
        </w:tc>
        <w:tc>
          <w:tcPr>
            <w:tcW w:w="434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00"/>
          </w:cols>
          <w:pgMar w:left="220" w:top="114" w:right="179" w:bottom="1440" w:gutter="0" w:footer="0" w:header="0"/>
        </w:sectPr>
      </w:pPr>
    </w:p>
    <w:bookmarkStart w:id="114" w:name="page115"/>
    <w:bookmarkEnd w:id="114"/>
    <w:p>
      <w:pPr>
        <w:jc w:val="both"/>
        <w:ind w:right="40"/>
        <w:spacing w:after="0" w:line="249" w:lineRule="auto"/>
        <w:rPr>
          <w:sz w:val="20"/>
          <w:szCs w:val="20"/>
          <w:color w:val="auto"/>
        </w:rPr>
      </w:pPr>
      <w:r>
        <w:rPr>
          <w:rFonts w:ascii="Arial" w:cs="Arial" w:eastAsia="Arial" w:hAnsi="Arial"/>
          <w:sz w:val="16"/>
          <w:szCs w:val="16"/>
          <w:color w:val="auto"/>
        </w:rPr>
        <w:t>The calculations of Net Earnings Per Share – Diluted for the years ended December 31, 2008 and 2007 do not include certain stock option grants because the exercise price for these options is greater than the average market price of the common shares during that year. The number, exercise prices and weighted-average remaining life of these antidilutive options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500" w:type="dxa"/>
            <w:vAlign w:val="bottom"/>
            <w:tcBorders>
              <w:right w:val="single" w:sz="8" w:color="4D8ABE"/>
            </w:tcBorders>
          </w:tcPr>
          <w:p>
            <w:pPr>
              <w:spacing w:after="0"/>
              <w:rPr>
                <w:sz w:val="15"/>
                <w:szCs w:val="15"/>
                <w:color w:val="auto"/>
              </w:rPr>
            </w:pPr>
          </w:p>
        </w:tc>
        <w:tc>
          <w:tcPr>
            <w:tcW w:w="1500" w:type="dxa"/>
            <w:vAlign w:val="bottom"/>
            <w:tcBorders>
              <w:right w:val="single" w:sz="8" w:color="4D8ABE"/>
            </w:tcBorders>
            <w:shd w:val="clear" w:color="auto" w:fill="4D8ABE"/>
          </w:tcPr>
          <w:p>
            <w:pPr>
              <w:jc w:val="right"/>
              <w:ind w:right="152"/>
              <w:spacing w:after="0"/>
              <w:rPr>
                <w:sz w:val="20"/>
                <w:szCs w:val="20"/>
                <w:color w:val="auto"/>
              </w:rPr>
            </w:pPr>
            <w:r>
              <w:rPr>
                <w:rFonts w:ascii="Arial" w:cs="Arial" w:eastAsia="Arial" w:hAnsi="Arial"/>
                <w:sz w:val="14"/>
                <w:szCs w:val="14"/>
                <w:b w:val="1"/>
                <w:bCs w:val="1"/>
                <w:color w:val="FFFFFF"/>
              </w:rPr>
              <w:t>2008</w:t>
            </w:r>
          </w:p>
        </w:tc>
        <w:tc>
          <w:tcPr>
            <w:tcW w:w="1460" w:type="dxa"/>
            <w:vAlign w:val="bottom"/>
          </w:tcPr>
          <w:p>
            <w:pPr>
              <w:jc w:val="right"/>
              <w:ind w:right="132"/>
              <w:spacing w:after="0"/>
              <w:rPr>
                <w:sz w:val="20"/>
                <w:szCs w:val="20"/>
                <w:color w:val="auto"/>
              </w:rPr>
            </w:pPr>
            <w:r>
              <w:rPr>
                <w:rFonts w:ascii="Arial" w:cs="Arial" w:eastAsia="Arial" w:hAnsi="Arial"/>
                <w:sz w:val="14"/>
                <w:szCs w:val="14"/>
                <w:color w:val="4D8ABE"/>
              </w:rPr>
              <w:t>2007</w:t>
            </w:r>
          </w:p>
        </w:tc>
      </w:tr>
      <w:tr>
        <w:trPr>
          <w:trHeight w:val="149"/>
        </w:trPr>
        <w:tc>
          <w:tcPr>
            <w:tcW w:w="8500" w:type="dxa"/>
            <w:vAlign w:val="bottom"/>
            <w:tcBorders>
              <w:bottom w:val="single" w:sz="8" w:color="4D8ABE"/>
              <w:right w:val="single" w:sz="8" w:color="4D8ABE"/>
            </w:tcBorders>
          </w:tcPr>
          <w:p>
            <w:pPr>
              <w:spacing w:after="0"/>
              <w:rPr>
                <w:sz w:val="12"/>
                <w:szCs w:val="12"/>
                <w:color w:val="auto"/>
              </w:rPr>
            </w:pPr>
          </w:p>
        </w:tc>
        <w:tc>
          <w:tcPr>
            <w:tcW w:w="1500" w:type="dxa"/>
            <w:vAlign w:val="bottom"/>
            <w:tcBorders>
              <w:bottom w:val="single" w:sz="8" w:color="4D8ABE"/>
              <w:right w:val="single" w:sz="8" w:color="4D8ABE"/>
            </w:tcBorders>
            <w:shd w:val="clear" w:color="auto" w:fill="4D8ABE"/>
          </w:tcPr>
          <w:p>
            <w:pPr>
              <w:spacing w:after="0"/>
              <w:rPr>
                <w:sz w:val="12"/>
                <w:szCs w:val="12"/>
                <w:color w:val="auto"/>
              </w:rPr>
            </w:pPr>
          </w:p>
        </w:tc>
        <w:tc>
          <w:tcPr>
            <w:tcW w:w="1460" w:type="dxa"/>
            <w:vAlign w:val="bottom"/>
            <w:tcBorders>
              <w:bottom w:val="single" w:sz="8" w:color="4D8ABE"/>
            </w:tcBorders>
          </w:tcPr>
          <w:p>
            <w:pPr>
              <w:spacing w:after="0"/>
              <w:rPr>
                <w:sz w:val="12"/>
                <w:szCs w:val="12"/>
                <w:color w:val="auto"/>
              </w:rPr>
            </w:pPr>
          </w:p>
        </w:tc>
      </w:tr>
      <w:tr>
        <w:trPr>
          <w:trHeight w:val="170"/>
        </w:trPr>
        <w:tc>
          <w:tcPr>
            <w:tcW w:w="85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Shares (in thousands)</w:t>
            </w:r>
          </w:p>
        </w:tc>
        <w:tc>
          <w:tcPr>
            <w:tcW w:w="1500" w:type="dxa"/>
            <w:vAlign w:val="bottom"/>
            <w:tcBorders>
              <w:right w:val="single" w:sz="8" w:color="4D8ABE"/>
            </w:tcBorders>
            <w:shd w:val="clear" w:color="auto" w:fill="E6EFFF"/>
          </w:tcPr>
          <w:p>
            <w:pPr>
              <w:jc w:val="right"/>
              <w:ind w:right="152"/>
              <w:spacing w:after="0"/>
              <w:rPr>
                <w:sz w:val="20"/>
                <w:szCs w:val="20"/>
                <w:color w:val="auto"/>
              </w:rPr>
            </w:pPr>
            <w:r>
              <w:rPr>
                <w:rFonts w:ascii="Arial" w:cs="Arial" w:eastAsia="Arial" w:hAnsi="Arial"/>
                <w:sz w:val="14"/>
                <w:szCs w:val="14"/>
                <w:b w:val="1"/>
                <w:bCs w:val="1"/>
                <w:color w:val="4D8ABE"/>
              </w:rPr>
              <w:t>2,452</w:t>
            </w:r>
          </w:p>
        </w:tc>
        <w:tc>
          <w:tcPr>
            <w:tcW w:w="1460" w:type="dxa"/>
            <w:vAlign w:val="bottom"/>
            <w:shd w:val="clear" w:color="auto" w:fill="E6EFFF"/>
          </w:tcPr>
          <w:p>
            <w:pPr>
              <w:jc w:val="right"/>
              <w:ind w:right="132"/>
              <w:spacing w:after="0"/>
              <w:rPr>
                <w:sz w:val="20"/>
                <w:szCs w:val="20"/>
                <w:color w:val="auto"/>
              </w:rPr>
            </w:pPr>
            <w:r>
              <w:rPr>
                <w:rFonts w:ascii="Arial" w:cs="Arial" w:eastAsia="Arial" w:hAnsi="Arial"/>
                <w:sz w:val="14"/>
                <w:szCs w:val="14"/>
                <w:color w:val="auto"/>
              </w:rPr>
              <w:t>785</w:t>
            </w:r>
          </w:p>
        </w:tc>
      </w:tr>
      <w:tr>
        <w:trPr>
          <w:trHeight w:val="139"/>
        </w:trPr>
        <w:tc>
          <w:tcPr>
            <w:tcW w:w="8500" w:type="dxa"/>
            <w:vAlign w:val="bottom"/>
            <w:tcBorders>
              <w:right w:val="single" w:sz="8" w:color="4D8ABE"/>
            </w:tcBorders>
            <w:shd w:val="clear" w:color="auto" w:fill="E6EFFF"/>
          </w:tcPr>
          <w:p>
            <w:pPr>
              <w:spacing w:after="0"/>
              <w:rPr>
                <w:sz w:val="12"/>
                <w:szCs w:val="12"/>
                <w:color w:val="auto"/>
              </w:rPr>
            </w:pPr>
          </w:p>
        </w:tc>
        <w:tc>
          <w:tcPr>
            <w:tcW w:w="1500" w:type="dxa"/>
            <w:vAlign w:val="bottom"/>
            <w:tcBorders>
              <w:right w:val="single" w:sz="8" w:color="4D8ABE"/>
            </w:tcBorders>
            <w:shd w:val="clear" w:color="auto" w:fill="E6EFFF"/>
          </w:tcPr>
          <w:p>
            <w:pPr>
              <w:spacing w:after="0"/>
              <w:rPr>
                <w:sz w:val="12"/>
                <w:szCs w:val="12"/>
                <w:color w:val="auto"/>
              </w:rPr>
            </w:pPr>
          </w:p>
        </w:tc>
        <w:tc>
          <w:tcPr>
            <w:tcW w:w="1460" w:type="dxa"/>
            <w:vAlign w:val="bottom"/>
            <w:shd w:val="clear" w:color="auto" w:fill="E6EFFF"/>
          </w:tcPr>
          <w:p>
            <w:pPr>
              <w:spacing w:after="0"/>
              <w:rPr>
                <w:sz w:val="12"/>
                <w:szCs w:val="12"/>
                <w:color w:val="auto"/>
              </w:rPr>
            </w:pPr>
          </w:p>
        </w:tc>
      </w:tr>
      <w:tr>
        <w:trPr>
          <w:trHeight w:val="180"/>
        </w:trPr>
        <w:tc>
          <w:tcPr>
            <w:tcW w:w="850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Exercise price ranges</w:t>
            </w:r>
          </w:p>
        </w:tc>
        <w:tc>
          <w:tcPr>
            <w:tcW w:w="1500" w:type="dxa"/>
            <w:vAlign w:val="bottom"/>
            <w:tcBorders>
              <w:right w:val="single" w:sz="8" w:color="4D8ABE"/>
            </w:tcBorders>
          </w:tcPr>
          <w:p>
            <w:pPr>
              <w:jc w:val="right"/>
              <w:ind w:right="152"/>
              <w:spacing w:after="0"/>
              <w:rPr>
                <w:sz w:val="20"/>
                <w:szCs w:val="20"/>
                <w:color w:val="auto"/>
              </w:rPr>
            </w:pPr>
            <w:r>
              <w:rPr>
                <w:rFonts w:ascii="Arial" w:cs="Arial" w:eastAsia="Arial" w:hAnsi="Arial"/>
                <w:sz w:val="14"/>
                <w:szCs w:val="14"/>
                <w:b w:val="1"/>
                <w:bCs w:val="1"/>
                <w:color w:val="4D8ABE"/>
              </w:rPr>
              <w:t>$52-$93</w:t>
            </w:r>
          </w:p>
        </w:tc>
        <w:tc>
          <w:tcPr>
            <w:tcW w:w="1460" w:type="dxa"/>
            <w:vAlign w:val="bottom"/>
          </w:tcPr>
          <w:p>
            <w:pPr>
              <w:jc w:val="right"/>
              <w:ind w:right="132"/>
              <w:spacing w:after="0"/>
              <w:rPr>
                <w:sz w:val="20"/>
                <w:szCs w:val="20"/>
                <w:color w:val="auto"/>
              </w:rPr>
            </w:pPr>
            <w:r>
              <w:rPr>
                <w:rFonts w:ascii="Arial" w:cs="Arial" w:eastAsia="Arial" w:hAnsi="Arial"/>
                <w:sz w:val="14"/>
                <w:szCs w:val="14"/>
                <w:color w:val="auto"/>
              </w:rPr>
              <w:t>$76-$93</w:t>
            </w:r>
          </w:p>
        </w:tc>
      </w:tr>
      <w:tr>
        <w:trPr>
          <w:trHeight w:val="139"/>
        </w:trPr>
        <w:tc>
          <w:tcPr>
            <w:tcW w:w="8500" w:type="dxa"/>
            <w:vAlign w:val="bottom"/>
            <w:tcBorders>
              <w:right w:val="single" w:sz="8" w:color="4D8ABE"/>
            </w:tcBorders>
          </w:tcPr>
          <w:p>
            <w:pPr>
              <w:spacing w:after="0"/>
              <w:rPr>
                <w:sz w:val="12"/>
                <w:szCs w:val="12"/>
                <w:color w:val="auto"/>
              </w:rPr>
            </w:pPr>
          </w:p>
        </w:tc>
        <w:tc>
          <w:tcPr>
            <w:tcW w:w="1500" w:type="dxa"/>
            <w:vAlign w:val="bottom"/>
            <w:tcBorders>
              <w:right w:val="single" w:sz="8" w:color="4D8ABE"/>
            </w:tcBorders>
          </w:tcPr>
          <w:p>
            <w:pPr>
              <w:spacing w:after="0"/>
              <w:rPr>
                <w:sz w:val="12"/>
                <w:szCs w:val="12"/>
                <w:color w:val="auto"/>
              </w:rPr>
            </w:pPr>
          </w:p>
        </w:tc>
        <w:tc>
          <w:tcPr>
            <w:tcW w:w="1460" w:type="dxa"/>
            <w:vAlign w:val="bottom"/>
          </w:tcPr>
          <w:p>
            <w:pPr>
              <w:spacing w:after="0"/>
              <w:rPr>
                <w:sz w:val="12"/>
                <w:szCs w:val="12"/>
                <w:color w:val="auto"/>
              </w:rPr>
            </w:pPr>
          </w:p>
        </w:tc>
      </w:tr>
      <w:tr>
        <w:trPr>
          <w:trHeight w:val="180"/>
        </w:trPr>
        <w:tc>
          <w:tcPr>
            <w:tcW w:w="850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Weighted-average remaining life</w:t>
            </w:r>
          </w:p>
        </w:tc>
        <w:tc>
          <w:tcPr>
            <w:tcW w:w="1500" w:type="dxa"/>
            <w:vAlign w:val="bottom"/>
            <w:tcBorders>
              <w:right w:val="single" w:sz="8" w:color="4D8ABE"/>
            </w:tcBorders>
            <w:shd w:val="clear" w:color="auto" w:fill="E6EFFF"/>
          </w:tcPr>
          <w:p>
            <w:pPr>
              <w:jc w:val="right"/>
              <w:ind w:right="152"/>
              <w:spacing w:after="0"/>
              <w:rPr>
                <w:sz w:val="20"/>
                <w:szCs w:val="20"/>
                <w:color w:val="auto"/>
              </w:rPr>
            </w:pPr>
            <w:r>
              <w:rPr>
                <w:rFonts w:ascii="Arial" w:cs="Arial" w:eastAsia="Arial" w:hAnsi="Arial"/>
                <w:sz w:val="14"/>
                <w:szCs w:val="14"/>
                <w:b w:val="1"/>
                <w:bCs w:val="1"/>
                <w:color w:val="4D8ABE"/>
              </w:rPr>
              <w:t>8.3 years</w:t>
            </w:r>
          </w:p>
        </w:tc>
        <w:tc>
          <w:tcPr>
            <w:tcW w:w="1460" w:type="dxa"/>
            <w:vAlign w:val="bottom"/>
            <w:shd w:val="clear" w:color="auto" w:fill="E6EFFF"/>
          </w:tcPr>
          <w:p>
            <w:pPr>
              <w:jc w:val="right"/>
              <w:ind w:right="132"/>
              <w:spacing w:after="0"/>
              <w:rPr>
                <w:sz w:val="20"/>
                <w:szCs w:val="20"/>
                <w:color w:val="auto"/>
              </w:rPr>
            </w:pPr>
            <w:r>
              <w:rPr>
                <w:rFonts w:ascii="Arial" w:cs="Arial" w:eastAsia="Arial" w:hAnsi="Arial"/>
                <w:sz w:val="14"/>
                <w:szCs w:val="14"/>
                <w:color w:val="auto"/>
              </w:rPr>
              <w:t>9.3 years</w:t>
            </w:r>
          </w:p>
        </w:tc>
      </w:tr>
      <w:tr>
        <w:trPr>
          <w:trHeight w:val="139"/>
        </w:trPr>
        <w:tc>
          <w:tcPr>
            <w:tcW w:w="8500" w:type="dxa"/>
            <w:vAlign w:val="bottom"/>
            <w:tcBorders>
              <w:bottom w:val="single" w:sz="8" w:color="auto"/>
              <w:right w:val="single" w:sz="8" w:color="4D8ABE"/>
            </w:tcBorders>
            <w:shd w:val="clear" w:color="auto" w:fill="E6EFFF"/>
          </w:tcPr>
          <w:p>
            <w:pPr>
              <w:spacing w:after="0"/>
              <w:rPr>
                <w:sz w:val="12"/>
                <w:szCs w:val="12"/>
                <w:color w:val="auto"/>
              </w:rPr>
            </w:pPr>
          </w:p>
        </w:tc>
        <w:tc>
          <w:tcPr>
            <w:tcW w:w="1500" w:type="dxa"/>
            <w:vAlign w:val="bottom"/>
            <w:tcBorders>
              <w:bottom w:val="single" w:sz="8" w:color="auto"/>
              <w:right w:val="single" w:sz="8" w:color="4D8ABE"/>
            </w:tcBorders>
            <w:shd w:val="clear" w:color="auto" w:fill="E6EFFF"/>
          </w:tcPr>
          <w:p>
            <w:pPr>
              <w:spacing w:after="0"/>
              <w:rPr>
                <w:sz w:val="12"/>
                <w:szCs w:val="12"/>
                <w:color w:val="auto"/>
              </w:rPr>
            </w:pPr>
          </w:p>
        </w:tc>
        <w:tc>
          <w:tcPr>
            <w:tcW w:w="1460" w:type="dxa"/>
            <w:vAlign w:val="bottom"/>
            <w:tcBorders>
              <w:bottom w:val="single" w:sz="8" w:color="auto"/>
            </w:tcBorders>
            <w:shd w:val="clear" w:color="auto" w:fill="E6EFFF"/>
          </w:tcPr>
          <w:p>
            <w:pPr>
              <w:spacing w:after="0"/>
              <w:rPr>
                <w:sz w:val="12"/>
                <w:szCs w:val="12"/>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antidilutive options during 2006.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05.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Income Taxes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from continuing operations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500" w:type="dxa"/>
            <w:vAlign w:val="bottom"/>
            <w:shd w:val="clear" w:color="auto" w:fill="4D8ABE"/>
          </w:tcPr>
          <w:p>
            <w:pPr>
              <w:spacing w:after="0"/>
              <w:rPr>
                <w:sz w:val="15"/>
                <w:szCs w:val="15"/>
                <w:color w:val="auto"/>
              </w:rPr>
            </w:pPr>
          </w:p>
        </w:tc>
        <w:tc>
          <w:tcPr>
            <w:tcW w:w="9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00" w:type="dxa"/>
            <w:vAlign w:val="bottom"/>
          </w:tcPr>
          <w:p>
            <w:pPr>
              <w:spacing w:after="0"/>
              <w:rPr>
                <w:sz w:val="15"/>
                <w:szCs w:val="15"/>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4D8ABE"/>
              </w:rPr>
              <w:t>2007</w:t>
            </w:r>
          </w:p>
        </w:tc>
        <w:tc>
          <w:tcPr>
            <w:tcW w:w="5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b w:val="1"/>
                <w:bCs w:val="1"/>
                <w:color w:val="939598"/>
              </w:rPr>
              <w:t>Current</w:t>
            </w:r>
          </w:p>
        </w:tc>
        <w:tc>
          <w:tcPr>
            <w:tcW w:w="500" w:type="dxa"/>
            <w:vAlign w:val="bottom"/>
            <w:tcBorders>
              <w:top w:val="single" w:sz="8" w:color="4D8ABE"/>
            </w:tcBorders>
            <w:shd w:val="clear" w:color="auto" w:fill="E6EFFF"/>
          </w:tcPr>
          <w:p>
            <w:pPr>
              <w:spacing w:after="0"/>
              <w:rPr>
                <w:sz w:val="13"/>
                <w:szCs w:val="13"/>
                <w:color w:val="auto"/>
              </w:rPr>
            </w:pPr>
          </w:p>
        </w:tc>
        <w:tc>
          <w:tcPr>
            <w:tcW w:w="980" w:type="dxa"/>
            <w:vAlign w:val="bottom"/>
            <w:tcBorders>
              <w:top w:val="single" w:sz="8" w:color="4D8ABE"/>
              <w:right w:val="single" w:sz="8" w:color="4D8ABE"/>
            </w:tcBorders>
            <w:shd w:val="clear" w:color="auto" w:fill="E6EFFF"/>
          </w:tcPr>
          <w:p>
            <w:pPr>
              <w:spacing w:after="0"/>
              <w:rPr>
                <w:sz w:val="13"/>
                <w:szCs w:val="13"/>
                <w:color w:val="auto"/>
              </w:rPr>
            </w:pPr>
          </w:p>
        </w:tc>
        <w:tc>
          <w:tcPr>
            <w:tcW w:w="500" w:type="dxa"/>
            <w:vAlign w:val="bottom"/>
            <w:tcBorders>
              <w:top w:val="single" w:sz="8" w:color="4D8ABE"/>
            </w:tcBorders>
            <w:shd w:val="clear" w:color="auto" w:fill="E6EFFF"/>
          </w:tcPr>
          <w:p>
            <w:pPr>
              <w:spacing w:after="0"/>
              <w:rPr>
                <w:sz w:val="13"/>
                <w:szCs w:val="13"/>
                <w:color w:val="auto"/>
              </w:rPr>
            </w:pPr>
          </w:p>
        </w:tc>
        <w:tc>
          <w:tcPr>
            <w:tcW w:w="900" w:type="dxa"/>
            <w:vAlign w:val="bottom"/>
            <w:tcBorders>
              <w:top w:val="single" w:sz="8" w:color="4D8ABE"/>
            </w:tcBorders>
            <w:shd w:val="clear" w:color="auto" w:fill="E6EFFF"/>
          </w:tcPr>
          <w:p>
            <w:pPr>
              <w:spacing w:after="0"/>
              <w:rPr>
                <w:sz w:val="13"/>
                <w:szCs w:val="13"/>
                <w:color w:val="auto"/>
              </w:rPr>
            </w:pPr>
          </w:p>
        </w:tc>
        <w:tc>
          <w:tcPr>
            <w:tcW w:w="580" w:type="dxa"/>
            <w:vAlign w:val="bottom"/>
            <w:tcBorders>
              <w:top w:val="single" w:sz="8" w:color="4D8ABE"/>
            </w:tcBorders>
            <w:shd w:val="clear" w:color="auto" w:fill="E6EFFF"/>
          </w:tcPr>
          <w:p>
            <w:pPr>
              <w:spacing w:after="0"/>
              <w:rPr>
                <w:sz w:val="13"/>
                <w:szCs w:val="13"/>
                <w:color w:val="auto"/>
              </w:rPr>
            </w:pPr>
          </w:p>
        </w:tc>
        <w:tc>
          <w:tcPr>
            <w:tcW w:w="740" w:type="dxa"/>
            <w:vAlign w:val="bottom"/>
            <w:tcBorders>
              <w:top w:val="single" w:sz="8" w:color="4D8ABE"/>
            </w:tcBorders>
            <w:shd w:val="clear" w:color="auto" w:fill="E6EFFF"/>
          </w:tcPr>
          <w:p>
            <w:pPr>
              <w:spacing w:after="0"/>
              <w:rPr>
                <w:sz w:val="13"/>
                <w:szCs w:val="13"/>
                <w:color w:val="auto"/>
              </w:rPr>
            </w:pP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14"/>
                <w:szCs w:val="14"/>
                <w:color w:val="auto"/>
              </w:rPr>
            </w:pPr>
          </w:p>
        </w:tc>
        <w:tc>
          <w:tcPr>
            <w:tcW w:w="98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704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Federal</w:t>
            </w:r>
          </w:p>
        </w:tc>
        <w:tc>
          <w:tcPr>
            <w:tcW w:w="500" w:type="dxa"/>
            <w:vAlign w:val="bottom"/>
            <w:shd w:val="clear" w:color="auto" w:fill="E6EFFF"/>
          </w:tcPr>
          <w:p>
            <w:pPr>
              <w:jc w:val="right"/>
              <w:ind w:right="332"/>
              <w:spacing w:after="0"/>
              <w:rPr>
                <w:sz w:val="20"/>
                <w:szCs w:val="20"/>
                <w:color w:val="auto"/>
              </w:rPr>
            </w:pPr>
            <w:r>
              <w:rPr>
                <w:rFonts w:ascii="Arial" w:cs="Arial" w:eastAsia="Arial" w:hAnsi="Arial"/>
                <w:sz w:val="14"/>
                <w:szCs w:val="14"/>
                <w:b w:val="1"/>
                <w:bCs w:val="1"/>
                <w:color w:val="4D8ABE"/>
              </w:rPr>
              <w:t>$</w:t>
            </w: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46.1</w:t>
            </w:r>
          </w:p>
        </w:tc>
        <w:tc>
          <w:tcPr>
            <w:tcW w:w="500" w:type="dxa"/>
            <w:vAlign w:val="bottom"/>
            <w:shd w:val="clear" w:color="auto" w:fill="E6EFFF"/>
          </w:tcPr>
          <w:p>
            <w:pPr>
              <w:jc w:val="right"/>
              <w:ind w:right="332"/>
              <w:spacing w:after="0"/>
              <w:rPr>
                <w:sz w:val="20"/>
                <w:szCs w:val="20"/>
                <w:color w:val="auto"/>
              </w:rPr>
            </w:pPr>
            <w:r>
              <w:rPr>
                <w:rFonts w:ascii="Arial" w:cs="Arial" w:eastAsia="Arial" w:hAnsi="Arial"/>
                <w:sz w:val="14"/>
                <w:szCs w:val="14"/>
                <w:color w:val="auto"/>
              </w:rPr>
              <w:t>$</w:t>
            </w:r>
          </w:p>
        </w:tc>
        <w:tc>
          <w:tcPr>
            <w:tcW w:w="9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19.4</w:t>
            </w:r>
          </w:p>
        </w:tc>
        <w:tc>
          <w:tcPr>
            <w:tcW w:w="580" w:type="dxa"/>
            <w:vAlign w:val="bottom"/>
            <w:shd w:val="clear" w:color="auto" w:fill="E6EFFF"/>
          </w:tcPr>
          <w:p>
            <w:pPr>
              <w:jc w:val="right"/>
              <w:ind w:right="332"/>
              <w:spacing w:after="0"/>
              <w:rPr>
                <w:sz w:val="20"/>
                <w:szCs w:val="20"/>
                <w:color w:val="auto"/>
              </w:rPr>
            </w:pPr>
            <w:r>
              <w:rPr>
                <w:rFonts w:ascii="Arial" w:cs="Arial" w:eastAsia="Arial" w:hAnsi="Arial"/>
                <w:sz w:val="14"/>
                <w:szCs w:val="14"/>
                <w:color w:val="auto"/>
              </w:rPr>
              <w:t>$</w:t>
            </w:r>
          </w:p>
        </w:tc>
        <w:tc>
          <w:tcPr>
            <w:tcW w:w="7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28.7</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3.6</w:t>
            </w:r>
          </w:p>
        </w:tc>
        <w:tc>
          <w:tcPr>
            <w:tcW w:w="5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6.4</w:t>
            </w:r>
          </w:p>
        </w:tc>
        <w:tc>
          <w:tcPr>
            <w:tcW w:w="5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6.2</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Non-U.S.</w:t>
            </w: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220.2</w:t>
            </w:r>
          </w:p>
        </w:tc>
        <w:tc>
          <w:tcPr>
            <w:tcW w:w="50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255.3</w:t>
            </w:r>
          </w:p>
        </w:tc>
        <w:tc>
          <w:tcPr>
            <w:tcW w:w="580" w:type="dxa"/>
            <w:vAlign w:val="bottom"/>
            <w:shd w:val="clear" w:color="auto" w:fill="E6EFFF"/>
          </w:tcPr>
          <w:p>
            <w:pPr>
              <w:spacing w:after="0"/>
              <w:rPr>
                <w:sz w:val="14"/>
                <w:szCs w:val="14"/>
                <w:color w:val="auto"/>
              </w:rPr>
            </w:pPr>
          </w:p>
        </w:tc>
        <w:tc>
          <w:tcPr>
            <w:tcW w:w="96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160.9</w:t>
            </w:r>
          </w:p>
        </w:tc>
      </w:tr>
      <w:tr>
        <w:trPr>
          <w:trHeight w:val="155"/>
        </w:trPr>
        <w:tc>
          <w:tcPr>
            <w:tcW w:w="7040" w:type="dxa"/>
            <w:vAlign w:val="bottom"/>
            <w:tcBorders>
              <w:top w:val="single" w:sz="8" w:color="auto"/>
              <w:bottom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Total current</w:t>
            </w:r>
          </w:p>
        </w:tc>
        <w:tc>
          <w:tcPr>
            <w:tcW w:w="5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269.9</w:t>
            </w:r>
          </w:p>
        </w:tc>
        <w:tc>
          <w:tcPr>
            <w:tcW w:w="5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281.1</w:t>
            </w:r>
          </w:p>
        </w:tc>
        <w:tc>
          <w:tcPr>
            <w:tcW w:w="5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195.8</w:t>
            </w:r>
          </w:p>
        </w:tc>
        <w:tc>
          <w:tcPr>
            <w:tcW w:w="220" w:type="dxa"/>
            <w:vAlign w:val="bottom"/>
            <w:tcBorders>
              <w:bottom w:val="single" w:sz="8" w:color="E6EFFF"/>
            </w:tcBorders>
          </w:tcPr>
          <w:p>
            <w:pPr>
              <w:spacing w:after="0"/>
              <w:rPr>
                <w:sz w:val="13"/>
                <w:szCs w:val="13"/>
                <w:color w:val="auto"/>
              </w:rPr>
            </w:pPr>
          </w:p>
        </w:tc>
      </w:tr>
      <w:tr>
        <w:trPr>
          <w:trHeight w:val="155"/>
        </w:trPr>
        <w:tc>
          <w:tcPr>
            <w:tcW w:w="7040" w:type="dxa"/>
            <w:vAlign w:val="bottom"/>
            <w:tcBorders>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b w:val="1"/>
                <w:bCs w:val="1"/>
                <w:color w:val="939598"/>
              </w:rPr>
              <w:t>Deferred</w:t>
            </w:r>
          </w:p>
        </w:tc>
        <w:tc>
          <w:tcPr>
            <w:tcW w:w="50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spacing w:after="0"/>
              <w:rPr>
                <w:sz w:val="13"/>
                <w:szCs w:val="13"/>
                <w:color w:val="auto"/>
              </w:rPr>
            </w:pPr>
          </w:p>
        </w:tc>
        <w:tc>
          <w:tcPr>
            <w:tcW w:w="500" w:type="dxa"/>
            <w:vAlign w:val="bottom"/>
            <w:shd w:val="clear" w:color="auto" w:fill="E6EFFF"/>
          </w:tcPr>
          <w:p>
            <w:pPr>
              <w:spacing w:after="0"/>
              <w:rPr>
                <w:sz w:val="13"/>
                <w:szCs w:val="13"/>
                <w:color w:val="auto"/>
              </w:rPr>
            </w:pPr>
          </w:p>
        </w:tc>
        <w:tc>
          <w:tcPr>
            <w:tcW w:w="900" w:type="dxa"/>
            <w:vAlign w:val="bottom"/>
            <w:shd w:val="clear" w:color="auto" w:fill="E6EFFF"/>
          </w:tcPr>
          <w:p>
            <w:pPr>
              <w:spacing w:after="0"/>
              <w:rPr>
                <w:sz w:val="13"/>
                <w:szCs w:val="13"/>
                <w:color w:val="auto"/>
              </w:rPr>
            </w:pPr>
          </w:p>
        </w:tc>
        <w:tc>
          <w:tcPr>
            <w:tcW w:w="580" w:type="dxa"/>
            <w:vAlign w:val="bottom"/>
            <w:shd w:val="clear" w:color="auto" w:fill="E6EFFF"/>
          </w:tcPr>
          <w:p>
            <w:pPr>
              <w:spacing w:after="0"/>
              <w:rPr>
                <w:sz w:val="13"/>
                <w:szCs w:val="13"/>
                <w:color w:val="auto"/>
              </w:rPr>
            </w:pPr>
          </w:p>
        </w:tc>
        <w:tc>
          <w:tcPr>
            <w:tcW w:w="74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14"/>
                <w:szCs w:val="14"/>
                <w:color w:val="auto"/>
              </w:rPr>
            </w:pPr>
          </w:p>
        </w:tc>
        <w:tc>
          <w:tcPr>
            <w:tcW w:w="98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5"/>
        </w:trPr>
        <w:tc>
          <w:tcPr>
            <w:tcW w:w="7040" w:type="dxa"/>
            <w:vAlign w:val="bottom"/>
            <w:tcBorders>
              <w:right w:val="single" w:sz="8" w:color="4D8ABE"/>
            </w:tcBorders>
            <w:shd w:val="clear" w:color="auto" w:fill="E6EFFF"/>
          </w:tcPr>
          <w:p>
            <w:pPr>
              <w:ind w:left="120"/>
              <w:spacing w:after="0"/>
              <w:rPr>
                <w:sz w:val="20"/>
                <w:szCs w:val="20"/>
                <w:color w:val="auto"/>
              </w:rPr>
            </w:pPr>
            <w:r>
              <w:rPr>
                <w:rFonts w:ascii="Arial" w:cs="Arial" w:eastAsia="Arial" w:hAnsi="Arial"/>
                <w:sz w:val="14"/>
                <w:szCs w:val="14"/>
                <w:color w:val="auto"/>
              </w:rPr>
              <w:t>Federal</w:t>
            </w: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(27.3)</w:t>
            </w:r>
          </w:p>
        </w:tc>
        <w:tc>
          <w:tcPr>
            <w:tcW w:w="50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25.8</w:t>
            </w:r>
          </w:p>
        </w:tc>
        <w:tc>
          <w:tcPr>
            <w:tcW w:w="580" w:type="dxa"/>
            <w:vAlign w:val="bottom"/>
            <w:shd w:val="clear" w:color="auto" w:fill="E6EFFF"/>
          </w:tcPr>
          <w:p>
            <w:pPr>
              <w:spacing w:after="0"/>
              <w:rPr>
                <w:sz w:val="14"/>
                <w:szCs w:val="14"/>
                <w:color w:val="auto"/>
              </w:rPr>
            </w:pPr>
          </w:p>
        </w:tc>
        <w:tc>
          <w:tcPr>
            <w:tcW w:w="960" w:type="dxa"/>
            <w:vAlign w:val="bottom"/>
            <w:gridSpan w:val="2"/>
            <w:shd w:val="clear" w:color="auto" w:fill="E6EFFF"/>
          </w:tcPr>
          <w:p>
            <w:pPr>
              <w:jc w:val="right"/>
              <w:ind w:right="140"/>
              <w:spacing w:after="0"/>
              <w:rPr>
                <w:sz w:val="20"/>
                <w:szCs w:val="20"/>
                <w:color w:val="auto"/>
              </w:rPr>
            </w:pPr>
            <w:r>
              <w:rPr>
                <w:rFonts w:ascii="Arial" w:cs="Arial" w:eastAsia="Arial" w:hAnsi="Arial"/>
                <w:sz w:val="14"/>
                <w:szCs w:val="14"/>
                <w:color w:val="auto"/>
              </w:rPr>
              <w:t>(1.6)</w:t>
            </w:r>
          </w:p>
        </w:tc>
      </w:tr>
      <w:tr>
        <w:trPr>
          <w:trHeight w:val="164"/>
        </w:trPr>
        <w:tc>
          <w:tcPr>
            <w:tcW w:w="7040" w:type="dxa"/>
            <w:vAlign w:val="bottom"/>
            <w:tcBorders>
              <w:right w:val="single" w:sz="8" w:color="4D8ABE"/>
            </w:tcBorders>
          </w:tcPr>
          <w:p>
            <w:pPr>
              <w:ind w:left="1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(1.0)</w:t>
            </w:r>
          </w:p>
        </w:tc>
        <w:tc>
          <w:tcPr>
            <w:tcW w:w="5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1.4</w:t>
            </w:r>
          </w:p>
        </w:tc>
        <w:tc>
          <w:tcPr>
            <w:tcW w:w="5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Non-U.S.</w:t>
            </w: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(2.2)</w:t>
            </w:r>
          </w:p>
        </w:tc>
        <w:tc>
          <w:tcPr>
            <w:tcW w:w="50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(1.8)</w:t>
            </w:r>
          </w:p>
        </w:tc>
        <w:tc>
          <w:tcPr>
            <w:tcW w:w="580" w:type="dxa"/>
            <w:vAlign w:val="bottom"/>
            <w:shd w:val="clear" w:color="auto" w:fill="E6EFFF"/>
          </w:tcPr>
          <w:p>
            <w:pPr>
              <w:spacing w:after="0"/>
              <w:rPr>
                <w:sz w:val="14"/>
                <w:szCs w:val="14"/>
                <w:color w:val="auto"/>
              </w:rPr>
            </w:pPr>
          </w:p>
        </w:tc>
        <w:tc>
          <w:tcPr>
            <w:tcW w:w="960" w:type="dxa"/>
            <w:vAlign w:val="bottom"/>
            <w:gridSpan w:val="2"/>
            <w:shd w:val="clear" w:color="auto" w:fill="E6EFFF"/>
          </w:tcPr>
          <w:p>
            <w:pPr>
              <w:jc w:val="right"/>
              <w:ind w:right="140"/>
              <w:spacing w:after="0"/>
              <w:rPr>
                <w:sz w:val="20"/>
                <w:szCs w:val="20"/>
                <w:color w:val="auto"/>
              </w:rPr>
            </w:pPr>
            <w:r>
              <w:rPr>
                <w:rFonts w:ascii="Arial" w:cs="Arial" w:eastAsia="Arial" w:hAnsi="Arial"/>
                <w:sz w:val="14"/>
                <w:szCs w:val="14"/>
                <w:color w:val="auto"/>
              </w:rPr>
              <w:t>(16.9)</w:t>
            </w:r>
          </w:p>
        </w:tc>
      </w:tr>
      <w:tr>
        <w:trPr>
          <w:trHeight w:val="155"/>
        </w:trPr>
        <w:tc>
          <w:tcPr>
            <w:tcW w:w="7040" w:type="dxa"/>
            <w:vAlign w:val="bottom"/>
            <w:tcBorders>
              <w:top w:val="single" w:sz="8" w:color="auto"/>
              <w:bottom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Total deferred</w:t>
            </w:r>
          </w:p>
        </w:tc>
        <w:tc>
          <w:tcPr>
            <w:tcW w:w="5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right w:val="single" w:sz="8" w:color="4D8ABE"/>
            </w:tcBorders>
          </w:tcPr>
          <w:p>
            <w:pPr>
              <w:jc w:val="right"/>
              <w:ind w:right="132"/>
              <w:spacing w:after="0" w:line="155" w:lineRule="exact"/>
              <w:rPr>
                <w:sz w:val="20"/>
                <w:szCs w:val="20"/>
                <w:color w:val="auto"/>
              </w:rPr>
            </w:pPr>
            <w:r>
              <w:rPr>
                <w:rFonts w:ascii="Arial" w:cs="Arial" w:eastAsia="Arial" w:hAnsi="Arial"/>
                <w:sz w:val="14"/>
                <w:szCs w:val="14"/>
                <w:b w:val="1"/>
                <w:bCs w:val="1"/>
                <w:color w:val="4D8ABE"/>
              </w:rPr>
              <w:t>(30.5)</w:t>
            </w:r>
          </w:p>
        </w:tc>
        <w:tc>
          <w:tcPr>
            <w:tcW w:w="5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25.4</w:t>
            </w:r>
          </w:p>
        </w:tc>
        <w:tc>
          <w:tcPr>
            <w:tcW w:w="5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w:t>
            </w:r>
          </w:p>
        </w:tc>
        <w:tc>
          <w:tcPr>
            <w:tcW w:w="220" w:type="dxa"/>
            <w:vAlign w:val="bottom"/>
            <w:tcBorders>
              <w:bottom w:val="single" w:sz="8" w:color="E6EFFF"/>
            </w:tcBorders>
          </w:tcPr>
          <w:p>
            <w:pPr>
              <w:jc w:val="right"/>
              <w:ind w:right="140"/>
              <w:spacing w:after="0"/>
              <w:rPr>
                <w:sz w:val="20"/>
                <w:szCs w:val="20"/>
                <w:color w:val="auto"/>
              </w:rPr>
            </w:pPr>
            <w:r>
              <w:rPr>
                <w:rFonts w:ascii="Arial" w:cs="Arial" w:eastAsia="Arial" w:hAnsi="Arial"/>
                <w:sz w:val="8"/>
                <w:szCs w:val="8"/>
                <w:color w:val="auto"/>
                <w:w w:val="73"/>
              </w:rPr>
              <w:t>)</w:t>
            </w:r>
          </w:p>
        </w:tc>
      </w:tr>
      <w:tr>
        <w:trPr>
          <w:trHeight w:val="155"/>
        </w:trPr>
        <w:tc>
          <w:tcPr>
            <w:tcW w:w="7040" w:type="dxa"/>
            <w:vAlign w:val="bottom"/>
            <w:tcBorders>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Total provision</w:t>
            </w:r>
          </w:p>
        </w:tc>
        <w:tc>
          <w:tcPr>
            <w:tcW w:w="500" w:type="dxa"/>
            <w:vAlign w:val="bottom"/>
            <w:tcBorders>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239.4</w:t>
            </w:r>
          </w:p>
        </w:tc>
        <w:tc>
          <w:tcPr>
            <w:tcW w:w="500" w:type="dxa"/>
            <w:vAlign w:val="bottom"/>
            <w:tcBorders>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306.5</w:t>
            </w:r>
          </w:p>
        </w:tc>
        <w:tc>
          <w:tcPr>
            <w:tcW w:w="580" w:type="dxa"/>
            <w:vAlign w:val="bottom"/>
            <w:tcBorders>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176.2</w:t>
            </w:r>
          </w:p>
        </w:tc>
        <w:tc>
          <w:tcPr>
            <w:tcW w:w="220" w:type="dxa"/>
            <w:vAlign w:val="bottom"/>
            <w:tcBorders>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taxes computed at the U.S. Federal statutory rate of 35% and the consolidated effective tax rate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20"/>
                <w:szCs w:val="20"/>
                <w:color w:val="auto"/>
              </w:rPr>
            </w:pPr>
            <w:r>
              <w:rPr>
                <w:rFonts w:ascii="Arial" w:cs="Arial" w:eastAsia="Arial" w:hAnsi="Arial"/>
                <w:sz w:val="14"/>
                <w:szCs w:val="14"/>
                <w:color w:val="4D8ABE"/>
              </w:rPr>
              <w:t>Year Ended December 31</w:t>
            </w:r>
          </w:p>
        </w:tc>
        <w:tc>
          <w:tcPr>
            <w:tcW w:w="4220" w:type="dxa"/>
            <w:vAlign w:val="bottom"/>
            <w:tcBorders>
              <w:right w:val="single" w:sz="8" w:color="4D8ABE"/>
            </w:tcBorders>
          </w:tcPr>
          <w:p>
            <w:pPr>
              <w:spacing w:after="0"/>
              <w:rPr>
                <w:sz w:val="15"/>
                <w:szCs w:val="15"/>
                <w:color w:val="auto"/>
              </w:rPr>
            </w:pPr>
          </w:p>
        </w:tc>
        <w:tc>
          <w:tcPr>
            <w:tcW w:w="500" w:type="dxa"/>
            <w:vAlign w:val="bottom"/>
            <w:shd w:val="clear" w:color="auto" w:fill="4D8ABE"/>
          </w:tcPr>
          <w:p>
            <w:pPr>
              <w:spacing w:after="0"/>
              <w:rPr>
                <w:sz w:val="15"/>
                <w:szCs w:val="15"/>
                <w:color w:val="auto"/>
              </w:rPr>
            </w:pPr>
          </w:p>
        </w:tc>
        <w:tc>
          <w:tcPr>
            <w:tcW w:w="9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00" w:type="dxa"/>
            <w:vAlign w:val="bottom"/>
          </w:tcPr>
          <w:p>
            <w:pPr>
              <w:spacing w:after="0"/>
              <w:rPr>
                <w:sz w:val="15"/>
                <w:szCs w:val="15"/>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4D8ABE"/>
              </w:rPr>
              <w:t>2007</w:t>
            </w:r>
          </w:p>
        </w:tc>
        <w:tc>
          <w:tcPr>
            <w:tcW w:w="5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20" w:type="dxa"/>
            <w:vAlign w:val="bottom"/>
            <w:tcBorders>
              <w:top w:val="single" w:sz="8" w:color="4D8ABE"/>
            </w:tcBorders>
          </w:tcPr>
          <w:p>
            <w:pPr>
              <w:spacing w:after="0" w:line="155" w:lineRule="exact"/>
              <w:rPr>
                <w:sz w:val="20"/>
                <w:szCs w:val="20"/>
                <w:color w:val="auto"/>
              </w:rPr>
            </w:pPr>
            <w:r>
              <w:rPr>
                <w:rFonts w:ascii="Arial" w:cs="Arial" w:eastAsia="Arial" w:hAnsi="Arial"/>
                <w:sz w:val="14"/>
                <w:szCs w:val="14"/>
                <w:color w:val="auto"/>
              </w:rPr>
              <w:t>Income tax based on statutory rate</w:t>
            </w:r>
          </w:p>
        </w:tc>
        <w:tc>
          <w:tcPr>
            <w:tcW w:w="4220" w:type="dxa"/>
            <w:vAlign w:val="bottom"/>
            <w:tcBorders>
              <w:top w:val="single" w:sz="8" w:color="4D8ABE"/>
              <w:right w:val="single" w:sz="8" w:color="4D8ABE"/>
            </w:tcBorders>
          </w:tcPr>
          <w:p>
            <w:pPr>
              <w:spacing w:after="0"/>
              <w:rPr>
                <w:sz w:val="13"/>
                <w:szCs w:val="13"/>
                <w:color w:val="auto"/>
              </w:rPr>
            </w:pPr>
          </w:p>
        </w:tc>
        <w:tc>
          <w:tcPr>
            <w:tcW w:w="500" w:type="dxa"/>
            <w:vAlign w:val="bottom"/>
            <w:tcBorders>
              <w:top w:val="single" w:sz="8" w:color="4D8ABE"/>
            </w:tcBorders>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top w:val="single" w:sz="8" w:color="4D8ABE"/>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160.4</w:t>
            </w:r>
          </w:p>
        </w:tc>
        <w:tc>
          <w:tcPr>
            <w:tcW w:w="500" w:type="dxa"/>
            <w:vAlign w:val="bottom"/>
            <w:tcBorders>
              <w:top w:val="single" w:sz="8" w:color="4D8ABE"/>
            </w:tcBorders>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4D8ABE"/>
            </w:tcBorders>
          </w:tcPr>
          <w:p>
            <w:pPr>
              <w:jc w:val="right"/>
              <w:ind w:right="92"/>
              <w:spacing w:after="0" w:line="155" w:lineRule="exact"/>
              <w:rPr>
                <w:sz w:val="20"/>
                <w:szCs w:val="20"/>
                <w:color w:val="auto"/>
              </w:rPr>
            </w:pPr>
            <w:r>
              <w:rPr>
                <w:rFonts w:ascii="Arial" w:cs="Arial" w:eastAsia="Arial" w:hAnsi="Arial"/>
                <w:sz w:val="14"/>
                <w:szCs w:val="14"/>
                <w:color w:val="auto"/>
              </w:rPr>
              <w:t>276.9</w:t>
            </w:r>
          </w:p>
        </w:tc>
        <w:tc>
          <w:tcPr>
            <w:tcW w:w="580" w:type="dxa"/>
            <w:vAlign w:val="bottom"/>
            <w:tcBorders>
              <w:top w:val="single" w:sz="8" w:color="4D8ABE"/>
            </w:tcBorders>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168.7</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20" w:type="dxa"/>
            <w:vAlign w:val="bottom"/>
            <w:shd w:val="clear" w:color="auto" w:fill="E6EFFF"/>
          </w:tcPr>
          <w:p>
            <w:pPr>
              <w:spacing w:after="0"/>
              <w:rPr>
                <w:sz w:val="20"/>
                <w:szCs w:val="20"/>
                <w:color w:val="auto"/>
              </w:rPr>
            </w:pPr>
            <w:r>
              <w:rPr>
                <w:rFonts w:ascii="Arial" w:cs="Arial" w:eastAsia="Arial" w:hAnsi="Arial"/>
                <w:sz w:val="14"/>
                <w:szCs w:val="14"/>
                <w:color w:val="auto"/>
              </w:rPr>
              <w:t>Increase (decrease) resulting from:</w:t>
            </w:r>
          </w:p>
        </w:tc>
        <w:tc>
          <w:tcPr>
            <w:tcW w:w="422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00" w:type="dxa"/>
            <w:vAlign w:val="bottom"/>
            <w:shd w:val="clear" w:color="auto" w:fill="E6EFFF"/>
          </w:tcPr>
          <w:p>
            <w:pPr>
              <w:spacing w:after="0"/>
              <w:rPr>
                <w:sz w:val="14"/>
                <w:szCs w:val="14"/>
                <w:color w:val="auto"/>
              </w:rPr>
            </w:pPr>
          </w:p>
        </w:tc>
        <w:tc>
          <w:tcPr>
            <w:tcW w:w="580" w:type="dxa"/>
            <w:vAlign w:val="bottom"/>
            <w:shd w:val="clear" w:color="auto" w:fill="E6EFFF"/>
          </w:tcPr>
          <w:p>
            <w:pPr>
              <w:spacing w:after="0"/>
              <w:rPr>
                <w:sz w:val="14"/>
                <w:szCs w:val="14"/>
                <w:color w:val="auto"/>
              </w:rPr>
            </w:pPr>
          </w:p>
        </w:tc>
        <w:tc>
          <w:tcPr>
            <w:tcW w:w="74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rPr>
                <w:sz w:val="20"/>
                <w:szCs w:val="20"/>
                <w:color w:val="auto"/>
              </w:rPr>
            </w:pPr>
            <w:r>
              <w:rPr>
                <w:rFonts w:ascii="Arial" w:cs="Arial" w:eastAsia="Arial" w:hAnsi="Arial"/>
                <w:sz w:val="14"/>
                <w:szCs w:val="14"/>
                <w:color w:val="auto"/>
              </w:rPr>
              <w:t>State income taxes, net of federal benefit</w:t>
            </w:r>
          </w:p>
        </w:tc>
        <w:tc>
          <w:tcPr>
            <w:tcW w:w="422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2.8</w:t>
            </w:r>
          </w:p>
        </w:tc>
        <w:tc>
          <w:tcPr>
            <w:tcW w:w="5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4.8</w:t>
            </w:r>
          </w:p>
        </w:tc>
        <w:tc>
          <w:tcPr>
            <w:tcW w:w="5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20" w:type="dxa"/>
            <w:vAlign w:val="bottom"/>
            <w:shd w:val="clear" w:color="auto" w:fill="E6EFFF"/>
          </w:tcPr>
          <w:p>
            <w:pPr>
              <w:ind w:left="120"/>
              <w:spacing w:after="0"/>
              <w:rPr>
                <w:sz w:val="20"/>
                <w:szCs w:val="20"/>
                <w:color w:val="auto"/>
              </w:rPr>
            </w:pPr>
            <w:r>
              <w:rPr>
                <w:rFonts w:ascii="Arial" w:cs="Arial" w:eastAsia="Arial" w:hAnsi="Arial"/>
                <w:sz w:val="14"/>
                <w:szCs w:val="14"/>
                <w:color w:val="auto"/>
              </w:rPr>
              <w:t>Non-U.S. tax rate differences</w:t>
            </w:r>
          </w:p>
        </w:tc>
        <w:tc>
          <w:tcPr>
            <w:tcW w:w="422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(5.9)</w:t>
            </w:r>
          </w:p>
        </w:tc>
        <w:tc>
          <w:tcPr>
            <w:tcW w:w="50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(13.4)</w:t>
            </w:r>
          </w:p>
        </w:tc>
        <w:tc>
          <w:tcPr>
            <w:tcW w:w="580" w:type="dxa"/>
            <w:vAlign w:val="bottom"/>
            <w:shd w:val="clear" w:color="auto" w:fill="E6EFFF"/>
          </w:tcPr>
          <w:p>
            <w:pPr>
              <w:spacing w:after="0"/>
              <w:rPr>
                <w:sz w:val="14"/>
                <w:szCs w:val="14"/>
                <w:color w:val="auto"/>
              </w:rPr>
            </w:pPr>
          </w:p>
        </w:tc>
        <w:tc>
          <w:tcPr>
            <w:tcW w:w="9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rPr>
                <w:sz w:val="20"/>
                <w:szCs w:val="20"/>
                <w:color w:val="auto"/>
              </w:rPr>
            </w:pPr>
            <w:r>
              <w:rPr>
                <w:rFonts w:ascii="Arial" w:cs="Arial" w:eastAsia="Arial" w:hAnsi="Arial"/>
                <w:sz w:val="14"/>
                <w:szCs w:val="14"/>
                <w:color w:val="auto"/>
              </w:rPr>
              <w:t>Repatriation of non-U.S. earnings</w:t>
            </w:r>
          </w:p>
        </w:tc>
        <w:tc>
          <w:tcPr>
            <w:tcW w:w="422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16.7</w:t>
            </w:r>
          </w:p>
        </w:tc>
        <w:tc>
          <w:tcPr>
            <w:tcW w:w="5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1.1</w:t>
            </w:r>
          </w:p>
        </w:tc>
        <w:tc>
          <w:tcPr>
            <w:tcW w:w="5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20" w:type="dxa"/>
            <w:vAlign w:val="bottom"/>
            <w:shd w:val="clear" w:color="auto" w:fill="E6EFFF"/>
          </w:tcPr>
          <w:p>
            <w:pPr>
              <w:ind w:left="120"/>
              <w:spacing w:after="0"/>
              <w:rPr>
                <w:sz w:val="20"/>
                <w:szCs w:val="20"/>
                <w:color w:val="auto"/>
              </w:rPr>
            </w:pPr>
            <w:r>
              <w:rPr>
                <w:rFonts w:ascii="Arial" w:cs="Arial" w:eastAsia="Arial" w:hAnsi="Arial"/>
                <w:sz w:val="14"/>
                <w:szCs w:val="14"/>
                <w:color w:val="auto"/>
              </w:rPr>
              <w:t>Change in valuation reserve</w:t>
            </w:r>
          </w:p>
        </w:tc>
        <w:tc>
          <w:tcPr>
            <w:tcW w:w="422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7.5</w:t>
            </w:r>
          </w:p>
        </w:tc>
        <w:tc>
          <w:tcPr>
            <w:tcW w:w="50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25.0</w:t>
            </w:r>
          </w:p>
        </w:tc>
        <w:tc>
          <w:tcPr>
            <w:tcW w:w="580" w:type="dxa"/>
            <w:vAlign w:val="bottom"/>
            <w:shd w:val="clear" w:color="auto" w:fill="E6EFFF"/>
          </w:tcPr>
          <w:p>
            <w:pPr>
              <w:spacing w:after="0"/>
              <w:rPr>
                <w:sz w:val="14"/>
                <w:szCs w:val="14"/>
                <w:color w:val="auto"/>
              </w:rPr>
            </w:pPr>
          </w:p>
        </w:tc>
        <w:tc>
          <w:tcPr>
            <w:tcW w:w="7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13.9</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rPr>
                <w:sz w:val="20"/>
                <w:szCs w:val="20"/>
                <w:color w:val="auto"/>
              </w:rPr>
            </w:pPr>
            <w:r>
              <w:rPr>
                <w:rFonts w:ascii="Arial" w:cs="Arial" w:eastAsia="Arial" w:hAnsi="Arial"/>
                <w:sz w:val="14"/>
                <w:szCs w:val="14"/>
                <w:color w:val="auto"/>
                <w:w w:val="99"/>
              </w:rPr>
              <w:t>Non-deductible goodwill impairment charge</w:t>
            </w:r>
          </w:p>
        </w:tc>
        <w:tc>
          <w:tcPr>
            <w:tcW w:w="422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49.3</w:t>
            </w:r>
          </w:p>
        </w:tc>
        <w:tc>
          <w:tcPr>
            <w:tcW w:w="5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20" w:type="dxa"/>
            <w:vAlign w:val="bottom"/>
            <w:shd w:val="clear" w:color="auto" w:fill="E6EFFF"/>
          </w:tcPr>
          <w:p>
            <w:pPr>
              <w:ind w:left="120"/>
              <w:spacing w:after="0"/>
              <w:rPr>
                <w:sz w:val="20"/>
                <w:szCs w:val="20"/>
                <w:color w:val="auto"/>
              </w:rPr>
            </w:pPr>
            <w:r>
              <w:rPr>
                <w:rFonts w:ascii="Arial" w:cs="Arial" w:eastAsia="Arial" w:hAnsi="Arial"/>
                <w:sz w:val="14"/>
                <w:szCs w:val="14"/>
                <w:color w:val="auto"/>
              </w:rPr>
              <w:t>Non-deductible legal reserve in France</w:t>
            </w:r>
          </w:p>
        </w:tc>
        <w:tc>
          <w:tcPr>
            <w:tcW w:w="422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17.6</w:t>
            </w:r>
          </w:p>
        </w:tc>
        <w:tc>
          <w:tcPr>
            <w:tcW w:w="50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4.8</w:t>
            </w:r>
          </w:p>
        </w:tc>
        <w:tc>
          <w:tcPr>
            <w:tcW w:w="580" w:type="dxa"/>
            <w:vAlign w:val="bottom"/>
            <w:shd w:val="clear" w:color="auto" w:fill="E6EFFF"/>
          </w:tcPr>
          <w:p>
            <w:pPr>
              <w:spacing w:after="0"/>
              <w:rPr>
                <w:sz w:val="14"/>
                <w:szCs w:val="14"/>
                <w:color w:val="auto"/>
              </w:rPr>
            </w:pPr>
          </w:p>
        </w:tc>
        <w:tc>
          <w:tcPr>
            <w:tcW w:w="9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422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(9.0)</w:t>
            </w:r>
          </w:p>
        </w:tc>
        <w:tc>
          <w:tcPr>
            <w:tcW w:w="5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7.3</w:t>
            </w:r>
          </w:p>
        </w:tc>
        <w:tc>
          <w:tcPr>
            <w:tcW w:w="5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tcBorders>
              <w:top w:val="single" w:sz="8" w:color="auto"/>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Tax provision</w:t>
            </w:r>
          </w:p>
        </w:tc>
        <w:tc>
          <w:tcPr>
            <w:tcW w:w="4220" w:type="dxa"/>
            <w:vAlign w:val="bottom"/>
            <w:tcBorders>
              <w:top w:val="single" w:sz="8" w:color="auto"/>
              <w:bottom w:val="single" w:sz="8" w:color="auto"/>
              <w:right w:val="single" w:sz="8" w:color="4D8ABE"/>
            </w:tcBorders>
            <w:shd w:val="clear" w:color="auto" w:fill="E6EFFF"/>
          </w:tcPr>
          <w:p>
            <w:pPr>
              <w:spacing w:after="0"/>
              <w:rPr>
                <w:sz w:val="13"/>
                <w:szCs w:val="13"/>
                <w:color w:val="auto"/>
              </w:rPr>
            </w:pPr>
          </w:p>
        </w:tc>
        <w:tc>
          <w:tcPr>
            <w:tcW w:w="500" w:type="dxa"/>
            <w:vAlign w:val="bottom"/>
            <w:tcBorders>
              <w:top w:val="single" w:sz="8" w:color="auto"/>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239.4</w:t>
            </w:r>
          </w:p>
        </w:tc>
        <w:tc>
          <w:tcPr>
            <w:tcW w:w="500" w:type="dxa"/>
            <w:vAlign w:val="bottom"/>
            <w:tcBorders>
              <w:top w:val="single" w:sz="8" w:color="auto"/>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306.5</w:t>
            </w:r>
          </w:p>
        </w:tc>
        <w:tc>
          <w:tcPr>
            <w:tcW w:w="580" w:type="dxa"/>
            <w:vAlign w:val="bottom"/>
            <w:tcBorders>
              <w:top w:val="single" w:sz="8" w:color="auto"/>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176.2</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82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20" w:type="dxa"/>
            <w:vAlign w:val="bottom"/>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4720" w:type="dxa"/>
            <w:vAlign w:val="bottom"/>
            <w:gridSpan w:val="2"/>
            <w:vMerge w:val="restart"/>
          </w:tcPr>
          <w:p>
            <w:pPr>
              <w:jc w:val="right"/>
              <w:ind w:right="2132"/>
              <w:spacing w:after="0"/>
              <w:rPr>
                <w:sz w:val="20"/>
                <w:szCs w:val="20"/>
                <w:color w:val="auto"/>
              </w:rPr>
            </w:pPr>
            <w:r>
              <w:rPr>
                <w:rFonts w:ascii="Arial" w:cs="Arial" w:eastAsia="Arial" w:hAnsi="Arial"/>
                <w:sz w:val="12"/>
                <w:szCs w:val="12"/>
                <w:b w:val="1"/>
                <w:bCs w:val="1"/>
                <w:color w:val="939598"/>
                <w:w w:val="98"/>
              </w:rPr>
              <w:t>Notes To Consolidated Financial Statements</w:t>
            </w: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b w:val="1"/>
                <w:bCs w:val="1"/>
                <w:color w:val="auto"/>
              </w:rPr>
              <w:t>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820" w:type="dxa"/>
            <w:vAlign w:val="bottom"/>
            <w:vMerge w:val="continue"/>
          </w:tcPr>
          <w:p>
            <w:pPr>
              <w:spacing w:after="0"/>
              <w:rPr>
                <w:sz w:val="6"/>
                <w:szCs w:val="6"/>
                <w:color w:val="auto"/>
              </w:rPr>
            </w:pPr>
          </w:p>
        </w:tc>
        <w:tc>
          <w:tcPr>
            <w:tcW w:w="472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820" w:type="dxa"/>
            <w:vAlign w:val="bottom"/>
            <w:shd w:val="clear" w:color="auto" w:fill="808080"/>
          </w:tcPr>
          <w:p>
            <w:pPr>
              <w:spacing w:after="0"/>
              <w:rPr>
                <w:sz w:val="5"/>
                <w:szCs w:val="5"/>
                <w:color w:val="auto"/>
              </w:rPr>
            </w:pPr>
          </w:p>
        </w:tc>
        <w:tc>
          <w:tcPr>
            <w:tcW w:w="422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Deferred income taxes are recorded on temporary differences at the tax rate expected to be in effect when the temporary differences reverse. Temporary differences, which gave rise to the deferred taxes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480" w:type="dxa"/>
            <w:vAlign w:val="bottom"/>
            <w:tcBorders>
              <w:bottom w:val="single" w:sz="8" w:color="4D8ABE"/>
            </w:tcBorders>
            <w:shd w:val="clear" w:color="auto" w:fill="4D8ABE"/>
          </w:tcPr>
          <w:p>
            <w:pPr>
              <w:spacing w:after="0"/>
              <w:rPr>
                <w:sz w:val="15"/>
                <w:szCs w:val="15"/>
                <w:color w:val="auto"/>
              </w:rPr>
            </w:pPr>
          </w:p>
        </w:tc>
        <w:tc>
          <w:tcPr>
            <w:tcW w:w="1000" w:type="dxa"/>
            <w:vAlign w:val="bottom"/>
            <w:tcBorders>
              <w:bottom w:val="single" w:sz="8" w:color="4D8ABE"/>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480" w:type="dxa"/>
            <w:vAlign w:val="bottom"/>
            <w:tcBorders>
              <w:bottom w:val="single" w:sz="8" w:color="4D8ABE"/>
            </w:tcBorders>
          </w:tcPr>
          <w:p>
            <w:pPr>
              <w:spacing w:after="0"/>
              <w:rPr>
                <w:sz w:val="15"/>
                <w:szCs w:val="15"/>
                <w:color w:val="auto"/>
              </w:rPr>
            </w:pPr>
          </w:p>
        </w:tc>
        <w:tc>
          <w:tcPr>
            <w:tcW w:w="980" w:type="dxa"/>
            <w:vAlign w:val="bottom"/>
            <w:tcBorders>
              <w:bottom w:val="single" w:sz="8" w:color="4D8ABE"/>
            </w:tcBorders>
          </w:tcPr>
          <w:p>
            <w:pPr>
              <w:jc w:val="right"/>
              <w:ind w:right="152"/>
              <w:spacing w:after="0"/>
              <w:rPr>
                <w:sz w:val="20"/>
                <w:szCs w:val="20"/>
                <w:color w:val="auto"/>
              </w:rPr>
            </w:pPr>
            <w:r>
              <w:rPr>
                <w:rFonts w:ascii="Arial" w:cs="Arial" w:eastAsia="Arial" w:hAnsi="Arial"/>
                <w:sz w:val="14"/>
                <w:szCs w:val="14"/>
                <w:color w:val="4D8ABE"/>
              </w:rPr>
              <w:t>2007</w:t>
            </w:r>
          </w:p>
        </w:tc>
      </w:tr>
      <w:tr>
        <w:trPr>
          <w:trHeight w:val="155"/>
        </w:trPr>
        <w:tc>
          <w:tcPr>
            <w:tcW w:w="8520" w:type="dxa"/>
            <w:vAlign w:val="bottom"/>
            <w:tcBorders>
              <w:right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Current Future Income Tax Benefits (Expense)</w:t>
            </w:r>
          </w:p>
        </w:tc>
        <w:tc>
          <w:tcPr>
            <w:tcW w:w="480" w:type="dxa"/>
            <w:vAlign w:val="bottom"/>
          </w:tcPr>
          <w:p>
            <w:pPr>
              <w:spacing w:after="0"/>
              <w:rPr>
                <w:sz w:val="13"/>
                <w:szCs w:val="13"/>
                <w:color w:val="auto"/>
              </w:rPr>
            </w:pPr>
          </w:p>
        </w:tc>
        <w:tc>
          <w:tcPr>
            <w:tcW w:w="1000" w:type="dxa"/>
            <w:vAlign w:val="bottom"/>
            <w:tcBorders>
              <w:right w:val="single" w:sz="8" w:color="4D8ABE"/>
            </w:tcBorders>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Accrued payroll taxes and insurance</w:t>
            </w:r>
          </w:p>
        </w:tc>
        <w:tc>
          <w:tcPr>
            <w:tcW w:w="480" w:type="dxa"/>
            <w:vAlign w:val="bottom"/>
            <w:shd w:val="clear" w:color="auto" w:fill="E6EFFF"/>
          </w:tcPr>
          <w:p>
            <w:pPr>
              <w:jc w:val="right"/>
              <w:ind w:right="312"/>
              <w:spacing w:after="0"/>
              <w:rPr>
                <w:sz w:val="20"/>
                <w:szCs w:val="20"/>
                <w:color w:val="auto"/>
              </w:rPr>
            </w:pPr>
            <w:r>
              <w:rPr>
                <w:rFonts w:ascii="Arial" w:cs="Arial" w:eastAsia="Arial" w:hAnsi="Arial"/>
                <w:sz w:val="14"/>
                <w:szCs w:val="14"/>
                <w:b w:val="1"/>
                <w:bCs w:val="1"/>
                <w:color w:val="4D8ABE"/>
              </w:rPr>
              <w:t>$</w:t>
            </w: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12.2</w:t>
            </w:r>
          </w:p>
        </w:tc>
        <w:tc>
          <w:tcPr>
            <w:tcW w:w="480" w:type="dxa"/>
            <w:vAlign w:val="bottom"/>
            <w:shd w:val="clear" w:color="auto" w:fill="E6EFFF"/>
          </w:tcPr>
          <w:p>
            <w:pPr>
              <w:jc w:val="right"/>
              <w:ind w:right="312"/>
              <w:spacing w:after="0"/>
              <w:rPr>
                <w:sz w:val="20"/>
                <w:szCs w:val="20"/>
                <w:color w:val="auto"/>
              </w:rPr>
            </w:pPr>
            <w:r>
              <w:rPr>
                <w:rFonts w:ascii="Arial" w:cs="Arial" w:eastAsia="Arial" w:hAnsi="Arial"/>
                <w:sz w:val="14"/>
                <w:szCs w:val="14"/>
                <w:color w:val="auto"/>
              </w:rPr>
              <w:t>$</w:t>
            </w:r>
          </w:p>
        </w:tc>
        <w:tc>
          <w:tcPr>
            <w:tcW w:w="980" w:type="dxa"/>
            <w:vAlign w:val="bottom"/>
            <w:shd w:val="clear" w:color="auto" w:fill="E6EFFF"/>
          </w:tcPr>
          <w:p>
            <w:pPr>
              <w:jc w:val="right"/>
              <w:ind w:right="152"/>
              <w:spacing w:after="0"/>
              <w:rPr>
                <w:sz w:val="20"/>
                <w:szCs w:val="20"/>
                <w:color w:val="auto"/>
              </w:rPr>
            </w:pPr>
            <w:r>
              <w:rPr>
                <w:rFonts w:ascii="Arial" w:cs="Arial" w:eastAsia="Arial" w:hAnsi="Arial"/>
                <w:sz w:val="14"/>
                <w:szCs w:val="14"/>
                <w:color w:val="auto"/>
              </w:rPr>
              <w:t>10.7</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Employee compensation payable</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26.1</w:t>
            </w:r>
          </w:p>
        </w:tc>
        <w:tc>
          <w:tcPr>
            <w:tcW w:w="48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23.7</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Pension and postretirement benefits</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0.5</w:t>
            </w:r>
          </w:p>
        </w:tc>
        <w:tc>
          <w:tcPr>
            <w:tcW w:w="48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112"/>
              <w:spacing w:after="0"/>
              <w:rPr>
                <w:sz w:val="20"/>
                <w:szCs w:val="20"/>
                <w:color w:val="auto"/>
              </w:rPr>
            </w:pPr>
            <w:r>
              <w:rPr>
                <w:rFonts w:ascii="Arial" w:cs="Arial" w:eastAsia="Arial" w:hAnsi="Arial"/>
                <w:sz w:val="14"/>
                <w:szCs w:val="14"/>
                <w:color w:val="auto"/>
              </w:rPr>
              <w:t>(0.6)</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Other</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36.1</w:t>
            </w:r>
          </w:p>
        </w:tc>
        <w:tc>
          <w:tcPr>
            <w:tcW w:w="48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21.0</w:t>
            </w:r>
          </w:p>
        </w:tc>
      </w:tr>
      <w:tr>
        <w:trPr>
          <w:trHeight w:val="164"/>
        </w:trPr>
        <w:tc>
          <w:tcPr>
            <w:tcW w:w="852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Valuation allowance</w:t>
            </w:r>
          </w:p>
        </w:tc>
        <w:tc>
          <w:tcPr>
            <w:tcW w:w="480" w:type="dxa"/>
            <w:vAlign w:val="bottom"/>
            <w:tcBorders>
              <w:bottom w:val="single" w:sz="8" w:color="auto"/>
            </w:tcBorders>
            <w:shd w:val="clear" w:color="auto" w:fill="E6EFFF"/>
          </w:tcPr>
          <w:p>
            <w:pPr>
              <w:spacing w:after="0"/>
              <w:rPr>
                <w:sz w:val="14"/>
                <w:szCs w:val="14"/>
                <w:color w:val="auto"/>
              </w:rPr>
            </w:pPr>
          </w:p>
        </w:tc>
        <w:tc>
          <w:tcPr>
            <w:tcW w:w="1000" w:type="dxa"/>
            <w:vAlign w:val="bottom"/>
            <w:tcBorders>
              <w:bottom w:val="single" w:sz="8" w:color="auto"/>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(1.9)</w:t>
            </w:r>
          </w:p>
        </w:tc>
        <w:tc>
          <w:tcPr>
            <w:tcW w:w="480" w:type="dxa"/>
            <w:vAlign w:val="bottom"/>
            <w:tcBorders>
              <w:bottom w:val="single" w:sz="8" w:color="auto"/>
            </w:tcBorders>
            <w:shd w:val="clear" w:color="auto" w:fill="E6EFFF"/>
          </w:tcPr>
          <w:p>
            <w:pPr>
              <w:spacing w:after="0"/>
              <w:rPr>
                <w:sz w:val="14"/>
                <w:szCs w:val="14"/>
                <w:color w:val="auto"/>
              </w:rPr>
            </w:pPr>
          </w:p>
        </w:tc>
        <w:tc>
          <w:tcPr>
            <w:tcW w:w="980" w:type="dxa"/>
            <w:vAlign w:val="bottom"/>
            <w:tcBorders>
              <w:bottom w:val="single" w:sz="8" w:color="auto"/>
            </w:tcBorders>
            <w:shd w:val="clear" w:color="auto" w:fill="E6EFFF"/>
          </w:tcPr>
          <w:p>
            <w:pPr>
              <w:jc w:val="right"/>
              <w:ind w:right="112"/>
              <w:spacing w:after="0"/>
              <w:rPr>
                <w:sz w:val="20"/>
                <w:szCs w:val="20"/>
                <w:color w:val="auto"/>
              </w:rPr>
            </w:pPr>
            <w:r>
              <w:rPr>
                <w:rFonts w:ascii="Arial" w:cs="Arial" w:eastAsia="Arial" w:hAnsi="Arial"/>
                <w:sz w:val="14"/>
                <w:szCs w:val="14"/>
                <w:color w:val="auto"/>
              </w:rPr>
              <w:t>(4.5)</w:t>
            </w:r>
          </w:p>
        </w:tc>
      </w:tr>
      <w:tr>
        <w:trPr>
          <w:trHeight w:val="155"/>
        </w:trPr>
        <w:tc>
          <w:tcPr>
            <w:tcW w:w="8520" w:type="dxa"/>
            <w:vAlign w:val="bottom"/>
            <w:tcBorders>
              <w:bottom w:val="single" w:sz="8" w:color="auto"/>
              <w:right w:val="single" w:sz="8" w:color="4D8ABE"/>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73.0</w:t>
            </w: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50.3</w:t>
            </w:r>
          </w:p>
        </w:tc>
      </w:tr>
      <w:tr>
        <w:trPr>
          <w:trHeight w:val="155"/>
        </w:trPr>
        <w:tc>
          <w:tcPr>
            <w:tcW w:w="8520" w:type="dxa"/>
            <w:vAlign w:val="bottom"/>
            <w:tcBorders>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b w:val="1"/>
                <w:bCs w:val="1"/>
                <w:color w:val="939598"/>
              </w:rPr>
              <w:t>Noncurrent Future Income Tax Benefits (Expense)</w:t>
            </w:r>
          </w:p>
        </w:tc>
        <w:tc>
          <w:tcPr>
            <w:tcW w:w="480" w:type="dxa"/>
            <w:vAlign w:val="bottom"/>
            <w:shd w:val="clear" w:color="auto" w:fill="E6EFFF"/>
          </w:tcPr>
          <w:p>
            <w:pPr>
              <w:spacing w:after="0"/>
              <w:rPr>
                <w:sz w:val="13"/>
                <w:szCs w:val="13"/>
                <w:color w:val="auto"/>
              </w:rPr>
            </w:pPr>
          </w:p>
        </w:tc>
        <w:tc>
          <w:tcPr>
            <w:tcW w:w="1000" w:type="dxa"/>
            <w:vAlign w:val="bottom"/>
            <w:tcBorders>
              <w:right w:val="single" w:sz="8" w:color="4D8ABE"/>
            </w:tcBorders>
            <w:shd w:val="clear" w:color="auto" w:fill="E6EFFF"/>
          </w:tcPr>
          <w:p>
            <w:pPr>
              <w:spacing w:after="0"/>
              <w:rPr>
                <w:sz w:val="13"/>
                <w:szCs w:val="13"/>
                <w:color w:val="auto"/>
              </w:rPr>
            </w:pPr>
          </w:p>
        </w:tc>
        <w:tc>
          <w:tcPr>
            <w:tcW w:w="480" w:type="dxa"/>
            <w:vAlign w:val="bottom"/>
            <w:shd w:val="clear" w:color="auto" w:fill="E6EFFF"/>
          </w:tcPr>
          <w:p>
            <w:pPr>
              <w:spacing w:after="0"/>
              <w:rPr>
                <w:sz w:val="13"/>
                <w:szCs w:val="13"/>
                <w:color w:val="auto"/>
              </w:rPr>
            </w:pPr>
          </w:p>
        </w:tc>
        <w:tc>
          <w:tcPr>
            <w:tcW w:w="980" w:type="dxa"/>
            <w:vAlign w:val="bottom"/>
            <w:shd w:val="clear" w:color="auto" w:fill="E6EFFF"/>
          </w:tcPr>
          <w:p>
            <w:pPr>
              <w:spacing w:after="0"/>
              <w:rPr>
                <w:sz w:val="13"/>
                <w:szCs w:val="13"/>
                <w:color w:val="auto"/>
              </w:rPr>
            </w:pP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Accrued payroll taxes and insurance</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20.4</w:t>
            </w:r>
          </w:p>
        </w:tc>
        <w:tc>
          <w:tcPr>
            <w:tcW w:w="480" w:type="dxa"/>
            <w:vAlign w:val="bottom"/>
          </w:tcPr>
          <w:p>
            <w:pPr>
              <w:spacing w:after="0"/>
              <w:rPr>
                <w:sz w:val="14"/>
                <w:szCs w:val="14"/>
                <w:color w:val="auto"/>
              </w:rPr>
            </w:pP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22.4</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Pension and postretirement benefits</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52.7</w:t>
            </w:r>
          </w:p>
        </w:tc>
        <w:tc>
          <w:tcPr>
            <w:tcW w:w="48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152"/>
              <w:spacing w:after="0"/>
              <w:rPr>
                <w:sz w:val="20"/>
                <w:szCs w:val="20"/>
                <w:color w:val="auto"/>
              </w:rPr>
            </w:pPr>
            <w:r>
              <w:rPr>
                <w:rFonts w:ascii="Arial" w:cs="Arial" w:eastAsia="Arial" w:hAnsi="Arial"/>
                <w:sz w:val="14"/>
                <w:szCs w:val="14"/>
                <w:color w:val="auto"/>
              </w:rPr>
              <w:t>41.8</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Intangible assets</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(85.4)</w:t>
            </w:r>
          </w:p>
        </w:tc>
        <w:tc>
          <w:tcPr>
            <w:tcW w:w="480" w:type="dxa"/>
            <w:vAlign w:val="bottom"/>
          </w:tcPr>
          <w:p>
            <w:pPr>
              <w:spacing w:after="0"/>
              <w:rPr>
                <w:sz w:val="14"/>
                <w:szCs w:val="14"/>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(120.1)</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Net operating losses and other</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176.0</w:t>
            </w:r>
          </w:p>
        </w:tc>
        <w:tc>
          <w:tcPr>
            <w:tcW w:w="48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152"/>
              <w:spacing w:after="0"/>
              <w:rPr>
                <w:sz w:val="20"/>
                <w:szCs w:val="20"/>
                <w:color w:val="auto"/>
              </w:rPr>
            </w:pPr>
            <w:r>
              <w:rPr>
                <w:rFonts w:ascii="Arial" w:cs="Arial" w:eastAsia="Arial" w:hAnsi="Arial"/>
                <w:sz w:val="14"/>
                <w:szCs w:val="14"/>
                <w:color w:val="auto"/>
              </w:rPr>
              <w:t>185.3</w:t>
            </w:r>
          </w:p>
        </w:tc>
      </w:tr>
      <w:tr>
        <w:trPr>
          <w:trHeight w:val="164"/>
        </w:trPr>
        <w:tc>
          <w:tcPr>
            <w:tcW w:w="852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Valuation allowance</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(111.1)</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(101.0)</w:t>
            </w:r>
          </w:p>
        </w:tc>
      </w:tr>
      <w:tr>
        <w:trPr>
          <w:trHeight w:val="155"/>
        </w:trPr>
        <w:tc>
          <w:tcPr>
            <w:tcW w:w="8520" w:type="dxa"/>
            <w:vAlign w:val="bottom"/>
            <w:tcBorders>
              <w:bottom w:val="single" w:sz="8" w:color="auto"/>
              <w:right w:val="single" w:sz="8" w:color="4D8ABE"/>
            </w:tcBorders>
            <w:shd w:val="clear" w:color="auto" w:fill="E6EFFF"/>
          </w:tcPr>
          <w:p>
            <w:pPr>
              <w:spacing w:after="0"/>
              <w:rPr>
                <w:sz w:val="13"/>
                <w:szCs w:val="13"/>
                <w:color w:val="auto"/>
              </w:rPr>
            </w:pPr>
          </w:p>
        </w:tc>
        <w:tc>
          <w:tcPr>
            <w:tcW w:w="480" w:type="dxa"/>
            <w:vAlign w:val="bottom"/>
            <w:tcBorders>
              <w:bottom w:val="single" w:sz="8" w:color="auto"/>
            </w:tcBorders>
            <w:shd w:val="clear" w:color="auto" w:fill="E6EFFF"/>
          </w:tcPr>
          <w:p>
            <w:pPr>
              <w:spacing w:after="0"/>
              <w:rPr>
                <w:sz w:val="13"/>
                <w:szCs w:val="13"/>
                <w:color w:val="auto"/>
              </w:rPr>
            </w:pPr>
          </w:p>
        </w:tc>
        <w:tc>
          <w:tcPr>
            <w:tcW w:w="100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52.6</w:t>
            </w:r>
          </w:p>
        </w:tc>
        <w:tc>
          <w:tcPr>
            <w:tcW w:w="480" w:type="dxa"/>
            <w:vAlign w:val="bottom"/>
            <w:tcBorders>
              <w:bottom w:val="single" w:sz="8" w:color="auto"/>
            </w:tcBorders>
            <w:shd w:val="clear" w:color="auto" w:fill="E6EFFF"/>
          </w:tcPr>
          <w:p>
            <w:pPr>
              <w:spacing w:after="0"/>
              <w:rPr>
                <w:sz w:val="13"/>
                <w:szCs w:val="13"/>
                <w:color w:val="auto"/>
              </w:rPr>
            </w:pPr>
          </w:p>
        </w:tc>
        <w:tc>
          <w:tcPr>
            <w:tcW w:w="980" w:type="dxa"/>
            <w:vAlign w:val="bottom"/>
            <w:tcBorders>
              <w:bottom w:val="single" w:sz="8" w:color="auto"/>
            </w:tcBorders>
            <w:shd w:val="clear" w:color="auto" w:fill="E6EFFF"/>
          </w:tcPr>
          <w:p>
            <w:pPr>
              <w:jc w:val="right"/>
              <w:ind w:right="152"/>
              <w:spacing w:after="0" w:line="155" w:lineRule="exact"/>
              <w:rPr>
                <w:sz w:val="20"/>
                <w:szCs w:val="20"/>
                <w:color w:val="auto"/>
              </w:rPr>
            </w:pPr>
            <w:r>
              <w:rPr>
                <w:rFonts w:ascii="Arial" w:cs="Arial" w:eastAsia="Arial" w:hAnsi="Arial"/>
                <w:sz w:val="14"/>
                <w:szCs w:val="14"/>
                <w:color w:val="auto"/>
              </w:rPr>
              <w:t>28.4</w:t>
            </w:r>
          </w:p>
        </w:tc>
      </w:tr>
      <w:tr>
        <w:trPr>
          <w:trHeight w:val="155"/>
        </w:trPr>
        <w:tc>
          <w:tcPr>
            <w:tcW w:w="8520" w:type="dxa"/>
            <w:vAlign w:val="bottom"/>
            <w:tcBorders>
              <w:bottom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Total future tax benefits</w:t>
            </w:r>
          </w:p>
        </w:tc>
        <w:tc>
          <w:tcPr>
            <w:tcW w:w="4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4D8ABE"/>
              </w:rPr>
              <w:t>$</w:t>
            </w:r>
          </w:p>
        </w:tc>
        <w:tc>
          <w:tcPr>
            <w:tcW w:w="1000" w:type="dxa"/>
            <w:vAlign w:val="bottom"/>
            <w:tcBorders>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125.6</w:t>
            </w:r>
          </w:p>
        </w:tc>
        <w:tc>
          <w:tcPr>
            <w:tcW w:w="4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78.7</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Current tax assets</w:t>
            </w:r>
          </w:p>
        </w:tc>
        <w:tc>
          <w:tcPr>
            <w:tcW w:w="480" w:type="dxa"/>
            <w:vAlign w:val="bottom"/>
            <w:shd w:val="clear" w:color="auto" w:fill="E6EFFF"/>
          </w:tcPr>
          <w:p>
            <w:pPr>
              <w:jc w:val="right"/>
              <w:ind w:right="312"/>
              <w:spacing w:after="0"/>
              <w:rPr>
                <w:sz w:val="20"/>
                <w:szCs w:val="20"/>
                <w:color w:val="auto"/>
              </w:rPr>
            </w:pPr>
            <w:r>
              <w:rPr>
                <w:rFonts w:ascii="Arial" w:cs="Arial" w:eastAsia="Arial" w:hAnsi="Arial"/>
                <w:sz w:val="14"/>
                <w:szCs w:val="14"/>
                <w:b w:val="1"/>
                <w:bCs w:val="1"/>
                <w:color w:val="4D8ABE"/>
              </w:rPr>
              <w:t>$</w:t>
            </w: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66.5</w:t>
            </w:r>
          </w:p>
        </w:tc>
        <w:tc>
          <w:tcPr>
            <w:tcW w:w="480" w:type="dxa"/>
            <w:vAlign w:val="bottom"/>
            <w:shd w:val="clear" w:color="auto" w:fill="E6EFFF"/>
          </w:tcPr>
          <w:p>
            <w:pPr>
              <w:jc w:val="right"/>
              <w:ind w:right="312"/>
              <w:spacing w:after="0"/>
              <w:rPr>
                <w:sz w:val="20"/>
                <w:szCs w:val="20"/>
                <w:color w:val="auto"/>
              </w:rPr>
            </w:pPr>
            <w:r>
              <w:rPr>
                <w:rFonts w:ascii="Arial" w:cs="Arial" w:eastAsia="Arial" w:hAnsi="Arial"/>
                <w:sz w:val="14"/>
                <w:szCs w:val="14"/>
                <w:color w:val="auto"/>
              </w:rPr>
              <w:t>$</w:t>
            </w:r>
          </w:p>
        </w:tc>
        <w:tc>
          <w:tcPr>
            <w:tcW w:w="980" w:type="dxa"/>
            <w:vAlign w:val="bottom"/>
            <w:shd w:val="clear" w:color="auto" w:fill="E6EFFF"/>
          </w:tcPr>
          <w:p>
            <w:pPr>
              <w:jc w:val="right"/>
              <w:ind w:right="152"/>
              <w:spacing w:after="0"/>
              <w:rPr>
                <w:sz w:val="20"/>
                <w:szCs w:val="20"/>
                <w:color w:val="auto"/>
              </w:rPr>
            </w:pPr>
            <w:r>
              <w:rPr>
                <w:rFonts w:ascii="Arial" w:cs="Arial" w:eastAsia="Arial" w:hAnsi="Arial"/>
                <w:sz w:val="14"/>
                <w:szCs w:val="14"/>
                <w:color w:val="auto"/>
              </w:rPr>
              <w:t>76.3</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Current tax liability</w:t>
            </w:r>
          </w:p>
        </w:tc>
        <w:tc>
          <w:tcPr>
            <w:tcW w:w="480" w:type="dxa"/>
            <w:vAlign w:val="bottom"/>
          </w:tcPr>
          <w:p>
            <w:pPr>
              <w:spacing w:after="0"/>
              <w:rPr>
                <w:sz w:val="14"/>
                <w:szCs w:val="14"/>
                <w:color w:val="auto"/>
              </w:rPr>
            </w:pPr>
          </w:p>
        </w:tc>
        <w:tc>
          <w:tcPr>
            <w:tcW w:w="100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(16.4)</w:t>
            </w:r>
          </w:p>
        </w:tc>
        <w:tc>
          <w:tcPr>
            <w:tcW w:w="480" w:type="dxa"/>
            <w:vAlign w:val="bottom"/>
          </w:tcPr>
          <w:p>
            <w:pPr>
              <w:spacing w:after="0"/>
              <w:rPr>
                <w:sz w:val="14"/>
                <w:szCs w:val="14"/>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color w:val="auto"/>
              </w:rPr>
              <w:t>(26.0)</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Noncurrent tax asset</w:t>
            </w:r>
          </w:p>
        </w:tc>
        <w:tc>
          <w:tcPr>
            <w:tcW w:w="480" w:type="dxa"/>
            <w:vAlign w:val="bottom"/>
            <w:shd w:val="clear" w:color="auto" w:fill="E6EFFF"/>
          </w:tcPr>
          <w:p>
            <w:pPr>
              <w:spacing w:after="0"/>
              <w:rPr>
                <w:sz w:val="14"/>
                <w:szCs w:val="14"/>
                <w:color w:val="auto"/>
              </w:rPr>
            </w:pPr>
          </w:p>
        </w:tc>
        <w:tc>
          <w:tcPr>
            <w:tcW w:w="100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92.5</w:t>
            </w:r>
          </w:p>
        </w:tc>
        <w:tc>
          <w:tcPr>
            <w:tcW w:w="48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152"/>
              <w:spacing w:after="0"/>
              <w:rPr>
                <w:sz w:val="20"/>
                <w:szCs w:val="20"/>
                <w:color w:val="auto"/>
              </w:rPr>
            </w:pPr>
            <w:r>
              <w:rPr>
                <w:rFonts w:ascii="Arial" w:cs="Arial" w:eastAsia="Arial" w:hAnsi="Arial"/>
                <w:sz w:val="14"/>
                <w:szCs w:val="14"/>
                <w:color w:val="auto"/>
              </w:rPr>
              <w:t>28.4</w:t>
            </w:r>
          </w:p>
        </w:tc>
      </w:tr>
      <w:tr>
        <w:trPr>
          <w:trHeight w:val="164"/>
        </w:trPr>
        <w:tc>
          <w:tcPr>
            <w:tcW w:w="852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Noncurrent tax liability</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(17.0)</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r>
      <w:tr>
        <w:trPr>
          <w:trHeight w:val="155"/>
        </w:trPr>
        <w:tc>
          <w:tcPr>
            <w:tcW w:w="8520" w:type="dxa"/>
            <w:vAlign w:val="bottom"/>
            <w:tcBorders>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Total future tax benefits</w:t>
            </w:r>
          </w:p>
        </w:tc>
        <w:tc>
          <w:tcPr>
            <w:tcW w:w="480" w:type="dxa"/>
            <w:vAlign w:val="bottom"/>
            <w:tcBorders>
              <w:bottom w:val="single" w:sz="8" w:color="auto"/>
            </w:tcBorders>
            <w:shd w:val="clear" w:color="auto" w:fill="E6EFFF"/>
          </w:tcPr>
          <w:p>
            <w:pPr>
              <w:jc w:val="right"/>
              <w:ind w:right="312"/>
              <w:spacing w:after="0" w:line="155" w:lineRule="exact"/>
              <w:rPr>
                <w:sz w:val="20"/>
                <w:szCs w:val="20"/>
                <w:color w:val="auto"/>
              </w:rPr>
            </w:pPr>
            <w:r>
              <w:rPr>
                <w:rFonts w:ascii="Arial" w:cs="Arial" w:eastAsia="Arial" w:hAnsi="Arial"/>
                <w:sz w:val="14"/>
                <w:szCs w:val="14"/>
                <w:b w:val="1"/>
                <w:bCs w:val="1"/>
                <w:color w:val="4D8ABE"/>
              </w:rPr>
              <w:t>$</w:t>
            </w:r>
          </w:p>
        </w:tc>
        <w:tc>
          <w:tcPr>
            <w:tcW w:w="100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125.6</w:t>
            </w:r>
          </w:p>
        </w:tc>
        <w:tc>
          <w:tcPr>
            <w:tcW w:w="480" w:type="dxa"/>
            <w:vAlign w:val="bottom"/>
            <w:tcBorders>
              <w:bottom w:val="single" w:sz="8" w:color="auto"/>
            </w:tcBorders>
            <w:shd w:val="clear" w:color="auto" w:fill="E6EFFF"/>
          </w:tcPr>
          <w:p>
            <w:pPr>
              <w:jc w:val="right"/>
              <w:ind w:right="312"/>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6EFFF"/>
          </w:tcPr>
          <w:p>
            <w:pPr>
              <w:jc w:val="right"/>
              <w:ind w:right="152"/>
              <w:spacing w:after="0" w:line="155" w:lineRule="exact"/>
              <w:rPr>
                <w:sz w:val="20"/>
                <w:szCs w:val="20"/>
                <w:color w:val="auto"/>
              </w:rPr>
            </w:pPr>
            <w:r>
              <w:rPr>
                <w:rFonts w:ascii="Arial" w:cs="Arial" w:eastAsia="Arial" w:hAnsi="Arial"/>
                <w:sz w:val="14"/>
                <w:szCs w:val="14"/>
                <w:color w:val="auto"/>
              </w:rPr>
              <w:t>78.7</w:t>
            </w:r>
          </w:p>
        </w:tc>
      </w:tr>
    </w:tbl>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current tax liability is recorded in Accrued Liabilities, the noncurrent tax assets are recorded in Other Assets and the noncurrent tax liability is recorded in Other Long-Term Liabilities in the consolidated balance sheets.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non-U.S. net operating loss carryforwards and U.S. state net operating loss carryforwards totaling $402.7 and $86.5, respectively, as of December 31, 2008. The net operating loss carryforwards expire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4D8ABE"/>
              </w:rPr>
              <w:t>Non-U.S.</w:t>
            </w:r>
          </w:p>
        </w:tc>
        <w:tc>
          <w:tcPr>
            <w:tcW w:w="460" w:type="dxa"/>
            <w:vAlign w:val="bottom"/>
          </w:tcPr>
          <w:p>
            <w:pPr>
              <w:spacing w:after="0"/>
              <w:rPr>
                <w:sz w:val="14"/>
                <w:szCs w:val="14"/>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color w:val="4D8ABE"/>
              </w:rPr>
              <w:t>U.S. State</w:t>
            </w:r>
          </w:p>
        </w:tc>
      </w:tr>
      <w:tr>
        <w:trPr>
          <w:trHeight w:val="155"/>
        </w:trPr>
        <w:tc>
          <w:tcPr>
            <w:tcW w:w="5400" w:type="dxa"/>
            <w:vAlign w:val="bottom"/>
            <w:tcBorders>
              <w:top w:val="single" w:sz="8" w:color="4D8ABE"/>
            </w:tcBorders>
          </w:tcPr>
          <w:p>
            <w:pPr>
              <w:spacing w:after="0" w:line="155" w:lineRule="exact"/>
              <w:rPr>
                <w:sz w:val="20"/>
                <w:szCs w:val="20"/>
                <w:color w:val="auto"/>
              </w:rPr>
            </w:pPr>
            <w:r>
              <w:rPr>
                <w:rFonts w:ascii="Arial" w:cs="Arial" w:eastAsia="Arial" w:hAnsi="Arial"/>
                <w:sz w:val="14"/>
                <w:szCs w:val="14"/>
                <w:color w:val="auto"/>
              </w:rPr>
              <w:t>2009</w:t>
            </w:r>
          </w:p>
        </w:tc>
        <w:tc>
          <w:tcPr>
            <w:tcW w:w="3500" w:type="dxa"/>
            <w:vAlign w:val="bottom"/>
            <w:tcBorders>
              <w:top w:val="single" w:sz="8" w:color="4D8ABE"/>
            </w:tcBorders>
          </w:tcPr>
          <w:p>
            <w:pPr>
              <w:jc w:val="right"/>
              <w:ind w:right="252"/>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4D8ABE"/>
            </w:tcBorders>
          </w:tcPr>
          <w:p>
            <w:pPr>
              <w:jc w:val="right"/>
              <w:ind w:right="52"/>
              <w:spacing w:after="0" w:line="155" w:lineRule="exact"/>
              <w:rPr>
                <w:sz w:val="20"/>
                <w:szCs w:val="20"/>
                <w:color w:val="auto"/>
              </w:rPr>
            </w:pPr>
            <w:r>
              <w:rPr>
                <w:rFonts w:ascii="Arial" w:cs="Arial" w:eastAsia="Arial" w:hAnsi="Arial"/>
                <w:sz w:val="14"/>
                <w:szCs w:val="14"/>
                <w:color w:val="auto"/>
              </w:rPr>
              <w:t>1.0</w:t>
            </w:r>
          </w:p>
        </w:tc>
        <w:tc>
          <w:tcPr>
            <w:tcW w:w="460" w:type="dxa"/>
            <w:vAlign w:val="bottom"/>
            <w:tcBorders>
              <w:top w:val="single" w:sz="8" w:color="4D8ABE"/>
            </w:tcBorders>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6.2</w:t>
            </w:r>
          </w:p>
        </w:tc>
        <w:tc>
          <w:tcPr>
            <w:tcW w:w="220" w:type="dxa"/>
            <w:vAlign w:val="bottom"/>
          </w:tcPr>
          <w:p>
            <w:pPr>
              <w:spacing w:after="0"/>
              <w:rPr>
                <w:sz w:val="13"/>
                <w:szCs w:val="13"/>
                <w:color w:val="auto"/>
              </w:rPr>
            </w:pPr>
          </w:p>
        </w:tc>
      </w:tr>
      <w:tr>
        <w:trPr>
          <w:trHeight w:val="165"/>
        </w:trPr>
        <w:tc>
          <w:tcPr>
            <w:tcW w:w="5400" w:type="dxa"/>
            <w:vAlign w:val="bottom"/>
            <w:shd w:val="clear" w:color="auto" w:fill="E6EFFF"/>
          </w:tcPr>
          <w:p>
            <w:pPr>
              <w:spacing w:after="0"/>
              <w:rPr>
                <w:sz w:val="20"/>
                <w:szCs w:val="20"/>
                <w:color w:val="auto"/>
              </w:rPr>
            </w:pPr>
            <w:r>
              <w:rPr>
                <w:rFonts w:ascii="Arial" w:cs="Arial" w:eastAsia="Arial" w:hAnsi="Arial"/>
                <w:sz w:val="14"/>
                <w:szCs w:val="14"/>
                <w:color w:val="auto"/>
              </w:rPr>
              <w:t>2010</w:t>
            </w:r>
          </w:p>
        </w:tc>
        <w:tc>
          <w:tcPr>
            <w:tcW w:w="350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4.0</w:t>
            </w:r>
          </w:p>
        </w:tc>
        <w:tc>
          <w:tcPr>
            <w:tcW w:w="460" w:type="dxa"/>
            <w:vAlign w:val="bottom"/>
            <w:shd w:val="clear" w:color="auto" w:fill="E6EFFF"/>
          </w:tcPr>
          <w:p>
            <w:pPr>
              <w:spacing w:after="0"/>
              <w:rPr>
                <w:sz w:val="14"/>
                <w:szCs w:val="14"/>
                <w:color w:val="auto"/>
              </w:rPr>
            </w:pPr>
          </w:p>
        </w:tc>
        <w:tc>
          <w:tcPr>
            <w:tcW w:w="900" w:type="dxa"/>
            <w:vAlign w:val="bottom"/>
            <w:shd w:val="clear" w:color="auto" w:fill="E6EFFF"/>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E6EFFF"/>
          </w:tcPr>
          <w:p>
            <w:pPr>
              <w:spacing w:after="0"/>
              <w:rPr>
                <w:sz w:val="14"/>
                <w:szCs w:val="14"/>
                <w:color w:val="auto"/>
              </w:rPr>
            </w:pPr>
          </w:p>
        </w:tc>
      </w:tr>
      <w:tr>
        <w:trPr>
          <w:trHeight w:val="164"/>
        </w:trPr>
        <w:tc>
          <w:tcPr>
            <w:tcW w:w="5400" w:type="dxa"/>
            <w:vAlign w:val="bottom"/>
          </w:tcPr>
          <w:p>
            <w:pPr>
              <w:spacing w:after="0"/>
              <w:rPr>
                <w:sz w:val="20"/>
                <w:szCs w:val="20"/>
                <w:color w:val="auto"/>
              </w:rPr>
            </w:pPr>
            <w:r>
              <w:rPr>
                <w:rFonts w:ascii="Arial" w:cs="Arial" w:eastAsia="Arial" w:hAnsi="Arial"/>
                <w:sz w:val="14"/>
                <w:szCs w:val="14"/>
                <w:color w:val="auto"/>
              </w:rPr>
              <w:t>2011</w:t>
            </w:r>
          </w:p>
        </w:tc>
        <w:tc>
          <w:tcPr>
            <w:tcW w:w="350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9.9</w:t>
            </w: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4"/>
                <w:szCs w:val="14"/>
                <w:color w:val="auto"/>
              </w:rPr>
            </w:pPr>
          </w:p>
        </w:tc>
      </w:tr>
      <w:tr>
        <w:trPr>
          <w:trHeight w:val="165"/>
        </w:trPr>
        <w:tc>
          <w:tcPr>
            <w:tcW w:w="5400" w:type="dxa"/>
            <w:vAlign w:val="bottom"/>
            <w:shd w:val="clear" w:color="auto" w:fill="E6EFFF"/>
          </w:tcPr>
          <w:p>
            <w:pPr>
              <w:spacing w:after="0"/>
              <w:rPr>
                <w:sz w:val="20"/>
                <w:szCs w:val="20"/>
                <w:color w:val="auto"/>
              </w:rPr>
            </w:pPr>
            <w:r>
              <w:rPr>
                <w:rFonts w:ascii="Arial" w:cs="Arial" w:eastAsia="Arial" w:hAnsi="Arial"/>
                <w:sz w:val="14"/>
                <w:szCs w:val="14"/>
                <w:color w:val="auto"/>
              </w:rPr>
              <w:t>2012</w:t>
            </w:r>
          </w:p>
        </w:tc>
        <w:tc>
          <w:tcPr>
            <w:tcW w:w="350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9.8</w:t>
            </w:r>
          </w:p>
        </w:tc>
        <w:tc>
          <w:tcPr>
            <w:tcW w:w="460" w:type="dxa"/>
            <w:vAlign w:val="bottom"/>
            <w:shd w:val="clear" w:color="auto" w:fill="E6EFFF"/>
          </w:tcPr>
          <w:p>
            <w:pPr>
              <w:spacing w:after="0"/>
              <w:rPr>
                <w:sz w:val="14"/>
                <w:szCs w:val="14"/>
                <w:color w:val="auto"/>
              </w:rPr>
            </w:pPr>
          </w:p>
        </w:tc>
        <w:tc>
          <w:tcPr>
            <w:tcW w:w="90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1.0</w:t>
            </w:r>
          </w:p>
        </w:tc>
        <w:tc>
          <w:tcPr>
            <w:tcW w:w="220" w:type="dxa"/>
            <w:vAlign w:val="bottom"/>
            <w:shd w:val="clear" w:color="auto" w:fill="E6EFFF"/>
          </w:tcPr>
          <w:p>
            <w:pPr>
              <w:spacing w:after="0"/>
              <w:rPr>
                <w:sz w:val="14"/>
                <w:szCs w:val="14"/>
                <w:color w:val="auto"/>
              </w:rPr>
            </w:pPr>
          </w:p>
        </w:tc>
      </w:tr>
      <w:tr>
        <w:trPr>
          <w:trHeight w:val="164"/>
        </w:trPr>
        <w:tc>
          <w:tcPr>
            <w:tcW w:w="5400" w:type="dxa"/>
            <w:vAlign w:val="bottom"/>
          </w:tcPr>
          <w:p>
            <w:pPr>
              <w:spacing w:after="0"/>
              <w:rPr>
                <w:sz w:val="20"/>
                <w:szCs w:val="20"/>
                <w:color w:val="auto"/>
              </w:rPr>
            </w:pPr>
            <w:r>
              <w:rPr>
                <w:rFonts w:ascii="Arial" w:cs="Arial" w:eastAsia="Arial" w:hAnsi="Arial"/>
                <w:sz w:val="14"/>
                <w:szCs w:val="14"/>
                <w:color w:val="auto"/>
              </w:rPr>
              <w:t>2013</w:t>
            </w:r>
          </w:p>
        </w:tc>
        <w:tc>
          <w:tcPr>
            <w:tcW w:w="350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22.1</w:t>
            </w:r>
          </w:p>
        </w:tc>
        <w:tc>
          <w:tcPr>
            <w:tcW w:w="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4"/>
                <w:szCs w:val="14"/>
                <w:color w:val="auto"/>
              </w:rPr>
            </w:pPr>
          </w:p>
        </w:tc>
      </w:tr>
      <w:tr>
        <w:trPr>
          <w:trHeight w:val="165"/>
        </w:trPr>
        <w:tc>
          <w:tcPr>
            <w:tcW w:w="5400" w:type="dxa"/>
            <w:vAlign w:val="bottom"/>
            <w:shd w:val="clear" w:color="auto" w:fill="E6EFFF"/>
          </w:tcPr>
          <w:p>
            <w:pPr>
              <w:spacing w:after="0"/>
              <w:rPr>
                <w:sz w:val="20"/>
                <w:szCs w:val="20"/>
                <w:color w:val="auto"/>
              </w:rPr>
            </w:pPr>
            <w:r>
              <w:rPr>
                <w:rFonts w:ascii="Arial" w:cs="Arial" w:eastAsia="Arial" w:hAnsi="Arial"/>
                <w:sz w:val="14"/>
                <w:szCs w:val="14"/>
                <w:color w:val="auto"/>
              </w:rPr>
              <w:t>Thereafter</w:t>
            </w:r>
          </w:p>
        </w:tc>
        <w:tc>
          <w:tcPr>
            <w:tcW w:w="350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101.2</w:t>
            </w:r>
          </w:p>
        </w:tc>
        <w:tc>
          <w:tcPr>
            <w:tcW w:w="460" w:type="dxa"/>
            <w:vAlign w:val="bottom"/>
            <w:shd w:val="clear" w:color="auto" w:fill="E6EFFF"/>
          </w:tcPr>
          <w:p>
            <w:pPr>
              <w:spacing w:after="0"/>
              <w:rPr>
                <w:sz w:val="14"/>
                <w:szCs w:val="14"/>
                <w:color w:val="auto"/>
              </w:rPr>
            </w:pPr>
          </w:p>
        </w:tc>
        <w:tc>
          <w:tcPr>
            <w:tcW w:w="900" w:type="dxa"/>
            <w:vAlign w:val="bottom"/>
            <w:shd w:val="clear" w:color="auto" w:fill="E6EFFF"/>
          </w:tcPr>
          <w:p>
            <w:pPr>
              <w:jc w:val="right"/>
              <w:spacing w:after="0"/>
              <w:rPr>
                <w:sz w:val="20"/>
                <w:szCs w:val="20"/>
                <w:color w:val="auto"/>
              </w:rPr>
            </w:pPr>
            <w:r>
              <w:rPr>
                <w:rFonts w:ascii="Arial" w:cs="Arial" w:eastAsia="Arial" w:hAnsi="Arial"/>
                <w:sz w:val="14"/>
                <w:szCs w:val="14"/>
                <w:color w:val="auto"/>
              </w:rPr>
              <w:t>70.9</w:t>
            </w:r>
          </w:p>
        </w:tc>
        <w:tc>
          <w:tcPr>
            <w:tcW w:w="220" w:type="dxa"/>
            <w:vAlign w:val="bottom"/>
            <w:shd w:val="clear" w:color="auto" w:fill="E6EFFF"/>
          </w:tcPr>
          <w:p>
            <w:pPr>
              <w:spacing w:after="0"/>
              <w:rPr>
                <w:sz w:val="14"/>
                <w:szCs w:val="14"/>
                <w:color w:val="auto"/>
              </w:rPr>
            </w:pPr>
          </w:p>
        </w:tc>
      </w:tr>
      <w:tr>
        <w:trPr>
          <w:trHeight w:val="164"/>
        </w:trPr>
        <w:tc>
          <w:tcPr>
            <w:tcW w:w="5400" w:type="dxa"/>
            <w:vAlign w:val="bottom"/>
          </w:tcPr>
          <w:p>
            <w:pPr>
              <w:spacing w:after="0"/>
              <w:rPr>
                <w:sz w:val="20"/>
                <w:szCs w:val="20"/>
                <w:color w:val="auto"/>
              </w:rPr>
            </w:pPr>
            <w:r>
              <w:rPr>
                <w:rFonts w:ascii="Arial" w:cs="Arial" w:eastAsia="Arial" w:hAnsi="Arial"/>
                <w:sz w:val="14"/>
                <w:szCs w:val="14"/>
                <w:color w:val="auto"/>
              </w:rPr>
              <w:t>No expirations</w:t>
            </w:r>
          </w:p>
        </w:tc>
        <w:tc>
          <w:tcPr>
            <w:tcW w:w="350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254.7</w:t>
            </w:r>
          </w:p>
        </w:tc>
        <w:tc>
          <w:tcPr>
            <w:tcW w:w="4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55"/>
        </w:trPr>
        <w:tc>
          <w:tcPr>
            <w:tcW w:w="5400" w:type="dxa"/>
            <w:vAlign w:val="bottom"/>
            <w:tcBorders>
              <w:top w:val="single" w:sz="8" w:color="auto"/>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Total net operating loss carryforwards</w:t>
            </w:r>
          </w:p>
        </w:tc>
        <w:tc>
          <w:tcPr>
            <w:tcW w:w="3500" w:type="dxa"/>
            <w:vAlign w:val="bottom"/>
            <w:tcBorders>
              <w:top w:val="single" w:sz="8" w:color="auto"/>
              <w:bottom w:val="single" w:sz="8" w:color="auto"/>
            </w:tcBorders>
            <w:shd w:val="clear" w:color="auto" w:fill="E6EFFF"/>
          </w:tcPr>
          <w:p>
            <w:pPr>
              <w:jc w:val="right"/>
              <w:ind w:right="252"/>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E6EFFF"/>
          </w:tcPr>
          <w:p>
            <w:pPr>
              <w:jc w:val="right"/>
              <w:ind w:right="52"/>
              <w:spacing w:after="0" w:line="155" w:lineRule="exact"/>
              <w:rPr>
                <w:sz w:val="20"/>
                <w:szCs w:val="20"/>
                <w:color w:val="auto"/>
              </w:rPr>
            </w:pPr>
            <w:r>
              <w:rPr>
                <w:rFonts w:ascii="Arial" w:cs="Arial" w:eastAsia="Arial" w:hAnsi="Arial"/>
                <w:sz w:val="14"/>
                <w:szCs w:val="14"/>
                <w:color w:val="auto"/>
              </w:rPr>
              <w:t>402.7</w:t>
            </w:r>
          </w:p>
        </w:tc>
        <w:tc>
          <w:tcPr>
            <w:tcW w:w="460" w:type="dxa"/>
            <w:vAlign w:val="bottom"/>
            <w:tcBorders>
              <w:top w:val="single" w:sz="8" w:color="auto"/>
              <w:bottom w:val="single" w:sz="8" w:color="auto"/>
            </w:tcBorders>
            <w:shd w:val="clear" w:color="auto" w:fill="E6EFFF"/>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86.5</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recorded a deferred tax asset of $118.3 as of December 31, 2008, for the benefit of these net operating losses. Realization of this asset is dependent on generating sufficient taxable income prior to the expiration of the loss carryforwards. A valuation allowance of $113.0 has been recorded as of December 31, 2008, as management believes that realization of certain net operating loss carryforwards and other deferred tax assets is unlikely.</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Pretax income of non-U.S operations was $470.4, $567.5 and $264.9 in 2008, 2007 and 2006, respectively. We have not provided U.S. income taxes and non-U.S. withholding taxes on $1,003.9 of unremitted earnings of non-U.S. subsidiaries that are considered to be reinvested indefinitely. Deferred taxes are provided on the earnings of non-U.S. subsidiaries that will likely be remitted to the U.S. As of December 31, 2008 and 2007, we have recorded a deferred tax liability of $44.4 and $56.9, respectively, related to non-U.S. earnings that we plan to remit.</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a result of our adoption of FIN 48, we recognized a $4.3 increase in the net liability for unrecognized tax benefits, which was accounted for as an adjustment to retained earnings as of January 1, 2007. As of December 31, 2008, we have gross unrecognized tax benefits related to various tax jurisdictions, including interest and penalties, of $50.9. We have related tax benefits of $12.8, and the net amount of $38.1 would favorably affect the effective tax rate if recognized. There were no material settlements in 2008. We do not expect our unrecognized tax benefits to change significantly over the next 12 months.</w:t>
      </w:r>
    </w:p>
    <w:p>
      <w:pPr>
        <w:spacing w:after="0" w:line="357" w:lineRule="exact"/>
        <w:rPr>
          <w:sz w:val="20"/>
          <w:szCs w:val="20"/>
          <w:color w:val="auto"/>
        </w:rPr>
      </w:pPr>
    </w:p>
    <w:p>
      <w:pPr>
        <w:spacing w:after="0"/>
        <w:tabs>
          <w:tab w:leader="none" w:pos="2840" w:val="left"/>
          <w:tab w:leader="none" w:pos="8580" w:val="left"/>
        </w:tabs>
        <w:rPr>
          <w:sz w:val="20"/>
          <w:szCs w:val="20"/>
          <w:color w:val="auto"/>
        </w:rPr>
      </w:pPr>
      <w:r>
        <w:rPr>
          <w:rFonts w:ascii="Arial" w:cs="Arial" w:eastAsia="Arial" w:hAnsi="Arial"/>
          <w:sz w:val="12"/>
          <w:szCs w:val="12"/>
          <w:b w:val="1"/>
          <w:bCs w:val="1"/>
          <w:color w:val="auto"/>
        </w:rPr>
        <w:t>58</w:t>
      </w:r>
      <w:r>
        <w:rPr>
          <w:sz w:val="20"/>
          <w:szCs w:val="20"/>
          <w:color w:val="auto"/>
        </w:rPr>
        <w:tab/>
      </w:r>
      <w:r>
        <w:rPr>
          <w:rFonts w:ascii="Arial" w:cs="Arial" w:eastAsia="Arial" w:hAnsi="Arial"/>
          <w:sz w:val="12"/>
          <w:szCs w:val="12"/>
          <w:b w:val="1"/>
          <w:bCs w:val="1"/>
          <w:color w:val="939598"/>
        </w:rPr>
        <w:t>Notes To Consolidated Financial Statements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7964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729869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116" w:name="page117"/>
    <w:bookmarkEnd w:id="116"/>
    <w:p>
      <w:pPr>
        <w:jc w:val="both"/>
        <w:ind w:right="40"/>
        <w:spacing w:after="0" w:line="249" w:lineRule="auto"/>
        <w:rPr>
          <w:sz w:val="20"/>
          <w:szCs w:val="20"/>
          <w:color w:val="auto"/>
        </w:rPr>
      </w:pPr>
      <w:r>
        <w:rPr>
          <w:rFonts w:ascii="Arial" w:cs="Arial" w:eastAsia="Arial" w:hAnsi="Arial"/>
          <w:sz w:val="16"/>
          <w:szCs w:val="16"/>
          <w:color w:val="auto"/>
        </w:rPr>
        <w:t>As of December 31, 2007, we had gross unrecognized tax benefits related to various tax jurisdictions, including interest and penalties, of $67.2, of which $3.1 was recorded as a current deferred tax liability. We had related tax benefits of $22.6, and the net amount of $44.6 would have favorably affected the effective tax rate if recognized. There were no material settlements in 2007.</w:t>
      </w:r>
    </w:p>
    <w:p>
      <w:pPr>
        <w:spacing w:after="0" w:line="167"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We recognize accrued interest and penalties related to unrecognized tax benefits in income tax expense. We accrued net interest and penalties of $0.3 during 2008. We have recorded a liability for potential interest and penalties of $1.6 as of December 31, 2008.</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our unrecognized tax benefits during 2008 and 2007: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Borders>
              <w:right w:val="single" w:sz="8" w:color="4D8ABE"/>
            </w:tcBorders>
          </w:tcPr>
          <w:p>
            <w:pPr>
              <w:spacing w:after="0"/>
              <w:rPr>
                <w:sz w:val="15"/>
                <w:szCs w:val="15"/>
                <w:color w:val="auto"/>
              </w:rPr>
            </w:pPr>
          </w:p>
        </w:tc>
        <w:tc>
          <w:tcPr>
            <w:tcW w:w="520" w:type="dxa"/>
            <w:vAlign w:val="bottom"/>
            <w:shd w:val="clear" w:color="auto" w:fill="4D8ABE"/>
          </w:tcPr>
          <w:p>
            <w:pPr>
              <w:spacing w:after="0"/>
              <w:rPr>
                <w:sz w:val="15"/>
                <w:szCs w:val="15"/>
                <w:color w:val="auto"/>
              </w:rPr>
            </w:pPr>
          </w:p>
        </w:tc>
        <w:tc>
          <w:tcPr>
            <w:tcW w:w="96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4D8ABE"/>
              </w:rPr>
              <w:t>2007</w:t>
            </w:r>
          </w:p>
        </w:tc>
      </w:tr>
      <w:tr>
        <w:trPr>
          <w:trHeight w:val="155"/>
        </w:trPr>
        <w:tc>
          <w:tcPr>
            <w:tcW w:w="8520" w:type="dxa"/>
            <w:vAlign w:val="bottom"/>
            <w:tcBorders>
              <w:top w:val="single" w:sz="8" w:color="4D8ABE"/>
              <w:right w:val="single" w:sz="8" w:color="4D8ABE"/>
            </w:tcBorders>
          </w:tcPr>
          <w:p>
            <w:pPr>
              <w:spacing w:after="0" w:line="155" w:lineRule="exact"/>
              <w:rPr>
                <w:sz w:val="20"/>
                <w:szCs w:val="20"/>
                <w:color w:val="auto"/>
              </w:rPr>
            </w:pPr>
            <w:r>
              <w:rPr>
                <w:rFonts w:ascii="Arial" w:cs="Arial" w:eastAsia="Arial" w:hAnsi="Arial"/>
                <w:sz w:val="14"/>
                <w:szCs w:val="14"/>
                <w:color w:val="auto"/>
              </w:rPr>
              <w:t>Gross unrecognized tax benefits, beginning of year</w:t>
            </w:r>
          </w:p>
        </w:tc>
        <w:tc>
          <w:tcPr>
            <w:tcW w:w="520" w:type="dxa"/>
            <w:vAlign w:val="bottom"/>
            <w:tcBorders>
              <w:top w:val="single" w:sz="8" w:color="4D8ABE"/>
            </w:tcBorders>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4D8ABE"/>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60.5</w:t>
            </w:r>
          </w:p>
        </w:tc>
        <w:tc>
          <w:tcPr>
            <w:tcW w:w="520" w:type="dxa"/>
            <w:vAlign w:val="bottom"/>
            <w:tcBorders>
              <w:top w:val="single" w:sz="8" w:color="4D8ABE"/>
            </w:tcBorders>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60.9</w:t>
            </w:r>
          </w:p>
        </w:tc>
        <w:tc>
          <w:tcPr>
            <w:tcW w:w="220" w:type="dxa"/>
            <w:vAlign w:val="bottom"/>
          </w:tcPr>
          <w:p>
            <w:pPr>
              <w:spacing w:after="0"/>
              <w:rPr>
                <w:sz w:val="13"/>
                <w:szCs w:val="13"/>
                <w:color w:val="auto"/>
              </w:rPr>
            </w:pP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Increases in prior year tax positions</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1.2</w:t>
            </w:r>
          </w:p>
        </w:tc>
        <w:tc>
          <w:tcPr>
            <w:tcW w:w="520" w:type="dxa"/>
            <w:vAlign w:val="bottom"/>
            <w:shd w:val="clear" w:color="auto" w:fill="E6EFFF"/>
          </w:tcPr>
          <w:p>
            <w:pPr>
              <w:spacing w:after="0"/>
              <w:rPr>
                <w:sz w:val="14"/>
                <w:szCs w:val="14"/>
                <w:color w:val="auto"/>
              </w:rPr>
            </w:pPr>
          </w:p>
        </w:tc>
        <w:tc>
          <w:tcPr>
            <w:tcW w:w="9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5.7</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Decreases in prior year tax positions</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(5.9)</w:t>
            </w:r>
          </w:p>
        </w:tc>
        <w:tc>
          <w:tcPr>
            <w:tcW w:w="5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(10.0)</w:t>
            </w: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Increases in current year tax positions</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7.0</w:t>
            </w:r>
          </w:p>
        </w:tc>
        <w:tc>
          <w:tcPr>
            <w:tcW w:w="520" w:type="dxa"/>
            <w:vAlign w:val="bottom"/>
            <w:shd w:val="clear" w:color="auto" w:fill="E6EFFF"/>
          </w:tcPr>
          <w:p>
            <w:pPr>
              <w:spacing w:after="0"/>
              <w:rPr>
                <w:sz w:val="14"/>
                <w:szCs w:val="14"/>
                <w:color w:val="auto"/>
              </w:rPr>
            </w:pPr>
          </w:p>
        </w:tc>
        <w:tc>
          <w:tcPr>
            <w:tcW w:w="9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8.4</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Expiration of statute of limitations for the assessment of taxes</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(13.5)</w:t>
            </w:r>
          </w:p>
        </w:tc>
        <w:tc>
          <w:tcPr>
            <w:tcW w:w="5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(4.5)</w:t>
            </w:r>
          </w:p>
        </w:tc>
      </w:tr>
      <w:tr>
        <w:trPr>
          <w:trHeight w:val="155"/>
        </w:trPr>
        <w:tc>
          <w:tcPr>
            <w:tcW w:w="8520" w:type="dxa"/>
            <w:vAlign w:val="bottom"/>
            <w:tcBorders>
              <w:top w:val="single" w:sz="8" w:color="auto"/>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Gross unrecognized tax benefits, end of year</w:t>
            </w:r>
          </w:p>
        </w:tc>
        <w:tc>
          <w:tcPr>
            <w:tcW w:w="520" w:type="dxa"/>
            <w:vAlign w:val="bottom"/>
            <w:tcBorders>
              <w:top w:val="single" w:sz="8" w:color="auto"/>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49.3</w:t>
            </w:r>
          </w:p>
        </w:tc>
        <w:tc>
          <w:tcPr>
            <w:tcW w:w="520" w:type="dxa"/>
            <w:vAlign w:val="bottom"/>
            <w:tcBorders>
              <w:top w:val="single" w:sz="8" w:color="auto"/>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60.5</w:t>
            </w:r>
          </w:p>
        </w:tc>
        <w:tc>
          <w:tcPr>
            <w:tcW w:w="220" w:type="dxa"/>
            <w:vAlign w:val="bottom"/>
            <w:tcBorders>
              <w:top w:val="single" w:sz="8" w:color="E6EFFF"/>
            </w:tcBorders>
            <w:shd w:val="clear" w:color="auto" w:fill="E6EFFF"/>
          </w:tcPr>
          <w:p>
            <w:pPr>
              <w:spacing w:after="0"/>
              <w:rPr>
                <w:sz w:val="13"/>
                <w:szCs w:val="13"/>
                <w:color w:val="auto"/>
              </w:rPr>
            </w:pPr>
          </w:p>
        </w:tc>
      </w:tr>
      <w:tr>
        <w:trPr>
          <w:trHeight w:val="155"/>
        </w:trPr>
        <w:tc>
          <w:tcPr>
            <w:tcW w:w="8520" w:type="dxa"/>
            <w:vAlign w:val="bottom"/>
            <w:tcBorders>
              <w:bottom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Potential interest and penalties</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1.6</w:t>
            </w:r>
          </w:p>
        </w:tc>
        <w:tc>
          <w:tcPr>
            <w:tcW w:w="5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w:t>
            </w:r>
          </w:p>
        </w:tc>
        <w:tc>
          <w:tcPr>
            <w:tcW w:w="220" w:type="dxa"/>
            <w:vAlign w:val="bottom"/>
            <w:tcBorders>
              <w:bottom w:val="single" w:sz="8" w:color="E6EFFF"/>
            </w:tcBorders>
          </w:tcPr>
          <w:p>
            <w:pPr>
              <w:spacing w:after="0"/>
              <w:rPr>
                <w:sz w:val="13"/>
                <w:szCs w:val="13"/>
                <w:color w:val="auto"/>
              </w:rPr>
            </w:pPr>
          </w:p>
        </w:tc>
      </w:tr>
      <w:tr>
        <w:trPr>
          <w:trHeight w:val="155"/>
        </w:trPr>
        <w:tc>
          <w:tcPr>
            <w:tcW w:w="8520" w:type="dxa"/>
            <w:vAlign w:val="bottom"/>
            <w:tcBorders>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Balance, end of year</w:t>
            </w:r>
          </w:p>
        </w:tc>
        <w:tc>
          <w:tcPr>
            <w:tcW w:w="52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50.9</w:t>
            </w:r>
          </w:p>
        </w:tc>
        <w:tc>
          <w:tcPr>
            <w:tcW w:w="52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67.2</w:t>
            </w:r>
          </w:p>
        </w:tc>
        <w:tc>
          <w:tcPr>
            <w:tcW w:w="220" w:type="dxa"/>
            <w:vAlign w:val="bottom"/>
            <w:tcBorders>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conduct business globally in 82 countries and territories. Accordingly, we are routinely audited by the various tax jurisdictions in which we operate. Generally, the tax years that remain subject to examination are 2004 through 2008 for our major operations in the U.S., France, the U.K., Germany, Italy and Japan. As of December 31, 2008, we are subject to tax audits in France, the U.K. and the U.S., and we believe that resolution of such audits will not have a material impact on earnings.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06.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Accounts Receivable Securitization</w:t>
      </w:r>
    </w:p>
    <w:p>
      <w:pPr>
        <w:spacing w:after="0" w:line="186"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We and certain of our U.S. subsidiaries have an agreement (the “Receivables Facility”) with a financial institution whereby we may transfer on a continuous basis an interest in all eligible trade accounts receivable. Pursuant to the Receivables Facility, we formed Ironwood Capital Corporation (“ICC”), a wholly owned, special purpose, bankruptcy-remote subsidiary that is fully consolidated in our financial statements. ICC was formed for the sole purpose of transferring receivables that we and certain of our subsidiaries generate. Under the Receivables Facility, we and certain of our subsidiaries, irrevocably and without recourse, may transfer all of our accounts receivable to ICC. ICC, in turn, subject to certain conditions, may from time to time transfer to a third party an undivided interest in these receivables and is permitted to receive advances of up to $100.0 for the transfer of such undivided interest.</w:t>
      </w:r>
    </w:p>
    <w:p>
      <w:pPr>
        <w:spacing w:after="0" w:line="172"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Under the Receivables Facility, ICC has the ability to repurchase, in full or in part, the accounts receivable it transferred to the third party. Therefore, transfers made do not qualify for sale accounting, and accordingly, the receivables transferred to the third party remain on our consolidated balance sheet with the corresponding advance being recorded as debt and amounts charged on outstanding borrowings during the year are recorded as interest expense.</w:t>
      </w:r>
    </w:p>
    <w:p>
      <w:pPr>
        <w:spacing w:after="0" w:line="16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July 2008, we amended the facility and elected to reduce the program’s amount from $200.0 to $100.0. With this amendment, the liquidity fee increased to 70 basis points (0.70%) on the total program amount, with an additional increase to 95 basis points (0.95%) if the average program usage falls below a minimum level, the program fee increased to 30 basis points (0.30%) and the maturity was extended to July 2009.</w:t>
      </w:r>
    </w:p>
    <w:p>
      <w:pPr>
        <w:spacing w:after="0" w:line="16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The interest rate for the Receivables Facility is variable and tied to A1+/P1 rated commercial paper. As of December 31, 2008, there were borrowings of $64.0 outstanding under this program which are recorded as current maturities of long-term debt. For the year ended December 31, 2008, the average interest rate was 3.1%, and we made a total interest payments of $0.9. There were no borrowings outstanding as of December 31, 2007.</w:t>
      </w:r>
    </w:p>
    <w:p>
      <w:pPr>
        <w:spacing w:after="0" w:line="16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Under this amended agreement, if the accounting or regulatory standards change such that our bank is required to consolidate the activities under the facility, then the total fee for this program increases to Libor plus 500 basis points (Libor + 5.0%). Under the previous agreement, we had a liquidity fee of 12.5 basis points (0.125%) and a program fee of 15 basis points (0.15%).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86"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Fees associated with the amounts advanced were $0.9, $0.3 and $0.4 in 2008, 2007 and 2006, respectively, and were recorded as Other Expense in the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07.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Goodwill</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carrying value of goodwill by reportable segment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4D8ABE"/>
              </w:rPr>
              <w:t>United</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4D8ABE"/>
              </w:rPr>
              <w:t>Other</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4D8ABE"/>
              </w:rPr>
              <w:t>Jefferson</w:t>
            </w:r>
          </w:p>
        </w:tc>
        <w:tc>
          <w:tcPr>
            <w:tcW w:w="20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4D8ABE"/>
              </w:rPr>
              <w:t>Right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72"/>
              <w:spacing w:after="0"/>
              <w:rPr>
                <w:sz w:val="20"/>
                <w:szCs w:val="20"/>
                <w:color w:val="auto"/>
              </w:rPr>
            </w:pPr>
            <w:r>
              <w:rPr>
                <w:rFonts w:ascii="Arial" w:cs="Arial" w:eastAsia="Arial" w:hAnsi="Arial"/>
                <w:sz w:val="13"/>
                <w:szCs w:val="13"/>
                <w:color w:val="4D8ABE"/>
              </w:rPr>
              <w:t>Other</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4D8ABE"/>
              </w:rPr>
              <w:t>States</w:t>
            </w:r>
          </w:p>
        </w:tc>
        <w:tc>
          <w:tcPr>
            <w:tcW w:w="340" w:type="dxa"/>
            <w:vAlign w:val="bottom"/>
          </w:tcPr>
          <w:p>
            <w:pPr>
              <w:spacing w:after="0"/>
              <w:rPr>
                <w:sz w:val="13"/>
                <w:szCs w:val="13"/>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4D8ABE"/>
              </w:rPr>
              <w:t>France</w:t>
            </w:r>
          </w:p>
        </w:tc>
        <w:tc>
          <w:tcPr>
            <w:tcW w:w="340" w:type="dxa"/>
            <w:vAlign w:val="bottom"/>
          </w:tcPr>
          <w:p>
            <w:pPr>
              <w:spacing w:after="0"/>
              <w:rPr>
                <w:sz w:val="13"/>
                <w:szCs w:val="13"/>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4D8ABE"/>
              </w:rPr>
              <w:t>EMEA</w:t>
            </w:r>
          </w:p>
        </w:tc>
        <w:tc>
          <w:tcPr>
            <w:tcW w:w="400" w:type="dxa"/>
            <w:vAlign w:val="bottom"/>
          </w:tcPr>
          <w:p>
            <w:pPr>
              <w:spacing w:after="0"/>
              <w:rPr>
                <w:sz w:val="13"/>
                <w:szCs w:val="13"/>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4D8ABE"/>
              </w:rPr>
              <w:t>Italy</w:t>
            </w:r>
          </w:p>
        </w:tc>
        <w:tc>
          <w:tcPr>
            <w:tcW w:w="260" w:type="dxa"/>
            <w:vAlign w:val="bottom"/>
          </w:tcPr>
          <w:p>
            <w:pPr>
              <w:spacing w:after="0"/>
              <w:rPr>
                <w:sz w:val="13"/>
                <w:szCs w:val="13"/>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4D8ABE"/>
              </w:rPr>
              <w:t>Wells</w:t>
            </w:r>
          </w:p>
        </w:tc>
        <w:tc>
          <w:tcPr>
            <w:tcW w:w="20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4D8ABE"/>
              </w:rPr>
              <w:t>Management</w:t>
            </w:r>
          </w:p>
        </w:tc>
        <w:tc>
          <w:tcPr>
            <w:tcW w:w="200" w:type="dxa"/>
            <w:vAlign w:val="bottom"/>
          </w:tcPr>
          <w:p>
            <w:pPr>
              <w:spacing w:after="0"/>
              <w:rPr>
                <w:sz w:val="13"/>
                <w:szCs w:val="13"/>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3"/>
                <w:szCs w:val="13"/>
                <w:color w:val="4D8ABE"/>
              </w:rPr>
              <w:t>Operations</w:t>
            </w:r>
          </w:p>
        </w:tc>
        <w:tc>
          <w:tcPr>
            <w:tcW w:w="1080" w:type="dxa"/>
            <w:vAlign w:val="bottom"/>
            <w:gridSpan w:val="3"/>
          </w:tcPr>
          <w:p>
            <w:pPr>
              <w:jc w:val="right"/>
              <w:ind w:right="132"/>
              <w:spacing w:after="0"/>
              <w:rPr>
                <w:sz w:val="20"/>
                <w:szCs w:val="20"/>
                <w:color w:val="auto"/>
              </w:rPr>
            </w:pPr>
            <w:r>
              <w:rPr>
                <w:rFonts w:ascii="Arial" w:cs="Arial" w:eastAsia="Arial" w:hAnsi="Arial"/>
                <w:sz w:val="13"/>
                <w:szCs w:val="13"/>
                <w:color w:val="4D8ABE"/>
              </w:rPr>
              <w:t>Corporate</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4D8ABE"/>
              </w:rPr>
              <w:t>Total</w:t>
            </w:r>
          </w:p>
        </w:tc>
        <w:tc>
          <w:tcPr>
            <w:tcW w:w="0" w:type="dxa"/>
            <w:vAlign w:val="bottom"/>
          </w:tcPr>
          <w:p>
            <w:pPr>
              <w:spacing w:after="0"/>
              <w:rPr>
                <w:sz w:val="1"/>
                <w:szCs w:val="1"/>
                <w:color w:val="auto"/>
              </w:rPr>
            </w:pPr>
          </w:p>
        </w:tc>
      </w:tr>
      <w:tr>
        <w:trPr>
          <w:trHeight w:val="155"/>
        </w:trPr>
        <w:tc>
          <w:tcPr>
            <w:tcW w:w="2080" w:type="dxa"/>
            <w:vAlign w:val="bottom"/>
            <w:tcBorders>
              <w:top w:val="single" w:sz="8" w:color="4D8ABE"/>
            </w:tcBorders>
          </w:tcPr>
          <w:p>
            <w:pPr>
              <w:spacing w:after="0"/>
              <w:rPr>
                <w:sz w:val="20"/>
                <w:szCs w:val="20"/>
                <w:color w:val="auto"/>
              </w:rPr>
            </w:pPr>
            <w:r>
              <w:rPr>
                <w:rFonts w:ascii="Arial" w:cs="Arial" w:eastAsia="Arial" w:hAnsi="Arial"/>
                <w:sz w:val="13"/>
                <w:szCs w:val="13"/>
                <w:color w:val="auto"/>
              </w:rPr>
              <w:t>Balance, December 31, 2006</w:t>
            </w:r>
          </w:p>
        </w:tc>
        <w:tc>
          <w:tcPr>
            <w:tcW w:w="380" w:type="dxa"/>
            <w:vAlign w:val="bottom"/>
            <w:tcBorders>
              <w:top w:val="single" w:sz="8" w:color="4D8ABE"/>
            </w:tcBorders>
          </w:tcPr>
          <w:p>
            <w:pPr>
              <w:jc w:val="right"/>
              <w:ind w:right="113"/>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4D8ABE"/>
            </w:tcBorders>
          </w:tcPr>
          <w:p>
            <w:pPr>
              <w:jc w:val="right"/>
              <w:ind w:right="53"/>
              <w:spacing w:after="0" w:line="155" w:lineRule="exact"/>
              <w:rPr>
                <w:sz w:val="20"/>
                <w:szCs w:val="20"/>
                <w:color w:val="auto"/>
              </w:rPr>
            </w:pPr>
            <w:r>
              <w:rPr>
                <w:rFonts w:ascii="Arial" w:cs="Arial" w:eastAsia="Arial" w:hAnsi="Arial"/>
                <w:sz w:val="14"/>
                <w:szCs w:val="14"/>
                <w:color w:val="auto"/>
              </w:rPr>
              <w:t>81.5</w:t>
            </w:r>
          </w:p>
        </w:tc>
        <w:tc>
          <w:tcPr>
            <w:tcW w:w="340" w:type="dxa"/>
            <w:vAlign w:val="bottom"/>
            <w:tcBorders>
              <w:top w:val="single" w:sz="8" w:color="4D8ABE"/>
            </w:tcBorders>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4D8ABE"/>
            </w:tcBorders>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4D8ABE"/>
            </w:tcBorders>
          </w:tcPr>
          <w:p>
            <w:pPr>
              <w:jc w:val="right"/>
              <w:ind w:right="9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4D8ABE"/>
            </w:tcBorders>
          </w:tcPr>
          <w:p>
            <w:pPr>
              <w:jc w:val="right"/>
              <w:ind w:right="73"/>
              <w:spacing w:after="0"/>
              <w:rPr>
                <w:sz w:val="20"/>
                <w:szCs w:val="20"/>
                <w:color w:val="auto"/>
              </w:rPr>
            </w:pPr>
            <w:r>
              <w:rPr>
                <w:rFonts w:ascii="Arial" w:cs="Arial" w:eastAsia="Arial" w:hAnsi="Arial"/>
                <w:sz w:val="13"/>
                <w:szCs w:val="13"/>
                <w:color w:val="auto"/>
              </w:rPr>
              <w:t>216.8</w:t>
            </w:r>
          </w:p>
        </w:tc>
        <w:tc>
          <w:tcPr>
            <w:tcW w:w="400" w:type="dxa"/>
            <w:vAlign w:val="bottom"/>
            <w:tcBorders>
              <w:top w:val="single" w:sz="8" w:color="4D8ABE"/>
            </w:tcBorders>
          </w:tcPr>
          <w:p>
            <w:pPr>
              <w:jc w:val="right"/>
              <w:ind w:right="173"/>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4D8ABE"/>
            </w:tcBorders>
          </w:tcPr>
          <w:p>
            <w:pPr>
              <w:jc w:val="right"/>
              <w:ind w:right="53"/>
              <w:spacing w:after="0"/>
              <w:rPr>
                <w:sz w:val="20"/>
                <w:szCs w:val="20"/>
                <w:color w:val="auto"/>
              </w:rPr>
            </w:pPr>
            <w:r>
              <w:rPr>
                <w:rFonts w:ascii="Arial" w:cs="Arial" w:eastAsia="Arial" w:hAnsi="Arial"/>
                <w:sz w:val="13"/>
                <w:szCs w:val="13"/>
                <w:color w:val="auto"/>
              </w:rPr>
              <w:t>1.7</w:t>
            </w:r>
          </w:p>
        </w:tc>
        <w:tc>
          <w:tcPr>
            <w:tcW w:w="260" w:type="dxa"/>
            <w:vAlign w:val="bottom"/>
            <w:tcBorders>
              <w:top w:val="single" w:sz="8" w:color="4D8ABE"/>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4D8ABE"/>
            </w:tcBorders>
          </w:tcPr>
          <w:p>
            <w:pPr>
              <w:jc w:val="right"/>
              <w:ind w:right="53"/>
              <w:spacing w:after="0"/>
              <w:rPr>
                <w:sz w:val="20"/>
                <w:szCs w:val="20"/>
                <w:color w:val="auto"/>
              </w:rPr>
            </w:pPr>
            <w:r>
              <w:rPr>
                <w:rFonts w:ascii="Arial" w:cs="Arial" w:eastAsia="Arial" w:hAnsi="Arial"/>
                <w:sz w:val="13"/>
                <w:szCs w:val="13"/>
                <w:color w:val="auto"/>
              </w:rPr>
              <w:t>0.6</w:t>
            </w:r>
          </w:p>
        </w:tc>
        <w:tc>
          <w:tcPr>
            <w:tcW w:w="200" w:type="dxa"/>
            <w:vAlign w:val="bottom"/>
            <w:tcBorders>
              <w:top w:val="single" w:sz="8" w:color="4D8ABE"/>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4D8ABE"/>
            </w:tcBorders>
          </w:tcPr>
          <w:p>
            <w:pPr>
              <w:jc w:val="right"/>
              <w:ind w:right="73"/>
              <w:spacing w:after="0"/>
              <w:rPr>
                <w:sz w:val="20"/>
                <w:szCs w:val="20"/>
                <w:color w:val="auto"/>
              </w:rPr>
            </w:pPr>
            <w:r>
              <w:rPr>
                <w:rFonts w:ascii="Arial" w:cs="Arial" w:eastAsia="Arial" w:hAnsi="Arial"/>
                <w:sz w:val="13"/>
                <w:szCs w:val="13"/>
                <w:color w:val="auto"/>
              </w:rPr>
              <w:t>143.1</w:t>
            </w:r>
          </w:p>
        </w:tc>
        <w:tc>
          <w:tcPr>
            <w:tcW w:w="200" w:type="dxa"/>
            <w:vAlign w:val="bottom"/>
            <w:tcBorders>
              <w:top w:val="single" w:sz="8" w:color="4D8ABE"/>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4D8ABE"/>
            </w:tcBorders>
            <w:gridSpan w:val="2"/>
          </w:tcPr>
          <w:p>
            <w:pPr>
              <w:jc w:val="right"/>
              <w:ind w:right="72"/>
              <w:spacing w:after="0"/>
              <w:rPr>
                <w:sz w:val="20"/>
                <w:szCs w:val="20"/>
                <w:color w:val="auto"/>
              </w:rPr>
            </w:pPr>
            <w:r>
              <w:rPr>
                <w:rFonts w:ascii="Arial" w:cs="Arial" w:eastAsia="Arial" w:hAnsi="Arial"/>
                <w:sz w:val="13"/>
                <w:szCs w:val="13"/>
                <w:color w:val="auto"/>
              </w:rPr>
              <w:t>49.1</w:t>
            </w:r>
          </w:p>
        </w:tc>
        <w:tc>
          <w:tcPr>
            <w:tcW w:w="460" w:type="dxa"/>
            <w:vAlign w:val="bottom"/>
            <w:tcBorders>
              <w:top w:val="single" w:sz="8" w:color="4D8ABE"/>
            </w:tcBorders>
          </w:tcPr>
          <w:p>
            <w:pPr>
              <w:jc w:val="right"/>
              <w:ind w:right="232"/>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4D8ABE"/>
            </w:tcBorders>
            <w:gridSpan w:val="2"/>
          </w:tcPr>
          <w:p>
            <w:pPr>
              <w:jc w:val="right"/>
              <w:ind w:right="132"/>
              <w:spacing w:after="0"/>
              <w:rPr>
                <w:sz w:val="20"/>
                <w:szCs w:val="20"/>
                <w:color w:val="auto"/>
              </w:rPr>
            </w:pPr>
            <w:r>
              <w:rPr>
                <w:rFonts w:ascii="Arial" w:cs="Arial" w:eastAsia="Arial" w:hAnsi="Arial"/>
                <w:sz w:val="13"/>
                <w:szCs w:val="13"/>
                <w:color w:val="auto"/>
              </w:rPr>
              <w:t>479.8</w:t>
            </w:r>
          </w:p>
        </w:tc>
        <w:tc>
          <w:tcPr>
            <w:tcW w:w="240" w:type="dxa"/>
            <w:vAlign w:val="bottom"/>
            <w:tcBorders>
              <w:top w:val="single" w:sz="8" w:color="4D8ABE"/>
            </w:tcBorders>
          </w:tcPr>
          <w:p>
            <w:pPr>
              <w:jc w:val="right"/>
              <w:ind w:right="72"/>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4D8ABE"/>
            </w:tcBorders>
          </w:tcPr>
          <w:p>
            <w:pPr>
              <w:jc w:val="right"/>
              <w:spacing w:after="0"/>
              <w:rPr>
                <w:sz w:val="20"/>
                <w:szCs w:val="20"/>
                <w:color w:val="auto"/>
              </w:rPr>
            </w:pPr>
            <w:r>
              <w:rPr>
                <w:rFonts w:ascii="Arial" w:cs="Arial" w:eastAsia="Arial" w:hAnsi="Arial"/>
                <w:sz w:val="13"/>
                <w:szCs w:val="13"/>
                <w:color w:val="auto"/>
              </w:rPr>
              <w:t>972.6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80" w:type="dxa"/>
            <w:vAlign w:val="bottom"/>
            <w:shd w:val="clear" w:color="auto" w:fill="E6EFFF"/>
          </w:tcPr>
          <w:p>
            <w:pPr>
              <w:spacing w:after="0"/>
              <w:rPr>
                <w:sz w:val="20"/>
                <w:szCs w:val="20"/>
                <w:color w:val="auto"/>
              </w:rPr>
            </w:pPr>
            <w:r>
              <w:rPr>
                <w:rFonts w:ascii="Arial" w:cs="Arial" w:eastAsia="Arial" w:hAnsi="Arial"/>
                <w:sz w:val="13"/>
                <w:szCs w:val="13"/>
                <w:color w:val="auto"/>
              </w:rPr>
              <w:t>Goodwill acquired</w:t>
            </w:r>
          </w:p>
        </w:tc>
        <w:tc>
          <w:tcPr>
            <w:tcW w:w="380" w:type="dxa"/>
            <w:vAlign w:val="bottom"/>
            <w:shd w:val="clear" w:color="auto" w:fill="E6EFFF"/>
          </w:tcPr>
          <w:p>
            <w:pPr>
              <w:spacing w:after="0"/>
              <w:rPr>
                <w:sz w:val="14"/>
                <w:szCs w:val="14"/>
                <w:color w:val="auto"/>
              </w:rPr>
            </w:pPr>
          </w:p>
        </w:tc>
        <w:tc>
          <w:tcPr>
            <w:tcW w:w="6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34.2</w:t>
            </w:r>
          </w:p>
        </w:tc>
        <w:tc>
          <w:tcPr>
            <w:tcW w:w="340" w:type="dxa"/>
            <w:vAlign w:val="bottom"/>
            <w:shd w:val="clear" w:color="auto" w:fill="E6EFFF"/>
          </w:tcPr>
          <w:p>
            <w:pPr>
              <w:spacing w:after="0"/>
              <w:rPr>
                <w:sz w:val="14"/>
                <w:szCs w:val="14"/>
                <w:color w:val="auto"/>
              </w:rPr>
            </w:pPr>
          </w:p>
        </w:tc>
        <w:tc>
          <w:tcPr>
            <w:tcW w:w="68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0.2</w:t>
            </w:r>
          </w:p>
        </w:tc>
        <w:tc>
          <w:tcPr>
            <w:tcW w:w="340" w:type="dxa"/>
            <w:vAlign w:val="bottom"/>
            <w:shd w:val="clear" w:color="auto" w:fill="E6EFFF"/>
          </w:tcPr>
          <w:p>
            <w:pPr>
              <w:spacing w:after="0"/>
              <w:rPr>
                <w:sz w:val="14"/>
                <w:szCs w:val="14"/>
                <w:color w:val="auto"/>
              </w:rPr>
            </w:pPr>
          </w:p>
        </w:tc>
        <w:tc>
          <w:tcPr>
            <w:tcW w:w="70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2.0</w:t>
            </w:r>
          </w:p>
        </w:tc>
        <w:tc>
          <w:tcPr>
            <w:tcW w:w="400" w:type="dxa"/>
            <w:vAlign w:val="bottom"/>
            <w:shd w:val="clear" w:color="auto" w:fill="E6EFFF"/>
          </w:tcPr>
          <w:p>
            <w:pPr>
              <w:spacing w:after="0"/>
              <w:rPr>
                <w:sz w:val="14"/>
                <w:szCs w:val="14"/>
                <w:color w:val="auto"/>
              </w:rPr>
            </w:pPr>
          </w:p>
        </w:tc>
        <w:tc>
          <w:tcPr>
            <w:tcW w:w="60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w:t>
            </w:r>
          </w:p>
        </w:tc>
        <w:tc>
          <w:tcPr>
            <w:tcW w:w="260" w:type="dxa"/>
            <w:vAlign w:val="bottom"/>
            <w:shd w:val="clear" w:color="auto" w:fill="E6EFFF"/>
          </w:tcPr>
          <w:p>
            <w:pPr>
              <w:spacing w:after="0"/>
              <w:rPr>
                <w:sz w:val="14"/>
                <w:szCs w:val="14"/>
                <w:color w:val="auto"/>
              </w:rPr>
            </w:pPr>
          </w:p>
        </w:tc>
        <w:tc>
          <w:tcPr>
            <w:tcW w:w="74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7.1</w:t>
            </w:r>
          </w:p>
        </w:tc>
        <w:tc>
          <w:tcPr>
            <w:tcW w:w="200" w:type="dxa"/>
            <w:vAlign w:val="bottom"/>
            <w:tcBorders>
              <w:right w:val="single" w:sz="8" w:color="E6EFFF"/>
            </w:tcBorders>
            <w:shd w:val="clear" w:color="auto" w:fill="E6EFFF"/>
          </w:tcPr>
          <w:p>
            <w:pPr>
              <w:spacing w:after="0"/>
              <w:rPr>
                <w:sz w:val="14"/>
                <w:szCs w:val="14"/>
                <w:color w:val="auto"/>
              </w:rPr>
            </w:pPr>
          </w:p>
        </w:tc>
        <w:tc>
          <w:tcPr>
            <w:tcW w:w="820" w:type="dxa"/>
            <w:vAlign w:val="bottom"/>
            <w:gridSpan w:val="2"/>
            <w:shd w:val="clear" w:color="auto" w:fill="E6EFFF"/>
          </w:tcPr>
          <w:p>
            <w:pPr>
              <w:jc w:val="right"/>
              <w:ind w:right="72"/>
              <w:spacing w:after="0"/>
              <w:rPr>
                <w:sz w:val="20"/>
                <w:szCs w:val="20"/>
                <w:color w:val="auto"/>
              </w:rPr>
            </w:pPr>
            <w:r>
              <w:rPr>
                <w:rFonts w:ascii="Arial" w:cs="Arial" w:eastAsia="Arial" w:hAnsi="Arial"/>
                <w:sz w:val="13"/>
                <w:szCs w:val="13"/>
                <w:color w:val="auto"/>
              </w:rPr>
              <w:t>14.5</w:t>
            </w:r>
          </w:p>
        </w:tc>
        <w:tc>
          <w:tcPr>
            <w:tcW w:w="460" w:type="dxa"/>
            <w:vAlign w:val="bottom"/>
            <w:shd w:val="clear" w:color="auto" w:fill="E6EFFF"/>
          </w:tcPr>
          <w:p>
            <w:pPr>
              <w:spacing w:after="0"/>
              <w:rPr>
                <w:sz w:val="14"/>
                <w:szCs w:val="14"/>
                <w:color w:val="auto"/>
              </w:rPr>
            </w:pPr>
          </w:p>
        </w:tc>
        <w:tc>
          <w:tcPr>
            <w:tcW w:w="620" w:type="dxa"/>
            <w:vAlign w:val="bottom"/>
            <w:gridSpan w:val="2"/>
            <w:shd w:val="clear" w:color="auto" w:fill="E6EFFF"/>
          </w:tcPr>
          <w:p>
            <w:pPr>
              <w:jc w:val="right"/>
              <w:ind w:right="132"/>
              <w:spacing w:after="0"/>
              <w:rPr>
                <w:sz w:val="20"/>
                <w:szCs w:val="20"/>
                <w:color w:val="auto"/>
              </w:rPr>
            </w:pPr>
            <w:r>
              <w:rPr>
                <w:rFonts w:ascii="Arial" w:cs="Arial" w:eastAsia="Arial" w:hAnsi="Arial"/>
                <w:sz w:val="13"/>
                <w:szCs w:val="13"/>
                <w:color w:val="auto"/>
              </w:rPr>
              <w:t>3.6</w:t>
            </w:r>
          </w:p>
        </w:tc>
        <w:tc>
          <w:tcPr>
            <w:tcW w:w="240" w:type="dxa"/>
            <w:vAlign w:val="bottom"/>
            <w:shd w:val="clear" w:color="auto" w:fill="E6EFFF"/>
          </w:tcPr>
          <w:p>
            <w:pPr>
              <w:spacing w:after="0"/>
              <w:rPr>
                <w:sz w:val="14"/>
                <w:szCs w:val="14"/>
                <w:color w:val="auto"/>
              </w:rPr>
            </w:pPr>
          </w:p>
        </w:tc>
        <w:tc>
          <w:tcPr>
            <w:tcW w:w="5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61.6</w:t>
            </w:r>
          </w:p>
        </w:tc>
        <w:tc>
          <w:tcPr>
            <w:tcW w:w="22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Currency impact and other</w:t>
            </w: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5.6</w:t>
            </w: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0.2</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3"/>
                <w:szCs w:val="13"/>
                <w:color w:val="auto"/>
              </w:rPr>
              <w:t>5.1</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3"/>
                <w:szCs w:val="13"/>
                <w:color w:val="auto"/>
              </w:rPr>
              <w:t>(0.3)</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220" w:type="dxa"/>
            <w:vAlign w:val="bottom"/>
            <w:tcBorders>
              <w:bottom w:val="single" w:sz="8" w:color="E6EF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80" w:type="dxa"/>
            <w:vAlign w:val="bottom"/>
            <w:shd w:val="clear" w:color="auto" w:fill="E6EFFF"/>
          </w:tcPr>
          <w:p>
            <w:pPr>
              <w:spacing w:after="0"/>
              <w:rPr>
                <w:sz w:val="20"/>
                <w:szCs w:val="20"/>
                <w:color w:val="auto"/>
              </w:rPr>
            </w:pPr>
            <w:r>
              <w:rPr>
                <w:rFonts w:ascii="Arial" w:cs="Arial" w:eastAsia="Arial" w:hAnsi="Arial"/>
                <w:sz w:val="13"/>
                <w:szCs w:val="13"/>
                <w:color w:val="auto"/>
              </w:rPr>
              <w:t>Balance, December 31, 2007</w:t>
            </w:r>
          </w:p>
        </w:tc>
        <w:tc>
          <w:tcPr>
            <w:tcW w:w="380" w:type="dxa"/>
            <w:vAlign w:val="bottom"/>
            <w:shd w:val="clear" w:color="auto" w:fill="E6EFFF"/>
          </w:tcPr>
          <w:p>
            <w:pPr>
              <w:spacing w:after="0"/>
              <w:rPr>
                <w:sz w:val="13"/>
                <w:szCs w:val="13"/>
                <w:color w:val="auto"/>
              </w:rPr>
            </w:pPr>
          </w:p>
        </w:tc>
        <w:tc>
          <w:tcPr>
            <w:tcW w:w="6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115.7</w:t>
            </w:r>
          </w:p>
        </w:tc>
        <w:tc>
          <w:tcPr>
            <w:tcW w:w="340" w:type="dxa"/>
            <w:vAlign w:val="bottom"/>
            <w:shd w:val="clear" w:color="auto" w:fill="E6EFFF"/>
          </w:tcPr>
          <w:p>
            <w:pPr>
              <w:spacing w:after="0"/>
              <w:rPr>
                <w:sz w:val="13"/>
                <w:szCs w:val="13"/>
                <w:color w:val="auto"/>
              </w:rPr>
            </w:pPr>
          </w:p>
        </w:tc>
        <w:tc>
          <w:tcPr>
            <w:tcW w:w="68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0.2</w:t>
            </w:r>
          </w:p>
        </w:tc>
        <w:tc>
          <w:tcPr>
            <w:tcW w:w="340" w:type="dxa"/>
            <w:vAlign w:val="bottom"/>
            <w:shd w:val="clear" w:color="auto" w:fill="E6EFFF"/>
          </w:tcPr>
          <w:p>
            <w:pPr>
              <w:spacing w:after="0"/>
              <w:rPr>
                <w:sz w:val="13"/>
                <w:szCs w:val="13"/>
                <w:color w:val="auto"/>
              </w:rPr>
            </w:pPr>
          </w:p>
        </w:tc>
        <w:tc>
          <w:tcPr>
            <w:tcW w:w="70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224.4</w:t>
            </w:r>
          </w:p>
        </w:tc>
        <w:tc>
          <w:tcPr>
            <w:tcW w:w="400" w:type="dxa"/>
            <w:vAlign w:val="bottom"/>
            <w:shd w:val="clear" w:color="auto" w:fill="E6EFFF"/>
          </w:tcPr>
          <w:p>
            <w:pPr>
              <w:spacing w:after="0"/>
              <w:rPr>
                <w:sz w:val="13"/>
                <w:szCs w:val="13"/>
                <w:color w:val="auto"/>
              </w:rPr>
            </w:pPr>
          </w:p>
        </w:tc>
        <w:tc>
          <w:tcPr>
            <w:tcW w:w="60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1.9</w:t>
            </w:r>
          </w:p>
        </w:tc>
        <w:tc>
          <w:tcPr>
            <w:tcW w:w="260" w:type="dxa"/>
            <w:vAlign w:val="bottom"/>
            <w:shd w:val="clear" w:color="auto" w:fill="E6EFFF"/>
          </w:tcPr>
          <w:p>
            <w:pPr>
              <w:spacing w:after="0"/>
              <w:rPr>
                <w:sz w:val="13"/>
                <w:szCs w:val="13"/>
                <w:color w:val="auto"/>
              </w:rPr>
            </w:pPr>
          </w:p>
        </w:tc>
        <w:tc>
          <w:tcPr>
            <w:tcW w:w="74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0.6</w:t>
            </w:r>
          </w:p>
        </w:tc>
        <w:tc>
          <w:tcPr>
            <w:tcW w:w="200" w:type="dxa"/>
            <w:vAlign w:val="bottom"/>
            <w:shd w:val="clear" w:color="auto" w:fill="E6EFFF"/>
          </w:tcPr>
          <w:p>
            <w:pPr>
              <w:spacing w:after="0"/>
              <w:rPr>
                <w:sz w:val="13"/>
                <w:szCs w:val="13"/>
                <w:color w:val="auto"/>
              </w:rPr>
            </w:pPr>
          </w:p>
        </w:tc>
        <w:tc>
          <w:tcPr>
            <w:tcW w:w="94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151.3</w:t>
            </w:r>
          </w:p>
        </w:tc>
        <w:tc>
          <w:tcPr>
            <w:tcW w:w="200" w:type="dxa"/>
            <w:vAlign w:val="bottom"/>
            <w:tcBorders>
              <w:right w:val="single" w:sz="8" w:color="E6EFFF"/>
            </w:tcBorders>
            <w:shd w:val="clear" w:color="auto" w:fill="E6EFFF"/>
          </w:tcPr>
          <w:p>
            <w:pPr>
              <w:spacing w:after="0"/>
              <w:rPr>
                <w:sz w:val="13"/>
                <w:szCs w:val="13"/>
                <w:color w:val="auto"/>
              </w:rPr>
            </w:pPr>
          </w:p>
        </w:tc>
        <w:tc>
          <w:tcPr>
            <w:tcW w:w="820" w:type="dxa"/>
            <w:vAlign w:val="bottom"/>
            <w:gridSpan w:val="2"/>
            <w:shd w:val="clear" w:color="auto" w:fill="E6EFFF"/>
          </w:tcPr>
          <w:p>
            <w:pPr>
              <w:jc w:val="right"/>
              <w:ind w:right="72"/>
              <w:spacing w:after="0"/>
              <w:rPr>
                <w:sz w:val="20"/>
                <w:szCs w:val="20"/>
                <w:color w:val="auto"/>
              </w:rPr>
            </w:pPr>
            <w:r>
              <w:rPr>
                <w:rFonts w:ascii="Arial" w:cs="Arial" w:eastAsia="Arial" w:hAnsi="Arial"/>
                <w:sz w:val="13"/>
                <w:szCs w:val="13"/>
                <w:color w:val="auto"/>
              </w:rPr>
              <w:t>68.7</w:t>
            </w:r>
          </w:p>
        </w:tc>
        <w:tc>
          <w:tcPr>
            <w:tcW w:w="460" w:type="dxa"/>
            <w:vAlign w:val="bottom"/>
            <w:shd w:val="clear" w:color="auto" w:fill="E6EFFF"/>
          </w:tcPr>
          <w:p>
            <w:pPr>
              <w:spacing w:after="0"/>
              <w:rPr>
                <w:sz w:val="13"/>
                <w:szCs w:val="13"/>
                <w:color w:val="auto"/>
              </w:rPr>
            </w:pPr>
          </w:p>
        </w:tc>
        <w:tc>
          <w:tcPr>
            <w:tcW w:w="620" w:type="dxa"/>
            <w:vAlign w:val="bottom"/>
            <w:gridSpan w:val="2"/>
            <w:shd w:val="clear" w:color="auto" w:fill="E6EFFF"/>
          </w:tcPr>
          <w:p>
            <w:pPr>
              <w:jc w:val="right"/>
              <w:ind w:right="132"/>
              <w:spacing w:after="0"/>
              <w:rPr>
                <w:sz w:val="20"/>
                <w:szCs w:val="20"/>
                <w:color w:val="auto"/>
              </w:rPr>
            </w:pPr>
            <w:r>
              <w:rPr>
                <w:rFonts w:ascii="Arial" w:cs="Arial" w:eastAsia="Arial" w:hAnsi="Arial"/>
                <w:sz w:val="13"/>
                <w:szCs w:val="13"/>
                <w:color w:val="auto"/>
              </w:rPr>
              <w:t>483.1</w:t>
            </w:r>
          </w:p>
        </w:tc>
        <w:tc>
          <w:tcPr>
            <w:tcW w:w="240" w:type="dxa"/>
            <w:vAlign w:val="bottom"/>
            <w:shd w:val="clear" w:color="auto" w:fill="E6EFFF"/>
          </w:tcPr>
          <w:p>
            <w:pPr>
              <w:spacing w:after="0"/>
              <w:rPr>
                <w:sz w:val="13"/>
                <w:szCs w:val="13"/>
                <w:color w:val="auto"/>
              </w:rPr>
            </w:pPr>
          </w:p>
        </w:tc>
        <w:tc>
          <w:tcPr>
            <w:tcW w:w="800" w:type="dxa"/>
            <w:vAlign w:val="bottom"/>
            <w:gridSpan w:val="2"/>
            <w:shd w:val="clear" w:color="auto" w:fill="E6EFFF"/>
          </w:tcPr>
          <w:p>
            <w:pPr>
              <w:jc w:val="right"/>
              <w:ind w:right="220"/>
              <w:spacing w:after="0"/>
              <w:rPr>
                <w:sz w:val="20"/>
                <w:szCs w:val="20"/>
                <w:color w:val="auto"/>
              </w:rPr>
            </w:pPr>
            <w:r>
              <w:rPr>
                <w:rFonts w:ascii="Arial" w:cs="Arial" w:eastAsia="Arial" w:hAnsi="Arial"/>
                <w:sz w:val="13"/>
                <w:szCs w:val="13"/>
                <w:color w:val="auto"/>
              </w:rPr>
              <w:t>1,045.9</w:t>
            </w:r>
          </w:p>
        </w:tc>
        <w:tc>
          <w:tcPr>
            <w:tcW w:w="0" w:type="dxa"/>
            <w:vAlign w:val="bottom"/>
          </w:tcPr>
          <w:p>
            <w:pPr>
              <w:spacing w:after="0"/>
              <w:rPr>
                <w:sz w:val="1"/>
                <w:szCs w:val="1"/>
                <w:color w:val="auto"/>
              </w:rPr>
            </w:pPr>
          </w:p>
        </w:tc>
      </w:tr>
      <w:tr>
        <w:trPr>
          <w:trHeight w:val="185"/>
        </w:trPr>
        <w:tc>
          <w:tcPr>
            <w:tcW w:w="2080" w:type="dxa"/>
            <w:vAlign w:val="bottom"/>
          </w:tcPr>
          <w:p>
            <w:pPr>
              <w:spacing w:after="0"/>
              <w:rPr>
                <w:sz w:val="20"/>
                <w:szCs w:val="20"/>
                <w:color w:val="auto"/>
              </w:rPr>
            </w:pPr>
            <w:r>
              <w:rPr>
                <w:rFonts w:ascii="Arial" w:cs="Arial" w:eastAsia="Arial" w:hAnsi="Arial"/>
                <w:sz w:val="13"/>
                <w:szCs w:val="13"/>
                <w:color w:val="auto"/>
              </w:rPr>
              <w:t>Goodwill acquired</w:t>
            </w:r>
          </w:p>
        </w:tc>
        <w:tc>
          <w:tcPr>
            <w:tcW w:w="380" w:type="dxa"/>
            <w:vAlign w:val="bottom"/>
          </w:tcPr>
          <w:p>
            <w:pPr>
              <w:spacing w:after="0"/>
              <w:rPr>
                <w:sz w:val="16"/>
                <w:szCs w:val="16"/>
                <w:color w:val="auto"/>
              </w:rPr>
            </w:pP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35.2</w:t>
            </w:r>
          </w:p>
        </w:tc>
        <w:tc>
          <w:tcPr>
            <w:tcW w:w="34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3.4</w:t>
            </w:r>
          </w:p>
        </w:tc>
        <w:tc>
          <w:tcPr>
            <w:tcW w:w="340" w:type="dxa"/>
            <w:vAlign w:val="bottom"/>
          </w:tcPr>
          <w:p>
            <w:pPr>
              <w:spacing w:after="0"/>
              <w:rPr>
                <w:sz w:val="16"/>
                <w:szCs w:val="16"/>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91.5</w:t>
            </w:r>
          </w:p>
        </w:tc>
        <w:tc>
          <w:tcPr>
            <w:tcW w:w="400" w:type="dxa"/>
            <w:vAlign w:val="bottom"/>
          </w:tcPr>
          <w:p>
            <w:pPr>
              <w:spacing w:after="0"/>
              <w:rPr>
                <w:sz w:val="16"/>
                <w:szCs w:val="16"/>
                <w:color w:val="auto"/>
              </w:rPr>
            </w:pP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3.0</w:t>
            </w:r>
          </w:p>
        </w:tc>
        <w:tc>
          <w:tcPr>
            <w:tcW w:w="260" w:type="dxa"/>
            <w:vAlign w:val="bottom"/>
          </w:tcPr>
          <w:p>
            <w:pPr>
              <w:spacing w:after="0"/>
              <w:rPr>
                <w:sz w:val="16"/>
                <w:szCs w:val="16"/>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0.4</w:t>
            </w:r>
          </w:p>
        </w:tc>
        <w:tc>
          <w:tcPr>
            <w:tcW w:w="200" w:type="dxa"/>
            <w:vAlign w:val="bottom"/>
          </w:tcPr>
          <w:p>
            <w:pPr>
              <w:spacing w:after="0"/>
              <w:rPr>
                <w:sz w:val="16"/>
                <w:szCs w:val="16"/>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4.3</w:t>
            </w:r>
          </w:p>
        </w:tc>
        <w:tc>
          <w:tcPr>
            <w:tcW w:w="200" w:type="dxa"/>
            <w:vAlign w:val="bottom"/>
          </w:tcPr>
          <w:p>
            <w:pPr>
              <w:spacing w:after="0"/>
              <w:rPr>
                <w:sz w:val="16"/>
                <w:szCs w:val="16"/>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3"/>
                <w:szCs w:val="13"/>
                <w:color w:val="auto"/>
              </w:rPr>
              <w:t>1.3</w:t>
            </w:r>
          </w:p>
        </w:tc>
        <w:tc>
          <w:tcPr>
            <w:tcW w:w="460" w:type="dxa"/>
            <w:vAlign w:val="bottom"/>
          </w:tcPr>
          <w:p>
            <w:pPr>
              <w:spacing w:after="0"/>
              <w:rPr>
                <w:sz w:val="16"/>
                <w:szCs w:val="16"/>
                <w:color w:val="auto"/>
              </w:rPr>
            </w:pPr>
          </w:p>
        </w:tc>
        <w:tc>
          <w:tcPr>
            <w:tcW w:w="620" w:type="dxa"/>
            <w:vAlign w:val="bottom"/>
            <w:gridSpan w:val="2"/>
          </w:tcPr>
          <w:p>
            <w:pPr>
              <w:jc w:val="right"/>
              <w:ind w:right="132"/>
              <w:spacing w:after="0"/>
              <w:rPr>
                <w:sz w:val="20"/>
                <w:szCs w:val="20"/>
                <w:color w:val="auto"/>
              </w:rPr>
            </w:pPr>
            <w:r>
              <w:rPr>
                <w:rFonts w:ascii="Arial" w:cs="Arial" w:eastAsia="Arial" w:hAnsi="Arial"/>
                <w:sz w:val="13"/>
                <w:szCs w:val="13"/>
                <w:color w:val="auto"/>
              </w:rPr>
              <w:t>2.1</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line="185" w:lineRule="exact"/>
              <w:rPr>
                <w:sz w:val="20"/>
                <w:szCs w:val="20"/>
                <w:color w:val="auto"/>
              </w:rPr>
            </w:pPr>
            <w:r>
              <w:rPr>
                <w:rFonts w:ascii="Arial" w:cs="Arial" w:eastAsia="Arial" w:hAnsi="Arial"/>
                <w:sz w:val="13"/>
                <w:szCs w:val="13"/>
                <w:color w:val="auto"/>
              </w:rPr>
              <w:t>141.2</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64"/>
        </w:trPr>
        <w:tc>
          <w:tcPr>
            <w:tcW w:w="2080" w:type="dxa"/>
            <w:vAlign w:val="bottom"/>
            <w:shd w:val="clear" w:color="auto" w:fill="E6EFFF"/>
          </w:tcPr>
          <w:p>
            <w:pPr>
              <w:spacing w:after="0"/>
              <w:rPr>
                <w:sz w:val="20"/>
                <w:szCs w:val="20"/>
                <w:color w:val="auto"/>
              </w:rPr>
            </w:pPr>
            <w:r>
              <w:rPr>
                <w:rFonts w:ascii="Arial" w:cs="Arial" w:eastAsia="Arial" w:hAnsi="Arial"/>
                <w:sz w:val="14"/>
                <w:szCs w:val="14"/>
                <w:color w:val="auto"/>
              </w:rPr>
              <w:t>Currency impact and other</w:t>
            </w:r>
          </w:p>
        </w:tc>
        <w:tc>
          <w:tcPr>
            <w:tcW w:w="380" w:type="dxa"/>
            <w:vAlign w:val="bottom"/>
            <w:shd w:val="clear" w:color="auto" w:fill="E6EFFF"/>
          </w:tcPr>
          <w:p>
            <w:pPr>
              <w:spacing w:after="0"/>
              <w:rPr>
                <w:sz w:val="14"/>
                <w:szCs w:val="14"/>
                <w:color w:val="auto"/>
              </w:rPr>
            </w:pPr>
          </w:p>
        </w:tc>
        <w:tc>
          <w:tcPr>
            <w:tcW w:w="660" w:type="dxa"/>
            <w:vAlign w:val="bottom"/>
            <w:shd w:val="clear" w:color="auto" w:fill="E6EFFF"/>
          </w:tcPr>
          <w:p>
            <w:pPr>
              <w:jc w:val="right"/>
              <w:ind w:right="53"/>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FFF"/>
          </w:tcPr>
          <w:p>
            <w:pPr>
              <w:spacing w:after="0"/>
              <w:rPr>
                <w:sz w:val="14"/>
                <w:szCs w:val="14"/>
                <w:color w:val="auto"/>
              </w:rPr>
            </w:pPr>
          </w:p>
        </w:tc>
        <w:tc>
          <w:tcPr>
            <w:tcW w:w="680" w:type="dxa"/>
            <w:vAlign w:val="bottom"/>
            <w:shd w:val="clear" w:color="auto" w:fill="E6EFFF"/>
          </w:tcPr>
          <w:p>
            <w:pPr>
              <w:jc w:val="right"/>
              <w:ind w:right="53"/>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FFF"/>
          </w:tcPr>
          <w:p>
            <w:pPr>
              <w:spacing w:after="0"/>
              <w:rPr>
                <w:sz w:val="14"/>
                <w:szCs w:val="14"/>
                <w:color w:val="auto"/>
              </w:rPr>
            </w:pPr>
          </w:p>
        </w:tc>
        <w:tc>
          <w:tcPr>
            <w:tcW w:w="700" w:type="dxa"/>
            <w:vAlign w:val="bottom"/>
            <w:shd w:val="clear" w:color="auto" w:fill="E6EFFF"/>
          </w:tcPr>
          <w:p>
            <w:pPr>
              <w:jc w:val="right"/>
              <w:ind w:right="33"/>
              <w:spacing w:after="0"/>
              <w:rPr>
                <w:sz w:val="20"/>
                <w:szCs w:val="20"/>
                <w:color w:val="auto"/>
              </w:rPr>
            </w:pPr>
            <w:r>
              <w:rPr>
                <w:rFonts w:ascii="Arial" w:cs="Arial" w:eastAsia="Arial" w:hAnsi="Arial"/>
                <w:sz w:val="14"/>
                <w:szCs w:val="14"/>
                <w:color w:val="auto"/>
              </w:rPr>
              <w:t>(54.5)</w:t>
            </w:r>
          </w:p>
        </w:tc>
        <w:tc>
          <w:tcPr>
            <w:tcW w:w="400" w:type="dxa"/>
            <w:vAlign w:val="bottom"/>
            <w:shd w:val="clear" w:color="auto" w:fill="E6EFFF"/>
          </w:tcPr>
          <w:p>
            <w:pPr>
              <w:spacing w:after="0"/>
              <w:rPr>
                <w:sz w:val="14"/>
                <w:szCs w:val="14"/>
                <w:color w:val="auto"/>
              </w:rPr>
            </w:pPr>
          </w:p>
        </w:tc>
        <w:tc>
          <w:tcPr>
            <w:tcW w:w="600" w:type="dxa"/>
            <w:vAlign w:val="bottom"/>
            <w:shd w:val="clear" w:color="auto" w:fill="E6EFFF"/>
          </w:tcPr>
          <w:p>
            <w:pPr>
              <w:jc w:val="right"/>
              <w:ind w:right="13"/>
              <w:spacing w:after="0"/>
              <w:rPr>
                <w:sz w:val="20"/>
                <w:szCs w:val="20"/>
                <w:color w:val="auto"/>
              </w:rPr>
            </w:pPr>
            <w:r>
              <w:rPr>
                <w:rFonts w:ascii="Arial" w:cs="Arial" w:eastAsia="Arial" w:hAnsi="Arial"/>
                <w:sz w:val="14"/>
                <w:szCs w:val="14"/>
                <w:color w:val="auto"/>
              </w:rPr>
              <w:t>(0.1)</w:t>
            </w:r>
          </w:p>
        </w:tc>
        <w:tc>
          <w:tcPr>
            <w:tcW w:w="260" w:type="dxa"/>
            <w:vAlign w:val="bottom"/>
            <w:shd w:val="clear" w:color="auto" w:fill="E6EFFF"/>
          </w:tcPr>
          <w:p>
            <w:pPr>
              <w:spacing w:after="0"/>
              <w:rPr>
                <w:sz w:val="14"/>
                <w:szCs w:val="14"/>
                <w:color w:val="auto"/>
              </w:rPr>
            </w:pPr>
          </w:p>
        </w:tc>
        <w:tc>
          <w:tcPr>
            <w:tcW w:w="740" w:type="dxa"/>
            <w:vAlign w:val="bottom"/>
            <w:shd w:val="clear" w:color="auto" w:fill="E6EFFF"/>
          </w:tcPr>
          <w:p>
            <w:pPr>
              <w:jc w:val="right"/>
              <w:ind w:right="53"/>
              <w:spacing w:after="0"/>
              <w:rPr>
                <w:sz w:val="20"/>
                <w:szCs w:val="20"/>
                <w:color w:val="auto"/>
              </w:rPr>
            </w:pPr>
            <w:r>
              <w:rPr>
                <w:rFonts w:ascii="Arial" w:cs="Arial" w:eastAsia="Arial" w:hAnsi="Arial"/>
                <w:sz w:val="14"/>
                <w:szCs w:val="14"/>
                <w:color w:val="auto"/>
              </w:rPr>
              <w:t>—</w:t>
            </w:r>
          </w:p>
        </w:tc>
        <w:tc>
          <w:tcPr>
            <w:tcW w:w="20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13"/>
              <w:spacing w:after="0"/>
              <w:rPr>
                <w:sz w:val="20"/>
                <w:szCs w:val="20"/>
                <w:color w:val="auto"/>
              </w:rPr>
            </w:pPr>
            <w:r>
              <w:rPr>
                <w:rFonts w:ascii="Arial" w:cs="Arial" w:eastAsia="Arial" w:hAnsi="Arial"/>
                <w:sz w:val="14"/>
                <w:szCs w:val="14"/>
                <w:color w:val="auto"/>
              </w:rPr>
              <w:t>(15.6)</w:t>
            </w:r>
          </w:p>
        </w:tc>
        <w:tc>
          <w:tcPr>
            <w:tcW w:w="200" w:type="dxa"/>
            <w:vAlign w:val="bottom"/>
            <w:tcBorders>
              <w:right w:val="single" w:sz="8" w:color="E6EFFF"/>
            </w:tcBorders>
            <w:shd w:val="clear" w:color="auto" w:fill="E6EFFF"/>
          </w:tcPr>
          <w:p>
            <w:pPr>
              <w:spacing w:after="0"/>
              <w:rPr>
                <w:sz w:val="14"/>
                <w:szCs w:val="14"/>
                <w:color w:val="auto"/>
              </w:rPr>
            </w:pPr>
          </w:p>
        </w:tc>
        <w:tc>
          <w:tcPr>
            <w:tcW w:w="820" w:type="dxa"/>
            <w:vAlign w:val="bottom"/>
            <w:gridSpan w:val="2"/>
            <w:shd w:val="clear" w:color="auto" w:fill="E6EFFF"/>
          </w:tcPr>
          <w:p>
            <w:pPr>
              <w:jc w:val="right"/>
              <w:ind w:right="12"/>
              <w:spacing w:after="0"/>
              <w:rPr>
                <w:sz w:val="20"/>
                <w:szCs w:val="20"/>
                <w:color w:val="auto"/>
              </w:rPr>
            </w:pPr>
            <w:r>
              <w:rPr>
                <w:rFonts w:ascii="Arial" w:cs="Arial" w:eastAsia="Arial" w:hAnsi="Arial"/>
                <w:sz w:val="14"/>
                <w:szCs w:val="14"/>
                <w:color w:val="auto"/>
              </w:rPr>
              <w:t>(2.1)</w:t>
            </w:r>
          </w:p>
        </w:tc>
        <w:tc>
          <w:tcPr>
            <w:tcW w:w="460" w:type="dxa"/>
            <w:vAlign w:val="bottom"/>
            <w:shd w:val="clear" w:color="auto" w:fill="E6EFFF"/>
          </w:tcPr>
          <w:p>
            <w:pPr>
              <w:spacing w:after="0"/>
              <w:rPr>
                <w:sz w:val="14"/>
                <w:szCs w:val="14"/>
                <w:color w:val="auto"/>
              </w:rPr>
            </w:pPr>
          </w:p>
        </w:tc>
        <w:tc>
          <w:tcPr>
            <w:tcW w:w="620" w:type="dxa"/>
            <w:vAlign w:val="bottom"/>
            <w:gridSpan w:val="2"/>
            <w:shd w:val="clear" w:color="auto" w:fill="E6EFFF"/>
          </w:tcPr>
          <w:p>
            <w:pPr>
              <w:jc w:val="right"/>
              <w:ind w:right="92"/>
              <w:spacing w:after="0"/>
              <w:rPr>
                <w:sz w:val="20"/>
                <w:szCs w:val="20"/>
                <w:color w:val="auto"/>
              </w:rPr>
            </w:pPr>
            <w:r>
              <w:rPr>
                <w:rFonts w:ascii="Arial" w:cs="Arial" w:eastAsia="Arial" w:hAnsi="Arial"/>
                <w:sz w:val="14"/>
                <w:szCs w:val="14"/>
                <w:color w:val="auto"/>
              </w:rPr>
              <w:t>(1.1)</w:t>
            </w:r>
          </w:p>
        </w:tc>
        <w:tc>
          <w:tcPr>
            <w:tcW w:w="240" w:type="dxa"/>
            <w:vAlign w:val="bottom"/>
            <w:shd w:val="clear" w:color="auto" w:fill="E6EFFF"/>
          </w:tcPr>
          <w:p>
            <w:pPr>
              <w:spacing w:after="0"/>
              <w:rPr>
                <w:sz w:val="14"/>
                <w:szCs w:val="14"/>
                <w:color w:val="auto"/>
              </w:rPr>
            </w:pPr>
          </w:p>
        </w:tc>
        <w:tc>
          <w:tcPr>
            <w:tcW w:w="80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64"/>
        </w:trPr>
        <w:tc>
          <w:tcPr>
            <w:tcW w:w="2080" w:type="dxa"/>
            <w:vAlign w:val="bottom"/>
          </w:tcPr>
          <w:p>
            <w:pPr>
              <w:spacing w:after="0"/>
              <w:rPr>
                <w:sz w:val="20"/>
                <w:szCs w:val="20"/>
                <w:color w:val="auto"/>
              </w:rPr>
            </w:pPr>
            <w:r>
              <w:rPr>
                <w:rFonts w:ascii="Arial" w:cs="Arial" w:eastAsia="Arial" w:hAnsi="Arial"/>
                <w:sz w:val="14"/>
                <w:szCs w:val="14"/>
                <w:color w:val="auto"/>
              </w:rPr>
              <w:t>Impairment charge</w:t>
            </w:r>
          </w:p>
        </w:tc>
        <w:tc>
          <w:tcPr>
            <w:tcW w:w="38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620" w:type="dxa"/>
            <w:vAlign w:val="bottom"/>
            <w:gridSpan w:val="2"/>
          </w:tcPr>
          <w:p>
            <w:pPr>
              <w:jc w:val="right"/>
              <w:spacing w:after="0" w:line="164" w:lineRule="exact"/>
              <w:rPr>
                <w:sz w:val="20"/>
                <w:szCs w:val="20"/>
                <w:color w:val="auto"/>
              </w:rPr>
            </w:pPr>
            <w:r>
              <w:rPr>
                <w:rFonts w:ascii="Arial" w:cs="Arial" w:eastAsia="Arial" w:hAnsi="Arial"/>
                <w:sz w:val="14"/>
                <w:szCs w:val="14"/>
                <w:color w:val="auto"/>
                <w:w w:val="95"/>
              </w:rPr>
              <w:t>(140.8</w:t>
            </w:r>
            <w:r>
              <w:rPr>
                <w:rFonts w:ascii="Arial" w:cs="Arial" w:eastAsia="Arial" w:hAnsi="Arial"/>
                <w:sz w:val="13"/>
                <w:szCs w:val="13"/>
                <w:color w:val="auto"/>
                <w:w w:val="95"/>
              </w:rPr>
              <w:t>)</w:t>
            </w:r>
            <w:r>
              <w:rPr>
                <w:rFonts w:ascii="Arial" w:cs="Arial" w:eastAsia="Arial" w:hAnsi="Arial"/>
                <w:sz w:val="18"/>
                <w:szCs w:val="18"/>
                <w:color w:val="auto"/>
                <w:w w:val="95"/>
                <w:vertAlign w:val="superscript"/>
              </w:rPr>
              <w:t>(2)</w:t>
            </w:r>
          </w:p>
        </w:tc>
        <w:tc>
          <w:tcPr>
            <w:tcW w:w="2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(140.8)</w:t>
            </w:r>
          </w:p>
        </w:tc>
        <w:tc>
          <w:tcPr>
            <w:tcW w:w="0" w:type="dxa"/>
            <w:vAlign w:val="bottom"/>
          </w:tcPr>
          <w:p>
            <w:pPr>
              <w:spacing w:after="0"/>
              <w:rPr>
                <w:sz w:val="1"/>
                <w:szCs w:val="1"/>
                <w:color w:val="auto"/>
              </w:rPr>
            </w:pPr>
          </w:p>
        </w:tc>
      </w:tr>
      <w:tr>
        <w:trPr>
          <w:trHeight w:val="155"/>
        </w:trPr>
        <w:tc>
          <w:tcPr>
            <w:tcW w:w="2080" w:type="dxa"/>
            <w:vAlign w:val="bottom"/>
            <w:tcBorders>
              <w:top w:val="single" w:sz="8" w:color="auto"/>
              <w:bottom w:val="single" w:sz="8" w:color="auto"/>
            </w:tcBorders>
            <w:shd w:val="clear" w:color="auto" w:fill="E6EFFF"/>
          </w:tcPr>
          <w:p>
            <w:pPr>
              <w:spacing w:after="0"/>
              <w:rPr>
                <w:sz w:val="20"/>
                <w:szCs w:val="20"/>
                <w:color w:val="auto"/>
              </w:rPr>
            </w:pPr>
            <w:r>
              <w:rPr>
                <w:rFonts w:ascii="Arial" w:cs="Arial" w:eastAsia="Arial" w:hAnsi="Arial"/>
                <w:sz w:val="13"/>
                <w:szCs w:val="13"/>
                <w:color w:val="auto"/>
              </w:rPr>
              <w:t>Balance, December 31, 2008</w:t>
            </w:r>
          </w:p>
        </w:tc>
        <w:tc>
          <w:tcPr>
            <w:tcW w:w="380" w:type="dxa"/>
            <w:vAlign w:val="bottom"/>
            <w:tcBorders>
              <w:top w:val="single" w:sz="8" w:color="auto"/>
              <w:bottom w:val="single" w:sz="8" w:color="auto"/>
            </w:tcBorders>
            <w:shd w:val="clear" w:color="auto" w:fill="E6EFFF"/>
          </w:tcPr>
          <w:p>
            <w:pPr>
              <w:jc w:val="right"/>
              <w:ind w:right="113"/>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E6EFFF"/>
          </w:tcPr>
          <w:p>
            <w:pPr>
              <w:jc w:val="right"/>
              <w:ind w:right="53"/>
              <w:spacing w:after="0" w:line="155" w:lineRule="exact"/>
              <w:rPr>
                <w:sz w:val="20"/>
                <w:szCs w:val="20"/>
                <w:color w:val="auto"/>
              </w:rPr>
            </w:pPr>
            <w:r>
              <w:rPr>
                <w:rFonts w:ascii="Arial" w:cs="Arial" w:eastAsia="Arial" w:hAnsi="Arial"/>
                <w:sz w:val="14"/>
                <w:szCs w:val="14"/>
                <w:color w:val="auto"/>
              </w:rPr>
              <w:t>150.9</w:t>
            </w:r>
          </w:p>
        </w:tc>
        <w:tc>
          <w:tcPr>
            <w:tcW w:w="340" w:type="dxa"/>
            <w:vAlign w:val="bottom"/>
            <w:tcBorders>
              <w:top w:val="single" w:sz="8" w:color="auto"/>
              <w:bottom w:val="single" w:sz="8" w:color="auto"/>
            </w:tcBorders>
            <w:shd w:val="clear" w:color="auto" w:fill="E6EFFF"/>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E6EFFF"/>
          </w:tcPr>
          <w:p>
            <w:pPr>
              <w:jc w:val="right"/>
              <w:ind w:right="53"/>
              <w:spacing w:after="0"/>
              <w:rPr>
                <w:sz w:val="20"/>
                <w:szCs w:val="20"/>
                <w:color w:val="auto"/>
              </w:rPr>
            </w:pPr>
            <w:r>
              <w:rPr>
                <w:rFonts w:ascii="Arial" w:cs="Arial" w:eastAsia="Arial" w:hAnsi="Arial"/>
                <w:sz w:val="13"/>
                <w:szCs w:val="13"/>
                <w:color w:val="auto"/>
              </w:rPr>
              <w:t>3.6</w:t>
            </w:r>
          </w:p>
        </w:tc>
        <w:tc>
          <w:tcPr>
            <w:tcW w:w="340" w:type="dxa"/>
            <w:vAlign w:val="bottom"/>
            <w:tcBorders>
              <w:top w:val="single" w:sz="8" w:color="auto"/>
              <w:bottom w:val="single" w:sz="8" w:color="auto"/>
            </w:tcBorders>
            <w:shd w:val="clear" w:color="auto" w:fill="E6EFFF"/>
          </w:tcPr>
          <w:p>
            <w:pPr>
              <w:jc w:val="right"/>
              <w:ind w:right="93"/>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E6EFFF"/>
          </w:tcPr>
          <w:p>
            <w:pPr>
              <w:jc w:val="right"/>
              <w:ind w:right="73"/>
              <w:spacing w:after="0"/>
              <w:rPr>
                <w:sz w:val="20"/>
                <w:szCs w:val="20"/>
                <w:color w:val="auto"/>
              </w:rPr>
            </w:pPr>
            <w:r>
              <w:rPr>
                <w:rFonts w:ascii="Arial" w:cs="Arial" w:eastAsia="Arial" w:hAnsi="Arial"/>
                <w:sz w:val="13"/>
                <w:szCs w:val="13"/>
                <w:color w:val="auto"/>
              </w:rPr>
              <w:t>261.4</w:t>
            </w:r>
          </w:p>
        </w:tc>
        <w:tc>
          <w:tcPr>
            <w:tcW w:w="400" w:type="dxa"/>
            <w:vAlign w:val="bottom"/>
            <w:tcBorders>
              <w:top w:val="single" w:sz="8" w:color="auto"/>
              <w:bottom w:val="single" w:sz="8" w:color="auto"/>
            </w:tcBorders>
            <w:shd w:val="clear" w:color="auto" w:fill="E6EFFF"/>
          </w:tcPr>
          <w:p>
            <w:pPr>
              <w:jc w:val="right"/>
              <w:ind w:right="173"/>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E6EFFF"/>
          </w:tcPr>
          <w:p>
            <w:pPr>
              <w:jc w:val="right"/>
              <w:ind w:right="53"/>
              <w:spacing w:after="0"/>
              <w:rPr>
                <w:sz w:val="20"/>
                <w:szCs w:val="20"/>
                <w:color w:val="auto"/>
              </w:rPr>
            </w:pPr>
            <w:r>
              <w:rPr>
                <w:rFonts w:ascii="Arial" w:cs="Arial" w:eastAsia="Arial" w:hAnsi="Arial"/>
                <w:sz w:val="13"/>
                <w:szCs w:val="13"/>
                <w:color w:val="auto"/>
              </w:rPr>
              <w:t>4.8</w:t>
            </w:r>
          </w:p>
        </w:tc>
        <w:tc>
          <w:tcPr>
            <w:tcW w:w="260" w:type="dxa"/>
            <w:vAlign w:val="bottom"/>
            <w:tcBorders>
              <w:top w:val="single" w:sz="8" w:color="auto"/>
              <w:bottom w:val="single" w:sz="8" w:color="auto"/>
            </w:tcBorders>
            <w:shd w:val="clear" w:color="auto" w:fill="E6EFFF"/>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E6EFFF"/>
          </w:tcPr>
          <w:p>
            <w:pPr>
              <w:jc w:val="right"/>
              <w:ind w:right="53"/>
              <w:spacing w:after="0"/>
              <w:rPr>
                <w:sz w:val="20"/>
                <w:szCs w:val="20"/>
                <w:color w:val="auto"/>
              </w:rPr>
            </w:pPr>
            <w:r>
              <w:rPr>
                <w:rFonts w:ascii="Arial" w:cs="Arial" w:eastAsia="Arial" w:hAnsi="Arial"/>
                <w:sz w:val="13"/>
                <w:szCs w:val="13"/>
                <w:color w:val="auto"/>
              </w:rPr>
              <w:t>1.0</w:t>
            </w:r>
          </w:p>
        </w:tc>
        <w:tc>
          <w:tcPr>
            <w:tcW w:w="2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E6EFFF"/>
          </w:tcPr>
          <w:p>
            <w:pPr>
              <w:jc w:val="right"/>
              <w:ind w:right="73"/>
              <w:spacing w:after="0"/>
              <w:rPr>
                <w:sz w:val="20"/>
                <w:szCs w:val="20"/>
                <w:color w:val="auto"/>
              </w:rPr>
            </w:pPr>
            <w:r>
              <w:rPr>
                <w:rFonts w:ascii="Arial" w:cs="Arial" w:eastAsia="Arial" w:hAnsi="Arial"/>
                <w:sz w:val="13"/>
                <w:szCs w:val="13"/>
                <w:color w:val="auto"/>
              </w:rPr>
              <w:t>140.0</w:t>
            </w:r>
          </w:p>
        </w:tc>
        <w:tc>
          <w:tcPr>
            <w:tcW w:w="200" w:type="dxa"/>
            <w:vAlign w:val="bottom"/>
            <w:tcBorders>
              <w:top w:val="single" w:sz="8" w:color="auto"/>
              <w:bottom w:val="single" w:sz="8" w:color="auto"/>
              <w:right w:val="single" w:sz="8" w:color="E6EFFF"/>
            </w:tcBorders>
            <w:shd w:val="clear" w:color="auto" w:fill="E6EF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gridSpan w:val="2"/>
            <w:shd w:val="clear" w:color="auto" w:fill="E6EFFF"/>
          </w:tcPr>
          <w:p>
            <w:pPr>
              <w:jc w:val="right"/>
              <w:ind w:right="72"/>
              <w:spacing w:after="0"/>
              <w:rPr>
                <w:sz w:val="20"/>
                <w:szCs w:val="20"/>
                <w:color w:val="auto"/>
              </w:rPr>
            </w:pPr>
            <w:r>
              <w:rPr>
                <w:rFonts w:ascii="Arial" w:cs="Arial" w:eastAsia="Arial" w:hAnsi="Arial"/>
                <w:sz w:val="13"/>
                <w:szCs w:val="13"/>
                <w:color w:val="auto"/>
              </w:rPr>
              <w:t>67.9</w:t>
            </w:r>
          </w:p>
        </w:tc>
        <w:tc>
          <w:tcPr>
            <w:tcW w:w="460" w:type="dxa"/>
            <w:vAlign w:val="bottom"/>
            <w:tcBorders>
              <w:top w:val="single" w:sz="8" w:color="auto"/>
              <w:bottom w:val="single" w:sz="8" w:color="auto"/>
            </w:tcBorders>
            <w:shd w:val="clear" w:color="auto" w:fill="E6EFFF"/>
          </w:tcPr>
          <w:p>
            <w:pPr>
              <w:jc w:val="right"/>
              <w:ind w:right="232"/>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gridSpan w:val="2"/>
            <w:shd w:val="clear" w:color="auto" w:fill="E6EFFF"/>
          </w:tcPr>
          <w:p>
            <w:pPr>
              <w:jc w:val="right"/>
              <w:ind w:right="12"/>
              <w:spacing w:after="0"/>
              <w:rPr>
                <w:sz w:val="20"/>
                <w:szCs w:val="20"/>
                <w:color w:val="auto"/>
              </w:rPr>
            </w:pPr>
            <w:r>
              <w:rPr>
                <w:rFonts w:ascii="Arial" w:cs="Arial" w:eastAsia="Arial" w:hAnsi="Arial"/>
                <w:sz w:val="13"/>
                <w:szCs w:val="13"/>
                <w:color w:val="auto"/>
              </w:rPr>
              <w:t>343.3</w:t>
            </w:r>
            <w:r>
              <w:rPr>
                <w:rFonts w:ascii="Arial" w:cs="Arial" w:eastAsia="Arial" w:hAnsi="Arial"/>
                <w:sz w:val="9"/>
                <w:szCs w:val="9"/>
                <w:color w:val="auto"/>
              </w:rPr>
              <w:t>(3)</w:t>
            </w:r>
          </w:p>
        </w:tc>
        <w:tc>
          <w:tcPr>
            <w:tcW w:w="240" w:type="dxa"/>
            <w:vAlign w:val="bottom"/>
            <w:tcBorders>
              <w:top w:val="single" w:sz="8" w:color="auto"/>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972.9</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6180" w:type="dxa"/>
            <w:vAlign w:val="bottom"/>
            <w:gridSpan w:val="9"/>
          </w:tcPr>
          <w:p>
            <w:pPr>
              <w:spacing w:after="0"/>
              <w:rPr>
                <w:sz w:val="20"/>
                <w:szCs w:val="20"/>
                <w:color w:val="auto"/>
              </w:rPr>
            </w:pPr>
            <w:r>
              <w:rPr>
                <w:rFonts w:ascii="Arial" w:cs="Arial" w:eastAsia="Arial" w:hAnsi="Arial"/>
                <w:sz w:val="14"/>
                <w:szCs w:val="14"/>
                <w:color w:val="auto"/>
              </w:rPr>
              <w:t>(1)   Majority of the balance relates to the U.S. franchise acquisitions and Vitae in the Netherlands.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180" w:type="dxa"/>
            <w:vAlign w:val="bottom"/>
            <w:gridSpan w:val="11"/>
          </w:tcPr>
          <w:p>
            <w:pPr>
              <w:spacing w:after="0" w:line="154" w:lineRule="exact"/>
              <w:rPr>
                <w:sz w:val="20"/>
                <w:szCs w:val="20"/>
                <w:color w:val="auto"/>
              </w:rPr>
            </w:pPr>
            <w:r>
              <w:rPr>
                <w:rFonts w:ascii="Arial" w:cs="Arial" w:eastAsia="Arial" w:hAnsi="Arial"/>
                <w:sz w:val="14"/>
                <w:szCs w:val="14"/>
                <w:color w:val="auto"/>
              </w:rPr>
              <w:t>(2)   For further information on the goodwill impairment charge, see Note 1 to the consolidated financial statements.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180" w:type="dxa"/>
            <w:vAlign w:val="bottom"/>
            <w:gridSpan w:val="11"/>
          </w:tcPr>
          <w:p>
            <w:pPr>
              <w:spacing w:after="0"/>
              <w:rPr>
                <w:sz w:val="20"/>
                <w:szCs w:val="20"/>
                <w:color w:val="auto"/>
              </w:rPr>
            </w:pPr>
            <w:r>
              <w:rPr>
                <w:rFonts w:ascii="Arial" w:cs="Arial" w:eastAsia="Arial" w:hAnsi="Arial"/>
                <w:sz w:val="14"/>
                <w:szCs w:val="14"/>
                <w:color w:val="auto"/>
              </w:rPr>
              <w:t>(3)   Majority of the balance relates to the Corporate acquisitions of Right Management and Jefferson Wells.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8320" w:type="dxa"/>
            <w:vAlign w:val="bottom"/>
            <w:gridSpan w:val="13"/>
          </w:tcPr>
          <w:p>
            <w:pPr>
              <w:spacing w:after="0"/>
              <w:rPr>
                <w:sz w:val="20"/>
                <w:szCs w:val="20"/>
                <w:color w:val="auto"/>
              </w:rPr>
            </w:pPr>
            <w:r>
              <w:rPr>
                <w:rFonts w:ascii="Arial" w:cs="Arial" w:eastAsia="Arial" w:hAnsi="Arial"/>
                <w:sz w:val="16"/>
                <w:szCs w:val="16"/>
                <w:color w:val="auto"/>
              </w:rPr>
              <w:t>There were no significant reductions to goodwill as a result of dispositions or impairments during 2007 or 2006.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80" w:type="dxa"/>
            <w:vAlign w:val="bottom"/>
          </w:tcPr>
          <w:p>
            <w:pPr>
              <w:spacing w:after="0"/>
              <w:rPr>
                <w:sz w:val="20"/>
                <w:szCs w:val="20"/>
                <w:color w:val="auto"/>
              </w:rPr>
            </w:pPr>
            <w:r>
              <w:rPr>
                <w:rFonts w:ascii="Arial" w:cs="Arial" w:eastAsia="Arial" w:hAnsi="Arial"/>
                <w:sz w:val="16"/>
                <w:szCs w:val="16"/>
                <w:b w:val="1"/>
                <w:bCs w:val="1"/>
                <w:color w:val="86B6A5"/>
              </w:rPr>
              <w:t>08. Debt</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140" w:type="dxa"/>
            <w:vAlign w:val="bottom"/>
            <w:gridSpan w:val="5"/>
          </w:tcPr>
          <w:p>
            <w:pPr>
              <w:spacing w:after="0"/>
              <w:rPr>
                <w:sz w:val="20"/>
                <w:szCs w:val="20"/>
                <w:color w:val="auto"/>
              </w:rPr>
            </w:pPr>
            <w:r>
              <w:rPr>
                <w:rFonts w:ascii="Arial" w:cs="Arial" w:eastAsia="Arial" w:hAnsi="Arial"/>
                <w:sz w:val="14"/>
                <w:szCs w:val="14"/>
                <w:color w:val="auto"/>
              </w:rPr>
              <w:t>Information concerning Short-Term Borrowings is as follows: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80" w:type="dxa"/>
            <w:vAlign w:val="bottom"/>
            <w:vMerge w:val="restart"/>
          </w:tcPr>
          <w:p>
            <w:pPr>
              <w:spacing w:after="0"/>
              <w:rPr>
                <w:sz w:val="20"/>
                <w:szCs w:val="20"/>
                <w:color w:val="auto"/>
              </w:rPr>
            </w:pPr>
            <w:r>
              <w:rPr>
                <w:rFonts w:ascii="Arial" w:cs="Arial" w:eastAsia="Arial" w:hAnsi="Arial"/>
                <w:sz w:val="14"/>
                <w:szCs w:val="14"/>
                <w:color w:val="4D8ABE"/>
              </w:rPr>
              <w:t>December 31</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4D8ABE"/>
              </w:rPr>
              <w:t>2007</w:t>
            </w:r>
          </w:p>
        </w:tc>
        <w:tc>
          <w:tcPr>
            <w:tcW w:w="0" w:type="dxa"/>
            <w:vAlign w:val="bottom"/>
          </w:tcPr>
          <w:p>
            <w:pPr>
              <w:spacing w:after="0"/>
              <w:rPr>
                <w:sz w:val="1"/>
                <w:szCs w:val="1"/>
                <w:color w:val="auto"/>
              </w:rPr>
            </w:pPr>
          </w:p>
        </w:tc>
      </w:tr>
      <w:tr>
        <w:trPr>
          <w:trHeight w:val="174"/>
        </w:trPr>
        <w:tc>
          <w:tcPr>
            <w:tcW w:w="20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Borders>
              <w:right w:val="single" w:sz="8" w:color="4D8ABE"/>
            </w:tcBorders>
          </w:tcPr>
          <w:p>
            <w:pPr>
              <w:spacing w:after="0"/>
              <w:rPr>
                <w:sz w:val="15"/>
                <w:szCs w:val="15"/>
                <w:color w:val="auto"/>
              </w:rPr>
            </w:pPr>
          </w:p>
        </w:tc>
        <w:tc>
          <w:tcPr>
            <w:tcW w:w="100" w:type="dxa"/>
            <w:vAlign w:val="bottom"/>
            <w:shd w:val="clear" w:color="auto" w:fill="4D8ABE"/>
          </w:tcPr>
          <w:p>
            <w:pPr>
              <w:spacing w:after="0"/>
              <w:rPr>
                <w:sz w:val="15"/>
                <w:szCs w:val="15"/>
                <w:color w:val="auto"/>
              </w:rPr>
            </w:pPr>
          </w:p>
        </w:tc>
        <w:tc>
          <w:tcPr>
            <w:tcW w:w="720" w:type="dxa"/>
            <w:vAlign w:val="bottom"/>
            <w:shd w:val="clear" w:color="auto" w:fill="4D8ABE"/>
          </w:tcPr>
          <w:p>
            <w:pPr>
              <w:spacing w:after="0"/>
              <w:rPr>
                <w:sz w:val="15"/>
                <w:szCs w:val="15"/>
                <w:color w:val="auto"/>
              </w:rPr>
            </w:pPr>
          </w:p>
        </w:tc>
        <w:tc>
          <w:tcPr>
            <w:tcW w:w="460" w:type="dxa"/>
            <w:vAlign w:val="bottom"/>
            <w:shd w:val="clear" w:color="auto" w:fill="4D8ABE"/>
          </w:tcPr>
          <w:p>
            <w:pPr>
              <w:jc w:val="right"/>
              <w:spacing w:after="0"/>
              <w:rPr>
                <w:sz w:val="20"/>
                <w:szCs w:val="20"/>
                <w:color w:val="auto"/>
              </w:rPr>
            </w:pPr>
            <w:r>
              <w:rPr>
                <w:rFonts w:ascii="Arial" w:cs="Arial" w:eastAsia="Arial" w:hAnsi="Arial"/>
                <w:sz w:val="14"/>
                <w:szCs w:val="14"/>
                <w:color w:val="FFFFFF"/>
              </w:rPr>
              <w:t>2008</w:t>
            </w:r>
          </w:p>
        </w:tc>
        <w:tc>
          <w:tcPr>
            <w:tcW w:w="200" w:type="dxa"/>
            <w:vAlign w:val="bottom"/>
            <w:tcBorders>
              <w:right w:val="single" w:sz="8" w:color="4D8ABE"/>
            </w:tcBorders>
            <w:shd w:val="clear" w:color="auto" w:fill="4D8AB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80" w:type="dxa"/>
            <w:vAlign w:val="bottom"/>
            <w:tcBorders>
              <w:top w:val="single" w:sz="8" w:color="4D8ABE"/>
            </w:tcBorders>
          </w:tcPr>
          <w:p>
            <w:pPr>
              <w:spacing w:after="0" w:line="155" w:lineRule="exact"/>
              <w:rPr>
                <w:sz w:val="20"/>
                <w:szCs w:val="20"/>
                <w:color w:val="auto"/>
              </w:rPr>
            </w:pPr>
            <w:r>
              <w:rPr>
                <w:rFonts w:ascii="Arial" w:cs="Arial" w:eastAsia="Arial" w:hAnsi="Arial"/>
                <w:sz w:val="14"/>
                <w:szCs w:val="14"/>
                <w:color w:val="auto"/>
              </w:rPr>
              <w:t>Short-term borrowings</w:t>
            </w:r>
          </w:p>
        </w:tc>
        <w:tc>
          <w:tcPr>
            <w:tcW w:w="380" w:type="dxa"/>
            <w:vAlign w:val="bottom"/>
            <w:tcBorders>
              <w:top w:val="single" w:sz="8" w:color="4D8ABE"/>
            </w:tcBorders>
          </w:tcPr>
          <w:p>
            <w:pPr>
              <w:spacing w:after="0"/>
              <w:rPr>
                <w:sz w:val="13"/>
                <w:szCs w:val="13"/>
                <w:color w:val="auto"/>
              </w:rPr>
            </w:pPr>
          </w:p>
        </w:tc>
        <w:tc>
          <w:tcPr>
            <w:tcW w:w="660" w:type="dxa"/>
            <w:vAlign w:val="bottom"/>
            <w:tcBorders>
              <w:top w:val="single" w:sz="8" w:color="4D8ABE"/>
            </w:tcBorders>
          </w:tcPr>
          <w:p>
            <w:pPr>
              <w:spacing w:after="0"/>
              <w:rPr>
                <w:sz w:val="13"/>
                <w:szCs w:val="13"/>
                <w:color w:val="auto"/>
              </w:rPr>
            </w:pPr>
          </w:p>
        </w:tc>
        <w:tc>
          <w:tcPr>
            <w:tcW w:w="340" w:type="dxa"/>
            <w:vAlign w:val="bottom"/>
            <w:tcBorders>
              <w:top w:val="single" w:sz="8" w:color="4D8ABE"/>
            </w:tcBorders>
          </w:tcPr>
          <w:p>
            <w:pPr>
              <w:spacing w:after="0"/>
              <w:rPr>
                <w:sz w:val="13"/>
                <w:szCs w:val="13"/>
                <w:color w:val="auto"/>
              </w:rPr>
            </w:pPr>
          </w:p>
        </w:tc>
        <w:tc>
          <w:tcPr>
            <w:tcW w:w="680" w:type="dxa"/>
            <w:vAlign w:val="bottom"/>
            <w:tcBorders>
              <w:top w:val="single" w:sz="8" w:color="4D8ABE"/>
            </w:tcBorders>
          </w:tcPr>
          <w:p>
            <w:pPr>
              <w:spacing w:after="0"/>
              <w:rPr>
                <w:sz w:val="13"/>
                <w:szCs w:val="13"/>
                <w:color w:val="auto"/>
              </w:rPr>
            </w:pPr>
          </w:p>
        </w:tc>
        <w:tc>
          <w:tcPr>
            <w:tcW w:w="340" w:type="dxa"/>
            <w:vAlign w:val="bottom"/>
            <w:tcBorders>
              <w:top w:val="single" w:sz="8" w:color="4D8ABE"/>
            </w:tcBorders>
          </w:tcPr>
          <w:p>
            <w:pPr>
              <w:spacing w:after="0"/>
              <w:rPr>
                <w:sz w:val="13"/>
                <w:szCs w:val="13"/>
                <w:color w:val="auto"/>
              </w:rPr>
            </w:pPr>
          </w:p>
        </w:tc>
        <w:tc>
          <w:tcPr>
            <w:tcW w:w="700" w:type="dxa"/>
            <w:vAlign w:val="bottom"/>
            <w:tcBorders>
              <w:top w:val="single" w:sz="8" w:color="4D8ABE"/>
            </w:tcBorders>
          </w:tcPr>
          <w:p>
            <w:pPr>
              <w:spacing w:after="0"/>
              <w:rPr>
                <w:sz w:val="13"/>
                <w:szCs w:val="13"/>
                <w:color w:val="auto"/>
              </w:rPr>
            </w:pPr>
          </w:p>
        </w:tc>
        <w:tc>
          <w:tcPr>
            <w:tcW w:w="400" w:type="dxa"/>
            <w:vAlign w:val="bottom"/>
            <w:tcBorders>
              <w:top w:val="single" w:sz="8" w:color="4D8ABE"/>
            </w:tcBorders>
          </w:tcPr>
          <w:p>
            <w:pPr>
              <w:spacing w:after="0"/>
              <w:rPr>
                <w:sz w:val="13"/>
                <w:szCs w:val="13"/>
                <w:color w:val="auto"/>
              </w:rPr>
            </w:pPr>
          </w:p>
        </w:tc>
        <w:tc>
          <w:tcPr>
            <w:tcW w:w="600" w:type="dxa"/>
            <w:vAlign w:val="bottom"/>
            <w:tcBorders>
              <w:top w:val="single" w:sz="8" w:color="4D8ABE"/>
            </w:tcBorders>
          </w:tcPr>
          <w:p>
            <w:pPr>
              <w:spacing w:after="0"/>
              <w:rPr>
                <w:sz w:val="13"/>
                <w:szCs w:val="13"/>
                <w:color w:val="auto"/>
              </w:rPr>
            </w:pPr>
          </w:p>
        </w:tc>
        <w:tc>
          <w:tcPr>
            <w:tcW w:w="260" w:type="dxa"/>
            <w:vAlign w:val="bottom"/>
            <w:tcBorders>
              <w:top w:val="single" w:sz="8" w:color="4D8ABE"/>
            </w:tcBorders>
          </w:tcPr>
          <w:p>
            <w:pPr>
              <w:spacing w:after="0"/>
              <w:rPr>
                <w:sz w:val="13"/>
                <w:szCs w:val="13"/>
                <w:color w:val="auto"/>
              </w:rPr>
            </w:pPr>
          </w:p>
        </w:tc>
        <w:tc>
          <w:tcPr>
            <w:tcW w:w="740" w:type="dxa"/>
            <w:vAlign w:val="bottom"/>
            <w:tcBorders>
              <w:top w:val="single" w:sz="8" w:color="4D8ABE"/>
            </w:tcBorders>
          </w:tcPr>
          <w:p>
            <w:pPr>
              <w:spacing w:after="0"/>
              <w:rPr>
                <w:sz w:val="13"/>
                <w:szCs w:val="13"/>
                <w:color w:val="auto"/>
              </w:rPr>
            </w:pPr>
          </w:p>
        </w:tc>
        <w:tc>
          <w:tcPr>
            <w:tcW w:w="200" w:type="dxa"/>
            <w:vAlign w:val="bottom"/>
            <w:tcBorders>
              <w:top w:val="single" w:sz="8" w:color="4D8ABE"/>
            </w:tcBorders>
          </w:tcPr>
          <w:p>
            <w:pPr>
              <w:spacing w:after="0"/>
              <w:rPr>
                <w:sz w:val="13"/>
                <w:szCs w:val="13"/>
                <w:color w:val="auto"/>
              </w:rPr>
            </w:pPr>
          </w:p>
        </w:tc>
        <w:tc>
          <w:tcPr>
            <w:tcW w:w="940" w:type="dxa"/>
            <w:vAlign w:val="bottom"/>
            <w:tcBorders>
              <w:top w:val="single" w:sz="8" w:color="4D8ABE"/>
            </w:tcBorders>
          </w:tcPr>
          <w:p>
            <w:pPr>
              <w:spacing w:after="0"/>
              <w:rPr>
                <w:sz w:val="13"/>
                <w:szCs w:val="13"/>
                <w:color w:val="auto"/>
              </w:rPr>
            </w:pPr>
          </w:p>
        </w:tc>
        <w:tc>
          <w:tcPr>
            <w:tcW w:w="200" w:type="dxa"/>
            <w:vAlign w:val="bottom"/>
            <w:tcBorders>
              <w:top w:val="single" w:sz="8" w:color="4D8ABE"/>
              <w:right w:val="single" w:sz="8" w:color="4D8ABE"/>
            </w:tcBorders>
          </w:tcPr>
          <w:p>
            <w:pPr>
              <w:spacing w:after="0"/>
              <w:rPr>
                <w:sz w:val="13"/>
                <w:szCs w:val="13"/>
                <w:color w:val="auto"/>
              </w:rPr>
            </w:pPr>
          </w:p>
        </w:tc>
        <w:tc>
          <w:tcPr>
            <w:tcW w:w="10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b w:val="1"/>
                <w:bCs w:val="1"/>
                <w:color w:val="4D8ABE"/>
              </w:rPr>
              <w:t>$</w:t>
            </w:r>
          </w:p>
        </w:tc>
        <w:tc>
          <w:tcPr>
            <w:tcW w:w="720" w:type="dxa"/>
            <w:vAlign w:val="bottom"/>
            <w:tcBorders>
              <w:top w:val="single" w:sz="8" w:color="4D8ABE"/>
            </w:tcBorders>
          </w:tcPr>
          <w:p>
            <w:pPr>
              <w:spacing w:after="0"/>
              <w:rPr>
                <w:sz w:val="13"/>
                <w:szCs w:val="13"/>
                <w:color w:val="auto"/>
              </w:rPr>
            </w:pPr>
          </w:p>
        </w:tc>
        <w:tc>
          <w:tcPr>
            <w:tcW w:w="46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b w:val="1"/>
                <w:bCs w:val="1"/>
                <w:color w:val="4D8ABE"/>
              </w:rPr>
              <w:t>51.0</w:t>
            </w:r>
          </w:p>
        </w:tc>
        <w:tc>
          <w:tcPr>
            <w:tcW w:w="200" w:type="dxa"/>
            <w:vAlign w:val="bottom"/>
            <w:tcBorders>
              <w:top w:val="single" w:sz="8" w:color="4D8ABE"/>
              <w:right w:val="single" w:sz="8" w:color="4D8ABE"/>
            </w:tcBorders>
          </w:tcPr>
          <w:p>
            <w:pPr>
              <w:spacing w:after="0"/>
              <w:rPr>
                <w:sz w:val="13"/>
                <w:szCs w:val="13"/>
                <w:color w:val="auto"/>
              </w:rPr>
            </w:pPr>
          </w:p>
        </w:tc>
        <w:tc>
          <w:tcPr>
            <w:tcW w:w="420" w:type="dxa"/>
            <w:vAlign w:val="bottom"/>
            <w:tcBorders>
              <w:top w:val="single" w:sz="8" w:color="4D8ABE"/>
            </w:tcBorders>
          </w:tcPr>
          <w:p>
            <w:pPr>
              <w:jc w:val="right"/>
              <w:ind w:right="252"/>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4D8ABE"/>
            </w:tcBorders>
          </w:tcPr>
          <w:p>
            <w:pPr>
              <w:spacing w:after="0"/>
              <w:rPr>
                <w:sz w:val="13"/>
                <w:szCs w:val="13"/>
                <w:color w:val="auto"/>
              </w:rPr>
            </w:pPr>
          </w:p>
        </w:tc>
        <w:tc>
          <w:tcPr>
            <w:tcW w:w="58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39.0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80" w:type="dxa"/>
            <w:vAlign w:val="bottom"/>
            <w:shd w:val="clear" w:color="auto" w:fill="E6EFFF"/>
          </w:tcPr>
          <w:p>
            <w:pPr>
              <w:spacing w:after="0"/>
              <w:rPr>
                <w:sz w:val="20"/>
                <w:szCs w:val="20"/>
                <w:color w:val="auto"/>
              </w:rPr>
            </w:pPr>
            <w:r>
              <w:rPr>
                <w:rFonts w:ascii="Arial" w:cs="Arial" w:eastAsia="Arial" w:hAnsi="Arial"/>
                <w:sz w:val="14"/>
                <w:szCs w:val="14"/>
                <w:color w:val="auto"/>
              </w:rPr>
              <w:t>Weighted-average interest rates</w:t>
            </w:r>
          </w:p>
        </w:tc>
        <w:tc>
          <w:tcPr>
            <w:tcW w:w="380" w:type="dxa"/>
            <w:vAlign w:val="bottom"/>
            <w:shd w:val="clear" w:color="auto" w:fill="E6EFFF"/>
          </w:tcPr>
          <w:p>
            <w:pPr>
              <w:spacing w:after="0"/>
              <w:rPr>
                <w:sz w:val="14"/>
                <w:szCs w:val="14"/>
                <w:color w:val="auto"/>
              </w:rPr>
            </w:pPr>
          </w:p>
        </w:tc>
        <w:tc>
          <w:tcPr>
            <w:tcW w:w="66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68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700" w:type="dxa"/>
            <w:vAlign w:val="bottom"/>
            <w:shd w:val="clear" w:color="auto" w:fill="E6EFFF"/>
          </w:tcPr>
          <w:p>
            <w:pPr>
              <w:spacing w:after="0"/>
              <w:rPr>
                <w:sz w:val="14"/>
                <w:szCs w:val="14"/>
                <w:color w:val="auto"/>
              </w:rPr>
            </w:pPr>
          </w:p>
        </w:tc>
        <w:tc>
          <w:tcPr>
            <w:tcW w:w="400" w:type="dxa"/>
            <w:vAlign w:val="bottom"/>
            <w:shd w:val="clear" w:color="auto" w:fill="E6EFFF"/>
          </w:tcPr>
          <w:p>
            <w:pPr>
              <w:spacing w:after="0"/>
              <w:rPr>
                <w:sz w:val="14"/>
                <w:szCs w:val="14"/>
                <w:color w:val="auto"/>
              </w:rPr>
            </w:pPr>
          </w:p>
        </w:tc>
        <w:tc>
          <w:tcPr>
            <w:tcW w:w="600" w:type="dxa"/>
            <w:vAlign w:val="bottom"/>
            <w:shd w:val="clear" w:color="auto" w:fill="E6EFFF"/>
          </w:tcPr>
          <w:p>
            <w:pPr>
              <w:spacing w:after="0"/>
              <w:rPr>
                <w:sz w:val="14"/>
                <w:szCs w:val="14"/>
                <w:color w:val="auto"/>
              </w:rPr>
            </w:pPr>
          </w:p>
        </w:tc>
        <w:tc>
          <w:tcPr>
            <w:tcW w:w="260" w:type="dxa"/>
            <w:vAlign w:val="bottom"/>
            <w:shd w:val="clear" w:color="auto" w:fill="E6EFFF"/>
          </w:tcPr>
          <w:p>
            <w:pPr>
              <w:spacing w:after="0"/>
              <w:rPr>
                <w:sz w:val="14"/>
                <w:szCs w:val="14"/>
                <w:color w:val="auto"/>
              </w:rPr>
            </w:pPr>
          </w:p>
        </w:tc>
        <w:tc>
          <w:tcPr>
            <w:tcW w:w="740" w:type="dxa"/>
            <w:vAlign w:val="bottom"/>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200" w:type="dxa"/>
            <w:vAlign w:val="bottom"/>
            <w:tcBorders>
              <w:right w:val="single" w:sz="8" w:color="4D8ABE"/>
            </w:tcBorders>
            <w:shd w:val="clear" w:color="auto" w:fill="E6EFFF"/>
          </w:tcPr>
          <w:p>
            <w:pPr>
              <w:spacing w:after="0"/>
              <w:rPr>
                <w:sz w:val="14"/>
                <w:szCs w:val="14"/>
                <w:color w:val="auto"/>
              </w:rPr>
            </w:pPr>
          </w:p>
        </w:tc>
        <w:tc>
          <w:tcPr>
            <w:tcW w:w="10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660" w:type="dxa"/>
            <w:vAlign w:val="bottom"/>
            <w:tcBorders>
              <w:right w:val="single" w:sz="8" w:color="4D8ABE"/>
            </w:tcBorders>
            <w:gridSpan w:val="2"/>
            <w:shd w:val="clear" w:color="auto" w:fill="E6EFFF"/>
          </w:tcPr>
          <w:p>
            <w:pPr>
              <w:jc w:val="right"/>
              <w:ind w:right="53"/>
              <w:spacing w:after="0"/>
              <w:rPr>
                <w:sz w:val="20"/>
                <w:szCs w:val="20"/>
                <w:color w:val="auto"/>
              </w:rPr>
            </w:pPr>
            <w:r>
              <w:rPr>
                <w:rFonts w:ascii="Arial" w:cs="Arial" w:eastAsia="Arial" w:hAnsi="Arial"/>
                <w:sz w:val="14"/>
                <w:szCs w:val="14"/>
                <w:b w:val="1"/>
                <w:bCs w:val="1"/>
                <w:color w:val="4D8ABE"/>
              </w:rPr>
              <w:t>9.0%</w:t>
            </w:r>
          </w:p>
        </w:tc>
        <w:tc>
          <w:tcPr>
            <w:tcW w:w="420" w:type="dxa"/>
            <w:vAlign w:val="bottom"/>
            <w:shd w:val="clear" w:color="auto" w:fill="E6EFFF"/>
          </w:tcPr>
          <w:p>
            <w:pPr>
              <w:spacing w:after="0"/>
              <w:rPr>
                <w:sz w:val="14"/>
                <w:szCs w:val="14"/>
                <w:color w:val="auto"/>
              </w:rPr>
            </w:pPr>
          </w:p>
        </w:tc>
        <w:tc>
          <w:tcPr>
            <w:tcW w:w="240" w:type="dxa"/>
            <w:vAlign w:val="bottom"/>
            <w:shd w:val="clear" w:color="auto" w:fill="E6EFFF"/>
          </w:tcPr>
          <w:p>
            <w:pPr>
              <w:spacing w:after="0"/>
              <w:rPr>
                <w:sz w:val="14"/>
                <w:szCs w:val="14"/>
                <w:color w:val="auto"/>
              </w:rPr>
            </w:pPr>
          </w:p>
        </w:tc>
        <w:tc>
          <w:tcPr>
            <w:tcW w:w="800" w:type="dxa"/>
            <w:vAlign w:val="bottom"/>
            <w:gridSpan w:val="2"/>
            <w:shd w:val="clear" w:color="auto" w:fill="E6EFFF"/>
          </w:tcPr>
          <w:p>
            <w:pPr>
              <w:jc w:val="right"/>
              <w:ind w:right="10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1"/>
        </w:trPr>
        <w:tc>
          <w:tcPr>
            <w:tcW w:w="2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maintain separate bank credit lines with financial institutions to meet working capital needs of our subsidiary operations. As of December 31, 2008, such credit lines totaled $376.5, of which $325.5 was unused. We have no significant compensating balance requirements or commitment fees related to these lines. Due to limitations on subsidiary borrowings in our revolving credit agreement, additional borrowings of $247.8 could be made under these facilities as of December 31, 2008.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summary of Long-Term Debt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20" w:type="dxa"/>
            <w:vAlign w:val="bottom"/>
          </w:tcPr>
          <w:p>
            <w:pPr>
              <w:spacing w:after="0"/>
              <w:rPr>
                <w:sz w:val="20"/>
                <w:szCs w:val="20"/>
                <w:color w:val="auto"/>
              </w:rPr>
            </w:pPr>
            <w:r>
              <w:rPr>
                <w:rFonts w:ascii="Arial" w:cs="Arial" w:eastAsia="Arial" w:hAnsi="Arial"/>
                <w:sz w:val="14"/>
                <w:szCs w:val="14"/>
                <w:color w:val="4D8ABE"/>
              </w:rPr>
              <w:t>December 31</w:t>
            </w:r>
          </w:p>
        </w:tc>
        <w:tc>
          <w:tcPr>
            <w:tcW w:w="6000" w:type="dxa"/>
            <w:vAlign w:val="bottom"/>
            <w:tcBorders>
              <w:right w:val="single" w:sz="8" w:color="4D8ABE"/>
            </w:tcBorders>
          </w:tcPr>
          <w:p>
            <w:pPr>
              <w:spacing w:after="0"/>
              <w:rPr>
                <w:sz w:val="15"/>
                <w:szCs w:val="15"/>
                <w:color w:val="auto"/>
              </w:rPr>
            </w:pPr>
          </w:p>
        </w:tc>
        <w:tc>
          <w:tcPr>
            <w:tcW w:w="500" w:type="dxa"/>
            <w:vAlign w:val="bottom"/>
            <w:shd w:val="clear" w:color="auto" w:fill="4D8ABE"/>
          </w:tcPr>
          <w:p>
            <w:pPr>
              <w:spacing w:after="0"/>
              <w:rPr>
                <w:sz w:val="15"/>
                <w:szCs w:val="15"/>
                <w:color w:val="auto"/>
              </w:rPr>
            </w:pPr>
          </w:p>
        </w:tc>
        <w:tc>
          <w:tcPr>
            <w:tcW w:w="9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6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4D8ABE"/>
              </w:rPr>
              <w:t>2007</w:t>
            </w:r>
          </w:p>
        </w:tc>
        <w:tc>
          <w:tcPr>
            <w:tcW w:w="40" w:type="dxa"/>
            <w:vAlign w:val="bottom"/>
          </w:tcPr>
          <w:p>
            <w:pPr>
              <w:spacing w:after="0"/>
              <w:rPr>
                <w:sz w:val="15"/>
                <w:szCs w:val="15"/>
                <w:color w:val="auto"/>
              </w:rPr>
            </w:pPr>
          </w:p>
        </w:tc>
      </w:tr>
      <w:tr>
        <w:trPr>
          <w:trHeight w:val="155"/>
        </w:trPr>
        <w:tc>
          <w:tcPr>
            <w:tcW w:w="2520" w:type="dxa"/>
            <w:vAlign w:val="bottom"/>
            <w:tcBorders>
              <w:top w:val="single" w:sz="8" w:color="auto"/>
            </w:tcBorders>
            <w:shd w:val="clear" w:color="auto" w:fill="E6EFFF"/>
          </w:tcPr>
          <w:p>
            <w:pPr>
              <w:spacing w:after="0" w:line="155" w:lineRule="exact"/>
              <w:rPr>
                <w:sz w:val="20"/>
                <w:szCs w:val="20"/>
                <w:color w:val="auto"/>
              </w:rPr>
            </w:pPr>
            <w:r>
              <w:rPr>
                <w:rFonts w:ascii="Arial" w:cs="Arial" w:eastAsia="Arial" w:hAnsi="Arial"/>
                <w:sz w:val="14"/>
                <w:szCs w:val="14"/>
                <w:b w:val="1"/>
                <w:bCs w:val="1"/>
                <w:color w:val="939598"/>
              </w:rPr>
              <w:t>Euro-denominated notes:</w:t>
            </w:r>
          </w:p>
        </w:tc>
        <w:tc>
          <w:tcPr>
            <w:tcW w:w="6000" w:type="dxa"/>
            <w:vAlign w:val="bottom"/>
            <w:tcBorders>
              <w:top w:val="single" w:sz="8" w:color="auto"/>
              <w:right w:val="single" w:sz="8" w:color="4D8ABE"/>
            </w:tcBorders>
            <w:shd w:val="clear" w:color="auto" w:fill="E6EFFF"/>
          </w:tcPr>
          <w:p>
            <w:pPr>
              <w:spacing w:after="0"/>
              <w:rPr>
                <w:sz w:val="13"/>
                <w:szCs w:val="13"/>
                <w:color w:val="auto"/>
              </w:rPr>
            </w:pPr>
          </w:p>
        </w:tc>
        <w:tc>
          <w:tcPr>
            <w:tcW w:w="500" w:type="dxa"/>
            <w:vAlign w:val="bottom"/>
            <w:tcBorders>
              <w:top w:val="single" w:sz="8" w:color="auto"/>
            </w:tcBorders>
            <w:shd w:val="clear" w:color="auto" w:fill="E6EFFF"/>
          </w:tcPr>
          <w:p>
            <w:pPr>
              <w:spacing w:after="0"/>
              <w:rPr>
                <w:sz w:val="13"/>
                <w:szCs w:val="13"/>
                <w:color w:val="auto"/>
              </w:rPr>
            </w:pPr>
          </w:p>
        </w:tc>
        <w:tc>
          <w:tcPr>
            <w:tcW w:w="980" w:type="dxa"/>
            <w:vAlign w:val="bottom"/>
            <w:tcBorders>
              <w:top w:val="single" w:sz="8" w:color="auto"/>
              <w:right w:val="single" w:sz="8" w:color="4D8ABE"/>
            </w:tcBorders>
            <w:shd w:val="clear" w:color="auto" w:fill="E6EFFF"/>
          </w:tcPr>
          <w:p>
            <w:pPr>
              <w:spacing w:after="0"/>
              <w:rPr>
                <w:sz w:val="13"/>
                <w:szCs w:val="13"/>
                <w:color w:val="auto"/>
              </w:rPr>
            </w:pPr>
          </w:p>
        </w:tc>
        <w:tc>
          <w:tcPr>
            <w:tcW w:w="600" w:type="dxa"/>
            <w:vAlign w:val="bottom"/>
            <w:tcBorders>
              <w:top w:val="single" w:sz="8" w:color="auto"/>
            </w:tcBorders>
            <w:shd w:val="clear" w:color="auto" w:fill="E6EFFF"/>
          </w:tcPr>
          <w:p>
            <w:pPr>
              <w:spacing w:after="0"/>
              <w:rPr>
                <w:sz w:val="13"/>
                <w:szCs w:val="13"/>
                <w:color w:val="auto"/>
              </w:rPr>
            </w:pPr>
          </w:p>
        </w:tc>
        <w:tc>
          <w:tcPr>
            <w:tcW w:w="640" w:type="dxa"/>
            <w:vAlign w:val="bottom"/>
            <w:tcBorders>
              <w:top w:val="single" w:sz="8" w:color="auto"/>
            </w:tcBorders>
            <w:shd w:val="clear" w:color="auto" w:fill="E6EFFF"/>
          </w:tcPr>
          <w:p>
            <w:pPr>
              <w:spacing w:after="0"/>
              <w:rPr>
                <w:sz w:val="13"/>
                <w:szCs w:val="13"/>
                <w:color w:val="auto"/>
              </w:rPr>
            </w:pPr>
          </w:p>
        </w:tc>
        <w:tc>
          <w:tcPr>
            <w:tcW w:w="220" w:type="dxa"/>
            <w:vAlign w:val="bottom"/>
            <w:tcBorders>
              <w:top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520" w:type="dxa"/>
            <w:vAlign w:val="bottom"/>
          </w:tcPr>
          <w:p>
            <w:pPr>
              <w:ind w:left="120"/>
              <w:spacing w:after="0"/>
              <w:rPr>
                <w:sz w:val="20"/>
                <w:szCs w:val="20"/>
                <w:color w:val="auto"/>
              </w:rPr>
            </w:pPr>
            <w:r>
              <w:rPr>
                <w:rFonts w:ascii="Arial" w:cs="Arial" w:eastAsia="Arial" w:hAnsi="Arial"/>
                <w:sz w:val="14"/>
                <w:szCs w:val="14"/>
                <w:color w:val="auto"/>
              </w:rPr>
              <w:t>€300 due June 2012</w:t>
            </w:r>
          </w:p>
        </w:tc>
        <w:tc>
          <w:tcPr>
            <w:tcW w:w="6000" w:type="dxa"/>
            <w:vAlign w:val="bottom"/>
            <w:tcBorders>
              <w:right w:val="single" w:sz="8" w:color="4D8ABE"/>
            </w:tcBorders>
          </w:tcPr>
          <w:p>
            <w:pPr>
              <w:spacing w:after="0"/>
              <w:rPr>
                <w:sz w:val="14"/>
                <w:szCs w:val="14"/>
                <w:color w:val="auto"/>
              </w:rPr>
            </w:pPr>
          </w:p>
        </w:tc>
        <w:tc>
          <w:tcPr>
            <w:tcW w:w="500" w:type="dxa"/>
            <w:vAlign w:val="bottom"/>
          </w:tcPr>
          <w:p>
            <w:pPr>
              <w:jc w:val="right"/>
              <w:ind w:right="335"/>
              <w:spacing w:after="0"/>
              <w:rPr>
                <w:sz w:val="20"/>
                <w:szCs w:val="20"/>
                <w:color w:val="auto"/>
              </w:rPr>
            </w:pPr>
            <w:r>
              <w:rPr>
                <w:rFonts w:ascii="Arial" w:cs="Arial" w:eastAsia="Arial" w:hAnsi="Arial"/>
                <w:sz w:val="14"/>
                <w:szCs w:val="14"/>
                <w:b w:val="1"/>
                <w:bCs w:val="1"/>
                <w:color w:val="4D8ABE"/>
              </w:rPr>
              <w:t>$</w:t>
            </w: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418.2</w:t>
            </w:r>
          </w:p>
        </w:tc>
        <w:tc>
          <w:tcPr>
            <w:tcW w:w="6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436.6</w:t>
            </w:r>
          </w:p>
        </w:tc>
        <w:tc>
          <w:tcPr>
            <w:tcW w:w="40" w:type="dxa"/>
            <w:vAlign w:val="bottom"/>
          </w:tcPr>
          <w:p>
            <w:pPr>
              <w:spacing w:after="0"/>
              <w:rPr>
                <w:sz w:val="14"/>
                <w:szCs w:val="14"/>
                <w:color w:val="auto"/>
              </w:rPr>
            </w:pPr>
          </w:p>
        </w:tc>
      </w:tr>
      <w:tr>
        <w:trPr>
          <w:trHeight w:val="164"/>
        </w:trPr>
        <w:tc>
          <w:tcPr>
            <w:tcW w:w="2520" w:type="dxa"/>
            <w:vAlign w:val="bottom"/>
            <w:shd w:val="clear" w:color="auto" w:fill="E6EFFF"/>
          </w:tcPr>
          <w:p>
            <w:pPr>
              <w:ind w:left="120"/>
              <w:spacing w:after="0"/>
              <w:rPr>
                <w:sz w:val="20"/>
                <w:szCs w:val="20"/>
                <w:color w:val="auto"/>
              </w:rPr>
            </w:pPr>
            <w:r>
              <w:rPr>
                <w:rFonts w:ascii="Arial" w:cs="Arial" w:eastAsia="Arial" w:hAnsi="Arial"/>
                <w:sz w:val="14"/>
                <w:szCs w:val="14"/>
                <w:color w:val="auto"/>
              </w:rPr>
              <w:t>€200 due June 2013</w:t>
            </w:r>
          </w:p>
        </w:tc>
        <w:tc>
          <w:tcPr>
            <w:tcW w:w="600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278.4</w:t>
            </w:r>
          </w:p>
        </w:tc>
        <w:tc>
          <w:tcPr>
            <w:tcW w:w="60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290.5</w:t>
            </w:r>
          </w:p>
        </w:tc>
        <w:tc>
          <w:tcPr>
            <w:tcW w:w="40" w:type="dxa"/>
            <w:vAlign w:val="bottom"/>
          </w:tcPr>
          <w:p>
            <w:pPr>
              <w:spacing w:after="0"/>
              <w:rPr>
                <w:sz w:val="14"/>
                <w:szCs w:val="14"/>
                <w:color w:val="auto"/>
              </w:rPr>
            </w:pPr>
          </w:p>
        </w:tc>
      </w:tr>
      <w:tr>
        <w:trPr>
          <w:trHeight w:val="164"/>
        </w:trPr>
        <w:tc>
          <w:tcPr>
            <w:tcW w:w="2520" w:type="dxa"/>
            <w:vAlign w:val="bottom"/>
          </w:tcPr>
          <w:p>
            <w:pPr>
              <w:spacing w:after="0"/>
              <w:rPr>
                <w:sz w:val="20"/>
                <w:szCs w:val="20"/>
                <w:color w:val="auto"/>
              </w:rPr>
            </w:pPr>
            <w:r>
              <w:rPr>
                <w:rFonts w:ascii="Arial" w:cs="Arial" w:eastAsia="Arial" w:hAnsi="Arial"/>
                <w:sz w:val="14"/>
                <w:szCs w:val="14"/>
                <w:b w:val="1"/>
                <w:bCs w:val="1"/>
                <w:color w:val="939598"/>
              </w:rPr>
              <w:t>Revolving credit agreement:</w:t>
            </w:r>
          </w:p>
        </w:tc>
        <w:tc>
          <w:tcPr>
            <w:tcW w:w="600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right w:val="single" w:sz="8" w:color="4D8ABE"/>
            </w:tcBorders>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8520" w:type="dxa"/>
            <w:vAlign w:val="bottom"/>
            <w:tcBorders>
              <w:right w:val="single" w:sz="8" w:color="4D8ABE"/>
            </w:tcBorders>
            <w:gridSpan w:val="2"/>
            <w:shd w:val="clear" w:color="auto" w:fill="E6EFFF"/>
          </w:tcPr>
          <w:p>
            <w:pPr>
              <w:ind w:left="120"/>
              <w:spacing w:after="0"/>
              <w:rPr>
                <w:sz w:val="20"/>
                <w:szCs w:val="20"/>
                <w:color w:val="auto"/>
              </w:rPr>
            </w:pPr>
            <w:r>
              <w:rPr>
                <w:rFonts w:ascii="Arial" w:cs="Arial" w:eastAsia="Arial" w:hAnsi="Arial"/>
                <w:sz w:val="14"/>
                <w:szCs w:val="14"/>
                <w:color w:val="auto"/>
              </w:rPr>
              <w:t>Euro-denominated borrowings, at a rate of 5.71%</w:t>
            </w: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139.7</w:t>
            </w:r>
          </w:p>
        </w:tc>
        <w:tc>
          <w:tcPr>
            <w:tcW w:w="60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145.9</w:t>
            </w:r>
          </w:p>
        </w:tc>
        <w:tc>
          <w:tcPr>
            <w:tcW w:w="40" w:type="dxa"/>
            <w:vAlign w:val="bottom"/>
          </w:tcPr>
          <w:p>
            <w:pPr>
              <w:spacing w:after="0"/>
              <w:rPr>
                <w:sz w:val="14"/>
                <w:szCs w:val="14"/>
                <w:color w:val="auto"/>
              </w:rPr>
            </w:pPr>
          </w:p>
        </w:tc>
      </w:tr>
      <w:tr>
        <w:trPr>
          <w:trHeight w:val="164"/>
        </w:trPr>
        <w:tc>
          <w:tcPr>
            <w:tcW w:w="2520" w:type="dxa"/>
            <w:vAlign w:val="bottom"/>
          </w:tcPr>
          <w:p>
            <w:pPr>
              <w:spacing w:after="0"/>
              <w:rPr>
                <w:sz w:val="20"/>
                <w:szCs w:val="20"/>
                <w:color w:val="auto"/>
              </w:rPr>
            </w:pPr>
            <w:r>
              <w:rPr>
                <w:rFonts w:ascii="Arial" w:cs="Arial" w:eastAsia="Arial" w:hAnsi="Arial"/>
                <w:sz w:val="14"/>
                <w:szCs w:val="14"/>
                <w:b w:val="1"/>
                <w:bCs w:val="1"/>
                <w:color w:val="939598"/>
              </w:rPr>
              <w:t>Other:</w:t>
            </w:r>
          </w:p>
        </w:tc>
        <w:tc>
          <w:tcPr>
            <w:tcW w:w="600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right w:val="single" w:sz="8" w:color="4D8ABE"/>
            </w:tcBorders>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520" w:type="dxa"/>
            <w:vAlign w:val="bottom"/>
            <w:shd w:val="clear" w:color="auto" w:fill="E6EFFF"/>
          </w:tcPr>
          <w:p>
            <w:pPr>
              <w:ind w:left="120"/>
              <w:spacing w:after="0"/>
              <w:rPr>
                <w:sz w:val="20"/>
                <w:szCs w:val="20"/>
                <w:color w:val="auto"/>
              </w:rPr>
            </w:pPr>
            <w:r>
              <w:rPr>
                <w:rFonts w:ascii="Arial" w:cs="Arial" w:eastAsia="Arial" w:hAnsi="Arial"/>
                <w:sz w:val="14"/>
                <w:szCs w:val="14"/>
                <w:color w:val="auto"/>
              </w:rPr>
              <w:t>Accounts receivable securitization</w:t>
            </w:r>
          </w:p>
        </w:tc>
        <w:tc>
          <w:tcPr>
            <w:tcW w:w="600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64.0</w:t>
            </w:r>
          </w:p>
        </w:tc>
        <w:tc>
          <w:tcPr>
            <w:tcW w:w="60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4"/>
        </w:trPr>
        <w:tc>
          <w:tcPr>
            <w:tcW w:w="2520" w:type="dxa"/>
            <w:vAlign w:val="bottom"/>
          </w:tcPr>
          <w:p>
            <w:pPr>
              <w:ind w:left="120"/>
              <w:spacing w:after="0"/>
              <w:rPr>
                <w:sz w:val="20"/>
                <w:szCs w:val="20"/>
                <w:color w:val="auto"/>
              </w:rPr>
            </w:pPr>
            <w:r>
              <w:rPr>
                <w:rFonts w:ascii="Arial" w:cs="Arial" w:eastAsia="Arial" w:hAnsi="Arial"/>
                <w:sz w:val="14"/>
                <w:szCs w:val="14"/>
                <w:color w:val="auto"/>
              </w:rPr>
              <w:t>Other</w:t>
            </w:r>
          </w:p>
        </w:tc>
        <w:tc>
          <w:tcPr>
            <w:tcW w:w="600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1.6</w:t>
            </w:r>
          </w:p>
        </w:tc>
        <w:tc>
          <w:tcPr>
            <w:tcW w:w="6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14"/>
                <w:szCs w:val="14"/>
                <w:color w:val="auto"/>
              </w:rPr>
            </w:pPr>
          </w:p>
        </w:tc>
      </w:tr>
      <w:tr>
        <w:trPr>
          <w:trHeight w:val="155"/>
        </w:trPr>
        <w:tc>
          <w:tcPr>
            <w:tcW w:w="2520" w:type="dxa"/>
            <w:vAlign w:val="bottom"/>
            <w:tcBorders>
              <w:top w:val="single" w:sz="8" w:color="auto"/>
              <w:bottom w:val="single" w:sz="8" w:color="auto"/>
            </w:tcBorders>
            <w:shd w:val="clear" w:color="auto" w:fill="E6EFFF"/>
          </w:tcPr>
          <w:p>
            <w:pPr>
              <w:spacing w:after="0"/>
              <w:rPr>
                <w:sz w:val="13"/>
                <w:szCs w:val="13"/>
                <w:color w:val="auto"/>
              </w:rPr>
            </w:pPr>
          </w:p>
        </w:tc>
        <w:tc>
          <w:tcPr>
            <w:tcW w:w="6000" w:type="dxa"/>
            <w:vAlign w:val="bottom"/>
            <w:tcBorders>
              <w:top w:val="single" w:sz="8" w:color="auto"/>
              <w:bottom w:val="single" w:sz="8" w:color="auto"/>
              <w:right w:val="single" w:sz="8" w:color="4D8ABE"/>
            </w:tcBorders>
            <w:shd w:val="clear" w:color="auto" w:fill="E6EFFF"/>
          </w:tcPr>
          <w:p>
            <w:pPr>
              <w:spacing w:after="0"/>
              <w:rPr>
                <w:sz w:val="13"/>
                <w:szCs w:val="13"/>
                <w:color w:val="auto"/>
              </w:rPr>
            </w:pPr>
          </w:p>
        </w:tc>
        <w:tc>
          <w:tcPr>
            <w:tcW w:w="500" w:type="dxa"/>
            <w:vAlign w:val="bottom"/>
            <w:tcBorders>
              <w:top w:val="single" w:sz="8" w:color="auto"/>
              <w:bottom w:val="single" w:sz="8" w:color="auto"/>
            </w:tcBorders>
            <w:shd w:val="clear" w:color="auto" w:fill="E6EFFF"/>
          </w:tcPr>
          <w:p>
            <w:pPr>
              <w:spacing w:after="0"/>
              <w:rPr>
                <w:sz w:val="13"/>
                <w:szCs w:val="13"/>
                <w:color w:val="auto"/>
              </w:rPr>
            </w:pPr>
          </w:p>
        </w:tc>
        <w:tc>
          <w:tcPr>
            <w:tcW w:w="98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901.9</w:t>
            </w:r>
          </w:p>
        </w:tc>
        <w:tc>
          <w:tcPr>
            <w:tcW w:w="600" w:type="dxa"/>
            <w:vAlign w:val="bottom"/>
            <w:tcBorders>
              <w:top w:val="single" w:sz="8" w:color="auto"/>
              <w:bottom w:val="single" w:sz="8" w:color="auto"/>
            </w:tcBorders>
            <w:shd w:val="clear" w:color="auto" w:fill="E6EFFF"/>
          </w:tcPr>
          <w:p>
            <w:pPr>
              <w:spacing w:after="0"/>
              <w:rPr>
                <w:sz w:val="13"/>
                <w:szCs w:val="13"/>
                <w:color w:val="auto"/>
              </w:rPr>
            </w:pPr>
          </w:p>
        </w:tc>
        <w:tc>
          <w:tcPr>
            <w:tcW w:w="64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875.5</w:t>
            </w:r>
          </w:p>
        </w:tc>
        <w:tc>
          <w:tcPr>
            <w:tcW w:w="220" w:type="dxa"/>
            <w:vAlign w:val="bottom"/>
            <w:tcBorders>
              <w:top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Less: current maturities</w:t>
            </w:r>
          </w:p>
        </w:tc>
        <w:tc>
          <w:tcPr>
            <w:tcW w:w="6000" w:type="dxa"/>
            <w:vAlign w:val="bottom"/>
            <w:tcBorders>
              <w:bottom w:val="single" w:sz="8" w:color="auto"/>
              <w:right w:val="single" w:sz="8" w:color="4D8ABE"/>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64.6</w:t>
            </w: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w:t>
            </w:r>
          </w:p>
        </w:tc>
        <w:tc>
          <w:tcPr>
            <w:tcW w:w="220" w:type="dxa"/>
            <w:vAlign w:val="bottom"/>
            <w:tcBorders>
              <w:bottom w:val="single" w:sz="8" w:color="E6EFFF"/>
            </w:tcBorders>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520" w:type="dxa"/>
            <w:vAlign w:val="bottom"/>
            <w:tcBorders>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Long-term debt</w:t>
            </w:r>
          </w:p>
        </w:tc>
        <w:tc>
          <w:tcPr>
            <w:tcW w:w="6000" w:type="dxa"/>
            <w:vAlign w:val="bottom"/>
            <w:tcBorders>
              <w:bottom w:val="single" w:sz="8" w:color="auto"/>
              <w:right w:val="single" w:sz="8" w:color="4D8ABE"/>
            </w:tcBorders>
            <w:shd w:val="clear" w:color="auto" w:fill="E6EFFF"/>
          </w:tcPr>
          <w:p>
            <w:pPr>
              <w:spacing w:after="0"/>
              <w:rPr>
                <w:sz w:val="13"/>
                <w:szCs w:val="13"/>
                <w:color w:val="auto"/>
              </w:rPr>
            </w:pPr>
          </w:p>
        </w:tc>
        <w:tc>
          <w:tcPr>
            <w:tcW w:w="500" w:type="dxa"/>
            <w:vAlign w:val="bottom"/>
            <w:tcBorders>
              <w:bottom w:val="single" w:sz="8" w:color="auto"/>
            </w:tcBorders>
            <w:shd w:val="clear" w:color="auto" w:fill="E6EFFF"/>
          </w:tcPr>
          <w:p>
            <w:pPr>
              <w:jc w:val="right"/>
              <w:ind w:right="335"/>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837.3</w:t>
            </w:r>
          </w:p>
        </w:tc>
        <w:tc>
          <w:tcPr>
            <w:tcW w:w="600" w:type="dxa"/>
            <w:vAlign w:val="bottom"/>
            <w:tcBorders>
              <w:bottom w:val="single" w:sz="8" w:color="auto"/>
            </w:tcBorders>
            <w:shd w:val="clear" w:color="auto" w:fill="E6EFFF"/>
          </w:tcPr>
          <w:p>
            <w:pPr>
              <w:jc w:val="right"/>
              <w:ind w:right="432"/>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874.8</w:t>
            </w:r>
          </w:p>
        </w:tc>
        <w:tc>
          <w:tcPr>
            <w:tcW w:w="220" w:type="dxa"/>
            <w:vAlign w:val="bottom"/>
            <w:tcBorders>
              <w:bottom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370"/>
        </w:trPr>
        <w:tc>
          <w:tcPr>
            <w:tcW w:w="25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2520" w:type="dxa"/>
            <w:vAlign w:val="bottom"/>
          </w:tcPr>
          <w:p>
            <w:pPr>
              <w:spacing w:after="0"/>
              <w:rPr>
                <w:sz w:val="20"/>
                <w:szCs w:val="20"/>
                <w:color w:val="auto"/>
              </w:rPr>
            </w:pPr>
            <w:r>
              <w:rPr>
                <w:rFonts w:ascii="Arial" w:cs="Arial" w:eastAsia="Arial" w:hAnsi="Arial"/>
                <w:sz w:val="12"/>
                <w:szCs w:val="12"/>
                <w:b w:val="1"/>
                <w:bCs w:val="1"/>
                <w:color w:val="auto"/>
              </w:rPr>
              <w:t>60</w:t>
            </w:r>
          </w:p>
        </w:tc>
        <w:tc>
          <w:tcPr>
            <w:tcW w:w="6000" w:type="dxa"/>
            <w:vAlign w:val="bottom"/>
          </w:tcPr>
          <w:p>
            <w:pPr>
              <w:ind w:left="340"/>
              <w:spacing w:after="0"/>
              <w:rPr>
                <w:sz w:val="20"/>
                <w:szCs w:val="20"/>
                <w:color w:val="auto"/>
              </w:rPr>
            </w:pPr>
            <w:r>
              <w:rPr>
                <w:rFonts w:ascii="Arial" w:cs="Arial" w:eastAsia="Arial" w:hAnsi="Arial"/>
                <w:sz w:val="12"/>
                <w:szCs w:val="12"/>
                <w:b w:val="1"/>
                <w:bCs w:val="1"/>
                <w:color w:val="939598"/>
              </w:rPr>
              <w:t>Notes To Consolidated Financial Statements</w:t>
            </w:r>
          </w:p>
        </w:tc>
        <w:tc>
          <w:tcPr>
            <w:tcW w:w="2080" w:type="dxa"/>
            <w:vAlign w:val="bottom"/>
            <w:gridSpan w:val="3"/>
          </w:tcPr>
          <w:p>
            <w:pPr>
              <w:jc w:val="right"/>
              <w:ind w:right="232"/>
              <w:spacing w:after="0"/>
              <w:rPr>
                <w:sz w:val="20"/>
                <w:szCs w:val="20"/>
                <w:color w:val="auto"/>
              </w:rPr>
            </w:pPr>
            <w:r>
              <w:rPr>
                <w:rFonts w:ascii="Arial" w:cs="Arial" w:eastAsia="Arial" w:hAnsi="Arial"/>
                <w:sz w:val="12"/>
                <w:szCs w:val="12"/>
                <w:b w:val="1"/>
                <w:bCs w:val="1"/>
                <w:color w:val="auto"/>
              </w:rPr>
              <w:t>Manpower Annual Report 2008</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7"/>
        </w:trPr>
        <w:tc>
          <w:tcPr>
            <w:tcW w:w="2520" w:type="dxa"/>
            <w:vAlign w:val="bottom"/>
          </w:tcPr>
          <w:p>
            <w:pPr>
              <w:spacing w:after="0"/>
              <w:rPr>
                <w:sz w:val="4"/>
                <w:szCs w:val="4"/>
                <w:color w:val="auto"/>
              </w:rPr>
            </w:pPr>
          </w:p>
        </w:tc>
        <w:tc>
          <w:tcPr>
            <w:tcW w:w="6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2520" w:type="dxa"/>
            <w:vAlign w:val="bottom"/>
            <w:shd w:val="clear" w:color="auto" w:fill="808080"/>
          </w:tcPr>
          <w:p>
            <w:pPr>
              <w:spacing w:after="0"/>
              <w:rPr>
                <w:sz w:val="5"/>
                <w:szCs w:val="5"/>
                <w:color w:val="auto"/>
              </w:rPr>
            </w:pPr>
          </w:p>
        </w:tc>
        <w:tc>
          <w:tcPr>
            <w:tcW w:w="600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00"/>
          </w:cols>
          <w:pgMar w:left="220" w:top="114" w:right="179"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b w:val="1"/>
          <w:bCs w:val="1"/>
          <w:color w:val="4D8ABE"/>
        </w:rPr>
        <w:t>EURO NOTES</w:t>
      </w:r>
    </w:p>
    <w:p>
      <w:pPr>
        <w:spacing w:after="0" w:line="198"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On June 14, 2006, we offered and sold €200.0 aggregate principal amount of 4.75% notes due June 14, 2013 (the “€200.0 Notes”). The net proceeds of €198.1 ($249.5) were invested in cash equivalents until July 26, 2006, when they were used to repay our €200.0 notes due July 2006 (the “1999 €200.0 Notes”) as described below. The €200.0 Notes were issued at a price of 99.349% to yield an effective interest rate of 4.862% .. The discount of €1.3 ($1.6) is being amortized to interest expense over the term of the €200.0 Notes. Interest is payable annually on June 14. The €200.0 Notes are unsecured senior obligations and rank equally with all of our existing and future senior unsecured debt and other liabilities. We may redeem the €200.0 Notes, in whole but not in part, at our option at any time for a redemption price determined in accordance with the term of the €200.0 Notes. The €200.0 Notes also contain certain customary non-financial restrictive covenants and events of default.</w:t>
      </w:r>
    </w:p>
    <w:p>
      <w:pPr>
        <w:spacing w:after="0" w:line="175"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On June 1, 2005, we offered and sold €300.0 aggregate principal amount of 4.50% notes due June 1, 2012 (the “€300.0 Notes”). Net proceeds of approximately €297.7 ($372.3) were used to repay a portion of the outstanding indebtedness under our revolving credit facility and U.S. Receivables Facility, to fund our share repurchase program, and for general corporate purposes. The €300.0 Notes were issued at a price of 99.518% to yield an effective interest rate of 4.58% . The discount of €1.4 ($1.8) is being amortized to interest expense over the term of the notes. Interest is payable annually on June 1. The €300.0 Notes are unsecured senior obligations and rank equally with all of our existing and future senior unsecured debt and other liabilities. We may redeem the €300.0 Notes, in whole but not in part, at our option at any time for a redemption price as defined in the agreement. These notes also contain certain customary non-financial restrictive covenants and events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1999 €200.0 Notes ($254.3) were retired on July 26, 2006 with the net proceeds from the €200.0 Notes and other available cash.</w:t>
      </w:r>
    </w:p>
    <w:p>
      <w:pPr>
        <w:spacing w:after="0" w:line="186"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The €300.0 Notes, €200.0 Notes and other Euro-denominated borrowings have been designated as a hedge of our net investment in subsidiaries with a Euro functional currency. Since our net investment in these subsidiaries exceeds the respective amount of the designated borrowings, all translation gains or losses related to these borrowings are included as a component of Accumulated Other Comprehensive (Loss) Income.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REVOLVING CREDIT AGREEMENT</w:t>
      </w:r>
    </w:p>
    <w:p>
      <w:pPr>
        <w:spacing w:after="0" w:line="198"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have a $625.0 revolving credit agreement with a syndicate of commercial banks. The revolving credit agreement allows for borrowings in various currencies and up to $150.0 may be used for the issuance of stand-by letters of credit. Outstanding letters of credit issued under the agreement totaled $3.8 and $3.7 as of December 31, 2008 and 2007, respectively. Beginning in 2006, the letters of credit outstanding under the revolving credit agreement were substantially reduced as certain letters of credit have been issued directly by third parties rather than under the revolving credit agreement. Additional borrowings of $481.5 were available to us under this revolving credit agreement as of December 31, 2008.</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In November 2007, the revolving credit agreement was amended to extend the expiration date to November 2012 from October 2010, to revise certain covenant calculations, and increase the amount of subsidiary borrowings allowed under the agreement.</w:t>
      </w:r>
    </w:p>
    <w:p>
      <w:pPr>
        <w:spacing w:after="0" w:line="161"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The borrowing margin and facility fee on the credit agreement, as well as the fee paid for the issuance of letters of credit on the facility, vary based on our public debt ratings and borrowing level. As of December 31, 2008, the interest rate under the agreement was LIBOR plus 0.40% (for U.S. Dollar borrowings, or alternative base rate for foreign currency borrowings), and the facility and issuance fees were 0.10% and 0.40%, respectively.</w:t>
      </w:r>
    </w:p>
    <w:p>
      <w:pPr>
        <w:spacing w:after="0" w:line="167"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The credit agreement requires, among other things, that we comply with a Debt-to-EBITDA ratio of less than 3.25 to 1 and a fixed charge ratio of greater than 2.00 to 1. As defined in the agreement, we had a Debt-to-EBITDA ratio of 1.22 to 1 and a fixed charge ratio of 3.28 to 1.</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INTEREST RATE SWAP AGREEMENTS</w:t>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We have entered into various interest rate swap agreements to manage the interest rate and currency risk associated with our debt instruments. (See Note 13 for further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FAIR VALUE OF DEBT</w:t>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The carrying value of Long-Term Debt approximates fair value, except for the Euro-denominated notes which had a fair value, as determined by quoted market prices, as of December 31,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6220" w:type="dxa"/>
            <w:vAlign w:val="bottom"/>
            <w:tcBorders>
              <w:right w:val="single" w:sz="8" w:color="4D8ABE"/>
            </w:tcBorders>
          </w:tcPr>
          <w:p>
            <w:pPr>
              <w:spacing w:after="0"/>
              <w:rPr>
                <w:sz w:val="15"/>
                <w:szCs w:val="15"/>
                <w:color w:val="auto"/>
              </w:rPr>
            </w:pPr>
          </w:p>
        </w:tc>
        <w:tc>
          <w:tcPr>
            <w:tcW w:w="500" w:type="dxa"/>
            <w:vAlign w:val="bottom"/>
            <w:shd w:val="clear" w:color="auto" w:fill="4D8ABE"/>
          </w:tcPr>
          <w:p>
            <w:pPr>
              <w:spacing w:after="0"/>
              <w:rPr>
                <w:sz w:val="15"/>
                <w:szCs w:val="15"/>
                <w:color w:val="auto"/>
              </w:rPr>
            </w:pPr>
          </w:p>
        </w:tc>
        <w:tc>
          <w:tcPr>
            <w:tcW w:w="9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4D8ABE"/>
              </w:rPr>
              <w:t>2007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00" w:type="dxa"/>
            <w:vAlign w:val="bottom"/>
            <w:tcBorders>
              <w:top w:val="single" w:sz="8" w:color="4D8ABE"/>
              <w:bottom w:val="single" w:sz="8" w:color="auto"/>
            </w:tcBorders>
          </w:tcPr>
          <w:p>
            <w:pPr>
              <w:spacing w:after="0" w:line="155" w:lineRule="exact"/>
              <w:rPr>
                <w:sz w:val="20"/>
                <w:szCs w:val="20"/>
                <w:color w:val="auto"/>
              </w:rPr>
            </w:pPr>
            <w:r>
              <w:rPr>
                <w:rFonts w:ascii="Arial" w:cs="Arial" w:eastAsia="Arial" w:hAnsi="Arial"/>
                <w:sz w:val="14"/>
                <w:szCs w:val="14"/>
                <w:color w:val="auto"/>
              </w:rPr>
              <w:t>Euro-denominated notes</w:t>
            </w:r>
          </w:p>
        </w:tc>
        <w:tc>
          <w:tcPr>
            <w:tcW w:w="6220" w:type="dxa"/>
            <w:vAlign w:val="bottom"/>
            <w:tcBorders>
              <w:top w:val="single" w:sz="8" w:color="4D8ABE"/>
              <w:bottom w:val="single" w:sz="8" w:color="auto"/>
              <w:right w:val="single" w:sz="8" w:color="4D8ABE"/>
            </w:tcBorders>
          </w:tcPr>
          <w:p>
            <w:pPr>
              <w:spacing w:after="0"/>
              <w:rPr>
                <w:sz w:val="13"/>
                <w:szCs w:val="13"/>
                <w:color w:val="auto"/>
              </w:rPr>
            </w:pPr>
          </w:p>
        </w:tc>
        <w:tc>
          <w:tcPr>
            <w:tcW w:w="500" w:type="dxa"/>
            <w:vAlign w:val="bottom"/>
            <w:tcBorders>
              <w:top w:val="single" w:sz="8" w:color="4D8ABE"/>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4D8ABE"/>
              </w:rPr>
              <w:t>$</w:t>
            </w:r>
          </w:p>
        </w:tc>
        <w:tc>
          <w:tcPr>
            <w:tcW w:w="980" w:type="dxa"/>
            <w:vAlign w:val="bottom"/>
            <w:tcBorders>
              <w:top w:val="single" w:sz="8" w:color="4D8ABE"/>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654.7</w:t>
            </w:r>
          </w:p>
        </w:tc>
        <w:tc>
          <w:tcPr>
            <w:tcW w:w="500" w:type="dxa"/>
            <w:vAlign w:val="bottom"/>
            <w:tcBorders>
              <w:top w:val="single" w:sz="8" w:color="4D8ABE"/>
              <w:bottom w:val="single" w:sz="8" w:color="auto"/>
            </w:tcBorders>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4D8ABE"/>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722.5</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23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300" w:type="dxa"/>
            <w:vAlign w:val="bottom"/>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720" w:type="dxa"/>
            <w:vAlign w:val="bottom"/>
            <w:gridSpan w:val="2"/>
            <w:vMerge w:val="restart"/>
          </w:tcPr>
          <w:p>
            <w:pPr>
              <w:jc w:val="right"/>
              <w:ind w:right="3612"/>
              <w:spacing w:after="0"/>
              <w:rPr>
                <w:sz w:val="20"/>
                <w:szCs w:val="20"/>
                <w:color w:val="auto"/>
              </w:rPr>
            </w:pPr>
            <w:r>
              <w:rPr>
                <w:rFonts w:ascii="Arial" w:cs="Arial" w:eastAsia="Arial" w:hAnsi="Arial"/>
                <w:sz w:val="12"/>
                <w:szCs w:val="12"/>
                <w:b w:val="1"/>
                <w:bCs w:val="1"/>
                <w:color w:val="939598"/>
              </w:rPr>
              <w:t>Notes To Consolidated Financial Statements</w:t>
            </w: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b w:val="1"/>
                <w:bCs w:val="1"/>
                <w:color w:val="auto"/>
              </w:rPr>
              <w:t>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72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22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2" w:right="1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DEBT MATURITIES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maturities of Long-Term Debt payable within each of the four years subsequent to December 31, 2009 are as follows: 2010 – $0.8, 2011 – $0.1, 2012 – $558.0, and 2013 – $278.4.</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Retirement And Deferred Compensation Plans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DEFINED BENEFIT PLANS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4D8ABE"/>
              </w:rPr>
              <w:t>U.S. Plans</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4D8ABE"/>
              </w:rPr>
              <w:t>Non-U.S. Plans</w:t>
            </w:r>
          </w:p>
        </w:tc>
      </w:tr>
      <w:tr>
        <w:trPr>
          <w:trHeight w:val="155"/>
        </w:trPr>
        <w:tc>
          <w:tcPr>
            <w:tcW w:w="5560" w:type="dxa"/>
            <w:vAlign w:val="bottom"/>
            <w:tcBorders>
              <w:top w:val="single" w:sz="8" w:color="4D8ABE"/>
              <w:bottom w:val="single" w:sz="8" w:color="4D8ABE"/>
              <w:right w:val="single" w:sz="8" w:color="4D8ABE"/>
            </w:tcBorders>
          </w:tcPr>
          <w:p>
            <w:pPr>
              <w:spacing w:after="0" w:line="155" w:lineRule="exact"/>
              <w:rPr>
                <w:sz w:val="20"/>
                <w:szCs w:val="20"/>
                <w:color w:val="auto"/>
              </w:rPr>
            </w:pPr>
            <w:r>
              <w:rPr>
                <w:rFonts w:ascii="Arial" w:cs="Arial" w:eastAsia="Arial" w:hAnsi="Arial"/>
                <w:sz w:val="14"/>
                <w:szCs w:val="14"/>
                <w:color w:val="4D8ABE"/>
              </w:rPr>
              <w:t>Year Ended December 31</w:t>
            </w:r>
          </w:p>
        </w:tc>
        <w:tc>
          <w:tcPr>
            <w:tcW w:w="520" w:type="dxa"/>
            <w:vAlign w:val="bottom"/>
            <w:tcBorders>
              <w:top w:val="single" w:sz="8" w:color="4D8ABE"/>
              <w:bottom w:val="single" w:sz="8" w:color="4D8ABE"/>
            </w:tcBorders>
            <w:shd w:val="clear" w:color="auto" w:fill="4D8ABE"/>
          </w:tcPr>
          <w:p>
            <w:pPr>
              <w:spacing w:after="0"/>
              <w:rPr>
                <w:sz w:val="13"/>
                <w:szCs w:val="13"/>
                <w:color w:val="auto"/>
              </w:rPr>
            </w:pPr>
          </w:p>
        </w:tc>
        <w:tc>
          <w:tcPr>
            <w:tcW w:w="960" w:type="dxa"/>
            <w:vAlign w:val="bottom"/>
            <w:tcBorders>
              <w:top w:val="single" w:sz="8" w:color="4D8ABE"/>
              <w:bottom w:val="single" w:sz="8" w:color="4D8ABE"/>
              <w:right w:val="single" w:sz="8" w:color="4D8ABE"/>
            </w:tcBorders>
            <w:shd w:val="clear" w:color="auto" w:fill="4D8ABE"/>
          </w:tcPr>
          <w:p>
            <w:pPr>
              <w:jc w:val="right"/>
              <w:ind w:right="172"/>
              <w:spacing w:after="0" w:line="155" w:lineRule="exact"/>
              <w:rPr>
                <w:sz w:val="20"/>
                <w:szCs w:val="20"/>
                <w:color w:val="auto"/>
              </w:rPr>
            </w:pPr>
            <w:r>
              <w:rPr>
                <w:rFonts w:ascii="Arial" w:cs="Arial" w:eastAsia="Arial" w:hAnsi="Arial"/>
                <w:sz w:val="14"/>
                <w:szCs w:val="14"/>
                <w:b w:val="1"/>
                <w:bCs w:val="1"/>
                <w:color w:val="FFFFFF"/>
              </w:rPr>
              <w:t>2008</w:t>
            </w:r>
          </w:p>
        </w:tc>
        <w:tc>
          <w:tcPr>
            <w:tcW w:w="340" w:type="dxa"/>
            <w:vAlign w:val="bottom"/>
            <w:tcBorders>
              <w:top w:val="single" w:sz="8" w:color="4D8ABE"/>
              <w:bottom w:val="single" w:sz="8" w:color="4D8ABE"/>
            </w:tcBorders>
          </w:tcPr>
          <w:p>
            <w:pPr>
              <w:spacing w:after="0"/>
              <w:rPr>
                <w:sz w:val="13"/>
                <w:szCs w:val="13"/>
                <w:color w:val="auto"/>
              </w:rPr>
            </w:pPr>
          </w:p>
        </w:tc>
        <w:tc>
          <w:tcPr>
            <w:tcW w:w="900" w:type="dxa"/>
            <w:vAlign w:val="bottom"/>
            <w:tcBorders>
              <w:top w:val="single" w:sz="8" w:color="4D8ABE"/>
              <w:bottom w:val="single" w:sz="8" w:color="4D8ABE"/>
            </w:tcBorders>
          </w:tcPr>
          <w:p>
            <w:pPr>
              <w:jc w:val="right"/>
              <w:spacing w:after="0" w:line="155" w:lineRule="exact"/>
              <w:rPr>
                <w:sz w:val="20"/>
                <w:szCs w:val="20"/>
                <w:color w:val="auto"/>
              </w:rPr>
            </w:pPr>
            <w:r>
              <w:rPr>
                <w:rFonts w:ascii="Arial" w:cs="Arial" w:eastAsia="Arial" w:hAnsi="Arial"/>
                <w:sz w:val="14"/>
                <w:szCs w:val="14"/>
                <w:color w:val="4D8ABE"/>
              </w:rPr>
              <w:t>2007</w:t>
            </w:r>
          </w:p>
        </w:tc>
        <w:tc>
          <w:tcPr>
            <w:tcW w:w="260" w:type="dxa"/>
            <w:vAlign w:val="bottom"/>
            <w:tcBorders>
              <w:bottom w:val="single" w:sz="8" w:color="E6EFFF"/>
              <w:right w:val="single" w:sz="8" w:color="4D8ABE"/>
            </w:tcBorders>
          </w:tcPr>
          <w:p>
            <w:pPr>
              <w:spacing w:after="0"/>
              <w:rPr>
                <w:sz w:val="13"/>
                <w:szCs w:val="13"/>
                <w:color w:val="auto"/>
              </w:rPr>
            </w:pPr>
          </w:p>
        </w:tc>
        <w:tc>
          <w:tcPr>
            <w:tcW w:w="480" w:type="dxa"/>
            <w:vAlign w:val="bottom"/>
            <w:tcBorders>
              <w:top w:val="single" w:sz="8" w:color="4D8ABE"/>
              <w:bottom w:val="single" w:sz="8" w:color="4D8ABE"/>
            </w:tcBorders>
            <w:shd w:val="clear" w:color="auto" w:fill="4D8ABE"/>
          </w:tcPr>
          <w:p>
            <w:pPr>
              <w:spacing w:after="0"/>
              <w:rPr>
                <w:sz w:val="13"/>
                <w:szCs w:val="13"/>
                <w:color w:val="auto"/>
              </w:rPr>
            </w:pPr>
          </w:p>
        </w:tc>
        <w:tc>
          <w:tcPr>
            <w:tcW w:w="980" w:type="dxa"/>
            <w:vAlign w:val="bottom"/>
            <w:tcBorders>
              <w:top w:val="single" w:sz="8" w:color="4D8ABE"/>
              <w:bottom w:val="single" w:sz="8" w:color="4D8ABE"/>
              <w:right w:val="single" w:sz="8" w:color="4D8ABE"/>
            </w:tcBorders>
            <w:shd w:val="clear" w:color="auto" w:fill="4D8ABE"/>
          </w:tcPr>
          <w:p>
            <w:pPr>
              <w:jc w:val="right"/>
              <w:ind w:right="172"/>
              <w:spacing w:after="0" w:line="155" w:lineRule="exact"/>
              <w:rPr>
                <w:sz w:val="20"/>
                <w:szCs w:val="20"/>
                <w:color w:val="auto"/>
              </w:rPr>
            </w:pPr>
            <w:r>
              <w:rPr>
                <w:rFonts w:ascii="Arial" w:cs="Arial" w:eastAsia="Arial" w:hAnsi="Arial"/>
                <w:sz w:val="14"/>
                <w:szCs w:val="14"/>
                <w:b w:val="1"/>
                <w:bCs w:val="1"/>
                <w:color w:val="FFFFFF"/>
              </w:rPr>
              <w:t>2008</w:t>
            </w:r>
          </w:p>
        </w:tc>
        <w:tc>
          <w:tcPr>
            <w:tcW w:w="200" w:type="dxa"/>
            <w:vAlign w:val="bottom"/>
            <w:tcBorders>
              <w:top w:val="single" w:sz="8" w:color="4D8ABE"/>
              <w:bottom w:val="single" w:sz="8" w:color="4D8ABE"/>
            </w:tcBorders>
          </w:tcPr>
          <w:p>
            <w:pPr>
              <w:spacing w:after="0"/>
              <w:rPr>
                <w:sz w:val="13"/>
                <w:szCs w:val="13"/>
                <w:color w:val="auto"/>
              </w:rPr>
            </w:pPr>
          </w:p>
        </w:tc>
        <w:tc>
          <w:tcPr>
            <w:tcW w:w="1040" w:type="dxa"/>
            <w:vAlign w:val="bottom"/>
            <w:tcBorders>
              <w:top w:val="single" w:sz="8" w:color="4D8ABE"/>
              <w:bottom w:val="single" w:sz="8" w:color="4D8ABE"/>
            </w:tcBorders>
          </w:tcPr>
          <w:p>
            <w:pPr>
              <w:jc w:val="right"/>
              <w:spacing w:after="0" w:line="155" w:lineRule="exact"/>
              <w:rPr>
                <w:sz w:val="20"/>
                <w:szCs w:val="20"/>
                <w:color w:val="auto"/>
              </w:rPr>
            </w:pPr>
            <w:r>
              <w:rPr>
                <w:rFonts w:ascii="Arial" w:cs="Arial" w:eastAsia="Arial" w:hAnsi="Arial"/>
                <w:sz w:val="14"/>
                <w:szCs w:val="14"/>
                <w:color w:val="4D8ABE"/>
              </w:rPr>
              <w:t>2007</w:t>
            </w:r>
          </w:p>
        </w:tc>
        <w:tc>
          <w:tcPr>
            <w:tcW w:w="220" w:type="dxa"/>
            <w:vAlign w:val="bottom"/>
            <w:tcBorders>
              <w:bottom w:val="single" w:sz="8" w:color="E6EFFF"/>
            </w:tcBorders>
          </w:tcPr>
          <w:p>
            <w:pPr>
              <w:spacing w:after="0"/>
              <w:rPr>
                <w:sz w:val="13"/>
                <w:szCs w:val="13"/>
                <w:color w:val="auto"/>
              </w:rPr>
            </w:pPr>
          </w:p>
        </w:tc>
      </w:tr>
      <w:tr>
        <w:trPr>
          <w:trHeight w:val="144"/>
        </w:trPr>
        <w:tc>
          <w:tcPr>
            <w:tcW w:w="5560" w:type="dxa"/>
            <w:vAlign w:val="bottom"/>
            <w:tcBorders>
              <w:right w:val="single" w:sz="8" w:color="4D8ABE"/>
            </w:tcBorders>
            <w:shd w:val="clear" w:color="auto" w:fill="E6EFFF"/>
          </w:tcPr>
          <w:p>
            <w:pPr>
              <w:spacing w:after="0" w:line="145" w:lineRule="exact"/>
              <w:rPr>
                <w:sz w:val="20"/>
                <w:szCs w:val="20"/>
                <w:color w:val="auto"/>
              </w:rPr>
            </w:pPr>
            <w:r>
              <w:rPr>
                <w:rFonts w:ascii="Arial" w:cs="Arial" w:eastAsia="Arial" w:hAnsi="Arial"/>
                <w:sz w:val="14"/>
                <w:szCs w:val="14"/>
                <w:b w:val="1"/>
                <w:bCs w:val="1"/>
                <w:color w:val="939598"/>
              </w:rPr>
              <w:t>Change in Benefit Obligation</w:t>
            </w:r>
          </w:p>
        </w:tc>
        <w:tc>
          <w:tcPr>
            <w:tcW w:w="520" w:type="dxa"/>
            <w:vAlign w:val="bottom"/>
            <w:shd w:val="clear" w:color="auto" w:fill="E6EFFF"/>
          </w:tcPr>
          <w:p>
            <w:pPr>
              <w:spacing w:after="0"/>
              <w:rPr>
                <w:sz w:val="12"/>
                <w:szCs w:val="12"/>
                <w:color w:val="auto"/>
              </w:rPr>
            </w:pPr>
          </w:p>
        </w:tc>
        <w:tc>
          <w:tcPr>
            <w:tcW w:w="960" w:type="dxa"/>
            <w:vAlign w:val="bottom"/>
            <w:tcBorders>
              <w:right w:val="single" w:sz="8" w:color="4D8ABE"/>
            </w:tcBorders>
            <w:shd w:val="clear" w:color="auto" w:fill="E6EFFF"/>
          </w:tcPr>
          <w:p>
            <w:pPr>
              <w:spacing w:after="0"/>
              <w:rPr>
                <w:sz w:val="12"/>
                <w:szCs w:val="12"/>
                <w:color w:val="auto"/>
              </w:rPr>
            </w:pPr>
          </w:p>
        </w:tc>
        <w:tc>
          <w:tcPr>
            <w:tcW w:w="340" w:type="dxa"/>
            <w:vAlign w:val="bottom"/>
            <w:shd w:val="clear" w:color="auto" w:fill="E6EFFF"/>
          </w:tcPr>
          <w:p>
            <w:pPr>
              <w:spacing w:after="0"/>
              <w:rPr>
                <w:sz w:val="12"/>
                <w:szCs w:val="12"/>
                <w:color w:val="auto"/>
              </w:rPr>
            </w:pPr>
          </w:p>
        </w:tc>
        <w:tc>
          <w:tcPr>
            <w:tcW w:w="900" w:type="dxa"/>
            <w:vAlign w:val="bottom"/>
            <w:shd w:val="clear" w:color="auto" w:fill="E6EFFF"/>
          </w:tcPr>
          <w:p>
            <w:pPr>
              <w:spacing w:after="0"/>
              <w:rPr>
                <w:sz w:val="12"/>
                <w:szCs w:val="12"/>
                <w:color w:val="auto"/>
              </w:rPr>
            </w:pPr>
          </w:p>
        </w:tc>
        <w:tc>
          <w:tcPr>
            <w:tcW w:w="260" w:type="dxa"/>
            <w:vAlign w:val="bottom"/>
            <w:tcBorders>
              <w:right w:val="single" w:sz="8" w:color="4D8ABE"/>
            </w:tcBorders>
            <w:shd w:val="clear" w:color="auto" w:fill="E6EFFF"/>
          </w:tcPr>
          <w:p>
            <w:pPr>
              <w:spacing w:after="0"/>
              <w:rPr>
                <w:sz w:val="12"/>
                <w:szCs w:val="12"/>
                <w:color w:val="auto"/>
              </w:rPr>
            </w:pPr>
          </w:p>
        </w:tc>
        <w:tc>
          <w:tcPr>
            <w:tcW w:w="480" w:type="dxa"/>
            <w:vAlign w:val="bottom"/>
            <w:shd w:val="clear" w:color="auto" w:fill="E6EFFF"/>
          </w:tcPr>
          <w:p>
            <w:pPr>
              <w:spacing w:after="0"/>
              <w:rPr>
                <w:sz w:val="12"/>
                <w:szCs w:val="12"/>
                <w:color w:val="auto"/>
              </w:rPr>
            </w:pPr>
          </w:p>
        </w:tc>
        <w:tc>
          <w:tcPr>
            <w:tcW w:w="980" w:type="dxa"/>
            <w:vAlign w:val="bottom"/>
            <w:tcBorders>
              <w:right w:val="single" w:sz="8" w:color="4D8ABE"/>
            </w:tcBorders>
            <w:shd w:val="clear" w:color="auto" w:fill="E6EFFF"/>
          </w:tcPr>
          <w:p>
            <w:pPr>
              <w:spacing w:after="0"/>
              <w:rPr>
                <w:sz w:val="12"/>
                <w:szCs w:val="12"/>
                <w:color w:val="auto"/>
              </w:rPr>
            </w:pPr>
          </w:p>
        </w:tc>
        <w:tc>
          <w:tcPr>
            <w:tcW w:w="200" w:type="dxa"/>
            <w:vAlign w:val="bottom"/>
            <w:shd w:val="clear" w:color="auto" w:fill="E6EFFF"/>
          </w:tcPr>
          <w:p>
            <w:pPr>
              <w:spacing w:after="0"/>
              <w:rPr>
                <w:sz w:val="12"/>
                <w:szCs w:val="12"/>
                <w:color w:val="auto"/>
              </w:rPr>
            </w:pPr>
          </w:p>
        </w:tc>
        <w:tc>
          <w:tcPr>
            <w:tcW w:w="1040" w:type="dxa"/>
            <w:vAlign w:val="bottom"/>
            <w:shd w:val="clear" w:color="auto" w:fill="E6EFFF"/>
          </w:tcPr>
          <w:p>
            <w:pPr>
              <w:spacing w:after="0"/>
              <w:rPr>
                <w:sz w:val="12"/>
                <w:szCs w:val="12"/>
                <w:color w:val="auto"/>
              </w:rPr>
            </w:pPr>
          </w:p>
        </w:tc>
        <w:tc>
          <w:tcPr>
            <w:tcW w:w="220" w:type="dxa"/>
            <w:vAlign w:val="bottom"/>
            <w:shd w:val="clear" w:color="auto" w:fill="E6EFFF"/>
          </w:tcPr>
          <w:p>
            <w:pPr>
              <w:spacing w:after="0"/>
              <w:rPr>
                <w:sz w:val="12"/>
                <w:szCs w:val="12"/>
                <w:color w:val="auto"/>
              </w:rPr>
            </w:pPr>
          </w:p>
        </w:tc>
      </w:tr>
      <w:tr>
        <w:trPr>
          <w:trHeight w:val="154"/>
        </w:trPr>
        <w:tc>
          <w:tcPr>
            <w:tcW w:w="5560" w:type="dxa"/>
            <w:vAlign w:val="bottom"/>
            <w:tcBorders>
              <w:right w:val="single" w:sz="8" w:color="4D8ABE"/>
            </w:tcBorders>
          </w:tcPr>
          <w:p>
            <w:pPr>
              <w:spacing w:after="0" w:line="154" w:lineRule="exact"/>
              <w:rPr>
                <w:sz w:val="20"/>
                <w:szCs w:val="20"/>
                <w:color w:val="auto"/>
              </w:rPr>
            </w:pPr>
            <w:r>
              <w:rPr>
                <w:rFonts w:ascii="Arial" w:cs="Arial" w:eastAsia="Arial" w:hAnsi="Arial"/>
                <w:sz w:val="14"/>
                <w:szCs w:val="14"/>
                <w:color w:val="auto"/>
              </w:rPr>
              <w:t>Benefit obligation, beginning of year</w:t>
            </w:r>
          </w:p>
        </w:tc>
        <w:tc>
          <w:tcPr>
            <w:tcW w:w="520" w:type="dxa"/>
            <w:vAlign w:val="bottom"/>
          </w:tcPr>
          <w:p>
            <w:pPr>
              <w:jc w:val="right"/>
              <w:ind w:right="352"/>
              <w:spacing w:after="0" w:line="154" w:lineRule="exact"/>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49.8</w:t>
            </w:r>
          </w:p>
        </w:tc>
        <w:tc>
          <w:tcPr>
            <w:tcW w:w="34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4" w:lineRule="exact"/>
              <w:rPr>
                <w:sz w:val="20"/>
                <w:szCs w:val="20"/>
                <w:color w:val="auto"/>
              </w:rPr>
            </w:pPr>
            <w:r>
              <w:rPr>
                <w:rFonts w:ascii="Arial" w:cs="Arial" w:eastAsia="Arial" w:hAnsi="Arial"/>
                <w:sz w:val="14"/>
                <w:szCs w:val="14"/>
                <w:color w:val="auto"/>
              </w:rPr>
              <w:t>50.0</w:t>
            </w:r>
          </w:p>
        </w:tc>
        <w:tc>
          <w:tcPr>
            <w:tcW w:w="260" w:type="dxa"/>
            <w:vAlign w:val="bottom"/>
            <w:tcBorders>
              <w:right w:val="single" w:sz="8" w:color="4D8ABE"/>
            </w:tcBorders>
          </w:tcPr>
          <w:p>
            <w:pPr>
              <w:spacing w:after="0"/>
              <w:rPr>
                <w:sz w:val="13"/>
                <w:szCs w:val="13"/>
                <w:color w:val="auto"/>
              </w:rPr>
            </w:pPr>
          </w:p>
        </w:tc>
        <w:tc>
          <w:tcPr>
            <w:tcW w:w="480" w:type="dxa"/>
            <w:vAlign w:val="bottom"/>
          </w:tcPr>
          <w:p>
            <w:pPr>
              <w:jc w:val="right"/>
              <w:ind w:right="332"/>
              <w:spacing w:after="0" w:line="154" w:lineRule="exact"/>
              <w:rPr>
                <w:sz w:val="20"/>
                <w:szCs w:val="20"/>
                <w:color w:val="auto"/>
              </w:rPr>
            </w:pPr>
            <w:r>
              <w:rPr>
                <w:rFonts w:ascii="Arial" w:cs="Arial" w:eastAsia="Arial" w:hAnsi="Arial"/>
                <w:sz w:val="14"/>
                <w:szCs w:val="14"/>
                <w:b w:val="1"/>
                <w:bCs w:val="1"/>
                <w:color w:val="4D8ABE"/>
                <w:w w:val="76"/>
              </w:rPr>
              <w:t>$</w:t>
            </w:r>
          </w:p>
        </w:tc>
        <w:tc>
          <w:tcPr>
            <w:tcW w:w="98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243.8</w:t>
            </w:r>
          </w:p>
        </w:tc>
        <w:tc>
          <w:tcPr>
            <w:tcW w:w="200" w:type="dxa"/>
            <w:vAlign w:val="bottom"/>
          </w:tcPr>
          <w:p>
            <w:pPr>
              <w:jc w:val="right"/>
              <w:ind w:right="32"/>
              <w:spacing w:after="0" w:line="154"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250.4</w:t>
            </w:r>
          </w:p>
        </w:tc>
      </w:tr>
      <w:tr>
        <w:trPr>
          <w:trHeight w:val="154"/>
        </w:trPr>
        <w:tc>
          <w:tcPr>
            <w:tcW w:w="5560" w:type="dxa"/>
            <w:vAlign w:val="bottom"/>
            <w:tcBorders>
              <w:right w:val="single" w:sz="8" w:color="4D8ABE"/>
            </w:tcBorders>
            <w:shd w:val="clear" w:color="auto" w:fill="E6EFFF"/>
          </w:tcPr>
          <w:p>
            <w:pPr>
              <w:ind w:left="120"/>
              <w:spacing w:after="0" w:line="154" w:lineRule="exact"/>
              <w:rPr>
                <w:sz w:val="20"/>
                <w:szCs w:val="20"/>
                <w:color w:val="auto"/>
              </w:rPr>
            </w:pPr>
            <w:r>
              <w:rPr>
                <w:rFonts w:ascii="Arial" w:cs="Arial" w:eastAsia="Arial" w:hAnsi="Arial"/>
                <w:sz w:val="14"/>
                <w:szCs w:val="14"/>
                <w:color w:val="auto"/>
              </w:rPr>
              <w:t>Service cost</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0.1</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0.1</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14.3</w:t>
            </w:r>
          </w:p>
        </w:tc>
        <w:tc>
          <w:tcPr>
            <w:tcW w:w="200" w:type="dxa"/>
            <w:vAlign w:val="bottom"/>
            <w:shd w:val="clear" w:color="auto" w:fill="E6EFFF"/>
          </w:tcPr>
          <w:p>
            <w:pPr>
              <w:spacing w:after="0"/>
              <w:rPr>
                <w:sz w:val="13"/>
                <w:szCs w:val="13"/>
                <w:color w:val="auto"/>
              </w:rPr>
            </w:pPr>
          </w:p>
        </w:tc>
        <w:tc>
          <w:tcPr>
            <w:tcW w:w="1040" w:type="dxa"/>
            <w:vAlign w:val="bottom"/>
            <w:shd w:val="clear" w:color="auto" w:fill="E6EFFF"/>
          </w:tcPr>
          <w:p>
            <w:pPr>
              <w:jc w:val="right"/>
              <w:spacing w:after="0" w:line="154" w:lineRule="exact"/>
              <w:rPr>
                <w:sz w:val="20"/>
                <w:szCs w:val="20"/>
                <w:color w:val="auto"/>
              </w:rPr>
            </w:pPr>
            <w:r>
              <w:rPr>
                <w:rFonts w:ascii="Arial" w:cs="Arial" w:eastAsia="Arial" w:hAnsi="Arial"/>
                <w:sz w:val="14"/>
                <w:szCs w:val="14"/>
                <w:color w:val="auto"/>
              </w:rPr>
              <w:t>14.0</w:t>
            </w:r>
          </w:p>
        </w:tc>
        <w:tc>
          <w:tcPr>
            <w:tcW w:w="220" w:type="dxa"/>
            <w:vAlign w:val="bottom"/>
            <w:shd w:val="clear" w:color="auto" w:fill="E6EFFF"/>
          </w:tcPr>
          <w:p>
            <w:pPr>
              <w:spacing w:after="0"/>
              <w:rPr>
                <w:sz w:val="13"/>
                <w:szCs w:val="13"/>
                <w:color w:val="auto"/>
              </w:rPr>
            </w:pPr>
          </w:p>
        </w:tc>
      </w:tr>
      <w:tr>
        <w:trPr>
          <w:trHeight w:val="154"/>
        </w:trPr>
        <w:tc>
          <w:tcPr>
            <w:tcW w:w="5560" w:type="dxa"/>
            <w:vAlign w:val="bottom"/>
            <w:tcBorders>
              <w:right w:val="single" w:sz="8" w:color="4D8ABE"/>
            </w:tcBorders>
          </w:tcPr>
          <w:p>
            <w:pPr>
              <w:ind w:left="120"/>
              <w:spacing w:after="0" w:line="154" w:lineRule="exact"/>
              <w:rPr>
                <w:sz w:val="20"/>
                <w:szCs w:val="20"/>
                <w:color w:val="auto"/>
              </w:rPr>
            </w:pPr>
            <w:r>
              <w:rPr>
                <w:rFonts w:ascii="Arial" w:cs="Arial" w:eastAsia="Arial" w:hAnsi="Arial"/>
                <w:sz w:val="14"/>
                <w:szCs w:val="14"/>
                <w:color w:val="auto"/>
              </w:rPr>
              <w:t>Interest cost</w:t>
            </w:r>
          </w:p>
        </w:tc>
        <w:tc>
          <w:tcPr>
            <w:tcW w:w="520" w:type="dxa"/>
            <w:vAlign w:val="bottom"/>
          </w:tcPr>
          <w:p>
            <w:pPr>
              <w:spacing w:after="0"/>
              <w:rPr>
                <w:sz w:val="13"/>
                <w:szCs w:val="13"/>
                <w:color w:val="auto"/>
              </w:rPr>
            </w:pPr>
          </w:p>
        </w:tc>
        <w:tc>
          <w:tcPr>
            <w:tcW w:w="96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3.6</w:t>
            </w:r>
          </w:p>
        </w:tc>
        <w:tc>
          <w:tcPr>
            <w:tcW w:w="340" w:type="dxa"/>
            <w:vAlign w:val="bottom"/>
          </w:tcPr>
          <w:p>
            <w:pPr>
              <w:spacing w:after="0"/>
              <w:rPr>
                <w:sz w:val="13"/>
                <w:szCs w:val="13"/>
                <w:color w:val="auto"/>
              </w:rPr>
            </w:pPr>
          </w:p>
        </w:tc>
        <w:tc>
          <w:tcPr>
            <w:tcW w:w="1160" w:type="dxa"/>
            <w:vAlign w:val="bottom"/>
            <w:tcBorders>
              <w:right w:val="single" w:sz="8" w:color="4D8ABE"/>
            </w:tcBorders>
            <w:gridSpan w:val="2"/>
          </w:tcPr>
          <w:p>
            <w:pPr>
              <w:jc w:val="right"/>
              <w:ind w:right="220"/>
              <w:spacing w:after="0" w:line="154" w:lineRule="exact"/>
              <w:rPr>
                <w:sz w:val="20"/>
                <w:szCs w:val="20"/>
                <w:color w:val="auto"/>
              </w:rPr>
            </w:pPr>
            <w:r>
              <w:rPr>
                <w:rFonts w:ascii="Arial" w:cs="Arial" w:eastAsia="Arial" w:hAnsi="Arial"/>
                <w:sz w:val="14"/>
                <w:szCs w:val="14"/>
                <w:color w:val="auto"/>
              </w:rPr>
              <w:t>2.8</w:t>
            </w:r>
          </w:p>
        </w:tc>
        <w:tc>
          <w:tcPr>
            <w:tcW w:w="480" w:type="dxa"/>
            <w:vAlign w:val="bottom"/>
          </w:tcPr>
          <w:p>
            <w:pPr>
              <w:spacing w:after="0"/>
              <w:rPr>
                <w:sz w:val="13"/>
                <w:szCs w:val="13"/>
                <w:color w:val="auto"/>
              </w:rPr>
            </w:pPr>
          </w:p>
        </w:tc>
        <w:tc>
          <w:tcPr>
            <w:tcW w:w="98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12.3</w:t>
            </w:r>
          </w:p>
        </w:tc>
        <w:tc>
          <w:tcPr>
            <w:tcW w:w="200" w:type="dxa"/>
            <w:vAlign w:val="bottom"/>
          </w:tcPr>
          <w:p>
            <w:pPr>
              <w:spacing w:after="0"/>
              <w:rPr>
                <w:sz w:val="13"/>
                <w:szCs w:val="13"/>
                <w:color w:val="auto"/>
              </w:rPr>
            </w:pPr>
          </w:p>
        </w:tc>
        <w:tc>
          <w:tcPr>
            <w:tcW w:w="1040" w:type="dxa"/>
            <w:vAlign w:val="bottom"/>
          </w:tcPr>
          <w:p>
            <w:pPr>
              <w:jc w:val="right"/>
              <w:spacing w:after="0" w:line="154" w:lineRule="exact"/>
              <w:rPr>
                <w:sz w:val="20"/>
                <w:szCs w:val="20"/>
                <w:color w:val="auto"/>
              </w:rPr>
            </w:pPr>
            <w:r>
              <w:rPr>
                <w:rFonts w:ascii="Arial" w:cs="Arial" w:eastAsia="Arial" w:hAnsi="Arial"/>
                <w:sz w:val="14"/>
                <w:szCs w:val="14"/>
                <w:color w:val="auto"/>
              </w:rPr>
              <w:t>11.5</w:t>
            </w:r>
          </w:p>
        </w:tc>
        <w:tc>
          <w:tcPr>
            <w:tcW w:w="220" w:type="dxa"/>
            <w:vAlign w:val="bottom"/>
          </w:tcPr>
          <w:p>
            <w:pPr>
              <w:spacing w:after="0"/>
              <w:rPr>
                <w:sz w:val="13"/>
                <w:szCs w:val="13"/>
                <w:color w:val="auto"/>
              </w:rPr>
            </w:pPr>
          </w:p>
        </w:tc>
      </w:tr>
      <w:tr>
        <w:trPr>
          <w:trHeight w:val="154"/>
        </w:trPr>
        <w:tc>
          <w:tcPr>
            <w:tcW w:w="5560" w:type="dxa"/>
            <w:vAlign w:val="bottom"/>
            <w:tcBorders>
              <w:right w:val="single" w:sz="8" w:color="4D8ABE"/>
            </w:tcBorders>
            <w:shd w:val="clear" w:color="auto" w:fill="E6EFFF"/>
          </w:tcPr>
          <w:p>
            <w:pPr>
              <w:ind w:left="120"/>
              <w:spacing w:after="0" w:line="154" w:lineRule="exact"/>
              <w:rPr>
                <w:sz w:val="20"/>
                <w:szCs w:val="20"/>
                <w:color w:val="auto"/>
              </w:rPr>
            </w:pPr>
            <w:r>
              <w:rPr>
                <w:rFonts w:ascii="Arial" w:cs="Arial" w:eastAsia="Arial" w:hAnsi="Arial"/>
                <w:sz w:val="14"/>
                <w:szCs w:val="14"/>
                <w:color w:val="auto"/>
              </w:rPr>
              <w:t>Plan amendments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10.5</w:t>
            </w:r>
          </w:p>
        </w:tc>
        <w:tc>
          <w:tcPr>
            <w:tcW w:w="200" w:type="dxa"/>
            <w:vAlign w:val="bottom"/>
            <w:shd w:val="clear" w:color="auto" w:fill="E6EFFF"/>
          </w:tcPr>
          <w:p>
            <w:pPr>
              <w:spacing w:after="0"/>
              <w:rPr>
                <w:sz w:val="13"/>
                <w:szCs w:val="13"/>
                <w:color w:val="auto"/>
              </w:rPr>
            </w:pPr>
          </w:p>
        </w:tc>
        <w:tc>
          <w:tcPr>
            <w:tcW w:w="1260" w:type="dxa"/>
            <w:vAlign w:val="bottom"/>
            <w:gridSpan w:val="2"/>
            <w:shd w:val="clear" w:color="auto" w:fill="E6EFFF"/>
          </w:tcPr>
          <w:p>
            <w:pPr>
              <w:jc w:val="right"/>
              <w:ind w:right="180"/>
              <w:spacing w:after="0" w:line="154" w:lineRule="exact"/>
              <w:rPr>
                <w:sz w:val="20"/>
                <w:szCs w:val="20"/>
                <w:color w:val="auto"/>
              </w:rPr>
            </w:pPr>
            <w:r>
              <w:rPr>
                <w:rFonts w:ascii="Arial" w:cs="Arial" w:eastAsia="Arial" w:hAnsi="Arial"/>
                <w:sz w:val="14"/>
                <w:szCs w:val="14"/>
                <w:color w:val="auto"/>
              </w:rPr>
              <w:t>0.3</w:t>
            </w:r>
          </w:p>
        </w:tc>
      </w:tr>
      <w:tr>
        <w:trPr>
          <w:trHeight w:val="154"/>
        </w:trPr>
        <w:tc>
          <w:tcPr>
            <w:tcW w:w="5560" w:type="dxa"/>
            <w:vAlign w:val="bottom"/>
            <w:tcBorders>
              <w:right w:val="single" w:sz="8" w:color="4D8ABE"/>
            </w:tcBorders>
          </w:tcPr>
          <w:p>
            <w:pPr>
              <w:ind w:left="120"/>
              <w:spacing w:after="0" w:line="154" w:lineRule="exact"/>
              <w:rPr>
                <w:sz w:val="20"/>
                <w:szCs w:val="20"/>
                <w:color w:val="auto"/>
              </w:rPr>
            </w:pPr>
            <w:r>
              <w:rPr>
                <w:rFonts w:ascii="Arial" w:cs="Arial" w:eastAsia="Arial" w:hAnsi="Arial"/>
                <w:sz w:val="14"/>
                <w:szCs w:val="14"/>
                <w:color w:val="auto"/>
              </w:rPr>
              <w:t>Curtailments</w:t>
            </w:r>
          </w:p>
        </w:tc>
        <w:tc>
          <w:tcPr>
            <w:tcW w:w="520" w:type="dxa"/>
            <w:vAlign w:val="bottom"/>
          </w:tcPr>
          <w:p>
            <w:pPr>
              <w:spacing w:after="0"/>
              <w:rPr>
                <w:sz w:val="13"/>
                <w:szCs w:val="13"/>
                <w:color w:val="auto"/>
              </w:rPr>
            </w:pPr>
          </w:p>
        </w:tc>
        <w:tc>
          <w:tcPr>
            <w:tcW w:w="96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tcPr>
          <w:p>
            <w:pPr>
              <w:spacing w:after="0"/>
              <w:rPr>
                <w:sz w:val="13"/>
                <w:szCs w:val="13"/>
                <w:color w:val="auto"/>
              </w:rPr>
            </w:pPr>
          </w:p>
        </w:tc>
        <w:tc>
          <w:tcPr>
            <w:tcW w:w="1160" w:type="dxa"/>
            <w:vAlign w:val="bottom"/>
            <w:tcBorders>
              <w:right w:val="single" w:sz="8" w:color="4D8ABE"/>
            </w:tcBorders>
            <w:gridSpan w:val="2"/>
          </w:tcPr>
          <w:p>
            <w:pPr>
              <w:jc w:val="right"/>
              <w:ind w:right="220"/>
              <w:spacing w:after="0" w:line="154"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8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200" w:type="dxa"/>
            <w:vAlign w:val="bottom"/>
          </w:tcPr>
          <w:p>
            <w:pPr>
              <w:spacing w:after="0"/>
              <w:rPr>
                <w:sz w:val="13"/>
                <w:szCs w:val="13"/>
                <w:color w:val="auto"/>
              </w:rPr>
            </w:pPr>
          </w:p>
        </w:tc>
        <w:tc>
          <w:tcPr>
            <w:tcW w:w="126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(0.5)</w:t>
            </w:r>
          </w:p>
        </w:tc>
      </w:tr>
      <w:tr>
        <w:trPr>
          <w:trHeight w:val="154"/>
        </w:trPr>
        <w:tc>
          <w:tcPr>
            <w:tcW w:w="5560" w:type="dxa"/>
            <w:vAlign w:val="bottom"/>
            <w:tcBorders>
              <w:right w:val="single" w:sz="8" w:color="4D8ABE"/>
            </w:tcBorders>
            <w:shd w:val="clear" w:color="auto" w:fill="E6EFFF"/>
          </w:tcPr>
          <w:p>
            <w:pPr>
              <w:ind w:left="120"/>
              <w:spacing w:after="0" w:line="154" w:lineRule="exact"/>
              <w:rPr>
                <w:sz w:val="20"/>
                <w:szCs w:val="20"/>
                <w:color w:val="auto"/>
              </w:rPr>
            </w:pPr>
            <w:r>
              <w:rPr>
                <w:rFonts w:ascii="Arial" w:cs="Arial" w:eastAsia="Arial" w:hAnsi="Arial"/>
                <w:sz w:val="14"/>
                <w:szCs w:val="14"/>
                <w:color w:val="auto"/>
              </w:rPr>
              <w:t>Transfers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(0.8)</w:t>
            </w:r>
          </w:p>
        </w:tc>
        <w:tc>
          <w:tcPr>
            <w:tcW w:w="200" w:type="dxa"/>
            <w:vAlign w:val="bottom"/>
            <w:shd w:val="clear" w:color="auto" w:fill="E6EFFF"/>
          </w:tcPr>
          <w:p>
            <w:pPr>
              <w:spacing w:after="0"/>
              <w:rPr>
                <w:sz w:val="13"/>
                <w:szCs w:val="13"/>
                <w:color w:val="auto"/>
              </w:rPr>
            </w:pPr>
          </w:p>
        </w:tc>
        <w:tc>
          <w:tcPr>
            <w:tcW w:w="1260" w:type="dxa"/>
            <w:vAlign w:val="bottom"/>
            <w:gridSpan w:val="2"/>
            <w:shd w:val="clear" w:color="auto" w:fill="E6EFFF"/>
          </w:tcPr>
          <w:p>
            <w:pPr>
              <w:jc w:val="right"/>
              <w:ind w:right="140"/>
              <w:spacing w:after="0" w:line="154" w:lineRule="exact"/>
              <w:rPr>
                <w:sz w:val="20"/>
                <w:szCs w:val="20"/>
                <w:color w:val="auto"/>
              </w:rPr>
            </w:pPr>
            <w:r>
              <w:rPr>
                <w:rFonts w:ascii="Arial" w:cs="Arial" w:eastAsia="Arial" w:hAnsi="Arial"/>
                <w:sz w:val="14"/>
                <w:szCs w:val="14"/>
                <w:color w:val="auto"/>
              </w:rPr>
              <w:t>(6.0)</w:t>
            </w:r>
          </w:p>
        </w:tc>
      </w:tr>
      <w:tr>
        <w:trPr>
          <w:trHeight w:val="154"/>
        </w:trPr>
        <w:tc>
          <w:tcPr>
            <w:tcW w:w="5560" w:type="dxa"/>
            <w:vAlign w:val="bottom"/>
            <w:tcBorders>
              <w:right w:val="single" w:sz="8" w:color="4D8ABE"/>
            </w:tcBorders>
          </w:tcPr>
          <w:p>
            <w:pPr>
              <w:ind w:left="120"/>
              <w:spacing w:after="0" w:line="154" w:lineRule="exact"/>
              <w:rPr>
                <w:sz w:val="20"/>
                <w:szCs w:val="20"/>
                <w:color w:val="auto"/>
              </w:rPr>
            </w:pPr>
            <w:r>
              <w:rPr>
                <w:rFonts w:ascii="Arial" w:cs="Arial" w:eastAsia="Arial" w:hAnsi="Arial"/>
                <w:sz w:val="14"/>
                <w:szCs w:val="14"/>
                <w:color w:val="auto"/>
              </w:rPr>
              <w:t>Actuarial loss (gain)</w:t>
            </w:r>
          </w:p>
        </w:tc>
        <w:tc>
          <w:tcPr>
            <w:tcW w:w="520" w:type="dxa"/>
            <w:vAlign w:val="bottom"/>
          </w:tcPr>
          <w:p>
            <w:pPr>
              <w:spacing w:after="0"/>
              <w:rPr>
                <w:sz w:val="13"/>
                <w:szCs w:val="13"/>
                <w:color w:val="auto"/>
              </w:rPr>
            </w:pPr>
          </w:p>
        </w:tc>
        <w:tc>
          <w:tcPr>
            <w:tcW w:w="96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0.8</w:t>
            </w:r>
          </w:p>
        </w:tc>
        <w:tc>
          <w:tcPr>
            <w:tcW w:w="340" w:type="dxa"/>
            <w:vAlign w:val="bottom"/>
          </w:tcPr>
          <w:p>
            <w:pPr>
              <w:spacing w:after="0"/>
              <w:rPr>
                <w:sz w:val="13"/>
                <w:szCs w:val="13"/>
                <w:color w:val="auto"/>
              </w:rPr>
            </w:pPr>
          </w:p>
        </w:tc>
        <w:tc>
          <w:tcPr>
            <w:tcW w:w="1160" w:type="dxa"/>
            <w:vAlign w:val="bottom"/>
            <w:tcBorders>
              <w:right w:val="single" w:sz="8" w:color="4D8ABE"/>
            </w:tcBorders>
            <w:gridSpan w:val="2"/>
          </w:tcPr>
          <w:p>
            <w:pPr>
              <w:jc w:val="right"/>
              <w:ind w:right="220"/>
              <w:spacing w:after="0" w:line="154" w:lineRule="exact"/>
              <w:rPr>
                <w:sz w:val="20"/>
                <w:szCs w:val="20"/>
                <w:color w:val="auto"/>
              </w:rPr>
            </w:pPr>
            <w:r>
              <w:rPr>
                <w:rFonts w:ascii="Arial" w:cs="Arial" w:eastAsia="Arial" w:hAnsi="Arial"/>
                <w:sz w:val="14"/>
                <w:szCs w:val="14"/>
                <w:color w:val="auto"/>
              </w:rPr>
              <w:t>1.3</w:t>
            </w:r>
          </w:p>
        </w:tc>
        <w:tc>
          <w:tcPr>
            <w:tcW w:w="480" w:type="dxa"/>
            <w:vAlign w:val="bottom"/>
          </w:tcPr>
          <w:p>
            <w:pPr>
              <w:spacing w:after="0"/>
              <w:rPr>
                <w:sz w:val="13"/>
                <w:szCs w:val="13"/>
                <w:color w:val="auto"/>
              </w:rPr>
            </w:pPr>
          </w:p>
        </w:tc>
        <w:tc>
          <w:tcPr>
            <w:tcW w:w="980" w:type="dxa"/>
            <w:vAlign w:val="bottom"/>
            <w:tcBorders>
              <w:right w:val="single" w:sz="8" w:color="4D8ABE"/>
            </w:tcBorders>
          </w:tcPr>
          <w:p>
            <w:pPr>
              <w:jc w:val="right"/>
              <w:ind w:right="132"/>
              <w:spacing w:after="0" w:line="154" w:lineRule="exact"/>
              <w:rPr>
                <w:sz w:val="20"/>
                <w:szCs w:val="20"/>
                <w:color w:val="auto"/>
              </w:rPr>
            </w:pPr>
            <w:r>
              <w:rPr>
                <w:rFonts w:ascii="Arial" w:cs="Arial" w:eastAsia="Arial" w:hAnsi="Arial"/>
                <w:sz w:val="14"/>
                <w:szCs w:val="14"/>
                <w:b w:val="1"/>
                <w:bCs w:val="1"/>
                <w:color w:val="4D8ABE"/>
              </w:rPr>
              <w:t>(26.3)</w:t>
            </w:r>
          </w:p>
        </w:tc>
        <w:tc>
          <w:tcPr>
            <w:tcW w:w="200" w:type="dxa"/>
            <w:vAlign w:val="bottom"/>
          </w:tcPr>
          <w:p>
            <w:pPr>
              <w:spacing w:after="0"/>
              <w:rPr>
                <w:sz w:val="13"/>
                <w:szCs w:val="13"/>
                <w:color w:val="auto"/>
              </w:rPr>
            </w:pPr>
          </w:p>
        </w:tc>
        <w:tc>
          <w:tcPr>
            <w:tcW w:w="126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(37.6)</w:t>
            </w:r>
          </w:p>
        </w:tc>
      </w:tr>
      <w:tr>
        <w:trPr>
          <w:trHeight w:val="154"/>
        </w:trPr>
        <w:tc>
          <w:tcPr>
            <w:tcW w:w="5560" w:type="dxa"/>
            <w:vAlign w:val="bottom"/>
            <w:tcBorders>
              <w:right w:val="single" w:sz="8" w:color="4D8ABE"/>
            </w:tcBorders>
            <w:shd w:val="clear" w:color="auto" w:fill="E6EFFF"/>
          </w:tcPr>
          <w:p>
            <w:pPr>
              <w:ind w:left="120"/>
              <w:spacing w:after="0" w:line="154" w:lineRule="exact"/>
              <w:rPr>
                <w:sz w:val="20"/>
                <w:szCs w:val="20"/>
                <w:color w:val="auto"/>
              </w:rPr>
            </w:pPr>
            <w:r>
              <w:rPr>
                <w:rFonts w:ascii="Arial" w:cs="Arial" w:eastAsia="Arial" w:hAnsi="Arial"/>
                <w:sz w:val="14"/>
                <w:szCs w:val="14"/>
                <w:color w:val="auto"/>
              </w:rPr>
              <w:t>Plan participant contributions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2.8</w:t>
            </w:r>
          </w:p>
        </w:tc>
        <w:tc>
          <w:tcPr>
            <w:tcW w:w="200" w:type="dxa"/>
            <w:vAlign w:val="bottom"/>
            <w:shd w:val="clear" w:color="auto" w:fill="E6EFFF"/>
          </w:tcPr>
          <w:p>
            <w:pPr>
              <w:spacing w:after="0"/>
              <w:rPr>
                <w:sz w:val="13"/>
                <w:szCs w:val="13"/>
                <w:color w:val="auto"/>
              </w:rPr>
            </w:pPr>
          </w:p>
        </w:tc>
        <w:tc>
          <w:tcPr>
            <w:tcW w:w="1260" w:type="dxa"/>
            <w:vAlign w:val="bottom"/>
            <w:gridSpan w:val="2"/>
            <w:shd w:val="clear" w:color="auto" w:fill="E6EFFF"/>
          </w:tcPr>
          <w:p>
            <w:pPr>
              <w:jc w:val="right"/>
              <w:ind w:right="180"/>
              <w:spacing w:after="0" w:line="154" w:lineRule="exact"/>
              <w:rPr>
                <w:sz w:val="20"/>
                <w:szCs w:val="20"/>
                <w:color w:val="auto"/>
              </w:rPr>
            </w:pPr>
            <w:r>
              <w:rPr>
                <w:rFonts w:ascii="Arial" w:cs="Arial" w:eastAsia="Arial" w:hAnsi="Arial"/>
                <w:sz w:val="14"/>
                <w:szCs w:val="14"/>
                <w:color w:val="auto"/>
              </w:rPr>
              <w:t>2.4</w:t>
            </w:r>
          </w:p>
        </w:tc>
      </w:tr>
      <w:tr>
        <w:trPr>
          <w:trHeight w:val="154"/>
        </w:trPr>
        <w:tc>
          <w:tcPr>
            <w:tcW w:w="5560" w:type="dxa"/>
            <w:vAlign w:val="bottom"/>
            <w:tcBorders>
              <w:right w:val="single" w:sz="8" w:color="4D8ABE"/>
            </w:tcBorders>
          </w:tcPr>
          <w:p>
            <w:pPr>
              <w:ind w:left="120"/>
              <w:spacing w:after="0" w:line="154" w:lineRule="exact"/>
              <w:rPr>
                <w:sz w:val="20"/>
                <w:szCs w:val="20"/>
                <w:color w:val="auto"/>
              </w:rPr>
            </w:pPr>
            <w:r>
              <w:rPr>
                <w:rFonts w:ascii="Arial" w:cs="Arial" w:eastAsia="Arial" w:hAnsi="Arial"/>
                <w:sz w:val="14"/>
                <w:szCs w:val="14"/>
                <w:color w:val="auto"/>
              </w:rPr>
              <w:t>Benefits paid</w:t>
            </w:r>
          </w:p>
        </w:tc>
        <w:tc>
          <w:tcPr>
            <w:tcW w:w="520" w:type="dxa"/>
            <w:vAlign w:val="bottom"/>
          </w:tcPr>
          <w:p>
            <w:pPr>
              <w:spacing w:after="0"/>
              <w:rPr>
                <w:sz w:val="13"/>
                <w:szCs w:val="13"/>
                <w:color w:val="auto"/>
              </w:rPr>
            </w:pPr>
          </w:p>
        </w:tc>
        <w:tc>
          <w:tcPr>
            <w:tcW w:w="960" w:type="dxa"/>
            <w:vAlign w:val="bottom"/>
            <w:tcBorders>
              <w:right w:val="single" w:sz="8" w:color="4D8ABE"/>
            </w:tcBorders>
          </w:tcPr>
          <w:p>
            <w:pPr>
              <w:jc w:val="right"/>
              <w:ind w:right="132"/>
              <w:spacing w:after="0" w:line="154" w:lineRule="exact"/>
              <w:rPr>
                <w:sz w:val="20"/>
                <w:szCs w:val="20"/>
                <w:color w:val="auto"/>
              </w:rPr>
            </w:pPr>
            <w:r>
              <w:rPr>
                <w:rFonts w:ascii="Arial" w:cs="Arial" w:eastAsia="Arial" w:hAnsi="Arial"/>
                <w:sz w:val="14"/>
                <w:szCs w:val="14"/>
                <w:b w:val="1"/>
                <w:bCs w:val="1"/>
                <w:color w:val="4D8ABE"/>
              </w:rPr>
              <w:t>(5.0)</w:t>
            </w:r>
          </w:p>
        </w:tc>
        <w:tc>
          <w:tcPr>
            <w:tcW w:w="340" w:type="dxa"/>
            <w:vAlign w:val="bottom"/>
          </w:tcPr>
          <w:p>
            <w:pPr>
              <w:spacing w:after="0"/>
              <w:rPr>
                <w:sz w:val="13"/>
                <w:szCs w:val="13"/>
                <w:color w:val="auto"/>
              </w:rPr>
            </w:pPr>
          </w:p>
        </w:tc>
        <w:tc>
          <w:tcPr>
            <w:tcW w:w="1160" w:type="dxa"/>
            <w:vAlign w:val="bottom"/>
            <w:tcBorders>
              <w:right w:val="single" w:sz="8" w:color="4D8ABE"/>
            </w:tcBorders>
            <w:gridSpan w:val="2"/>
          </w:tcPr>
          <w:p>
            <w:pPr>
              <w:jc w:val="right"/>
              <w:ind w:right="180"/>
              <w:spacing w:after="0" w:line="154" w:lineRule="exact"/>
              <w:rPr>
                <w:sz w:val="20"/>
                <w:szCs w:val="20"/>
                <w:color w:val="auto"/>
              </w:rPr>
            </w:pPr>
            <w:r>
              <w:rPr>
                <w:rFonts w:ascii="Arial" w:cs="Arial" w:eastAsia="Arial" w:hAnsi="Arial"/>
                <w:sz w:val="14"/>
                <w:szCs w:val="14"/>
                <w:color w:val="auto"/>
              </w:rPr>
              <w:t>(4.4)</w:t>
            </w:r>
          </w:p>
        </w:tc>
        <w:tc>
          <w:tcPr>
            <w:tcW w:w="480" w:type="dxa"/>
            <w:vAlign w:val="bottom"/>
          </w:tcPr>
          <w:p>
            <w:pPr>
              <w:spacing w:after="0"/>
              <w:rPr>
                <w:sz w:val="13"/>
                <w:szCs w:val="13"/>
                <w:color w:val="auto"/>
              </w:rPr>
            </w:pPr>
          </w:p>
        </w:tc>
        <w:tc>
          <w:tcPr>
            <w:tcW w:w="980" w:type="dxa"/>
            <w:vAlign w:val="bottom"/>
            <w:tcBorders>
              <w:right w:val="single" w:sz="8" w:color="4D8ABE"/>
            </w:tcBorders>
          </w:tcPr>
          <w:p>
            <w:pPr>
              <w:jc w:val="right"/>
              <w:ind w:right="132"/>
              <w:spacing w:after="0" w:line="154" w:lineRule="exact"/>
              <w:rPr>
                <w:sz w:val="20"/>
                <w:szCs w:val="20"/>
                <w:color w:val="auto"/>
              </w:rPr>
            </w:pPr>
            <w:r>
              <w:rPr>
                <w:rFonts w:ascii="Arial" w:cs="Arial" w:eastAsia="Arial" w:hAnsi="Arial"/>
                <w:sz w:val="14"/>
                <w:szCs w:val="14"/>
                <w:b w:val="1"/>
                <w:bCs w:val="1"/>
                <w:color w:val="4D8ABE"/>
              </w:rPr>
              <w:t>(6.6)</w:t>
            </w:r>
          </w:p>
        </w:tc>
        <w:tc>
          <w:tcPr>
            <w:tcW w:w="200" w:type="dxa"/>
            <w:vAlign w:val="bottom"/>
          </w:tcPr>
          <w:p>
            <w:pPr>
              <w:spacing w:after="0"/>
              <w:rPr>
                <w:sz w:val="13"/>
                <w:szCs w:val="13"/>
                <w:color w:val="auto"/>
              </w:rPr>
            </w:pPr>
          </w:p>
        </w:tc>
        <w:tc>
          <w:tcPr>
            <w:tcW w:w="126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(5.0)</w:t>
            </w:r>
          </w:p>
        </w:tc>
      </w:tr>
      <w:tr>
        <w:trPr>
          <w:trHeight w:val="154"/>
        </w:trPr>
        <w:tc>
          <w:tcPr>
            <w:tcW w:w="5560" w:type="dxa"/>
            <w:vAlign w:val="bottom"/>
            <w:tcBorders>
              <w:right w:val="single" w:sz="8" w:color="4D8ABE"/>
            </w:tcBorders>
            <w:shd w:val="clear" w:color="auto" w:fill="E6EFFF"/>
          </w:tcPr>
          <w:p>
            <w:pPr>
              <w:ind w:left="120"/>
              <w:spacing w:after="0" w:line="154" w:lineRule="exact"/>
              <w:rPr>
                <w:sz w:val="20"/>
                <w:szCs w:val="20"/>
                <w:color w:val="auto"/>
              </w:rPr>
            </w:pPr>
            <w:r>
              <w:rPr>
                <w:rFonts w:ascii="Arial" w:cs="Arial" w:eastAsia="Arial" w:hAnsi="Arial"/>
                <w:sz w:val="14"/>
                <w:szCs w:val="14"/>
                <w:color w:val="auto"/>
              </w:rPr>
              <w:t>Currency exchange rate changes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(41.2)</w:t>
            </w:r>
          </w:p>
        </w:tc>
        <w:tc>
          <w:tcPr>
            <w:tcW w:w="200" w:type="dxa"/>
            <w:vAlign w:val="bottom"/>
            <w:shd w:val="clear" w:color="auto" w:fill="E6EFFF"/>
          </w:tcPr>
          <w:p>
            <w:pPr>
              <w:spacing w:after="0"/>
              <w:rPr>
                <w:sz w:val="13"/>
                <w:szCs w:val="13"/>
                <w:color w:val="auto"/>
              </w:rPr>
            </w:pPr>
          </w:p>
        </w:tc>
        <w:tc>
          <w:tcPr>
            <w:tcW w:w="1040" w:type="dxa"/>
            <w:vAlign w:val="bottom"/>
            <w:shd w:val="clear" w:color="auto" w:fill="E6EFFF"/>
          </w:tcPr>
          <w:p>
            <w:pPr>
              <w:jc w:val="right"/>
              <w:spacing w:after="0" w:line="154" w:lineRule="exact"/>
              <w:rPr>
                <w:sz w:val="20"/>
                <w:szCs w:val="20"/>
                <w:color w:val="auto"/>
              </w:rPr>
            </w:pPr>
            <w:r>
              <w:rPr>
                <w:rFonts w:ascii="Arial" w:cs="Arial" w:eastAsia="Arial" w:hAnsi="Arial"/>
                <w:sz w:val="14"/>
                <w:szCs w:val="14"/>
                <w:color w:val="auto"/>
              </w:rPr>
              <w:t>14.3</w:t>
            </w:r>
          </w:p>
        </w:tc>
        <w:tc>
          <w:tcPr>
            <w:tcW w:w="220" w:type="dxa"/>
            <w:vAlign w:val="bottom"/>
            <w:shd w:val="clear" w:color="auto" w:fill="E6EFFF"/>
          </w:tcPr>
          <w:p>
            <w:pPr>
              <w:spacing w:after="0"/>
              <w:rPr>
                <w:sz w:val="13"/>
                <w:szCs w:val="13"/>
                <w:color w:val="auto"/>
              </w:rPr>
            </w:pPr>
          </w:p>
        </w:tc>
      </w:tr>
      <w:tr>
        <w:trPr>
          <w:trHeight w:val="145"/>
        </w:trPr>
        <w:tc>
          <w:tcPr>
            <w:tcW w:w="5560" w:type="dxa"/>
            <w:vAlign w:val="bottom"/>
            <w:tcBorders>
              <w:top w:val="single" w:sz="8" w:color="auto"/>
              <w:bottom w:val="single" w:sz="8" w:color="auto"/>
              <w:right w:val="single" w:sz="8" w:color="4D8ABE"/>
            </w:tcBorders>
          </w:tcPr>
          <w:p>
            <w:pPr>
              <w:spacing w:after="0" w:line="145" w:lineRule="exact"/>
              <w:rPr>
                <w:sz w:val="20"/>
                <w:szCs w:val="20"/>
                <w:color w:val="auto"/>
              </w:rPr>
            </w:pPr>
            <w:r>
              <w:rPr>
                <w:rFonts w:ascii="Arial" w:cs="Arial" w:eastAsia="Arial" w:hAnsi="Arial"/>
                <w:sz w:val="14"/>
                <w:szCs w:val="14"/>
                <w:color w:val="auto"/>
              </w:rPr>
              <w:t>Benefit obligation, end of year</w:t>
            </w:r>
          </w:p>
        </w:tc>
        <w:tc>
          <w:tcPr>
            <w:tcW w:w="520" w:type="dxa"/>
            <w:vAlign w:val="bottom"/>
            <w:tcBorders>
              <w:top w:val="single" w:sz="8" w:color="auto"/>
              <w:bottom w:val="single" w:sz="8" w:color="auto"/>
            </w:tcBorders>
          </w:tcPr>
          <w:p>
            <w:pPr>
              <w:jc w:val="right"/>
              <w:ind w:right="352"/>
              <w:spacing w:after="0" w:line="14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auto"/>
              <w:bottom w:val="single" w:sz="8" w:color="auto"/>
              <w:right w:val="single" w:sz="8" w:color="4D8ABE"/>
            </w:tcBorders>
          </w:tcPr>
          <w:p>
            <w:pPr>
              <w:jc w:val="right"/>
              <w:ind w:right="172"/>
              <w:spacing w:after="0" w:line="145" w:lineRule="exact"/>
              <w:rPr>
                <w:sz w:val="20"/>
                <w:szCs w:val="20"/>
                <w:color w:val="auto"/>
              </w:rPr>
            </w:pPr>
            <w:r>
              <w:rPr>
                <w:rFonts w:ascii="Arial" w:cs="Arial" w:eastAsia="Arial" w:hAnsi="Arial"/>
                <w:sz w:val="14"/>
                <w:szCs w:val="14"/>
                <w:b w:val="1"/>
                <w:bCs w:val="1"/>
                <w:color w:val="4D8ABE"/>
              </w:rPr>
              <w:t>49.3</w:t>
            </w:r>
          </w:p>
        </w:tc>
        <w:tc>
          <w:tcPr>
            <w:tcW w:w="340" w:type="dxa"/>
            <w:vAlign w:val="bottom"/>
            <w:tcBorders>
              <w:top w:val="single" w:sz="8" w:color="auto"/>
              <w:bottom w:val="single" w:sz="8" w:color="auto"/>
            </w:tcBorders>
          </w:tcPr>
          <w:p>
            <w:pPr>
              <w:jc w:val="right"/>
              <w:ind w:right="172"/>
              <w:spacing w:after="0" w:line="14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49.8</w:t>
            </w:r>
          </w:p>
        </w:tc>
        <w:tc>
          <w:tcPr>
            <w:tcW w:w="260" w:type="dxa"/>
            <w:vAlign w:val="bottom"/>
            <w:tcBorders>
              <w:bottom w:val="single" w:sz="8" w:color="E6EFFF"/>
              <w:right w:val="single" w:sz="8" w:color="4D8ABE"/>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32"/>
              <w:spacing w:after="0" w:line="145" w:lineRule="exact"/>
              <w:rPr>
                <w:sz w:val="20"/>
                <w:szCs w:val="20"/>
                <w:color w:val="auto"/>
              </w:rPr>
            </w:pPr>
            <w:r>
              <w:rPr>
                <w:rFonts w:ascii="Arial" w:cs="Arial" w:eastAsia="Arial" w:hAnsi="Arial"/>
                <w:sz w:val="14"/>
                <w:szCs w:val="14"/>
                <w:b w:val="1"/>
                <w:bCs w:val="1"/>
                <w:color w:val="4D8ABE"/>
                <w:w w:val="76"/>
              </w:rPr>
              <w:t>$</w:t>
            </w:r>
          </w:p>
        </w:tc>
        <w:tc>
          <w:tcPr>
            <w:tcW w:w="980" w:type="dxa"/>
            <w:vAlign w:val="bottom"/>
            <w:tcBorders>
              <w:top w:val="single" w:sz="8" w:color="auto"/>
              <w:bottom w:val="single" w:sz="8" w:color="auto"/>
              <w:right w:val="single" w:sz="8" w:color="4D8ABE"/>
            </w:tcBorders>
          </w:tcPr>
          <w:p>
            <w:pPr>
              <w:jc w:val="right"/>
              <w:ind w:right="172"/>
              <w:spacing w:after="0" w:line="145" w:lineRule="exact"/>
              <w:rPr>
                <w:sz w:val="20"/>
                <w:szCs w:val="20"/>
                <w:color w:val="auto"/>
              </w:rPr>
            </w:pPr>
            <w:r>
              <w:rPr>
                <w:rFonts w:ascii="Arial" w:cs="Arial" w:eastAsia="Arial" w:hAnsi="Arial"/>
                <w:sz w:val="14"/>
                <w:szCs w:val="14"/>
                <w:b w:val="1"/>
                <w:bCs w:val="1"/>
                <w:color w:val="4D8ABE"/>
              </w:rPr>
              <w:t>208.8</w:t>
            </w:r>
          </w:p>
        </w:tc>
        <w:tc>
          <w:tcPr>
            <w:tcW w:w="200" w:type="dxa"/>
            <w:vAlign w:val="bottom"/>
            <w:tcBorders>
              <w:top w:val="single" w:sz="8" w:color="auto"/>
              <w:bottom w:val="single" w:sz="8" w:color="auto"/>
            </w:tcBorders>
          </w:tcPr>
          <w:p>
            <w:pPr>
              <w:jc w:val="right"/>
              <w:ind w:right="32"/>
              <w:spacing w:after="0" w:line="14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243.8</w:t>
            </w:r>
          </w:p>
        </w:tc>
        <w:tc>
          <w:tcPr>
            <w:tcW w:w="220" w:type="dxa"/>
            <w:vAlign w:val="bottom"/>
            <w:tcBorders>
              <w:bottom w:val="single" w:sz="8" w:color="E6EFFF"/>
            </w:tcBorders>
          </w:tcPr>
          <w:p>
            <w:pPr>
              <w:spacing w:after="0"/>
              <w:rPr>
                <w:sz w:val="12"/>
                <w:szCs w:val="12"/>
                <w:color w:val="auto"/>
              </w:rPr>
            </w:pPr>
          </w:p>
        </w:tc>
      </w:tr>
      <w:tr>
        <w:trPr>
          <w:trHeight w:val="154"/>
        </w:trPr>
        <w:tc>
          <w:tcPr>
            <w:tcW w:w="5560" w:type="dxa"/>
            <w:vAlign w:val="bottom"/>
            <w:tcBorders>
              <w:right w:val="single" w:sz="8" w:color="4D8ABE"/>
            </w:tcBorders>
            <w:shd w:val="clear" w:color="auto" w:fill="E6EFFF"/>
          </w:tcPr>
          <w:p>
            <w:pPr>
              <w:spacing w:after="0" w:line="154" w:lineRule="exact"/>
              <w:rPr>
                <w:sz w:val="20"/>
                <w:szCs w:val="20"/>
                <w:color w:val="auto"/>
              </w:rPr>
            </w:pPr>
            <w:r>
              <w:rPr>
                <w:rFonts w:ascii="Arial" w:cs="Arial" w:eastAsia="Arial" w:hAnsi="Arial"/>
                <w:sz w:val="14"/>
                <w:szCs w:val="14"/>
                <w:b w:val="1"/>
                <w:bCs w:val="1"/>
                <w:color w:val="939598"/>
              </w:rPr>
              <w:t>Change in Plan Assets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spacing w:after="0"/>
              <w:rPr>
                <w:sz w:val="13"/>
                <w:szCs w:val="13"/>
                <w:color w:val="auto"/>
              </w:rPr>
            </w:pPr>
          </w:p>
        </w:tc>
        <w:tc>
          <w:tcPr>
            <w:tcW w:w="340" w:type="dxa"/>
            <w:vAlign w:val="bottom"/>
            <w:shd w:val="clear" w:color="auto" w:fill="E6EFFF"/>
          </w:tcPr>
          <w:p>
            <w:pPr>
              <w:spacing w:after="0"/>
              <w:rPr>
                <w:sz w:val="13"/>
                <w:szCs w:val="13"/>
                <w:color w:val="auto"/>
              </w:rPr>
            </w:pPr>
          </w:p>
        </w:tc>
        <w:tc>
          <w:tcPr>
            <w:tcW w:w="900" w:type="dxa"/>
            <w:vAlign w:val="bottom"/>
            <w:shd w:val="clear" w:color="auto" w:fill="E6EFFF"/>
          </w:tcPr>
          <w:p>
            <w:pPr>
              <w:spacing w:after="0"/>
              <w:rPr>
                <w:sz w:val="13"/>
                <w:szCs w:val="13"/>
                <w:color w:val="auto"/>
              </w:rPr>
            </w:pPr>
          </w:p>
        </w:tc>
        <w:tc>
          <w:tcPr>
            <w:tcW w:w="260" w:type="dxa"/>
            <w:vAlign w:val="bottom"/>
            <w:tcBorders>
              <w:right w:val="single" w:sz="8" w:color="4D8ABE"/>
            </w:tcBorders>
            <w:shd w:val="clear" w:color="auto" w:fill="E6EFFF"/>
          </w:tcPr>
          <w:p>
            <w:pPr>
              <w:spacing w:after="0"/>
              <w:rPr>
                <w:sz w:val="13"/>
                <w:szCs w:val="13"/>
                <w:color w:val="auto"/>
              </w:rPr>
            </w:pP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spacing w:after="0"/>
              <w:rPr>
                <w:sz w:val="13"/>
                <w:szCs w:val="13"/>
                <w:color w:val="auto"/>
              </w:rPr>
            </w:pPr>
          </w:p>
        </w:tc>
        <w:tc>
          <w:tcPr>
            <w:tcW w:w="200" w:type="dxa"/>
            <w:vAlign w:val="bottom"/>
            <w:shd w:val="clear" w:color="auto" w:fill="E6EFFF"/>
          </w:tcPr>
          <w:p>
            <w:pPr>
              <w:spacing w:after="0"/>
              <w:rPr>
                <w:sz w:val="13"/>
                <w:szCs w:val="13"/>
                <w:color w:val="auto"/>
              </w:rPr>
            </w:pPr>
          </w:p>
        </w:tc>
        <w:tc>
          <w:tcPr>
            <w:tcW w:w="104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r>
      <w:tr>
        <w:trPr>
          <w:trHeight w:val="154"/>
        </w:trPr>
        <w:tc>
          <w:tcPr>
            <w:tcW w:w="5560" w:type="dxa"/>
            <w:vAlign w:val="bottom"/>
            <w:tcBorders>
              <w:right w:val="single" w:sz="8" w:color="4D8ABE"/>
            </w:tcBorders>
          </w:tcPr>
          <w:p>
            <w:pPr>
              <w:spacing w:after="0" w:line="154" w:lineRule="exact"/>
              <w:rPr>
                <w:sz w:val="20"/>
                <w:szCs w:val="20"/>
                <w:color w:val="auto"/>
              </w:rPr>
            </w:pPr>
            <w:r>
              <w:rPr>
                <w:rFonts w:ascii="Arial" w:cs="Arial" w:eastAsia="Arial" w:hAnsi="Arial"/>
                <w:sz w:val="14"/>
                <w:szCs w:val="14"/>
                <w:color w:val="auto"/>
              </w:rPr>
              <w:t>Fair value of plan assets, beginning of year</w:t>
            </w:r>
          </w:p>
        </w:tc>
        <w:tc>
          <w:tcPr>
            <w:tcW w:w="520" w:type="dxa"/>
            <w:vAlign w:val="bottom"/>
          </w:tcPr>
          <w:p>
            <w:pPr>
              <w:jc w:val="right"/>
              <w:ind w:right="352"/>
              <w:spacing w:after="0" w:line="154" w:lineRule="exact"/>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41.9</w:t>
            </w:r>
          </w:p>
        </w:tc>
        <w:tc>
          <w:tcPr>
            <w:tcW w:w="34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4" w:lineRule="exact"/>
              <w:rPr>
                <w:sz w:val="20"/>
                <w:szCs w:val="20"/>
                <w:color w:val="auto"/>
              </w:rPr>
            </w:pPr>
            <w:r>
              <w:rPr>
                <w:rFonts w:ascii="Arial" w:cs="Arial" w:eastAsia="Arial" w:hAnsi="Arial"/>
                <w:sz w:val="14"/>
                <w:szCs w:val="14"/>
                <w:color w:val="auto"/>
              </w:rPr>
              <w:t>38.8</w:t>
            </w:r>
          </w:p>
        </w:tc>
        <w:tc>
          <w:tcPr>
            <w:tcW w:w="260" w:type="dxa"/>
            <w:vAlign w:val="bottom"/>
            <w:tcBorders>
              <w:right w:val="single" w:sz="8" w:color="4D8ABE"/>
            </w:tcBorders>
          </w:tcPr>
          <w:p>
            <w:pPr>
              <w:spacing w:after="0"/>
              <w:rPr>
                <w:sz w:val="13"/>
                <w:szCs w:val="13"/>
                <w:color w:val="auto"/>
              </w:rPr>
            </w:pPr>
          </w:p>
        </w:tc>
        <w:tc>
          <w:tcPr>
            <w:tcW w:w="480" w:type="dxa"/>
            <w:vAlign w:val="bottom"/>
          </w:tcPr>
          <w:p>
            <w:pPr>
              <w:jc w:val="right"/>
              <w:ind w:right="332"/>
              <w:spacing w:after="0" w:line="154" w:lineRule="exact"/>
              <w:rPr>
                <w:sz w:val="20"/>
                <w:szCs w:val="20"/>
                <w:color w:val="auto"/>
              </w:rPr>
            </w:pPr>
            <w:r>
              <w:rPr>
                <w:rFonts w:ascii="Arial" w:cs="Arial" w:eastAsia="Arial" w:hAnsi="Arial"/>
                <w:sz w:val="14"/>
                <w:szCs w:val="14"/>
                <w:b w:val="1"/>
                <w:bCs w:val="1"/>
                <w:color w:val="4D8ABE"/>
                <w:w w:val="76"/>
              </w:rPr>
              <w:t>$</w:t>
            </w:r>
          </w:p>
        </w:tc>
        <w:tc>
          <w:tcPr>
            <w:tcW w:w="98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195.9</w:t>
            </w:r>
          </w:p>
        </w:tc>
        <w:tc>
          <w:tcPr>
            <w:tcW w:w="200" w:type="dxa"/>
            <w:vAlign w:val="bottom"/>
          </w:tcPr>
          <w:p>
            <w:pPr>
              <w:jc w:val="right"/>
              <w:ind w:right="32"/>
              <w:spacing w:after="0" w:line="154"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172.6</w:t>
            </w:r>
          </w:p>
        </w:tc>
      </w:tr>
      <w:tr>
        <w:trPr>
          <w:trHeight w:val="154"/>
        </w:trPr>
        <w:tc>
          <w:tcPr>
            <w:tcW w:w="5560" w:type="dxa"/>
            <w:vAlign w:val="bottom"/>
            <w:tcBorders>
              <w:right w:val="single" w:sz="8" w:color="4D8ABE"/>
            </w:tcBorders>
            <w:shd w:val="clear" w:color="auto" w:fill="E6EFFF"/>
          </w:tcPr>
          <w:p>
            <w:pPr>
              <w:ind w:left="120"/>
              <w:spacing w:after="0" w:line="154" w:lineRule="exact"/>
              <w:rPr>
                <w:sz w:val="20"/>
                <w:szCs w:val="20"/>
                <w:color w:val="auto"/>
              </w:rPr>
            </w:pPr>
            <w:r>
              <w:rPr>
                <w:rFonts w:ascii="Arial" w:cs="Arial" w:eastAsia="Arial" w:hAnsi="Arial"/>
                <w:sz w:val="14"/>
                <w:szCs w:val="14"/>
                <w:color w:val="auto"/>
              </w:rPr>
              <w:t>Actual return on plan assets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(9.7)</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4.7</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(10.1)</w:t>
            </w:r>
          </w:p>
        </w:tc>
        <w:tc>
          <w:tcPr>
            <w:tcW w:w="200" w:type="dxa"/>
            <w:vAlign w:val="bottom"/>
            <w:shd w:val="clear" w:color="auto" w:fill="E6EFFF"/>
          </w:tcPr>
          <w:p>
            <w:pPr>
              <w:spacing w:after="0"/>
              <w:rPr>
                <w:sz w:val="13"/>
                <w:szCs w:val="13"/>
                <w:color w:val="auto"/>
              </w:rPr>
            </w:pPr>
          </w:p>
        </w:tc>
        <w:tc>
          <w:tcPr>
            <w:tcW w:w="1260" w:type="dxa"/>
            <w:vAlign w:val="bottom"/>
            <w:gridSpan w:val="2"/>
            <w:shd w:val="clear" w:color="auto" w:fill="E6EFFF"/>
          </w:tcPr>
          <w:p>
            <w:pPr>
              <w:jc w:val="right"/>
              <w:ind w:right="180"/>
              <w:spacing w:after="0" w:line="154" w:lineRule="exact"/>
              <w:rPr>
                <w:sz w:val="20"/>
                <w:szCs w:val="20"/>
                <w:color w:val="auto"/>
              </w:rPr>
            </w:pPr>
            <w:r>
              <w:rPr>
                <w:rFonts w:ascii="Arial" w:cs="Arial" w:eastAsia="Arial" w:hAnsi="Arial"/>
                <w:sz w:val="14"/>
                <w:szCs w:val="14"/>
                <w:color w:val="auto"/>
              </w:rPr>
              <w:t>6.3</w:t>
            </w:r>
          </w:p>
        </w:tc>
      </w:tr>
      <w:tr>
        <w:trPr>
          <w:trHeight w:val="154"/>
        </w:trPr>
        <w:tc>
          <w:tcPr>
            <w:tcW w:w="5560" w:type="dxa"/>
            <w:vAlign w:val="bottom"/>
            <w:tcBorders>
              <w:right w:val="single" w:sz="8" w:color="4D8ABE"/>
            </w:tcBorders>
          </w:tcPr>
          <w:p>
            <w:pPr>
              <w:ind w:left="120"/>
              <w:spacing w:after="0" w:line="154" w:lineRule="exact"/>
              <w:rPr>
                <w:sz w:val="20"/>
                <w:szCs w:val="20"/>
                <w:color w:val="auto"/>
              </w:rPr>
            </w:pPr>
            <w:r>
              <w:rPr>
                <w:rFonts w:ascii="Arial" w:cs="Arial" w:eastAsia="Arial" w:hAnsi="Arial"/>
                <w:sz w:val="14"/>
                <w:szCs w:val="14"/>
                <w:color w:val="auto"/>
              </w:rPr>
              <w:t>Curtailments</w:t>
            </w:r>
          </w:p>
        </w:tc>
        <w:tc>
          <w:tcPr>
            <w:tcW w:w="520" w:type="dxa"/>
            <w:vAlign w:val="bottom"/>
          </w:tcPr>
          <w:p>
            <w:pPr>
              <w:spacing w:after="0"/>
              <w:rPr>
                <w:sz w:val="13"/>
                <w:szCs w:val="13"/>
                <w:color w:val="auto"/>
              </w:rPr>
            </w:pPr>
          </w:p>
        </w:tc>
        <w:tc>
          <w:tcPr>
            <w:tcW w:w="96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tcPr>
          <w:p>
            <w:pPr>
              <w:spacing w:after="0"/>
              <w:rPr>
                <w:sz w:val="13"/>
                <w:szCs w:val="13"/>
                <w:color w:val="auto"/>
              </w:rPr>
            </w:pPr>
          </w:p>
        </w:tc>
        <w:tc>
          <w:tcPr>
            <w:tcW w:w="1160" w:type="dxa"/>
            <w:vAlign w:val="bottom"/>
            <w:tcBorders>
              <w:right w:val="single" w:sz="8" w:color="4D8ABE"/>
            </w:tcBorders>
            <w:gridSpan w:val="2"/>
          </w:tcPr>
          <w:p>
            <w:pPr>
              <w:jc w:val="right"/>
              <w:ind w:right="220"/>
              <w:spacing w:after="0" w:line="154"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8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200" w:type="dxa"/>
            <w:vAlign w:val="bottom"/>
          </w:tcPr>
          <w:p>
            <w:pPr>
              <w:spacing w:after="0"/>
              <w:rPr>
                <w:sz w:val="13"/>
                <w:szCs w:val="13"/>
                <w:color w:val="auto"/>
              </w:rPr>
            </w:pPr>
          </w:p>
        </w:tc>
        <w:tc>
          <w:tcPr>
            <w:tcW w:w="126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(0.3)</w:t>
            </w:r>
          </w:p>
        </w:tc>
      </w:tr>
      <w:tr>
        <w:trPr>
          <w:trHeight w:val="154"/>
        </w:trPr>
        <w:tc>
          <w:tcPr>
            <w:tcW w:w="5560" w:type="dxa"/>
            <w:vAlign w:val="bottom"/>
            <w:tcBorders>
              <w:right w:val="single" w:sz="8" w:color="4D8ABE"/>
            </w:tcBorders>
            <w:shd w:val="clear" w:color="auto" w:fill="E6EFFF"/>
          </w:tcPr>
          <w:p>
            <w:pPr>
              <w:ind w:left="120"/>
              <w:spacing w:after="0" w:line="154" w:lineRule="exact"/>
              <w:rPr>
                <w:sz w:val="20"/>
                <w:szCs w:val="20"/>
                <w:color w:val="auto"/>
              </w:rPr>
            </w:pPr>
            <w:r>
              <w:rPr>
                <w:rFonts w:ascii="Arial" w:cs="Arial" w:eastAsia="Arial" w:hAnsi="Arial"/>
                <w:sz w:val="14"/>
                <w:szCs w:val="14"/>
                <w:color w:val="auto"/>
              </w:rPr>
              <w:t>Transfers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(0.1)</w:t>
            </w:r>
          </w:p>
        </w:tc>
        <w:tc>
          <w:tcPr>
            <w:tcW w:w="200" w:type="dxa"/>
            <w:vAlign w:val="bottom"/>
            <w:shd w:val="clear" w:color="auto" w:fill="E6EFFF"/>
          </w:tcPr>
          <w:p>
            <w:pPr>
              <w:spacing w:after="0"/>
              <w:rPr>
                <w:sz w:val="13"/>
                <w:szCs w:val="13"/>
                <w:color w:val="auto"/>
              </w:rPr>
            </w:pPr>
          </w:p>
        </w:tc>
        <w:tc>
          <w:tcPr>
            <w:tcW w:w="1260" w:type="dxa"/>
            <w:vAlign w:val="bottom"/>
            <w:gridSpan w:val="2"/>
            <w:shd w:val="clear" w:color="auto" w:fill="E6EFFF"/>
          </w:tcPr>
          <w:p>
            <w:pPr>
              <w:jc w:val="right"/>
              <w:ind w:right="140"/>
              <w:spacing w:after="0" w:line="154" w:lineRule="exact"/>
              <w:rPr>
                <w:sz w:val="20"/>
                <w:szCs w:val="20"/>
                <w:color w:val="auto"/>
              </w:rPr>
            </w:pPr>
            <w:r>
              <w:rPr>
                <w:rFonts w:ascii="Arial" w:cs="Arial" w:eastAsia="Arial" w:hAnsi="Arial"/>
                <w:sz w:val="14"/>
                <w:szCs w:val="14"/>
                <w:color w:val="auto"/>
              </w:rPr>
              <w:t>(6.4)</w:t>
            </w:r>
          </w:p>
        </w:tc>
      </w:tr>
      <w:tr>
        <w:trPr>
          <w:trHeight w:val="154"/>
        </w:trPr>
        <w:tc>
          <w:tcPr>
            <w:tcW w:w="5560" w:type="dxa"/>
            <w:vAlign w:val="bottom"/>
            <w:tcBorders>
              <w:right w:val="single" w:sz="8" w:color="4D8ABE"/>
            </w:tcBorders>
          </w:tcPr>
          <w:p>
            <w:pPr>
              <w:ind w:left="120"/>
              <w:spacing w:after="0" w:line="154" w:lineRule="exact"/>
              <w:rPr>
                <w:sz w:val="20"/>
                <w:szCs w:val="20"/>
                <w:color w:val="auto"/>
              </w:rPr>
            </w:pPr>
            <w:r>
              <w:rPr>
                <w:rFonts w:ascii="Arial" w:cs="Arial" w:eastAsia="Arial" w:hAnsi="Arial"/>
                <w:sz w:val="14"/>
                <w:szCs w:val="14"/>
                <w:color w:val="auto"/>
              </w:rPr>
              <w:t>Plan participant contributions</w:t>
            </w:r>
          </w:p>
        </w:tc>
        <w:tc>
          <w:tcPr>
            <w:tcW w:w="520" w:type="dxa"/>
            <w:vAlign w:val="bottom"/>
          </w:tcPr>
          <w:p>
            <w:pPr>
              <w:spacing w:after="0"/>
              <w:rPr>
                <w:sz w:val="13"/>
                <w:szCs w:val="13"/>
                <w:color w:val="auto"/>
              </w:rPr>
            </w:pPr>
          </w:p>
        </w:tc>
        <w:tc>
          <w:tcPr>
            <w:tcW w:w="96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tcPr>
          <w:p>
            <w:pPr>
              <w:spacing w:after="0"/>
              <w:rPr>
                <w:sz w:val="13"/>
                <w:szCs w:val="13"/>
                <w:color w:val="auto"/>
              </w:rPr>
            </w:pPr>
          </w:p>
        </w:tc>
        <w:tc>
          <w:tcPr>
            <w:tcW w:w="1160" w:type="dxa"/>
            <w:vAlign w:val="bottom"/>
            <w:tcBorders>
              <w:right w:val="single" w:sz="8" w:color="4D8ABE"/>
            </w:tcBorders>
            <w:gridSpan w:val="2"/>
          </w:tcPr>
          <w:p>
            <w:pPr>
              <w:jc w:val="right"/>
              <w:ind w:right="220"/>
              <w:spacing w:after="0" w:line="154"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8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2.8</w:t>
            </w:r>
          </w:p>
        </w:tc>
        <w:tc>
          <w:tcPr>
            <w:tcW w:w="200" w:type="dxa"/>
            <w:vAlign w:val="bottom"/>
          </w:tcPr>
          <w:p>
            <w:pPr>
              <w:spacing w:after="0"/>
              <w:rPr>
                <w:sz w:val="13"/>
                <w:szCs w:val="13"/>
                <w:color w:val="auto"/>
              </w:rPr>
            </w:pPr>
          </w:p>
        </w:tc>
        <w:tc>
          <w:tcPr>
            <w:tcW w:w="126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2.4</w:t>
            </w:r>
          </w:p>
        </w:tc>
      </w:tr>
      <w:tr>
        <w:trPr>
          <w:trHeight w:val="154"/>
        </w:trPr>
        <w:tc>
          <w:tcPr>
            <w:tcW w:w="5560" w:type="dxa"/>
            <w:vAlign w:val="bottom"/>
            <w:tcBorders>
              <w:right w:val="single" w:sz="8" w:color="4D8ABE"/>
            </w:tcBorders>
            <w:shd w:val="clear" w:color="auto" w:fill="E6EFFF"/>
          </w:tcPr>
          <w:p>
            <w:pPr>
              <w:ind w:left="120"/>
              <w:spacing w:after="0" w:line="154" w:lineRule="exact"/>
              <w:rPr>
                <w:sz w:val="20"/>
                <w:szCs w:val="20"/>
                <w:color w:val="auto"/>
              </w:rPr>
            </w:pPr>
            <w:r>
              <w:rPr>
                <w:rFonts w:ascii="Arial" w:cs="Arial" w:eastAsia="Arial" w:hAnsi="Arial"/>
                <w:sz w:val="14"/>
                <w:szCs w:val="14"/>
                <w:color w:val="auto"/>
              </w:rPr>
              <w:t>Company contributions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3.1</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2.8</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31.1</w:t>
            </w:r>
          </w:p>
        </w:tc>
        <w:tc>
          <w:tcPr>
            <w:tcW w:w="200" w:type="dxa"/>
            <w:vAlign w:val="bottom"/>
            <w:shd w:val="clear" w:color="auto" w:fill="E6EFFF"/>
          </w:tcPr>
          <w:p>
            <w:pPr>
              <w:spacing w:after="0"/>
              <w:rPr>
                <w:sz w:val="13"/>
                <w:szCs w:val="13"/>
                <w:color w:val="auto"/>
              </w:rPr>
            </w:pPr>
          </w:p>
        </w:tc>
        <w:tc>
          <w:tcPr>
            <w:tcW w:w="1040" w:type="dxa"/>
            <w:vAlign w:val="bottom"/>
            <w:shd w:val="clear" w:color="auto" w:fill="E6EFFF"/>
          </w:tcPr>
          <w:p>
            <w:pPr>
              <w:jc w:val="right"/>
              <w:spacing w:after="0" w:line="154" w:lineRule="exact"/>
              <w:rPr>
                <w:sz w:val="20"/>
                <w:szCs w:val="20"/>
                <w:color w:val="auto"/>
              </w:rPr>
            </w:pPr>
            <w:r>
              <w:rPr>
                <w:rFonts w:ascii="Arial" w:cs="Arial" w:eastAsia="Arial" w:hAnsi="Arial"/>
                <w:sz w:val="14"/>
                <w:szCs w:val="14"/>
                <w:color w:val="auto"/>
              </w:rPr>
              <w:t>16.8</w:t>
            </w:r>
          </w:p>
        </w:tc>
        <w:tc>
          <w:tcPr>
            <w:tcW w:w="220" w:type="dxa"/>
            <w:vAlign w:val="bottom"/>
            <w:shd w:val="clear" w:color="auto" w:fill="E6EFFF"/>
          </w:tcPr>
          <w:p>
            <w:pPr>
              <w:spacing w:after="0"/>
              <w:rPr>
                <w:sz w:val="13"/>
                <w:szCs w:val="13"/>
                <w:color w:val="auto"/>
              </w:rPr>
            </w:pPr>
          </w:p>
        </w:tc>
      </w:tr>
      <w:tr>
        <w:trPr>
          <w:trHeight w:val="154"/>
        </w:trPr>
        <w:tc>
          <w:tcPr>
            <w:tcW w:w="5560" w:type="dxa"/>
            <w:vAlign w:val="bottom"/>
            <w:tcBorders>
              <w:right w:val="single" w:sz="8" w:color="4D8ABE"/>
            </w:tcBorders>
          </w:tcPr>
          <w:p>
            <w:pPr>
              <w:ind w:left="120"/>
              <w:spacing w:after="0" w:line="154" w:lineRule="exact"/>
              <w:rPr>
                <w:sz w:val="20"/>
                <w:szCs w:val="20"/>
                <w:color w:val="auto"/>
              </w:rPr>
            </w:pPr>
            <w:r>
              <w:rPr>
                <w:rFonts w:ascii="Arial" w:cs="Arial" w:eastAsia="Arial" w:hAnsi="Arial"/>
                <w:sz w:val="14"/>
                <w:szCs w:val="14"/>
                <w:color w:val="auto"/>
              </w:rPr>
              <w:t>Benefits paid</w:t>
            </w:r>
          </w:p>
        </w:tc>
        <w:tc>
          <w:tcPr>
            <w:tcW w:w="520" w:type="dxa"/>
            <w:vAlign w:val="bottom"/>
          </w:tcPr>
          <w:p>
            <w:pPr>
              <w:spacing w:after="0"/>
              <w:rPr>
                <w:sz w:val="13"/>
                <w:szCs w:val="13"/>
                <w:color w:val="auto"/>
              </w:rPr>
            </w:pPr>
          </w:p>
        </w:tc>
        <w:tc>
          <w:tcPr>
            <w:tcW w:w="960" w:type="dxa"/>
            <w:vAlign w:val="bottom"/>
            <w:tcBorders>
              <w:right w:val="single" w:sz="8" w:color="4D8ABE"/>
            </w:tcBorders>
          </w:tcPr>
          <w:p>
            <w:pPr>
              <w:jc w:val="right"/>
              <w:ind w:right="132"/>
              <w:spacing w:after="0" w:line="154" w:lineRule="exact"/>
              <w:rPr>
                <w:sz w:val="20"/>
                <w:szCs w:val="20"/>
                <w:color w:val="auto"/>
              </w:rPr>
            </w:pPr>
            <w:r>
              <w:rPr>
                <w:rFonts w:ascii="Arial" w:cs="Arial" w:eastAsia="Arial" w:hAnsi="Arial"/>
                <w:sz w:val="14"/>
                <w:szCs w:val="14"/>
                <w:b w:val="1"/>
                <w:bCs w:val="1"/>
                <w:color w:val="4D8ABE"/>
              </w:rPr>
              <w:t>(5.0)</w:t>
            </w:r>
          </w:p>
        </w:tc>
        <w:tc>
          <w:tcPr>
            <w:tcW w:w="340" w:type="dxa"/>
            <w:vAlign w:val="bottom"/>
          </w:tcPr>
          <w:p>
            <w:pPr>
              <w:spacing w:after="0"/>
              <w:rPr>
                <w:sz w:val="13"/>
                <w:szCs w:val="13"/>
                <w:color w:val="auto"/>
              </w:rPr>
            </w:pPr>
          </w:p>
        </w:tc>
        <w:tc>
          <w:tcPr>
            <w:tcW w:w="1160" w:type="dxa"/>
            <w:vAlign w:val="bottom"/>
            <w:tcBorders>
              <w:right w:val="single" w:sz="8" w:color="4D8ABE"/>
            </w:tcBorders>
            <w:gridSpan w:val="2"/>
          </w:tcPr>
          <w:p>
            <w:pPr>
              <w:jc w:val="right"/>
              <w:ind w:right="180"/>
              <w:spacing w:after="0" w:line="154" w:lineRule="exact"/>
              <w:rPr>
                <w:sz w:val="20"/>
                <w:szCs w:val="20"/>
                <w:color w:val="auto"/>
              </w:rPr>
            </w:pPr>
            <w:r>
              <w:rPr>
                <w:rFonts w:ascii="Arial" w:cs="Arial" w:eastAsia="Arial" w:hAnsi="Arial"/>
                <w:sz w:val="14"/>
                <w:szCs w:val="14"/>
                <w:color w:val="auto"/>
              </w:rPr>
              <w:t>(4.4)</w:t>
            </w:r>
          </w:p>
        </w:tc>
        <w:tc>
          <w:tcPr>
            <w:tcW w:w="480" w:type="dxa"/>
            <w:vAlign w:val="bottom"/>
          </w:tcPr>
          <w:p>
            <w:pPr>
              <w:spacing w:after="0"/>
              <w:rPr>
                <w:sz w:val="13"/>
                <w:szCs w:val="13"/>
                <w:color w:val="auto"/>
              </w:rPr>
            </w:pPr>
          </w:p>
        </w:tc>
        <w:tc>
          <w:tcPr>
            <w:tcW w:w="980" w:type="dxa"/>
            <w:vAlign w:val="bottom"/>
            <w:tcBorders>
              <w:right w:val="single" w:sz="8" w:color="4D8ABE"/>
            </w:tcBorders>
          </w:tcPr>
          <w:p>
            <w:pPr>
              <w:jc w:val="right"/>
              <w:ind w:right="132"/>
              <w:spacing w:after="0" w:line="154" w:lineRule="exact"/>
              <w:rPr>
                <w:sz w:val="20"/>
                <w:szCs w:val="20"/>
                <w:color w:val="auto"/>
              </w:rPr>
            </w:pPr>
            <w:r>
              <w:rPr>
                <w:rFonts w:ascii="Arial" w:cs="Arial" w:eastAsia="Arial" w:hAnsi="Arial"/>
                <w:sz w:val="14"/>
                <w:szCs w:val="14"/>
                <w:b w:val="1"/>
                <w:bCs w:val="1"/>
                <w:color w:val="4D8ABE"/>
              </w:rPr>
              <w:t>(6.6)</w:t>
            </w:r>
          </w:p>
        </w:tc>
        <w:tc>
          <w:tcPr>
            <w:tcW w:w="200" w:type="dxa"/>
            <w:vAlign w:val="bottom"/>
          </w:tcPr>
          <w:p>
            <w:pPr>
              <w:spacing w:after="0"/>
              <w:rPr>
                <w:sz w:val="13"/>
                <w:szCs w:val="13"/>
                <w:color w:val="auto"/>
              </w:rPr>
            </w:pPr>
          </w:p>
        </w:tc>
        <w:tc>
          <w:tcPr>
            <w:tcW w:w="126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(5.0)</w:t>
            </w:r>
          </w:p>
        </w:tc>
      </w:tr>
      <w:tr>
        <w:trPr>
          <w:trHeight w:val="154"/>
        </w:trPr>
        <w:tc>
          <w:tcPr>
            <w:tcW w:w="5560" w:type="dxa"/>
            <w:vAlign w:val="bottom"/>
            <w:tcBorders>
              <w:right w:val="single" w:sz="8" w:color="4D8ABE"/>
            </w:tcBorders>
            <w:shd w:val="clear" w:color="auto" w:fill="E6EFFF"/>
          </w:tcPr>
          <w:p>
            <w:pPr>
              <w:ind w:left="120"/>
              <w:spacing w:after="0" w:line="154" w:lineRule="exact"/>
              <w:rPr>
                <w:sz w:val="20"/>
                <w:szCs w:val="20"/>
                <w:color w:val="auto"/>
              </w:rPr>
            </w:pPr>
            <w:r>
              <w:rPr>
                <w:rFonts w:ascii="Arial" w:cs="Arial" w:eastAsia="Arial" w:hAnsi="Arial"/>
                <w:sz w:val="14"/>
                <w:szCs w:val="14"/>
                <w:color w:val="auto"/>
              </w:rPr>
              <w:t>Currency exchange rate changes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shd w:val="clear" w:color="auto" w:fill="E6EFFF"/>
          </w:tcPr>
          <w:p>
            <w:pPr>
              <w:spacing w:after="0"/>
              <w:rPr>
                <w:sz w:val="13"/>
                <w:szCs w:val="13"/>
                <w:color w:val="auto"/>
              </w:rPr>
            </w:pPr>
          </w:p>
        </w:tc>
        <w:tc>
          <w:tcPr>
            <w:tcW w:w="900" w:type="dxa"/>
            <w:vAlign w:val="bottom"/>
            <w:shd w:val="clear" w:color="auto" w:fill="E6EFFF"/>
          </w:tcPr>
          <w:p>
            <w:pPr>
              <w:spacing w:after="0"/>
              <w:rPr>
                <w:sz w:val="13"/>
                <w:szCs w:val="13"/>
                <w:color w:val="auto"/>
              </w:rPr>
            </w:pPr>
          </w:p>
        </w:tc>
        <w:tc>
          <w:tcPr>
            <w:tcW w:w="260" w:type="dxa"/>
            <w:vAlign w:val="bottom"/>
            <w:tcBorders>
              <w:right w:val="single" w:sz="8" w:color="4D8ABE"/>
            </w:tcBorders>
            <w:shd w:val="clear" w:color="auto" w:fill="E6EFFF"/>
          </w:tcPr>
          <w:p>
            <w:pPr>
              <w:spacing w:after="0"/>
              <w:rPr>
                <w:sz w:val="13"/>
                <w:szCs w:val="13"/>
                <w:color w:val="auto"/>
              </w:rPr>
            </w:pP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(37.2)</w:t>
            </w:r>
          </w:p>
        </w:tc>
        <w:tc>
          <w:tcPr>
            <w:tcW w:w="200" w:type="dxa"/>
            <w:vAlign w:val="bottom"/>
            <w:shd w:val="clear" w:color="auto" w:fill="E6EFFF"/>
          </w:tcPr>
          <w:p>
            <w:pPr>
              <w:spacing w:after="0"/>
              <w:rPr>
                <w:sz w:val="13"/>
                <w:szCs w:val="13"/>
                <w:color w:val="auto"/>
              </w:rPr>
            </w:pPr>
          </w:p>
        </w:tc>
        <w:tc>
          <w:tcPr>
            <w:tcW w:w="1260" w:type="dxa"/>
            <w:vAlign w:val="bottom"/>
            <w:gridSpan w:val="2"/>
            <w:shd w:val="clear" w:color="auto" w:fill="E6EFFF"/>
          </w:tcPr>
          <w:p>
            <w:pPr>
              <w:jc w:val="right"/>
              <w:ind w:right="180"/>
              <w:spacing w:after="0" w:line="154" w:lineRule="exact"/>
              <w:rPr>
                <w:sz w:val="20"/>
                <w:szCs w:val="20"/>
                <w:color w:val="auto"/>
              </w:rPr>
            </w:pPr>
            <w:r>
              <w:rPr>
                <w:rFonts w:ascii="Arial" w:cs="Arial" w:eastAsia="Arial" w:hAnsi="Arial"/>
                <w:sz w:val="14"/>
                <w:szCs w:val="14"/>
                <w:color w:val="auto"/>
              </w:rPr>
              <w:t>9.5</w:t>
            </w:r>
          </w:p>
        </w:tc>
      </w:tr>
      <w:tr>
        <w:trPr>
          <w:trHeight w:val="145"/>
        </w:trPr>
        <w:tc>
          <w:tcPr>
            <w:tcW w:w="5560" w:type="dxa"/>
            <w:vAlign w:val="bottom"/>
            <w:tcBorders>
              <w:top w:val="single" w:sz="8" w:color="auto"/>
              <w:bottom w:val="single" w:sz="8" w:color="auto"/>
              <w:right w:val="single" w:sz="8" w:color="4D8ABE"/>
            </w:tcBorders>
          </w:tcPr>
          <w:p>
            <w:pPr>
              <w:spacing w:after="0" w:line="145" w:lineRule="exact"/>
              <w:rPr>
                <w:sz w:val="20"/>
                <w:szCs w:val="20"/>
                <w:color w:val="auto"/>
              </w:rPr>
            </w:pPr>
            <w:r>
              <w:rPr>
                <w:rFonts w:ascii="Arial" w:cs="Arial" w:eastAsia="Arial" w:hAnsi="Arial"/>
                <w:sz w:val="14"/>
                <w:szCs w:val="14"/>
                <w:color w:val="auto"/>
              </w:rPr>
              <w:t>Fair value of plan assets, end of year</w:t>
            </w:r>
          </w:p>
        </w:tc>
        <w:tc>
          <w:tcPr>
            <w:tcW w:w="520" w:type="dxa"/>
            <w:vAlign w:val="bottom"/>
            <w:tcBorders>
              <w:top w:val="single" w:sz="8" w:color="auto"/>
              <w:bottom w:val="single" w:sz="8" w:color="auto"/>
            </w:tcBorders>
          </w:tcPr>
          <w:p>
            <w:pPr>
              <w:jc w:val="right"/>
              <w:ind w:right="352"/>
              <w:spacing w:after="0" w:line="14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auto"/>
              <w:bottom w:val="single" w:sz="8" w:color="auto"/>
              <w:right w:val="single" w:sz="8" w:color="4D8ABE"/>
            </w:tcBorders>
          </w:tcPr>
          <w:p>
            <w:pPr>
              <w:jc w:val="right"/>
              <w:ind w:right="172"/>
              <w:spacing w:after="0" w:line="145" w:lineRule="exact"/>
              <w:rPr>
                <w:sz w:val="20"/>
                <w:szCs w:val="20"/>
                <w:color w:val="auto"/>
              </w:rPr>
            </w:pPr>
            <w:r>
              <w:rPr>
                <w:rFonts w:ascii="Arial" w:cs="Arial" w:eastAsia="Arial" w:hAnsi="Arial"/>
                <w:sz w:val="14"/>
                <w:szCs w:val="14"/>
                <w:b w:val="1"/>
                <w:bCs w:val="1"/>
                <w:color w:val="4D8ABE"/>
              </w:rPr>
              <w:t>30.3</w:t>
            </w:r>
          </w:p>
        </w:tc>
        <w:tc>
          <w:tcPr>
            <w:tcW w:w="340" w:type="dxa"/>
            <w:vAlign w:val="bottom"/>
            <w:tcBorders>
              <w:top w:val="single" w:sz="8" w:color="auto"/>
              <w:bottom w:val="single" w:sz="8" w:color="auto"/>
            </w:tcBorders>
          </w:tcPr>
          <w:p>
            <w:pPr>
              <w:jc w:val="right"/>
              <w:ind w:right="172"/>
              <w:spacing w:after="0" w:line="14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41.9</w:t>
            </w:r>
          </w:p>
        </w:tc>
        <w:tc>
          <w:tcPr>
            <w:tcW w:w="260" w:type="dxa"/>
            <w:vAlign w:val="bottom"/>
            <w:tcBorders>
              <w:bottom w:val="single" w:sz="8" w:color="E6EFFF"/>
              <w:right w:val="single" w:sz="8" w:color="4D8ABE"/>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32"/>
              <w:spacing w:after="0" w:line="145" w:lineRule="exact"/>
              <w:rPr>
                <w:sz w:val="20"/>
                <w:szCs w:val="20"/>
                <w:color w:val="auto"/>
              </w:rPr>
            </w:pPr>
            <w:r>
              <w:rPr>
                <w:rFonts w:ascii="Arial" w:cs="Arial" w:eastAsia="Arial" w:hAnsi="Arial"/>
                <w:sz w:val="14"/>
                <w:szCs w:val="14"/>
                <w:b w:val="1"/>
                <w:bCs w:val="1"/>
                <w:color w:val="4D8ABE"/>
                <w:w w:val="76"/>
              </w:rPr>
              <w:t>$</w:t>
            </w:r>
          </w:p>
        </w:tc>
        <w:tc>
          <w:tcPr>
            <w:tcW w:w="980" w:type="dxa"/>
            <w:vAlign w:val="bottom"/>
            <w:tcBorders>
              <w:top w:val="single" w:sz="8" w:color="auto"/>
              <w:bottom w:val="single" w:sz="8" w:color="auto"/>
              <w:right w:val="single" w:sz="8" w:color="4D8ABE"/>
            </w:tcBorders>
          </w:tcPr>
          <w:p>
            <w:pPr>
              <w:jc w:val="right"/>
              <w:ind w:right="172"/>
              <w:spacing w:after="0" w:line="145" w:lineRule="exact"/>
              <w:rPr>
                <w:sz w:val="20"/>
                <w:szCs w:val="20"/>
                <w:color w:val="auto"/>
              </w:rPr>
            </w:pPr>
            <w:r>
              <w:rPr>
                <w:rFonts w:ascii="Arial" w:cs="Arial" w:eastAsia="Arial" w:hAnsi="Arial"/>
                <w:sz w:val="14"/>
                <w:szCs w:val="14"/>
                <w:b w:val="1"/>
                <w:bCs w:val="1"/>
                <w:color w:val="4D8ABE"/>
              </w:rPr>
              <w:t>175.8</w:t>
            </w:r>
          </w:p>
        </w:tc>
        <w:tc>
          <w:tcPr>
            <w:tcW w:w="200" w:type="dxa"/>
            <w:vAlign w:val="bottom"/>
            <w:tcBorders>
              <w:top w:val="single" w:sz="8" w:color="auto"/>
              <w:bottom w:val="single" w:sz="8" w:color="auto"/>
            </w:tcBorders>
          </w:tcPr>
          <w:p>
            <w:pPr>
              <w:jc w:val="right"/>
              <w:ind w:right="32"/>
              <w:spacing w:after="0" w:line="14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195.9</w:t>
            </w:r>
          </w:p>
        </w:tc>
        <w:tc>
          <w:tcPr>
            <w:tcW w:w="220" w:type="dxa"/>
            <w:vAlign w:val="bottom"/>
            <w:tcBorders>
              <w:bottom w:val="single" w:sz="8" w:color="E6EFFF"/>
            </w:tcBorders>
          </w:tcPr>
          <w:p>
            <w:pPr>
              <w:spacing w:after="0"/>
              <w:rPr>
                <w:sz w:val="12"/>
                <w:szCs w:val="12"/>
                <w:color w:val="auto"/>
              </w:rPr>
            </w:pPr>
          </w:p>
        </w:tc>
      </w:tr>
      <w:tr>
        <w:trPr>
          <w:trHeight w:val="154"/>
        </w:trPr>
        <w:tc>
          <w:tcPr>
            <w:tcW w:w="5560" w:type="dxa"/>
            <w:vAlign w:val="bottom"/>
            <w:tcBorders>
              <w:right w:val="single" w:sz="8" w:color="4D8ABE"/>
            </w:tcBorders>
            <w:shd w:val="clear" w:color="auto" w:fill="E6EFFF"/>
          </w:tcPr>
          <w:p>
            <w:pPr>
              <w:spacing w:after="0" w:line="154" w:lineRule="exact"/>
              <w:rPr>
                <w:sz w:val="20"/>
                <w:szCs w:val="20"/>
                <w:color w:val="auto"/>
              </w:rPr>
            </w:pPr>
            <w:r>
              <w:rPr>
                <w:rFonts w:ascii="Arial" w:cs="Arial" w:eastAsia="Arial" w:hAnsi="Arial"/>
                <w:sz w:val="14"/>
                <w:szCs w:val="14"/>
                <w:b w:val="1"/>
                <w:bCs w:val="1"/>
                <w:color w:val="939598"/>
              </w:rPr>
              <w:t>Funded Status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spacing w:after="0"/>
              <w:rPr>
                <w:sz w:val="13"/>
                <w:szCs w:val="13"/>
                <w:color w:val="auto"/>
              </w:rPr>
            </w:pPr>
          </w:p>
        </w:tc>
        <w:tc>
          <w:tcPr>
            <w:tcW w:w="340" w:type="dxa"/>
            <w:vAlign w:val="bottom"/>
            <w:shd w:val="clear" w:color="auto" w:fill="E6EFFF"/>
          </w:tcPr>
          <w:p>
            <w:pPr>
              <w:spacing w:after="0"/>
              <w:rPr>
                <w:sz w:val="13"/>
                <w:szCs w:val="13"/>
                <w:color w:val="auto"/>
              </w:rPr>
            </w:pPr>
          </w:p>
        </w:tc>
        <w:tc>
          <w:tcPr>
            <w:tcW w:w="900" w:type="dxa"/>
            <w:vAlign w:val="bottom"/>
            <w:shd w:val="clear" w:color="auto" w:fill="E6EFFF"/>
          </w:tcPr>
          <w:p>
            <w:pPr>
              <w:spacing w:after="0"/>
              <w:rPr>
                <w:sz w:val="13"/>
                <w:szCs w:val="13"/>
                <w:color w:val="auto"/>
              </w:rPr>
            </w:pPr>
          </w:p>
        </w:tc>
        <w:tc>
          <w:tcPr>
            <w:tcW w:w="260" w:type="dxa"/>
            <w:vAlign w:val="bottom"/>
            <w:tcBorders>
              <w:right w:val="single" w:sz="8" w:color="4D8ABE"/>
            </w:tcBorders>
            <w:shd w:val="clear" w:color="auto" w:fill="E6EFFF"/>
          </w:tcPr>
          <w:p>
            <w:pPr>
              <w:spacing w:after="0"/>
              <w:rPr>
                <w:sz w:val="13"/>
                <w:szCs w:val="13"/>
                <w:color w:val="auto"/>
              </w:rPr>
            </w:pP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spacing w:after="0"/>
              <w:rPr>
                <w:sz w:val="13"/>
                <w:szCs w:val="13"/>
                <w:color w:val="auto"/>
              </w:rPr>
            </w:pPr>
          </w:p>
        </w:tc>
        <w:tc>
          <w:tcPr>
            <w:tcW w:w="200" w:type="dxa"/>
            <w:vAlign w:val="bottom"/>
            <w:shd w:val="clear" w:color="auto" w:fill="E6EFFF"/>
          </w:tcPr>
          <w:p>
            <w:pPr>
              <w:spacing w:after="0"/>
              <w:rPr>
                <w:sz w:val="13"/>
                <w:szCs w:val="13"/>
                <w:color w:val="auto"/>
              </w:rPr>
            </w:pPr>
          </w:p>
        </w:tc>
        <w:tc>
          <w:tcPr>
            <w:tcW w:w="104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r>
      <w:tr>
        <w:trPr>
          <w:trHeight w:val="154"/>
        </w:trPr>
        <w:tc>
          <w:tcPr>
            <w:tcW w:w="5560" w:type="dxa"/>
            <w:vAlign w:val="bottom"/>
            <w:tcBorders>
              <w:right w:val="single" w:sz="8" w:color="4D8ABE"/>
            </w:tcBorders>
          </w:tcPr>
          <w:p>
            <w:pPr>
              <w:spacing w:after="0" w:line="154" w:lineRule="exact"/>
              <w:rPr>
                <w:sz w:val="20"/>
                <w:szCs w:val="20"/>
                <w:color w:val="auto"/>
              </w:rPr>
            </w:pPr>
            <w:r>
              <w:rPr>
                <w:rFonts w:ascii="Arial" w:cs="Arial" w:eastAsia="Arial" w:hAnsi="Arial"/>
                <w:sz w:val="14"/>
                <w:szCs w:val="14"/>
                <w:color w:val="auto"/>
              </w:rPr>
              <w:t>Funded status of plan at measurement date</w:t>
            </w:r>
          </w:p>
        </w:tc>
        <w:tc>
          <w:tcPr>
            <w:tcW w:w="520" w:type="dxa"/>
            <w:vAlign w:val="bottom"/>
          </w:tcPr>
          <w:p>
            <w:pPr>
              <w:jc w:val="right"/>
              <w:ind w:right="352"/>
              <w:spacing w:after="0" w:line="154" w:lineRule="exact"/>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tcPr>
          <w:p>
            <w:pPr>
              <w:jc w:val="right"/>
              <w:ind w:right="132"/>
              <w:spacing w:after="0" w:line="154" w:lineRule="exact"/>
              <w:rPr>
                <w:sz w:val="20"/>
                <w:szCs w:val="20"/>
                <w:color w:val="auto"/>
              </w:rPr>
            </w:pPr>
            <w:r>
              <w:rPr>
                <w:rFonts w:ascii="Arial" w:cs="Arial" w:eastAsia="Arial" w:hAnsi="Arial"/>
                <w:sz w:val="14"/>
                <w:szCs w:val="14"/>
                <w:b w:val="1"/>
                <w:bCs w:val="1"/>
                <w:color w:val="4D8ABE"/>
              </w:rPr>
              <w:t>(19.0)</w:t>
            </w:r>
          </w:p>
        </w:tc>
        <w:tc>
          <w:tcPr>
            <w:tcW w:w="34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4D8ABE"/>
            </w:tcBorders>
            <w:gridSpan w:val="2"/>
          </w:tcPr>
          <w:p>
            <w:pPr>
              <w:jc w:val="right"/>
              <w:ind w:right="180"/>
              <w:spacing w:after="0" w:line="154" w:lineRule="exact"/>
              <w:rPr>
                <w:sz w:val="20"/>
                <w:szCs w:val="20"/>
                <w:color w:val="auto"/>
              </w:rPr>
            </w:pPr>
            <w:r>
              <w:rPr>
                <w:rFonts w:ascii="Arial" w:cs="Arial" w:eastAsia="Arial" w:hAnsi="Arial"/>
                <w:sz w:val="14"/>
                <w:szCs w:val="14"/>
                <w:color w:val="auto"/>
              </w:rPr>
              <w:t>(7.9)</w:t>
            </w:r>
          </w:p>
        </w:tc>
        <w:tc>
          <w:tcPr>
            <w:tcW w:w="480" w:type="dxa"/>
            <w:vAlign w:val="bottom"/>
          </w:tcPr>
          <w:p>
            <w:pPr>
              <w:jc w:val="right"/>
              <w:ind w:right="332"/>
              <w:spacing w:after="0" w:line="154" w:lineRule="exact"/>
              <w:rPr>
                <w:sz w:val="20"/>
                <w:szCs w:val="20"/>
                <w:color w:val="auto"/>
              </w:rPr>
            </w:pPr>
            <w:r>
              <w:rPr>
                <w:rFonts w:ascii="Arial" w:cs="Arial" w:eastAsia="Arial" w:hAnsi="Arial"/>
                <w:sz w:val="14"/>
                <w:szCs w:val="14"/>
                <w:b w:val="1"/>
                <w:bCs w:val="1"/>
                <w:color w:val="4D8ABE"/>
                <w:w w:val="76"/>
              </w:rPr>
              <w:t>$</w:t>
            </w:r>
          </w:p>
        </w:tc>
        <w:tc>
          <w:tcPr>
            <w:tcW w:w="980" w:type="dxa"/>
            <w:vAlign w:val="bottom"/>
            <w:tcBorders>
              <w:right w:val="single" w:sz="8" w:color="4D8ABE"/>
            </w:tcBorders>
          </w:tcPr>
          <w:p>
            <w:pPr>
              <w:jc w:val="right"/>
              <w:ind w:right="132"/>
              <w:spacing w:after="0" w:line="154" w:lineRule="exact"/>
              <w:rPr>
                <w:sz w:val="20"/>
                <w:szCs w:val="20"/>
                <w:color w:val="auto"/>
              </w:rPr>
            </w:pPr>
            <w:r>
              <w:rPr>
                <w:rFonts w:ascii="Arial" w:cs="Arial" w:eastAsia="Arial" w:hAnsi="Arial"/>
                <w:sz w:val="14"/>
                <w:szCs w:val="14"/>
                <w:b w:val="1"/>
                <w:bCs w:val="1"/>
                <w:color w:val="4D8ABE"/>
              </w:rPr>
              <w:t>(33.0)</w:t>
            </w:r>
          </w:p>
        </w:tc>
        <w:tc>
          <w:tcPr>
            <w:tcW w:w="200" w:type="dxa"/>
            <w:vAlign w:val="bottom"/>
          </w:tcPr>
          <w:p>
            <w:pPr>
              <w:jc w:val="right"/>
              <w:ind w:right="32"/>
              <w:spacing w:after="0" w:line="154"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(47.9)</w:t>
            </w:r>
          </w:p>
        </w:tc>
      </w:tr>
      <w:tr>
        <w:trPr>
          <w:trHeight w:val="154"/>
        </w:trPr>
        <w:tc>
          <w:tcPr>
            <w:tcW w:w="5560" w:type="dxa"/>
            <w:vAlign w:val="bottom"/>
            <w:tcBorders>
              <w:right w:val="single" w:sz="8" w:color="4D8ABE"/>
            </w:tcBorders>
            <w:shd w:val="clear" w:color="auto" w:fill="E6EFFF"/>
          </w:tcPr>
          <w:p>
            <w:pPr>
              <w:spacing w:after="0" w:line="154" w:lineRule="exact"/>
              <w:rPr>
                <w:sz w:val="20"/>
                <w:szCs w:val="20"/>
                <w:color w:val="auto"/>
              </w:rPr>
            </w:pPr>
            <w:r>
              <w:rPr>
                <w:rFonts w:ascii="Arial" w:cs="Arial" w:eastAsia="Arial" w:hAnsi="Arial"/>
                <w:sz w:val="14"/>
                <w:szCs w:val="14"/>
                <w:color w:val="auto"/>
              </w:rPr>
              <w:t>Contributions between measurement date and fiscal year end</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220"/>
              <w:spacing w:after="0" w:line="154" w:lineRule="exact"/>
              <w:rPr>
                <w:sz w:val="20"/>
                <w:szCs w:val="20"/>
                <w:color w:val="auto"/>
              </w:rPr>
            </w:pPr>
            <w:r>
              <w:rPr>
                <w:rFonts w:ascii="Arial" w:cs="Arial" w:eastAsia="Arial" w:hAnsi="Arial"/>
                <w:sz w:val="14"/>
                <w:szCs w:val="14"/>
                <w:color w:val="auto"/>
              </w:rPr>
              <w:t>0.5</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72"/>
              <w:spacing w:after="0" w:line="154" w:lineRule="exact"/>
              <w:rPr>
                <w:sz w:val="20"/>
                <w:szCs w:val="20"/>
                <w:color w:val="auto"/>
              </w:rPr>
            </w:pPr>
            <w:r>
              <w:rPr>
                <w:rFonts w:ascii="Arial" w:cs="Arial" w:eastAsia="Arial" w:hAnsi="Arial"/>
                <w:sz w:val="14"/>
                <w:szCs w:val="14"/>
                <w:b w:val="1"/>
                <w:bCs w:val="1"/>
                <w:color w:val="4D8ABE"/>
              </w:rPr>
              <w:t>—</w:t>
            </w:r>
          </w:p>
        </w:tc>
        <w:tc>
          <w:tcPr>
            <w:tcW w:w="200" w:type="dxa"/>
            <w:vAlign w:val="bottom"/>
            <w:shd w:val="clear" w:color="auto" w:fill="E6EFFF"/>
          </w:tcPr>
          <w:p>
            <w:pPr>
              <w:spacing w:after="0"/>
              <w:rPr>
                <w:sz w:val="13"/>
                <w:szCs w:val="13"/>
                <w:color w:val="auto"/>
              </w:rPr>
            </w:pPr>
          </w:p>
        </w:tc>
        <w:tc>
          <w:tcPr>
            <w:tcW w:w="1260" w:type="dxa"/>
            <w:vAlign w:val="bottom"/>
            <w:gridSpan w:val="2"/>
            <w:shd w:val="clear" w:color="auto" w:fill="E6EFFF"/>
          </w:tcPr>
          <w:p>
            <w:pPr>
              <w:jc w:val="right"/>
              <w:ind w:right="180"/>
              <w:spacing w:after="0" w:line="154" w:lineRule="exact"/>
              <w:rPr>
                <w:sz w:val="20"/>
                <w:szCs w:val="20"/>
                <w:color w:val="auto"/>
              </w:rPr>
            </w:pPr>
            <w:r>
              <w:rPr>
                <w:rFonts w:ascii="Arial" w:cs="Arial" w:eastAsia="Arial" w:hAnsi="Arial"/>
                <w:sz w:val="14"/>
                <w:szCs w:val="14"/>
                <w:color w:val="auto"/>
              </w:rPr>
              <w:t>—</w:t>
            </w:r>
          </w:p>
        </w:tc>
      </w:tr>
      <w:tr>
        <w:trPr>
          <w:trHeight w:val="145"/>
        </w:trPr>
        <w:tc>
          <w:tcPr>
            <w:tcW w:w="5560" w:type="dxa"/>
            <w:vAlign w:val="bottom"/>
            <w:tcBorders>
              <w:top w:val="single" w:sz="8" w:color="auto"/>
              <w:bottom w:val="single" w:sz="8" w:color="auto"/>
              <w:right w:val="single" w:sz="8" w:color="4D8ABE"/>
            </w:tcBorders>
          </w:tcPr>
          <w:p>
            <w:pPr>
              <w:spacing w:after="0" w:line="145" w:lineRule="exact"/>
              <w:rPr>
                <w:sz w:val="20"/>
                <w:szCs w:val="20"/>
                <w:color w:val="auto"/>
              </w:rPr>
            </w:pPr>
            <w:r>
              <w:rPr>
                <w:rFonts w:ascii="Arial" w:cs="Arial" w:eastAsia="Arial" w:hAnsi="Arial"/>
                <w:sz w:val="14"/>
                <w:szCs w:val="14"/>
                <w:color w:val="auto"/>
              </w:rPr>
              <w:t>Funded status, end of year</w:t>
            </w:r>
          </w:p>
        </w:tc>
        <w:tc>
          <w:tcPr>
            <w:tcW w:w="520" w:type="dxa"/>
            <w:vAlign w:val="bottom"/>
            <w:tcBorders>
              <w:top w:val="single" w:sz="8" w:color="auto"/>
              <w:bottom w:val="single" w:sz="8" w:color="auto"/>
            </w:tcBorders>
          </w:tcPr>
          <w:p>
            <w:pPr>
              <w:jc w:val="right"/>
              <w:ind w:right="352"/>
              <w:spacing w:after="0" w:line="14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auto"/>
              <w:bottom w:val="single" w:sz="8" w:color="auto"/>
              <w:right w:val="single" w:sz="8" w:color="4D8ABE"/>
            </w:tcBorders>
          </w:tcPr>
          <w:p>
            <w:pPr>
              <w:jc w:val="right"/>
              <w:ind w:right="132"/>
              <w:spacing w:after="0" w:line="145" w:lineRule="exact"/>
              <w:rPr>
                <w:sz w:val="20"/>
                <w:szCs w:val="20"/>
                <w:color w:val="auto"/>
              </w:rPr>
            </w:pPr>
            <w:r>
              <w:rPr>
                <w:rFonts w:ascii="Arial" w:cs="Arial" w:eastAsia="Arial" w:hAnsi="Arial"/>
                <w:sz w:val="14"/>
                <w:szCs w:val="14"/>
                <w:b w:val="1"/>
                <w:bCs w:val="1"/>
                <w:color w:val="4D8ABE"/>
              </w:rPr>
              <w:t>(19.0)</w:t>
            </w:r>
          </w:p>
        </w:tc>
        <w:tc>
          <w:tcPr>
            <w:tcW w:w="340" w:type="dxa"/>
            <w:vAlign w:val="bottom"/>
            <w:tcBorders>
              <w:top w:val="single" w:sz="8" w:color="auto"/>
              <w:bottom w:val="single" w:sz="8" w:color="auto"/>
            </w:tcBorders>
          </w:tcPr>
          <w:p>
            <w:pPr>
              <w:jc w:val="right"/>
              <w:ind w:right="172"/>
              <w:spacing w:after="0" w:line="14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(7.4</w:t>
            </w:r>
          </w:p>
        </w:tc>
        <w:tc>
          <w:tcPr>
            <w:tcW w:w="260" w:type="dxa"/>
            <w:vAlign w:val="bottom"/>
            <w:tcBorders>
              <w:bottom w:val="single" w:sz="8" w:color="E6EFFF"/>
              <w:right w:val="single" w:sz="8" w:color="4D8ABE"/>
            </w:tcBorders>
          </w:tcPr>
          <w:p>
            <w:pPr>
              <w:jc w:val="right"/>
              <w:ind w:right="180"/>
              <w:spacing w:after="0"/>
              <w:rPr>
                <w:sz w:val="20"/>
                <w:szCs w:val="20"/>
                <w:color w:val="auto"/>
              </w:rPr>
            </w:pPr>
            <w:r>
              <w:rPr>
                <w:rFonts w:ascii="Arial" w:cs="Arial" w:eastAsia="Arial" w:hAnsi="Arial"/>
                <w:sz w:val="8"/>
                <w:szCs w:val="8"/>
                <w:color w:val="auto"/>
                <w:w w:val="73"/>
              </w:rPr>
              <w:t>)</w:t>
            </w:r>
          </w:p>
        </w:tc>
        <w:tc>
          <w:tcPr>
            <w:tcW w:w="480" w:type="dxa"/>
            <w:vAlign w:val="bottom"/>
            <w:tcBorders>
              <w:top w:val="single" w:sz="8" w:color="auto"/>
              <w:bottom w:val="single" w:sz="8" w:color="auto"/>
            </w:tcBorders>
          </w:tcPr>
          <w:p>
            <w:pPr>
              <w:jc w:val="right"/>
              <w:ind w:right="332"/>
              <w:spacing w:after="0" w:line="145" w:lineRule="exact"/>
              <w:rPr>
                <w:sz w:val="20"/>
                <w:szCs w:val="20"/>
                <w:color w:val="auto"/>
              </w:rPr>
            </w:pPr>
            <w:r>
              <w:rPr>
                <w:rFonts w:ascii="Arial" w:cs="Arial" w:eastAsia="Arial" w:hAnsi="Arial"/>
                <w:sz w:val="14"/>
                <w:szCs w:val="14"/>
                <w:b w:val="1"/>
                <w:bCs w:val="1"/>
                <w:color w:val="4D8ABE"/>
                <w:w w:val="76"/>
              </w:rPr>
              <w:t>$</w:t>
            </w:r>
          </w:p>
        </w:tc>
        <w:tc>
          <w:tcPr>
            <w:tcW w:w="980" w:type="dxa"/>
            <w:vAlign w:val="bottom"/>
            <w:tcBorders>
              <w:top w:val="single" w:sz="8" w:color="auto"/>
              <w:bottom w:val="single" w:sz="8" w:color="auto"/>
              <w:right w:val="single" w:sz="8" w:color="4D8ABE"/>
            </w:tcBorders>
          </w:tcPr>
          <w:p>
            <w:pPr>
              <w:jc w:val="right"/>
              <w:ind w:right="132"/>
              <w:spacing w:after="0" w:line="145" w:lineRule="exact"/>
              <w:rPr>
                <w:sz w:val="20"/>
                <w:szCs w:val="20"/>
                <w:color w:val="auto"/>
              </w:rPr>
            </w:pPr>
            <w:r>
              <w:rPr>
                <w:rFonts w:ascii="Arial" w:cs="Arial" w:eastAsia="Arial" w:hAnsi="Arial"/>
                <w:sz w:val="14"/>
                <w:szCs w:val="14"/>
                <w:b w:val="1"/>
                <w:bCs w:val="1"/>
                <w:color w:val="4D8ABE"/>
              </w:rPr>
              <w:t>(33.0)</w:t>
            </w:r>
          </w:p>
        </w:tc>
        <w:tc>
          <w:tcPr>
            <w:tcW w:w="200" w:type="dxa"/>
            <w:vAlign w:val="bottom"/>
            <w:tcBorders>
              <w:top w:val="single" w:sz="8" w:color="auto"/>
              <w:bottom w:val="single" w:sz="8" w:color="auto"/>
            </w:tcBorders>
          </w:tcPr>
          <w:p>
            <w:pPr>
              <w:jc w:val="right"/>
              <w:ind w:right="32"/>
              <w:spacing w:after="0" w:line="14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(47.9</w:t>
            </w:r>
          </w:p>
        </w:tc>
        <w:tc>
          <w:tcPr>
            <w:tcW w:w="220" w:type="dxa"/>
            <w:vAlign w:val="bottom"/>
            <w:tcBorders>
              <w:bottom w:val="single" w:sz="8" w:color="E6EFFF"/>
            </w:tcBorders>
          </w:tcPr>
          <w:p>
            <w:pPr>
              <w:jc w:val="right"/>
              <w:ind w:right="140"/>
              <w:spacing w:after="0"/>
              <w:rPr>
                <w:sz w:val="20"/>
                <w:szCs w:val="20"/>
                <w:color w:val="auto"/>
              </w:rPr>
            </w:pPr>
            <w:r>
              <w:rPr>
                <w:rFonts w:ascii="Arial" w:cs="Arial" w:eastAsia="Arial" w:hAnsi="Arial"/>
                <w:sz w:val="8"/>
                <w:szCs w:val="8"/>
                <w:color w:val="auto"/>
                <w:w w:val="73"/>
              </w:rPr>
              <w:t>)</w:t>
            </w:r>
          </w:p>
        </w:tc>
      </w:tr>
      <w:tr>
        <w:trPr>
          <w:trHeight w:val="154"/>
        </w:trPr>
        <w:tc>
          <w:tcPr>
            <w:tcW w:w="5560" w:type="dxa"/>
            <w:vAlign w:val="bottom"/>
            <w:tcBorders>
              <w:right w:val="single" w:sz="8" w:color="4D8ABE"/>
            </w:tcBorders>
            <w:shd w:val="clear" w:color="auto" w:fill="E6EFFF"/>
          </w:tcPr>
          <w:p>
            <w:pPr>
              <w:spacing w:after="0" w:line="154" w:lineRule="exact"/>
              <w:rPr>
                <w:sz w:val="20"/>
                <w:szCs w:val="20"/>
                <w:color w:val="auto"/>
              </w:rPr>
            </w:pPr>
            <w:r>
              <w:rPr>
                <w:rFonts w:ascii="Arial" w:cs="Arial" w:eastAsia="Arial" w:hAnsi="Arial"/>
                <w:sz w:val="14"/>
                <w:szCs w:val="14"/>
                <w:b w:val="1"/>
                <w:bCs w:val="1"/>
                <w:color w:val="939598"/>
              </w:rPr>
              <w:t>Amounts Recognized</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spacing w:after="0"/>
              <w:rPr>
                <w:sz w:val="13"/>
                <w:szCs w:val="13"/>
                <w:color w:val="auto"/>
              </w:rPr>
            </w:pPr>
          </w:p>
        </w:tc>
        <w:tc>
          <w:tcPr>
            <w:tcW w:w="340" w:type="dxa"/>
            <w:vAlign w:val="bottom"/>
            <w:shd w:val="clear" w:color="auto" w:fill="E6EFFF"/>
          </w:tcPr>
          <w:p>
            <w:pPr>
              <w:spacing w:after="0"/>
              <w:rPr>
                <w:sz w:val="13"/>
                <w:szCs w:val="13"/>
                <w:color w:val="auto"/>
              </w:rPr>
            </w:pPr>
          </w:p>
        </w:tc>
        <w:tc>
          <w:tcPr>
            <w:tcW w:w="900" w:type="dxa"/>
            <w:vAlign w:val="bottom"/>
            <w:shd w:val="clear" w:color="auto" w:fill="E6EFFF"/>
          </w:tcPr>
          <w:p>
            <w:pPr>
              <w:spacing w:after="0"/>
              <w:rPr>
                <w:sz w:val="13"/>
                <w:szCs w:val="13"/>
                <w:color w:val="auto"/>
              </w:rPr>
            </w:pPr>
          </w:p>
        </w:tc>
        <w:tc>
          <w:tcPr>
            <w:tcW w:w="260" w:type="dxa"/>
            <w:vAlign w:val="bottom"/>
            <w:tcBorders>
              <w:right w:val="single" w:sz="8" w:color="4D8ABE"/>
            </w:tcBorders>
            <w:shd w:val="clear" w:color="auto" w:fill="E6EFFF"/>
          </w:tcPr>
          <w:p>
            <w:pPr>
              <w:spacing w:after="0"/>
              <w:rPr>
                <w:sz w:val="13"/>
                <w:szCs w:val="13"/>
                <w:color w:val="auto"/>
              </w:rPr>
            </w:pP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spacing w:after="0"/>
              <w:rPr>
                <w:sz w:val="13"/>
                <w:szCs w:val="13"/>
                <w:color w:val="auto"/>
              </w:rPr>
            </w:pPr>
          </w:p>
        </w:tc>
        <w:tc>
          <w:tcPr>
            <w:tcW w:w="200" w:type="dxa"/>
            <w:vAlign w:val="bottom"/>
            <w:shd w:val="clear" w:color="auto" w:fill="E6EFFF"/>
          </w:tcPr>
          <w:p>
            <w:pPr>
              <w:spacing w:after="0"/>
              <w:rPr>
                <w:sz w:val="13"/>
                <w:szCs w:val="13"/>
                <w:color w:val="auto"/>
              </w:rPr>
            </w:pPr>
          </w:p>
        </w:tc>
        <w:tc>
          <w:tcPr>
            <w:tcW w:w="104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r>
      <w:tr>
        <w:trPr>
          <w:trHeight w:val="154"/>
        </w:trPr>
        <w:tc>
          <w:tcPr>
            <w:tcW w:w="5560" w:type="dxa"/>
            <w:vAlign w:val="bottom"/>
            <w:tcBorders>
              <w:right w:val="single" w:sz="8" w:color="4D8ABE"/>
            </w:tcBorders>
          </w:tcPr>
          <w:p>
            <w:pPr>
              <w:spacing w:after="0" w:line="154" w:lineRule="exact"/>
              <w:rPr>
                <w:sz w:val="20"/>
                <w:szCs w:val="20"/>
                <w:color w:val="auto"/>
              </w:rPr>
            </w:pPr>
            <w:r>
              <w:rPr>
                <w:rFonts w:ascii="Arial" w:cs="Arial" w:eastAsia="Arial" w:hAnsi="Arial"/>
                <w:sz w:val="14"/>
                <w:szCs w:val="14"/>
                <w:color w:val="auto"/>
              </w:rPr>
              <w:t>Noncurrent assets</w:t>
            </w:r>
          </w:p>
        </w:tc>
        <w:tc>
          <w:tcPr>
            <w:tcW w:w="520" w:type="dxa"/>
            <w:vAlign w:val="bottom"/>
          </w:tcPr>
          <w:p>
            <w:pPr>
              <w:jc w:val="right"/>
              <w:ind w:right="352"/>
              <w:spacing w:after="0" w:line="154" w:lineRule="exact"/>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0.4</w:t>
            </w:r>
          </w:p>
        </w:tc>
        <w:tc>
          <w:tcPr>
            <w:tcW w:w="34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4" w:lineRule="exact"/>
              <w:rPr>
                <w:sz w:val="20"/>
                <w:szCs w:val="20"/>
                <w:color w:val="auto"/>
              </w:rPr>
            </w:pPr>
            <w:r>
              <w:rPr>
                <w:rFonts w:ascii="Arial" w:cs="Arial" w:eastAsia="Arial" w:hAnsi="Arial"/>
                <w:sz w:val="14"/>
                <w:szCs w:val="14"/>
                <w:color w:val="auto"/>
              </w:rPr>
              <w:t>12.1</w:t>
            </w:r>
          </w:p>
        </w:tc>
        <w:tc>
          <w:tcPr>
            <w:tcW w:w="260" w:type="dxa"/>
            <w:vAlign w:val="bottom"/>
            <w:tcBorders>
              <w:right w:val="single" w:sz="8" w:color="4D8ABE"/>
            </w:tcBorders>
          </w:tcPr>
          <w:p>
            <w:pPr>
              <w:spacing w:after="0"/>
              <w:rPr>
                <w:sz w:val="13"/>
                <w:szCs w:val="13"/>
                <w:color w:val="auto"/>
              </w:rPr>
            </w:pPr>
          </w:p>
        </w:tc>
        <w:tc>
          <w:tcPr>
            <w:tcW w:w="480" w:type="dxa"/>
            <w:vAlign w:val="bottom"/>
          </w:tcPr>
          <w:p>
            <w:pPr>
              <w:jc w:val="right"/>
              <w:ind w:right="332"/>
              <w:spacing w:after="0" w:line="154" w:lineRule="exact"/>
              <w:rPr>
                <w:sz w:val="20"/>
                <w:szCs w:val="20"/>
                <w:color w:val="auto"/>
              </w:rPr>
            </w:pPr>
            <w:r>
              <w:rPr>
                <w:rFonts w:ascii="Arial" w:cs="Arial" w:eastAsia="Arial" w:hAnsi="Arial"/>
                <w:sz w:val="14"/>
                <w:szCs w:val="14"/>
                <w:b w:val="1"/>
                <w:bCs w:val="1"/>
                <w:color w:val="4D8ABE"/>
                <w:w w:val="76"/>
              </w:rPr>
              <w:t>$</w:t>
            </w:r>
          </w:p>
        </w:tc>
        <w:tc>
          <w:tcPr>
            <w:tcW w:w="980" w:type="dxa"/>
            <w:vAlign w:val="bottom"/>
            <w:tcBorders>
              <w:right w:val="single" w:sz="8" w:color="4D8ABE"/>
            </w:tcBorders>
          </w:tcPr>
          <w:p>
            <w:pPr>
              <w:jc w:val="right"/>
              <w:ind w:right="172"/>
              <w:spacing w:after="0" w:line="154" w:lineRule="exact"/>
              <w:rPr>
                <w:sz w:val="20"/>
                <w:szCs w:val="20"/>
                <w:color w:val="auto"/>
              </w:rPr>
            </w:pPr>
            <w:r>
              <w:rPr>
                <w:rFonts w:ascii="Arial" w:cs="Arial" w:eastAsia="Arial" w:hAnsi="Arial"/>
                <w:sz w:val="14"/>
                <w:szCs w:val="14"/>
                <w:b w:val="1"/>
                <w:bCs w:val="1"/>
                <w:color w:val="4D8ABE"/>
              </w:rPr>
              <w:t>15.4</w:t>
            </w:r>
          </w:p>
        </w:tc>
        <w:tc>
          <w:tcPr>
            <w:tcW w:w="200" w:type="dxa"/>
            <w:vAlign w:val="bottom"/>
          </w:tcPr>
          <w:p>
            <w:pPr>
              <w:jc w:val="right"/>
              <w:ind w:right="32"/>
              <w:spacing w:after="0" w:line="154"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2.7</w:t>
            </w:r>
          </w:p>
        </w:tc>
      </w:tr>
      <w:tr>
        <w:trPr>
          <w:trHeight w:val="154"/>
        </w:trPr>
        <w:tc>
          <w:tcPr>
            <w:tcW w:w="5560" w:type="dxa"/>
            <w:vAlign w:val="bottom"/>
            <w:tcBorders>
              <w:right w:val="single" w:sz="8" w:color="4D8ABE"/>
            </w:tcBorders>
            <w:shd w:val="clear" w:color="auto" w:fill="E6EFFF"/>
          </w:tcPr>
          <w:p>
            <w:pPr>
              <w:spacing w:after="0" w:line="154" w:lineRule="exact"/>
              <w:rPr>
                <w:sz w:val="20"/>
                <w:szCs w:val="20"/>
                <w:color w:val="auto"/>
              </w:rPr>
            </w:pPr>
            <w:r>
              <w:rPr>
                <w:rFonts w:ascii="Arial" w:cs="Arial" w:eastAsia="Arial" w:hAnsi="Arial"/>
                <w:sz w:val="14"/>
                <w:szCs w:val="14"/>
                <w:color w:val="auto"/>
              </w:rPr>
              <w:t>Current liabilities</w:t>
            </w:r>
          </w:p>
        </w:tc>
        <w:tc>
          <w:tcPr>
            <w:tcW w:w="520" w:type="dxa"/>
            <w:vAlign w:val="bottom"/>
            <w:shd w:val="clear" w:color="auto" w:fill="E6EFFF"/>
          </w:tcPr>
          <w:p>
            <w:pPr>
              <w:spacing w:after="0"/>
              <w:rPr>
                <w:sz w:val="13"/>
                <w:szCs w:val="13"/>
                <w:color w:val="auto"/>
              </w:rPr>
            </w:pPr>
          </w:p>
        </w:tc>
        <w:tc>
          <w:tcPr>
            <w:tcW w:w="96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(1.7)</w:t>
            </w:r>
          </w:p>
        </w:tc>
        <w:tc>
          <w:tcPr>
            <w:tcW w:w="340" w:type="dxa"/>
            <w:vAlign w:val="bottom"/>
            <w:shd w:val="clear" w:color="auto" w:fill="E6EFFF"/>
          </w:tcPr>
          <w:p>
            <w:pPr>
              <w:spacing w:after="0"/>
              <w:rPr>
                <w:sz w:val="13"/>
                <w:szCs w:val="13"/>
                <w:color w:val="auto"/>
              </w:rPr>
            </w:pPr>
          </w:p>
        </w:tc>
        <w:tc>
          <w:tcPr>
            <w:tcW w:w="1160" w:type="dxa"/>
            <w:vAlign w:val="bottom"/>
            <w:tcBorders>
              <w:right w:val="single" w:sz="8" w:color="4D8ABE"/>
            </w:tcBorders>
            <w:gridSpan w:val="2"/>
            <w:shd w:val="clear" w:color="auto" w:fill="E6EFFF"/>
          </w:tcPr>
          <w:p>
            <w:pPr>
              <w:jc w:val="right"/>
              <w:ind w:right="180"/>
              <w:spacing w:after="0" w:line="154" w:lineRule="exact"/>
              <w:rPr>
                <w:sz w:val="20"/>
                <w:szCs w:val="20"/>
                <w:color w:val="auto"/>
              </w:rPr>
            </w:pPr>
            <w:r>
              <w:rPr>
                <w:rFonts w:ascii="Arial" w:cs="Arial" w:eastAsia="Arial" w:hAnsi="Arial"/>
                <w:sz w:val="14"/>
                <w:szCs w:val="14"/>
                <w:color w:val="auto"/>
              </w:rPr>
              <w:t>(1.8)</w:t>
            </w:r>
          </w:p>
        </w:tc>
        <w:tc>
          <w:tcPr>
            <w:tcW w:w="480" w:type="dxa"/>
            <w:vAlign w:val="bottom"/>
            <w:shd w:val="clear" w:color="auto" w:fill="E6EFFF"/>
          </w:tcPr>
          <w:p>
            <w:pPr>
              <w:spacing w:after="0"/>
              <w:rPr>
                <w:sz w:val="13"/>
                <w:szCs w:val="13"/>
                <w:color w:val="auto"/>
              </w:rPr>
            </w:pPr>
          </w:p>
        </w:tc>
        <w:tc>
          <w:tcPr>
            <w:tcW w:w="98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(0.5)</w:t>
            </w:r>
          </w:p>
        </w:tc>
        <w:tc>
          <w:tcPr>
            <w:tcW w:w="200" w:type="dxa"/>
            <w:vAlign w:val="bottom"/>
            <w:shd w:val="clear" w:color="auto" w:fill="E6EFFF"/>
          </w:tcPr>
          <w:p>
            <w:pPr>
              <w:spacing w:after="0"/>
              <w:rPr>
                <w:sz w:val="13"/>
                <w:szCs w:val="13"/>
                <w:color w:val="auto"/>
              </w:rPr>
            </w:pPr>
          </w:p>
        </w:tc>
        <w:tc>
          <w:tcPr>
            <w:tcW w:w="1260" w:type="dxa"/>
            <w:vAlign w:val="bottom"/>
            <w:gridSpan w:val="2"/>
            <w:shd w:val="clear" w:color="auto" w:fill="E6EFFF"/>
          </w:tcPr>
          <w:p>
            <w:pPr>
              <w:jc w:val="right"/>
              <w:ind w:right="140"/>
              <w:spacing w:after="0" w:line="154" w:lineRule="exact"/>
              <w:rPr>
                <w:sz w:val="20"/>
                <w:szCs w:val="20"/>
                <w:color w:val="auto"/>
              </w:rPr>
            </w:pPr>
            <w:r>
              <w:rPr>
                <w:rFonts w:ascii="Arial" w:cs="Arial" w:eastAsia="Arial" w:hAnsi="Arial"/>
                <w:sz w:val="14"/>
                <w:szCs w:val="14"/>
                <w:color w:val="auto"/>
              </w:rPr>
              <w:t>(0.3)</w:t>
            </w:r>
          </w:p>
        </w:tc>
      </w:tr>
      <w:tr>
        <w:trPr>
          <w:trHeight w:val="154"/>
        </w:trPr>
        <w:tc>
          <w:tcPr>
            <w:tcW w:w="5560" w:type="dxa"/>
            <w:vAlign w:val="bottom"/>
            <w:tcBorders>
              <w:right w:val="single" w:sz="8" w:color="4D8ABE"/>
            </w:tcBorders>
          </w:tcPr>
          <w:p>
            <w:pPr>
              <w:spacing w:after="0" w:line="154" w:lineRule="exact"/>
              <w:rPr>
                <w:sz w:val="20"/>
                <w:szCs w:val="20"/>
                <w:color w:val="auto"/>
              </w:rPr>
            </w:pPr>
            <w:r>
              <w:rPr>
                <w:rFonts w:ascii="Arial" w:cs="Arial" w:eastAsia="Arial" w:hAnsi="Arial"/>
                <w:sz w:val="14"/>
                <w:szCs w:val="14"/>
                <w:color w:val="auto"/>
              </w:rPr>
              <w:t>Noncurrent liabilities</w:t>
            </w:r>
          </w:p>
        </w:tc>
        <w:tc>
          <w:tcPr>
            <w:tcW w:w="520" w:type="dxa"/>
            <w:vAlign w:val="bottom"/>
          </w:tcPr>
          <w:p>
            <w:pPr>
              <w:spacing w:after="0"/>
              <w:rPr>
                <w:sz w:val="13"/>
                <w:szCs w:val="13"/>
                <w:color w:val="auto"/>
              </w:rPr>
            </w:pPr>
          </w:p>
        </w:tc>
        <w:tc>
          <w:tcPr>
            <w:tcW w:w="960" w:type="dxa"/>
            <w:vAlign w:val="bottom"/>
            <w:tcBorders>
              <w:right w:val="single" w:sz="8" w:color="4D8ABE"/>
            </w:tcBorders>
          </w:tcPr>
          <w:p>
            <w:pPr>
              <w:jc w:val="right"/>
              <w:ind w:right="132"/>
              <w:spacing w:after="0" w:line="154" w:lineRule="exact"/>
              <w:rPr>
                <w:sz w:val="20"/>
                <w:szCs w:val="20"/>
                <w:color w:val="auto"/>
              </w:rPr>
            </w:pPr>
            <w:r>
              <w:rPr>
                <w:rFonts w:ascii="Arial" w:cs="Arial" w:eastAsia="Arial" w:hAnsi="Arial"/>
                <w:sz w:val="14"/>
                <w:szCs w:val="14"/>
                <w:b w:val="1"/>
                <w:bCs w:val="1"/>
                <w:color w:val="4D8ABE"/>
              </w:rPr>
              <w:t>(17.7)</w:t>
            </w:r>
          </w:p>
        </w:tc>
        <w:tc>
          <w:tcPr>
            <w:tcW w:w="340" w:type="dxa"/>
            <w:vAlign w:val="bottom"/>
          </w:tcPr>
          <w:p>
            <w:pPr>
              <w:spacing w:after="0"/>
              <w:rPr>
                <w:sz w:val="13"/>
                <w:szCs w:val="13"/>
                <w:color w:val="auto"/>
              </w:rPr>
            </w:pPr>
          </w:p>
        </w:tc>
        <w:tc>
          <w:tcPr>
            <w:tcW w:w="1160" w:type="dxa"/>
            <w:vAlign w:val="bottom"/>
            <w:tcBorders>
              <w:right w:val="single" w:sz="8" w:color="4D8ABE"/>
            </w:tcBorders>
            <w:gridSpan w:val="2"/>
          </w:tcPr>
          <w:p>
            <w:pPr>
              <w:jc w:val="right"/>
              <w:ind w:right="180"/>
              <w:spacing w:after="0" w:line="154" w:lineRule="exact"/>
              <w:rPr>
                <w:sz w:val="20"/>
                <w:szCs w:val="20"/>
                <w:color w:val="auto"/>
              </w:rPr>
            </w:pPr>
            <w:r>
              <w:rPr>
                <w:rFonts w:ascii="Arial" w:cs="Arial" w:eastAsia="Arial" w:hAnsi="Arial"/>
                <w:sz w:val="14"/>
                <w:szCs w:val="14"/>
                <w:color w:val="auto"/>
              </w:rPr>
              <w:t>(17.7)</w:t>
            </w:r>
          </w:p>
        </w:tc>
        <w:tc>
          <w:tcPr>
            <w:tcW w:w="480" w:type="dxa"/>
            <w:vAlign w:val="bottom"/>
          </w:tcPr>
          <w:p>
            <w:pPr>
              <w:spacing w:after="0"/>
              <w:rPr>
                <w:sz w:val="13"/>
                <w:szCs w:val="13"/>
                <w:color w:val="auto"/>
              </w:rPr>
            </w:pPr>
          </w:p>
        </w:tc>
        <w:tc>
          <w:tcPr>
            <w:tcW w:w="980" w:type="dxa"/>
            <w:vAlign w:val="bottom"/>
            <w:tcBorders>
              <w:right w:val="single" w:sz="8" w:color="4D8ABE"/>
            </w:tcBorders>
          </w:tcPr>
          <w:p>
            <w:pPr>
              <w:jc w:val="right"/>
              <w:ind w:right="132"/>
              <w:spacing w:after="0" w:line="154" w:lineRule="exact"/>
              <w:rPr>
                <w:sz w:val="20"/>
                <w:szCs w:val="20"/>
                <w:color w:val="auto"/>
              </w:rPr>
            </w:pPr>
            <w:r>
              <w:rPr>
                <w:rFonts w:ascii="Arial" w:cs="Arial" w:eastAsia="Arial" w:hAnsi="Arial"/>
                <w:sz w:val="14"/>
                <w:szCs w:val="14"/>
                <w:b w:val="1"/>
                <w:bCs w:val="1"/>
                <w:color w:val="4D8ABE"/>
              </w:rPr>
              <w:t>(47.9)</w:t>
            </w:r>
          </w:p>
        </w:tc>
        <w:tc>
          <w:tcPr>
            <w:tcW w:w="200" w:type="dxa"/>
            <w:vAlign w:val="bottom"/>
          </w:tcPr>
          <w:p>
            <w:pPr>
              <w:spacing w:after="0"/>
              <w:rPr>
                <w:sz w:val="13"/>
                <w:szCs w:val="13"/>
                <w:color w:val="auto"/>
              </w:rPr>
            </w:pPr>
          </w:p>
        </w:tc>
        <w:tc>
          <w:tcPr>
            <w:tcW w:w="1260" w:type="dxa"/>
            <w:vAlign w:val="bottom"/>
            <w:gridSpan w:val="2"/>
          </w:tcPr>
          <w:p>
            <w:pPr>
              <w:jc w:val="right"/>
              <w:ind w:right="140"/>
              <w:spacing w:after="0" w:line="154" w:lineRule="exact"/>
              <w:rPr>
                <w:sz w:val="20"/>
                <w:szCs w:val="20"/>
                <w:color w:val="auto"/>
              </w:rPr>
            </w:pPr>
            <w:r>
              <w:rPr>
                <w:rFonts w:ascii="Arial" w:cs="Arial" w:eastAsia="Arial" w:hAnsi="Arial"/>
                <w:sz w:val="14"/>
                <w:szCs w:val="14"/>
                <w:color w:val="auto"/>
              </w:rPr>
              <w:t>(50.3)</w:t>
            </w:r>
          </w:p>
        </w:tc>
      </w:tr>
      <w:tr>
        <w:trPr>
          <w:trHeight w:val="154"/>
        </w:trPr>
        <w:tc>
          <w:tcPr>
            <w:tcW w:w="5560" w:type="dxa"/>
            <w:vAlign w:val="bottom"/>
            <w:tcBorders>
              <w:right w:val="single" w:sz="8" w:color="4D8ABE"/>
            </w:tcBorders>
            <w:shd w:val="clear" w:color="auto" w:fill="E6EFFF"/>
          </w:tcPr>
          <w:p>
            <w:pPr>
              <w:spacing w:after="0" w:line="154" w:lineRule="exact"/>
              <w:rPr>
                <w:sz w:val="20"/>
                <w:szCs w:val="20"/>
                <w:color w:val="auto"/>
              </w:rPr>
            </w:pPr>
            <w:r>
              <w:rPr>
                <w:rFonts w:ascii="Arial" w:cs="Arial" w:eastAsia="Arial" w:hAnsi="Arial"/>
                <w:sz w:val="14"/>
                <w:szCs w:val="14"/>
                <w:color w:val="auto"/>
              </w:rPr>
              <w:t>Net amount recognized</w:t>
            </w:r>
          </w:p>
        </w:tc>
        <w:tc>
          <w:tcPr>
            <w:tcW w:w="520" w:type="dxa"/>
            <w:vAlign w:val="bottom"/>
            <w:shd w:val="clear" w:color="auto" w:fill="E6EFFF"/>
          </w:tcPr>
          <w:p>
            <w:pPr>
              <w:jc w:val="right"/>
              <w:ind w:right="352"/>
              <w:spacing w:after="0" w:line="154" w:lineRule="exact"/>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(19.0)</w:t>
            </w:r>
          </w:p>
        </w:tc>
        <w:tc>
          <w:tcPr>
            <w:tcW w:w="340" w:type="dxa"/>
            <w:vAlign w:val="bottom"/>
            <w:shd w:val="clear" w:color="auto" w:fill="E6EFFF"/>
          </w:tcPr>
          <w:p>
            <w:pPr>
              <w:jc w:val="right"/>
              <w:ind w:right="172"/>
              <w:spacing w:after="0" w:line="154"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4D8ABE"/>
            </w:tcBorders>
            <w:gridSpan w:val="2"/>
            <w:shd w:val="clear" w:color="auto" w:fill="E6EFFF"/>
          </w:tcPr>
          <w:p>
            <w:pPr>
              <w:jc w:val="right"/>
              <w:ind w:right="180"/>
              <w:spacing w:after="0" w:line="154" w:lineRule="exact"/>
              <w:rPr>
                <w:sz w:val="20"/>
                <w:szCs w:val="20"/>
                <w:color w:val="auto"/>
              </w:rPr>
            </w:pPr>
            <w:r>
              <w:rPr>
                <w:rFonts w:ascii="Arial" w:cs="Arial" w:eastAsia="Arial" w:hAnsi="Arial"/>
                <w:sz w:val="14"/>
                <w:szCs w:val="14"/>
                <w:color w:val="auto"/>
              </w:rPr>
              <w:t>(7.4)</w:t>
            </w:r>
          </w:p>
        </w:tc>
        <w:tc>
          <w:tcPr>
            <w:tcW w:w="480" w:type="dxa"/>
            <w:vAlign w:val="bottom"/>
            <w:shd w:val="clear" w:color="auto" w:fill="E6EFFF"/>
          </w:tcPr>
          <w:p>
            <w:pPr>
              <w:jc w:val="right"/>
              <w:ind w:right="332"/>
              <w:spacing w:after="0" w:line="154" w:lineRule="exact"/>
              <w:rPr>
                <w:sz w:val="20"/>
                <w:szCs w:val="20"/>
                <w:color w:val="auto"/>
              </w:rPr>
            </w:pPr>
            <w:r>
              <w:rPr>
                <w:rFonts w:ascii="Arial" w:cs="Arial" w:eastAsia="Arial" w:hAnsi="Arial"/>
                <w:sz w:val="14"/>
                <w:szCs w:val="14"/>
                <w:b w:val="1"/>
                <w:bCs w:val="1"/>
                <w:color w:val="4D8ABE"/>
                <w:w w:val="76"/>
              </w:rPr>
              <w:t>$</w:t>
            </w:r>
          </w:p>
        </w:tc>
        <w:tc>
          <w:tcPr>
            <w:tcW w:w="98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(33.0)</w:t>
            </w:r>
          </w:p>
        </w:tc>
        <w:tc>
          <w:tcPr>
            <w:tcW w:w="200" w:type="dxa"/>
            <w:vAlign w:val="bottom"/>
            <w:shd w:val="clear" w:color="auto" w:fill="E6EFFF"/>
          </w:tcPr>
          <w:p>
            <w:pPr>
              <w:jc w:val="right"/>
              <w:ind w:right="32"/>
              <w:spacing w:after="0" w:line="154"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E6EFFF"/>
          </w:tcPr>
          <w:p>
            <w:pPr>
              <w:jc w:val="right"/>
              <w:ind w:right="140"/>
              <w:spacing w:after="0" w:line="154" w:lineRule="exact"/>
              <w:rPr>
                <w:sz w:val="20"/>
                <w:szCs w:val="20"/>
                <w:color w:val="auto"/>
              </w:rPr>
            </w:pPr>
            <w:r>
              <w:rPr>
                <w:rFonts w:ascii="Arial" w:cs="Arial" w:eastAsia="Arial" w:hAnsi="Arial"/>
                <w:sz w:val="14"/>
                <w:szCs w:val="14"/>
                <w:color w:val="auto"/>
              </w:rPr>
              <w:t>(47.9)</w:t>
            </w:r>
          </w:p>
        </w:tc>
      </w:tr>
      <w:tr>
        <w:trPr>
          <w:trHeight w:val="21"/>
        </w:trPr>
        <w:tc>
          <w:tcPr>
            <w:tcW w:w="55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E6EF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(Loss) Income, net of tax, consist of: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4D8ABE"/>
              </w:rPr>
              <w:t>U.S. Plans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4D8ABE"/>
              </w:rPr>
              <w:t>Non-U.S. Plans</w:t>
            </w:r>
          </w:p>
        </w:tc>
        <w:tc>
          <w:tcPr>
            <w:tcW w:w="40" w:type="dxa"/>
            <w:vAlign w:val="bottom"/>
          </w:tcPr>
          <w:p>
            <w:pPr>
              <w:spacing w:after="0"/>
              <w:rPr>
                <w:sz w:val="14"/>
                <w:szCs w:val="14"/>
                <w:color w:val="auto"/>
              </w:rPr>
            </w:pPr>
          </w:p>
        </w:tc>
      </w:tr>
      <w:tr>
        <w:trPr>
          <w:trHeight w:val="155"/>
        </w:trPr>
        <w:tc>
          <w:tcPr>
            <w:tcW w:w="2220" w:type="dxa"/>
            <w:vAlign w:val="bottom"/>
            <w:tcBorders>
              <w:top w:val="single" w:sz="8" w:color="4D8ABE"/>
              <w:bottom w:val="single" w:sz="8" w:color="4D8ABE"/>
            </w:tcBorders>
          </w:tcPr>
          <w:p>
            <w:pPr>
              <w:spacing w:after="0" w:line="155" w:lineRule="exact"/>
              <w:rPr>
                <w:sz w:val="20"/>
                <w:szCs w:val="20"/>
                <w:color w:val="auto"/>
              </w:rPr>
            </w:pPr>
            <w:r>
              <w:rPr>
                <w:rFonts w:ascii="Arial" w:cs="Arial" w:eastAsia="Arial" w:hAnsi="Arial"/>
                <w:sz w:val="14"/>
                <w:szCs w:val="14"/>
                <w:color w:val="4D8ABE"/>
              </w:rPr>
              <w:t>Year Ended December 31</w:t>
            </w:r>
          </w:p>
        </w:tc>
        <w:tc>
          <w:tcPr>
            <w:tcW w:w="3340" w:type="dxa"/>
            <w:vAlign w:val="bottom"/>
            <w:tcBorders>
              <w:top w:val="single" w:sz="8" w:color="4D8ABE"/>
              <w:bottom w:val="single" w:sz="8" w:color="4D8ABE"/>
              <w:right w:val="single" w:sz="8" w:color="4D8ABE"/>
            </w:tcBorders>
          </w:tcPr>
          <w:p>
            <w:pPr>
              <w:spacing w:after="0"/>
              <w:rPr>
                <w:sz w:val="13"/>
                <w:szCs w:val="13"/>
                <w:color w:val="auto"/>
              </w:rPr>
            </w:pPr>
          </w:p>
        </w:tc>
        <w:tc>
          <w:tcPr>
            <w:tcW w:w="520" w:type="dxa"/>
            <w:vAlign w:val="bottom"/>
            <w:tcBorders>
              <w:top w:val="single" w:sz="8" w:color="4D8ABE"/>
              <w:bottom w:val="single" w:sz="8" w:color="4D8ABE"/>
            </w:tcBorders>
            <w:shd w:val="clear" w:color="auto" w:fill="4D8ABE"/>
          </w:tcPr>
          <w:p>
            <w:pPr>
              <w:spacing w:after="0"/>
              <w:rPr>
                <w:sz w:val="13"/>
                <w:szCs w:val="13"/>
                <w:color w:val="auto"/>
              </w:rPr>
            </w:pPr>
          </w:p>
        </w:tc>
        <w:tc>
          <w:tcPr>
            <w:tcW w:w="960" w:type="dxa"/>
            <w:vAlign w:val="bottom"/>
            <w:tcBorders>
              <w:top w:val="single" w:sz="8" w:color="4D8ABE"/>
              <w:bottom w:val="single" w:sz="8" w:color="4D8ABE"/>
              <w:right w:val="single" w:sz="8" w:color="4D8ABE"/>
            </w:tcBorders>
            <w:shd w:val="clear" w:color="auto" w:fill="4D8ABE"/>
          </w:tcPr>
          <w:p>
            <w:pPr>
              <w:jc w:val="right"/>
              <w:ind w:right="172"/>
              <w:spacing w:after="0" w:line="155" w:lineRule="exact"/>
              <w:rPr>
                <w:sz w:val="20"/>
                <w:szCs w:val="20"/>
                <w:color w:val="auto"/>
              </w:rPr>
            </w:pPr>
            <w:r>
              <w:rPr>
                <w:rFonts w:ascii="Arial" w:cs="Arial" w:eastAsia="Arial" w:hAnsi="Arial"/>
                <w:sz w:val="14"/>
                <w:szCs w:val="14"/>
                <w:b w:val="1"/>
                <w:bCs w:val="1"/>
                <w:color w:val="FFFFFF"/>
              </w:rPr>
              <w:t>2008</w:t>
            </w:r>
          </w:p>
        </w:tc>
        <w:tc>
          <w:tcPr>
            <w:tcW w:w="340" w:type="dxa"/>
            <w:vAlign w:val="bottom"/>
            <w:tcBorders>
              <w:top w:val="single" w:sz="8" w:color="4D8ABE"/>
              <w:bottom w:val="single" w:sz="8" w:color="4D8ABE"/>
            </w:tcBorders>
          </w:tcPr>
          <w:p>
            <w:pPr>
              <w:spacing w:after="0"/>
              <w:rPr>
                <w:sz w:val="13"/>
                <w:szCs w:val="13"/>
                <w:color w:val="auto"/>
              </w:rPr>
            </w:pPr>
          </w:p>
        </w:tc>
        <w:tc>
          <w:tcPr>
            <w:tcW w:w="900" w:type="dxa"/>
            <w:vAlign w:val="bottom"/>
            <w:tcBorders>
              <w:top w:val="single" w:sz="8" w:color="4D8ABE"/>
              <w:bottom w:val="single" w:sz="8" w:color="4D8ABE"/>
            </w:tcBorders>
          </w:tcPr>
          <w:p>
            <w:pPr>
              <w:jc w:val="right"/>
              <w:spacing w:after="0" w:line="155" w:lineRule="exact"/>
              <w:rPr>
                <w:sz w:val="20"/>
                <w:szCs w:val="20"/>
                <w:color w:val="auto"/>
              </w:rPr>
            </w:pPr>
            <w:r>
              <w:rPr>
                <w:rFonts w:ascii="Arial" w:cs="Arial" w:eastAsia="Arial" w:hAnsi="Arial"/>
                <w:sz w:val="14"/>
                <w:szCs w:val="14"/>
                <w:color w:val="4D8ABE"/>
              </w:rPr>
              <w:t>2007</w:t>
            </w:r>
          </w:p>
        </w:tc>
        <w:tc>
          <w:tcPr>
            <w:tcW w:w="240" w:type="dxa"/>
            <w:vAlign w:val="bottom"/>
            <w:tcBorders>
              <w:right w:val="single" w:sz="8" w:color="4D8ABE"/>
            </w:tcBorders>
          </w:tcPr>
          <w:p>
            <w:pPr>
              <w:spacing w:after="0"/>
              <w:rPr>
                <w:sz w:val="13"/>
                <w:szCs w:val="13"/>
                <w:color w:val="auto"/>
              </w:rPr>
            </w:pPr>
          </w:p>
        </w:tc>
        <w:tc>
          <w:tcPr>
            <w:tcW w:w="520" w:type="dxa"/>
            <w:vAlign w:val="bottom"/>
            <w:tcBorders>
              <w:top w:val="single" w:sz="8" w:color="4D8ABE"/>
              <w:bottom w:val="single" w:sz="8" w:color="4D8ABE"/>
            </w:tcBorders>
            <w:shd w:val="clear" w:color="auto" w:fill="4D8ABE"/>
          </w:tcPr>
          <w:p>
            <w:pPr>
              <w:spacing w:after="0"/>
              <w:rPr>
                <w:sz w:val="13"/>
                <w:szCs w:val="13"/>
                <w:color w:val="auto"/>
              </w:rPr>
            </w:pPr>
          </w:p>
        </w:tc>
        <w:tc>
          <w:tcPr>
            <w:tcW w:w="960" w:type="dxa"/>
            <w:vAlign w:val="bottom"/>
            <w:tcBorders>
              <w:top w:val="single" w:sz="8" w:color="4D8ABE"/>
              <w:bottom w:val="single" w:sz="8" w:color="4D8ABE"/>
              <w:right w:val="single" w:sz="8" w:color="4D8ABE"/>
            </w:tcBorders>
            <w:shd w:val="clear" w:color="auto" w:fill="4D8ABE"/>
          </w:tcPr>
          <w:p>
            <w:pPr>
              <w:jc w:val="right"/>
              <w:ind w:right="172"/>
              <w:spacing w:after="0" w:line="155" w:lineRule="exact"/>
              <w:rPr>
                <w:sz w:val="20"/>
                <w:szCs w:val="20"/>
                <w:color w:val="auto"/>
              </w:rPr>
            </w:pPr>
            <w:r>
              <w:rPr>
                <w:rFonts w:ascii="Arial" w:cs="Arial" w:eastAsia="Arial" w:hAnsi="Arial"/>
                <w:sz w:val="14"/>
                <w:szCs w:val="14"/>
                <w:b w:val="1"/>
                <w:bCs w:val="1"/>
                <w:color w:val="FFFFFF"/>
              </w:rPr>
              <w:t>2008</w:t>
            </w:r>
          </w:p>
        </w:tc>
        <w:tc>
          <w:tcPr>
            <w:tcW w:w="620" w:type="dxa"/>
            <w:vAlign w:val="bottom"/>
            <w:tcBorders>
              <w:top w:val="single" w:sz="8" w:color="4D8ABE"/>
              <w:bottom w:val="single" w:sz="8" w:color="4D8ABE"/>
            </w:tcBorders>
          </w:tcPr>
          <w:p>
            <w:pPr>
              <w:spacing w:after="0"/>
              <w:rPr>
                <w:sz w:val="13"/>
                <w:szCs w:val="13"/>
                <w:color w:val="auto"/>
              </w:rPr>
            </w:pPr>
          </w:p>
        </w:tc>
        <w:tc>
          <w:tcPr>
            <w:tcW w:w="620" w:type="dxa"/>
            <w:vAlign w:val="bottom"/>
            <w:tcBorders>
              <w:top w:val="single" w:sz="8" w:color="4D8ABE"/>
              <w:bottom w:val="single" w:sz="8" w:color="4D8ABE"/>
            </w:tcBorders>
          </w:tcPr>
          <w:p>
            <w:pPr>
              <w:jc w:val="right"/>
              <w:spacing w:after="0" w:line="155" w:lineRule="exact"/>
              <w:rPr>
                <w:sz w:val="20"/>
                <w:szCs w:val="20"/>
                <w:color w:val="auto"/>
              </w:rPr>
            </w:pPr>
            <w:r>
              <w:rPr>
                <w:rFonts w:ascii="Arial" w:cs="Arial" w:eastAsia="Arial" w:hAnsi="Arial"/>
                <w:sz w:val="14"/>
                <w:szCs w:val="14"/>
                <w:color w:val="4D8ABE"/>
              </w:rPr>
              <w:t>2007</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220" w:type="dxa"/>
            <w:vAlign w:val="bottom"/>
          </w:tcPr>
          <w:p>
            <w:pPr>
              <w:spacing w:after="0" w:line="155" w:lineRule="exact"/>
              <w:rPr>
                <w:sz w:val="20"/>
                <w:szCs w:val="20"/>
                <w:color w:val="auto"/>
              </w:rPr>
            </w:pPr>
            <w:r>
              <w:rPr>
                <w:rFonts w:ascii="Arial" w:cs="Arial" w:eastAsia="Arial" w:hAnsi="Arial"/>
                <w:sz w:val="14"/>
                <w:szCs w:val="14"/>
                <w:color w:val="auto"/>
              </w:rPr>
              <w:t>Net loss (gain)</w:t>
            </w:r>
          </w:p>
        </w:tc>
        <w:tc>
          <w:tcPr>
            <w:tcW w:w="3340" w:type="dxa"/>
            <w:vAlign w:val="bottom"/>
            <w:tcBorders>
              <w:right w:val="single" w:sz="8" w:color="4D8ABE"/>
            </w:tcBorders>
          </w:tcPr>
          <w:p>
            <w:pPr>
              <w:spacing w:after="0"/>
              <w:rPr>
                <w:sz w:val="13"/>
                <w:szCs w:val="13"/>
                <w:color w:val="auto"/>
              </w:rPr>
            </w:pPr>
          </w:p>
        </w:tc>
        <w:tc>
          <w:tcPr>
            <w:tcW w:w="52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5.8</w:t>
            </w:r>
          </w:p>
        </w:tc>
        <w:tc>
          <w:tcPr>
            <w:tcW w:w="34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(3.2</w:t>
            </w:r>
          </w:p>
        </w:tc>
        <w:tc>
          <w:tcPr>
            <w:tcW w:w="240" w:type="dxa"/>
            <w:vAlign w:val="bottom"/>
            <w:tcBorders>
              <w:right w:val="single" w:sz="8" w:color="4D8ABE"/>
            </w:tcBorders>
          </w:tcPr>
          <w:p>
            <w:pPr>
              <w:jc w:val="right"/>
              <w:ind w:right="160"/>
              <w:spacing w:after="0"/>
              <w:rPr>
                <w:sz w:val="20"/>
                <w:szCs w:val="20"/>
                <w:color w:val="auto"/>
              </w:rPr>
            </w:pPr>
            <w:r>
              <w:rPr>
                <w:rFonts w:ascii="Arial" w:cs="Arial" w:eastAsia="Arial" w:hAnsi="Arial"/>
                <w:sz w:val="8"/>
                <w:szCs w:val="8"/>
                <w:color w:val="auto"/>
                <w:w w:val="73"/>
              </w:rPr>
              <w:t>)</w:t>
            </w:r>
          </w:p>
        </w:tc>
        <w:tc>
          <w:tcPr>
            <w:tcW w:w="52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1.1</w:t>
            </w:r>
          </w:p>
        </w:tc>
        <w:tc>
          <w:tcPr>
            <w:tcW w:w="620" w:type="dxa"/>
            <w:vAlign w:val="bottom"/>
          </w:tcPr>
          <w:p>
            <w:pPr>
              <w:jc w:val="right"/>
              <w:ind w:right="452"/>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9.0</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220" w:type="dxa"/>
            <w:vAlign w:val="bottom"/>
            <w:shd w:val="clear" w:color="auto" w:fill="E6EFFF"/>
          </w:tcPr>
          <w:p>
            <w:pPr>
              <w:spacing w:after="0"/>
              <w:rPr>
                <w:sz w:val="20"/>
                <w:szCs w:val="20"/>
                <w:color w:val="auto"/>
              </w:rPr>
            </w:pPr>
            <w:r>
              <w:rPr>
                <w:rFonts w:ascii="Arial" w:cs="Arial" w:eastAsia="Arial" w:hAnsi="Arial"/>
                <w:sz w:val="14"/>
                <w:szCs w:val="14"/>
                <w:color w:val="auto"/>
              </w:rPr>
              <w:t>Prior service cost</w:t>
            </w:r>
          </w:p>
        </w:tc>
        <w:tc>
          <w:tcPr>
            <w:tcW w:w="3340" w:type="dxa"/>
            <w:vAlign w:val="bottom"/>
            <w:tcBorders>
              <w:right w:val="single" w:sz="8" w:color="4D8ABE"/>
            </w:tcBorders>
            <w:shd w:val="clear" w:color="auto" w:fill="E6EFFF"/>
          </w:tcPr>
          <w:p>
            <w:pPr>
              <w:spacing w:after="0"/>
              <w:rPr>
                <w:sz w:val="14"/>
                <w:szCs w:val="14"/>
                <w:color w:val="auto"/>
              </w:rPr>
            </w:pP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0.3</w:t>
            </w:r>
          </w:p>
        </w:tc>
        <w:tc>
          <w:tcPr>
            <w:tcW w:w="340" w:type="dxa"/>
            <w:vAlign w:val="bottom"/>
            <w:shd w:val="clear" w:color="auto" w:fill="E6EFFF"/>
          </w:tcPr>
          <w:p>
            <w:pPr>
              <w:spacing w:after="0"/>
              <w:rPr>
                <w:sz w:val="14"/>
                <w:szCs w:val="14"/>
                <w:color w:val="auto"/>
              </w:rPr>
            </w:pPr>
          </w:p>
        </w:tc>
        <w:tc>
          <w:tcPr>
            <w:tcW w:w="1140" w:type="dxa"/>
            <w:vAlign w:val="bottom"/>
            <w:tcBorders>
              <w:right w:val="single" w:sz="8" w:color="4D8ABE"/>
            </w:tcBorders>
            <w:gridSpan w:val="2"/>
            <w:shd w:val="clear" w:color="auto" w:fill="E6EFFF"/>
          </w:tcPr>
          <w:p>
            <w:pPr>
              <w:jc w:val="right"/>
              <w:ind w:right="200"/>
              <w:spacing w:after="0"/>
              <w:rPr>
                <w:sz w:val="20"/>
                <w:szCs w:val="20"/>
                <w:color w:val="auto"/>
              </w:rPr>
            </w:pPr>
            <w:r>
              <w:rPr>
                <w:rFonts w:ascii="Arial" w:cs="Arial" w:eastAsia="Arial" w:hAnsi="Arial"/>
                <w:sz w:val="14"/>
                <w:szCs w:val="14"/>
                <w:color w:val="auto"/>
              </w:rPr>
              <w:t>0.4</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8.0</w:t>
            </w:r>
          </w:p>
        </w:tc>
        <w:tc>
          <w:tcPr>
            <w:tcW w:w="620" w:type="dxa"/>
            <w:vAlign w:val="bottom"/>
            <w:shd w:val="clear" w:color="auto" w:fill="E6EFFF"/>
          </w:tcPr>
          <w:p>
            <w:pPr>
              <w:spacing w:after="0"/>
              <w:rPr>
                <w:sz w:val="14"/>
                <w:szCs w:val="14"/>
                <w:color w:val="auto"/>
              </w:rPr>
            </w:pPr>
          </w:p>
        </w:tc>
        <w:tc>
          <w:tcPr>
            <w:tcW w:w="8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4"/>
                <w:szCs w:val="14"/>
                <w:color w:val="auto"/>
              </w:rPr>
            </w:pPr>
          </w:p>
        </w:tc>
      </w:tr>
      <w:tr>
        <w:trPr>
          <w:trHeight w:val="164"/>
        </w:trPr>
        <w:tc>
          <w:tcPr>
            <w:tcW w:w="2220" w:type="dxa"/>
            <w:vAlign w:val="bottom"/>
          </w:tcPr>
          <w:p>
            <w:pPr>
              <w:spacing w:after="0"/>
              <w:rPr>
                <w:sz w:val="20"/>
                <w:szCs w:val="20"/>
                <w:color w:val="auto"/>
              </w:rPr>
            </w:pPr>
            <w:r>
              <w:rPr>
                <w:rFonts w:ascii="Arial" w:cs="Arial" w:eastAsia="Arial" w:hAnsi="Arial"/>
                <w:sz w:val="14"/>
                <w:szCs w:val="14"/>
                <w:color w:val="auto"/>
              </w:rPr>
              <w:t>Transitional obligation</w:t>
            </w:r>
          </w:p>
        </w:tc>
        <w:tc>
          <w:tcPr>
            <w:tcW w:w="3340" w:type="dxa"/>
            <w:vAlign w:val="bottom"/>
            <w:tcBorders>
              <w:right w:val="single" w:sz="8" w:color="4D8ABE"/>
            </w:tcBorders>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340" w:type="dxa"/>
            <w:vAlign w:val="bottom"/>
          </w:tcPr>
          <w:p>
            <w:pPr>
              <w:spacing w:after="0"/>
              <w:rPr>
                <w:sz w:val="14"/>
                <w:szCs w:val="14"/>
                <w:color w:val="auto"/>
              </w:rPr>
            </w:pPr>
          </w:p>
        </w:tc>
        <w:tc>
          <w:tcPr>
            <w:tcW w:w="1140" w:type="dxa"/>
            <w:vAlign w:val="bottom"/>
            <w:tcBorders>
              <w:right w:val="single" w:sz="8" w:color="4D8ABE"/>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6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4"/>
                <w:szCs w:val="14"/>
                <w:color w:val="auto"/>
              </w:rPr>
            </w:pPr>
          </w:p>
        </w:tc>
      </w:tr>
      <w:tr>
        <w:trPr>
          <w:trHeight w:val="155"/>
        </w:trPr>
        <w:tc>
          <w:tcPr>
            <w:tcW w:w="2220" w:type="dxa"/>
            <w:vAlign w:val="bottom"/>
            <w:tcBorders>
              <w:top w:val="single" w:sz="8" w:color="auto"/>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Total</w:t>
            </w:r>
          </w:p>
        </w:tc>
        <w:tc>
          <w:tcPr>
            <w:tcW w:w="3340" w:type="dxa"/>
            <w:vAlign w:val="bottom"/>
            <w:tcBorders>
              <w:top w:val="single" w:sz="8" w:color="auto"/>
              <w:bottom w:val="single" w:sz="8" w:color="auto"/>
              <w:right w:val="single" w:sz="8" w:color="4D8ABE"/>
            </w:tcBorders>
            <w:shd w:val="clear" w:color="auto" w:fill="E6EFFF"/>
          </w:tcPr>
          <w:p>
            <w:pPr>
              <w:spacing w:after="0"/>
              <w:rPr>
                <w:sz w:val="13"/>
                <w:szCs w:val="13"/>
                <w:color w:val="auto"/>
              </w:rPr>
            </w:pPr>
          </w:p>
        </w:tc>
        <w:tc>
          <w:tcPr>
            <w:tcW w:w="520" w:type="dxa"/>
            <w:vAlign w:val="bottom"/>
            <w:tcBorders>
              <w:top w:val="single" w:sz="8" w:color="auto"/>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6.1</w:t>
            </w:r>
          </w:p>
        </w:tc>
        <w:tc>
          <w:tcPr>
            <w:tcW w:w="340" w:type="dxa"/>
            <w:vAlign w:val="bottom"/>
            <w:tcBorders>
              <w:top w:val="single" w:sz="8" w:color="auto"/>
              <w:bottom w:val="single" w:sz="8" w:color="auto"/>
            </w:tcBorders>
            <w:shd w:val="clear" w:color="auto" w:fill="E6EFFF"/>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(2.8</w:t>
            </w:r>
          </w:p>
        </w:tc>
        <w:tc>
          <w:tcPr>
            <w:tcW w:w="240" w:type="dxa"/>
            <w:vAlign w:val="bottom"/>
            <w:tcBorders>
              <w:top w:val="single" w:sz="8" w:color="E6EFFF"/>
              <w:bottom w:val="single" w:sz="8" w:color="E6EFFF"/>
              <w:right w:val="single" w:sz="8" w:color="4D8ABE"/>
            </w:tcBorders>
            <w:shd w:val="clear" w:color="auto" w:fill="E6EFFF"/>
          </w:tcPr>
          <w:p>
            <w:pPr>
              <w:jc w:val="right"/>
              <w:ind w:right="1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shd w:val="clear" w:color="auto" w:fill="E6EFFF"/>
          </w:tcPr>
          <w:p>
            <w:pPr>
              <w:jc w:val="right"/>
              <w:ind w:right="355"/>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9.1</w:t>
            </w:r>
          </w:p>
        </w:tc>
        <w:tc>
          <w:tcPr>
            <w:tcW w:w="620" w:type="dxa"/>
            <w:vAlign w:val="bottom"/>
            <w:tcBorders>
              <w:top w:val="single" w:sz="8" w:color="auto"/>
              <w:bottom w:val="single" w:sz="8" w:color="auto"/>
            </w:tcBorders>
            <w:shd w:val="clear" w:color="auto" w:fill="E6EFFF"/>
          </w:tcPr>
          <w:p>
            <w:pPr>
              <w:jc w:val="right"/>
              <w:ind w:right="452"/>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10.8</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370"/>
        </w:trPr>
        <w:tc>
          <w:tcPr>
            <w:tcW w:w="2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2220" w:type="dxa"/>
            <w:vAlign w:val="bottom"/>
          </w:tcPr>
          <w:p>
            <w:pPr>
              <w:spacing w:after="0"/>
              <w:rPr>
                <w:sz w:val="20"/>
                <w:szCs w:val="20"/>
                <w:color w:val="auto"/>
              </w:rPr>
            </w:pPr>
            <w:r>
              <w:rPr>
                <w:rFonts w:ascii="Arial" w:cs="Arial" w:eastAsia="Arial" w:hAnsi="Arial"/>
                <w:sz w:val="12"/>
                <w:szCs w:val="12"/>
                <w:b w:val="1"/>
                <w:bCs w:val="1"/>
                <w:color w:val="auto"/>
              </w:rPr>
              <w:t>62</w:t>
            </w:r>
          </w:p>
        </w:tc>
        <w:tc>
          <w:tcPr>
            <w:tcW w:w="3860" w:type="dxa"/>
            <w:vAlign w:val="bottom"/>
            <w:gridSpan w:val="2"/>
          </w:tcPr>
          <w:p>
            <w:pPr>
              <w:jc w:val="right"/>
              <w:ind w:right="692"/>
              <w:spacing w:after="0"/>
              <w:rPr>
                <w:sz w:val="20"/>
                <w:szCs w:val="20"/>
                <w:color w:val="auto"/>
              </w:rPr>
            </w:pPr>
            <w:r>
              <w:rPr>
                <w:rFonts w:ascii="Arial" w:cs="Arial" w:eastAsia="Arial" w:hAnsi="Arial"/>
                <w:sz w:val="12"/>
                <w:szCs w:val="12"/>
                <w:b w:val="1"/>
                <w:bCs w:val="1"/>
                <w:color w:val="939598"/>
              </w:rPr>
              <w:t>Notes To Consolidated Financial Statements</w:t>
            </w: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3"/>
          </w:tcPr>
          <w:p>
            <w:pPr>
              <w:jc w:val="right"/>
              <w:ind w:right="252"/>
              <w:spacing w:after="0"/>
              <w:rPr>
                <w:sz w:val="20"/>
                <w:szCs w:val="20"/>
                <w:color w:val="auto"/>
              </w:rPr>
            </w:pPr>
            <w:r>
              <w:rPr>
                <w:rFonts w:ascii="Arial" w:cs="Arial" w:eastAsia="Arial" w:hAnsi="Arial"/>
                <w:sz w:val="12"/>
                <w:szCs w:val="12"/>
                <w:b w:val="1"/>
                <w:bCs w:val="1"/>
                <w:color w:val="auto"/>
              </w:rPr>
              <w:t>Manpower Annual Report 2008</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7"/>
        </w:trPr>
        <w:tc>
          <w:tcPr>
            <w:tcW w:w="22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2220" w:type="dxa"/>
            <w:vAlign w:val="bottom"/>
            <w:shd w:val="clear" w:color="auto" w:fill="808080"/>
          </w:tcPr>
          <w:p>
            <w:pPr>
              <w:spacing w:after="0"/>
              <w:rPr>
                <w:sz w:val="5"/>
                <w:szCs w:val="5"/>
                <w:color w:val="auto"/>
              </w:rPr>
            </w:pPr>
          </w:p>
        </w:tc>
        <w:tc>
          <w:tcPr>
            <w:tcW w:w="3340" w:type="dxa"/>
            <w:vAlign w:val="bottom"/>
            <w:tcBorders>
              <w:right w:val="single" w:sz="8" w:color="808080"/>
            </w:tcBorders>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00"/>
          </w:cols>
          <w:pgMar w:left="220" w:top="114" w:right="179" w:bottom="1440" w:gutter="0" w:footer="0" w:header="0"/>
        </w:sectPr>
      </w:pPr>
    </w:p>
    <w:bookmarkStart w:id="120" w:name="page121"/>
    <w:bookmarkEnd w:id="120"/>
    <w:p>
      <w:pPr>
        <w:ind w:right="40"/>
        <w:spacing w:after="0" w:line="257" w:lineRule="auto"/>
        <w:rPr>
          <w:sz w:val="20"/>
          <w:szCs w:val="20"/>
          <w:color w:val="auto"/>
        </w:rPr>
      </w:pPr>
      <w:r>
        <w:rPr>
          <w:rFonts w:ascii="Arial" w:cs="Arial" w:eastAsia="Arial" w:hAnsi="Arial"/>
          <w:sz w:val="16"/>
          <w:szCs w:val="16"/>
          <w:color w:val="auto"/>
        </w:rPr>
        <w:t>The accumulated benefit obligation for our plans that have plan assets was $188.1 and $230.1 as of December 31, 2008 and 2007, respectively. The accumulated benefit obligation for certain of these plans exceeded the fair value of plan assets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December 31</w:t>
            </w:r>
          </w:p>
        </w:tc>
        <w:tc>
          <w:tcPr>
            <w:tcW w:w="310" w:type="dxa"/>
            <w:vAlign w:val="bottom"/>
            <w:shd w:val="clear" w:color="auto" w:fill="4D8ABE"/>
          </w:tcPr>
          <w:p>
            <w:pPr>
              <w:spacing w:after="0"/>
              <w:rPr>
                <w:sz w:val="14"/>
                <w:szCs w:val="14"/>
                <w:color w:val="auto"/>
              </w:rPr>
            </w:pPr>
          </w:p>
        </w:tc>
        <w:tc>
          <w:tcPr>
            <w:tcW w:w="117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4D8ABE"/>
              </w:rPr>
              <w:t>2007</w:t>
            </w:r>
          </w:p>
        </w:tc>
      </w:tr>
      <w:tr>
        <w:trPr>
          <w:trHeight w:val="155"/>
        </w:trPr>
        <w:tc>
          <w:tcPr>
            <w:tcW w:w="8520" w:type="dxa"/>
            <w:vAlign w:val="bottom"/>
            <w:tcBorders>
              <w:top w:val="single" w:sz="8" w:color="4D8ABE"/>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Projected benefit obligation</w:t>
            </w:r>
          </w:p>
        </w:tc>
        <w:tc>
          <w:tcPr>
            <w:tcW w:w="310" w:type="dxa"/>
            <w:vAlign w:val="bottom"/>
            <w:tcBorders>
              <w:top w:val="single" w:sz="8" w:color="4D8ABE"/>
            </w:tcBorders>
            <w:shd w:val="clear" w:color="auto" w:fill="E6EFFF"/>
          </w:tcPr>
          <w:p>
            <w:pPr>
              <w:jc w:val="right"/>
              <w:ind w:right="142"/>
              <w:spacing w:after="0" w:line="155" w:lineRule="exact"/>
              <w:rPr>
                <w:sz w:val="20"/>
                <w:szCs w:val="20"/>
                <w:color w:val="auto"/>
              </w:rPr>
            </w:pPr>
            <w:r>
              <w:rPr>
                <w:rFonts w:ascii="Arial" w:cs="Arial" w:eastAsia="Arial" w:hAnsi="Arial"/>
                <w:sz w:val="14"/>
                <w:szCs w:val="14"/>
                <w:b w:val="1"/>
                <w:bCs w:val="1"/>
                <w:color w:val="4D8ABE"/>
              </w:rPr>
              <w:t>$</w:t>
            </w:r>
          </w:p>
        </w:tc>
        <w:tc>
          <w:tcPr>
            <w:tcW w:w="1170" w:type="dxa"/>
            <w:vAlign w:val="bottom"/>
            <w:tcBorders>
              <w:top w:val="single" w:sz="8" w:color="4D8ABE"/>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34.9</w:t>
            </w:r>
          </w:p>
        </w:tc>
        <w:tc>
          <w:tcPr>
            <w:tcW w:w="500" w:type="dxa"/>
            <w:vAlign w:val="bottom"/>
            <w:tcBorders>
              <w:top w:val="single" w:sz="8" w:color="4D8ABE"/>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143.8</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Accumulated benefit obligation</w:t>
            </w:r>
          </w:p>
        </w:tc>
        <w:tc>
          <w:tcPr>
            <w:tcW w:w="310" w:type="dxa"/>
            <w:vAlign w:val="bottom"/>
          </w:tcPr>
          <w:p>
            <w:pPr>
              <w:spacing w:after="0"/>
              <w:rPr>
                <w:sz w:val="14"/>
                <w:szCs w:val="14"/>
                <w:color w:val="auto"/>
              </w:rPr>
            </w:pPr>
          </w:p>
        </w:tc>
        <w:tc>
          <w:tcPr>
            <w:tcW w:w="117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22.2</w:t>
            </w:r>
          </w:p>
        </w:tc>
        <w:tc>
          <w:tcPr>
            <w:tcW w:w="5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140.5</w:t>
            </w:r>
          </w:p>
        </w:tc>
      </w:tr>
      <w:tr>
        <w:trPr>
          <w:trHeight w:val="164"/>
        </w:trPr>
        <w:tc>
          <w:tcPr>
            <w:tcW w:w="852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Plan assets</w:t>
            </w:r>
          </w:p>
        </w:tc>
        <w:tc>
          <w:tcPr>
            <w:tcW w:w="310" w:type="dxa"/>
            <w:vAlign w:val="bottom"/>
            <w:tcBorders>
              <w:bottom w:val="single" w:sz="8" w:color="auto"/>
            </w:tcBorders>
            <w:shd w:val="clear" w:color="auto" w:fill="E6EFFF"/>
          </w:tcPr>
          <w:p>
            <w:pPr>
              <w:spacing w:after="0"/>
              <w:rPr>
                <w:sz w:val="14"/>
                <w:szCs w:val="14"/>
                <w:color w:val="auto"/>
              </w:rPr>
            </w:pPr>
          </w:p>
        </w:tc>
        <w:tc>
          <w:tcPr>
            <w:tcW w:w="117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21.6</w:t>
            </w:r>
          </w:p>
        </w:tc>
        <w:tc>
          <w:tcPr>
            <w:tcW w:w="500" w:type="dxa"/>
            <w:vAlign w:val="bottom"/>
            <w:tcBorders>
              <w:bottom w:val="single" w:sz="8" w:color="auto"/>
            </w:tcBorders>
            <w:shd w:val="clear" w:color="auto" w:fill="E6EFFF"/>
          </w:tcPr>
          <w:p>
            <w:pPr>
              <w:spacing w:after="0"/>
              <w:rPr>
                <w:sz w:val="14"/>
                <w:szCs w:val="14"/>
                <w:color w:val="auto"/>
              </w:rPr>
            </w:pPr>
          </w:p>
        </w:tc>
        <w:tc>
          <w:tcPr>
            <w:tcW w:w="7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129.0</w:t>
            </w:r>
          </w:p>
        </w:tc>
        <w:tc>
          <w:tcPr>
            <w:tcW w:w="220" w:type="dxa"/>
            <w:vAlign w:val="bottom"/>
            <w:shd w:val="clear" w:color="auto" w:fill="E6EFFF"/>
          </w:tcPr>
          <w:p>
            <w:pPr>
              <w:spacing w:after="0"/>
              <w:rPr>
                <w:sz w:val="14"/>
                <w:szCs w:val="14"/>
                <w:color w:val="auto"/>
              </w:rPr>
            </w:pPr>
          </w:p>
        </w:tc>
      </w:tr>
    </w:tbl>
    <w:p>
      <w:pPr>
        <w:spacing w:after="0" w:line="18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By their nature, certain of our plans do not have plan assets. The accumulated benefit obligation for these plans was $40.3 and $34.5 as of December 31, 2008 and 2007,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net periodic benefit cost and other amounts recognized in Other Comprehensive Income for all plans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520" w:type="dxa"/>
            <w:vAlign w:val="bottom"/>
            <w:shd w:val="clear" w:color="auto" w:fill="4D8ABE"/>
          </w:tcPr>
          <w:p>
            <w:pPr>
              <w:spacing w:after="0"/>
              <w:rPr>
                <w:sz w:val="15"/>
                <w:szCs w:val="15"/>
                <w:color w:val="auto"/>
              </w:rPr>
            </w:pPr>
          </w:p>
        </w:tc>
        <w:tc>
          <w:tcPr>
            <w:tcW w:w="96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4D8ABE"/>
              </w:rPr>
              <w:t>2007</w:t>
            </w:r>
          </w:p>
        </w:tc>
        <w:tc>
          <w:tcPr>
            <w:tcW w:w="6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Service cost</w:t>
            </w:r>
          </w:p>
        </w:tc>
        <w:tc>
          <w:tcPr>
            <w:tcW w:w="520" w:type="dxa"/>
            <w:vAlign w:val="bottom"/>
            <w:tcBorders>
              <w:top w:val="single" w:sz="8" w:color="4D8ABE"/>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4D8ABE"/>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14.4</w:t>
            </w:r>
          </w:p>
        </w:tc>
        <w:tc>
          <w:tcPr>
            <w:tcW w:w="520" w:type="dxa"/>
            <w:vAlign w:val="bottom"/>
            <w:tcBorders>
              <w:top w:val="single" w:sz="8" w:color="4D8ABE"/>
            </w:tcBorders>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4D8ABE"/>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14.1</w:t>
            </w:r>
          </w:p>
        </w:tc>
        <w:tc>
          <w:tcPr>
            <w:tcW w:w="600" w:type="dxa"/>
            <w:vAlign w:val="bottom"/>
            <w:tcBorders>
              <w:top w:val="single" w:sz="8" w:color="4D8ABE"/>
            </w:tcBorders>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11.9</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Interest cost</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15.3</w:t>
            </w:r>
          </w:p>
        </w:tc>
        <w:tc>
          <w:tcPr>
            <w:tcW w:w="52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14.3</w:t>
            </w:r>
          </w:p>
        </w:tc>
        <w:tc>
          <w:tcPr>
            <w:tcW w:w="6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Expected return on assets</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(13.9)</w:t>
            </w:r>
          </w:p>
        </w:tc>
        <w:tc>
          <w:tcPr>
            <w:tcW w:w="52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(12.5)</w:t>
            </w:r>
          </w:p>
        </w:tc>
        <w:tc>
          <w:tcPr>
            <w:tcW w:w="600" w:type="dxa"/>
            <w:vAlign w:val="bottom"/>
            <w:shd w:val="clear" w:color="auto" w:fill="E6EFFF"/>
          </w:tcPr>
          <w:p>
            <w:pPr>
              <w:spacing w:after="0"/>
              <w:rPr>
                <w:sz w:val="14"/>
                <w:szCs w:val="14"/>
                <w:color w:val="auto"/>
              </w:rPr>
            </w:pPr>
          </w:p>
        </w:tc>
        <w:tc>
          <w:tcPr>
            <w:tcW w:w="94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(10.5)</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Net (gain) loss</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(0.8)</w:t>
            </w:r>
          </w:p>
        </w:tc>
        <w:tc>
          <w:tcPr>
            <w:tcW w:w="52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2.5</w:t>
            </w:r>
          </w:p>
        </w:tc>
        <w:tc>
          <w:tcPr>
            <w:tcW w:w="6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3.1</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Prior service cost (credit)</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0.5</w:t>
            </w:r>
          </w:p>
        </w:tc>
        <w:tc>
          <w:tcPr>
            <w:tcW w:w="52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0.8</w:t>
            </w:r>
          </w:p>
        </w:tc>
        <w:tc>
          <w:tcPr>
            <w:tcW w:w="600" w:type="dxa"/>
            <w:vAlign w:val="bottom"/>
            <w:shd w:val="clear" w:color="auto" w:fill="E6EFFF"/>
          </w:tcPr>
          <w:p>
            <w:pPr>
              <w:spacing w:after="0"/>
              <w:rPr>
                <w:sz w:val="14"/>
                <w:szCs w:val="14"/>
                <w:color w:val="auto"/>
              </w:rPr>
            </w:pPr>
          </w:p>
        </w:tc>
        <w:tc>
          <w:tcPr>
            <w:tcW w:w="94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(0.6)</w:t>
            </w:r>
          </w:p>
        </w:tc>
      </w:tr>
      <w:tr>
        <w:trPr>
          <w:trHeight w:val="155"/>
        </w:trPr>
        <w:tc>
          <w:tcPr>
            <w:tcW w:w="7040" w:type="dxa"/>
            <w:vAlign w:val="bottom"/>
            <w:tcBorders>
              <w:top w:val="single" w:sz="8" w:color="auto"/>
              <w:bottom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Net periodic benefit cost</w:t>
            </w:r>
          </w:p>
        </w:tc>
        <w:tc>
          <w:tcPr>
            <w:tcW w:w="5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15.5</w:t>
            </w:r>
          </w:p>
        </w:tc>
        <w:tc>
          <w:tcPr>
            <w:tcW w:w="5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19.2</w:t>
            </w:r>
          </w:p>
        </w:tc>
        <w:tc>
          <w:tcPr>
            <w:tcW w:w="6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w:t>
            </w:r>
          </w:p>
        </w:tc>
        <w:tc>
          <w:tcPr>
            <w:tcW w:w="220" w:type="dxa"/>
            <w:vAlign w:val="bottom"/>
            <w:tcBorders>
              <w:bottom w:val="single" w:sz="8" w:color="E6EFFF"/>
            </w:tcBorders>
          </w:tcPr>
          <w:p>
            <w:pPr>
              <w:spacing w:after="0"/>
              <w:rPr>
                <w:sz w:val="13"/>
                <w:szCs w:val="13"/>
                <w:color w:val="auto"/>
              </w:rPr>
            </w:pPr>
          </w:p>
        </w:tc>
      </w:tr>
      <w:tr>
        <w:trPr>
          <w:trHeight w:val="138"/>
        </w:trPr>
        <w:tc>
          <w:tcPr>
            <w:tcW w:w="7040" w:type="dxa"/>
            <w:vAlign w:val="bottom"/>
            <w:tcBorders>
              <w:right w:val="single" w:sz="8" w:color="4D8ABE"/>
            </w:tcBorders>
            <w:shd w:val="clear" w:color="auto" w:fill="E6EFFF"/>
          </w:tcPr>
          <w:p>
            <w:pPr>
              <w:spacing w:after="0" w:line="138" w:lineRule="exact"/>
              <w:rPr>
                <w:sz w:val="20"/>
                <w:szCs w:val="20"/>
                <w:color w:val="auto"/>
              </w:rPr>
            </w:pPr>
            <w:r>
              <w:rPr>
                <w:rFonts w:ascii="Arial" w:cs="Arial" w:eastAsia="Arial" w:hAnsi="Arial"/>
                <w:sz w:val="14"/>
                <w:szCs w:val="14"/>
                <w:b w:val="1"/>
                <w:bCs w:val="1"/>
                <w:color w:val="939598"/>
              </w:rPr>
              <w:t>Other Changes in Plan Assets and Benefit Obligations</w:t>
            </w:r>
          </w:p>
        </w:tc>
        <w:tc>
          <w:tcPr>
            <w:tcW w:w="520" w:type="dxa"/>
            <w:vAlign w:val="bottom"/>
            <w:shd w:val="clear" w:color="auto" w:fill="E6EFFF"/>
          </w:tcPr>
          <w:p>
            <w:pPr>
              <w:spacing w:after="0"/>
              <w:rPr>
                <w:sz w:val="11"/>
                <w:szCs w:val="11"/>
                <w:color w:val="auto"/>
              </w:rPr>
            </w:pPr>
          </w:p>
        </w:tc>
        <w:tc>
          <w:tcPr>
            <w:tcW w:w="960" w:type="dxa"/>
            <w:vAlign w:val="bottom"/>
            <w:tcBorders>
              <w:right w:val="single" w:sz="8" w:color="4D8ABE"/>
            </w:tcBorders>
            <w:shd w:val="clear" w:color="auto" w:fill="E6EFFF"/>
          </w:tcPr>
          <w:p>
            <w:pPr>
              <w:spacing w:after="0"/>
              <w:rPr>
                <w:sz w:val="11"/>
                <w:szCs w:val="11"/>
                <w:color w:val="auto"/>
              </w:rPr>
            </w:pPr>
          </w:p>
        </w:tc>
        <w:tc>
          <w:tcPr>
            <w:tcW w:w="520" w:type="dxa"/>
            <w:vAlign w:val="bottom"/>
            <w:shd w:val="clear" w:color="auto" w:fill="E6EFFF"/>
          </w:tcPr>
          <w:p>
            <w:pPr>
              <w:spacing w:after="0"/>
              <w:rPr>
                <w:sz w:val="11"/>
                <w:szCs w:val="11"/>
                <w:color w:val="auto"/>
              </w:rPr>
            </w:pPr>
          </w:p>
        </w:tc>
        <w:tc>
          <w:tcPr>
            <w:tcW w:w="880" w:type="dxa"/>
            <w:vAlign w:val="bottom"/>
            <w:shd w:val="clear" w:color="auto" w:fill="E6EFFF"/>
          </w:tcPr>
          <w:p>
            <w:pPr>
              <w:spacing w:after="0"/>
              <w:rPr>
                <w:sz w:val="11"/>
                <w:szCs w:val="11"/>
                <w:color w:val="auto"/>
              </w:rPr>
            </w:pPr>
          </w:p>
        </w:tc>
        <w:tc>
          <w:tcPr>
            <w:tcW w:w="600" w:type="dxa"/>
            <w:vAlign w:val="bottom"/>
            <w:shd w:val="clear" w:color="auto" w:fill="E6EFFF"/>
          </w:tcPr>
          <w:p>
            <w:pPr>
              <w:spacing w:after="0"/>
              <w:rPr>
                <w:sz w:val="11"/>
                <w:szCs w:val="11"/>
                <w:color w:val="auto"/>
              </w:rPr>
            </w:pPr>
          </w:p>
        </w:tc>
        <w:tc>
          <w:tcPr>
            <w:tcW w:w="720" w:type="dxa"/>
            <w:vAlign w:val="bottom"/>
            <w:shd w:val="clear" w:color="auto" w:fill="E6EFFF"/>
          </w:tcPr>
          <w:p>
            <w:pPr>
              <w:spacing w:after="0"/>
              <w:rPr>
                <w:sz w:val="11"/>
                <w:szCs w:val="11"/>
                <w:color w:val="auto"/>
              </w:rPr>
            </w:pPr>
          </w:p>
        </w:tc>
        <w:tc>
          <w:tcPr>
            <w:tcW w:w="220" w:type="dxa"/>
            <w:vAlign w:val="bottom"/>
            <w:shd w:val="clear" w:color="auto" w:fill="E6EFFF"/>
          </w:tcPr>
          <w:p>
            <w:pPr>
              <w:spacing w:after="0"/>
              <w:rPr>
                <w:sz w:val="11"/>
                <w:szCs w:val="11"/>
                <w:color w:val="auto"/>
              </w:rPr>
            </w:pPr>
          </w:p>
        </w:tc>
      </w:tr>
      <w:tr>
        <w:trPr>
          <w:trHeight w:val="181"/>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b w:val="1"/>
                <w:bCs w:val="1"/>
                <w:color w:val="939598"/>
              </w:rPr>
              <w:t>Recognized in Other Comprehensive Income</w:t>
            </w:r>
          </w:p>
        </w:tc>
        <w:tc>
          <w:tcPr>
            <w:tcW w:w="520" w:type="dxa"/>
            <w:vAlign w:val="bottom"/>
            <w:shd w:val="clear" w:color="auto" w:fill="E6EFFF"/>
          </w:tcPr>
          <w:p>
            <w:pPr>
              <w:spacing w:after="0"/>
              <w:rPr>
                <w:sz w:val="15"/>
                <w:szCs w:val="15"/>
                <w:color w:val="auto"/>
              </w:rPr>
            </w:pPr>
          </w:p>
        </w:tc>
        <w:tc>
          <w:tcPr>
            <w:tcW w:w="960" w:type="dxa"/>
            <w:vAlign w:val="bottom"/>
            <w:tcBorders>
              <w:right w:val="single" w:sz="8" w:color="4D8ABE"/>
            </w:tcBorders>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880" w:type="dxa"/>
            <w:vAlign w:val="bottom"/>
            <w:shd w:val="clear" w:color="auto" w:fill="E6EFFF"/>
          </w:tcPr>
          <w:p>
            <w:pPr>
              <w:spacing w:after="0"/>
              <w:rPr>
                <w:sz w:val="15"/>
                <w:szCs w:val="15"/>
                <w:color w:val="auto"/>
              </w:rPr>
            </w:pPr>
          </w:p>
        </w:tc>
        <w:tc>
          <w:tcPr>
            <w:tcW w:w="60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Net loss (gain)</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9.7</w:t>
            </w:r>
          </w:p>
        </w:tc>
        <w:tc>
          <w:tcPr>
            <w:tcW w:w="52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(33.6)</w:t>
            </w:r>
          </w:p>
        </w:tc>
        <w:tc>
          <w:tcPr>
            <w:tcW w:w="6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Amortization of net gain (loss)</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0.9</w:t>
            </w:r>
          </w:p>
        </w:tc>
        <w:tc>
          <w:tcPr>
            <w:tcW w:w="52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(2.5)</w:t>
            </w:r>
          </w:p>
        </w:tc>
        <w:tc>
          <w:tcPr>
            <w:tcW w:w="600" w:type="dxa"/>
            <w:vAlign w:val="bottom"/>
            <w:shd w:val="clear" w:color="auto" w:fill="E6EFFF"/>
          </w:tcPr>
          <w:p>
            <w:pPr>
              <w:spacing w:after="0"/>
              <w:rPr>
                <w:sz w:val="14"/>
                <w:szCs w:val="14"/>
                <w:color w:val="auto"/>
              </w:rPr>
            </w:pPr>
          </w:p>
        </w:tc>
        <w:tc>
          <w:tcPr>
            <w:tcW w:w="9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Prior service cost</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10.4</w:t>
            </w:r>
          </w:p>
        </w:tc>
        <w:tc>
          <w:tcPr>
            <w:tcW w:w="52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0.4</w:t>
            </w:r>
          </w:p>
        </w:tc>
        <w:tc>
          <w:tcPr>
            <w:tcW w:w="6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Amortization of prior service cost</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(0.6)</w:t>
            </w:r>
          </w:p>
        </w:tc>
        <w:tc>
          <w:tcPr>
            <w:tcW w:w="52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(0.8)</w:t>
            </w:r>
          </w:p>
        </w:tc>
        <w:tc>
          <w:tcPr>
            <w:tcW w:w="600" w:type="dxa"/>
            <w:vAlign w:val="bottom"/>
            <w:shd w:val="clear" w:color="auto" w:fill="E6EFFF"/>
          </w:tcPr>
          <w:p>
            <w:pPr>
              <w:spacing w:after="0"/>
              <w:rPr>
                <w:sz w:val="14"/>
                <w:szCs w:val="14"/>
                <w:color w:val="auto"/>
              </w:rPr>
            </w:pPr>
          </w:p>
        </w:tc>
        <w:tc>
          <w:tcPr>
            <w:tcW w:w="9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55"/>
        </w:trPr>
        <w:tc>
          <w:tcPr>
            <w:tcW w:w="7040" w:type="dxa"/>
            <w:vAlign w:val="bottom"/>
            <w:tcBorders>
              <w:top w:val="single" w:sz="8" w:color="auto"/>
              <w:bottom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Total recognized in other comprehensive income</w:t>
            </w:r>
          </w:p>
        </w:tc>
        <w:tc>
          <w:tcPr>
            <w:tcW w:w="5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20.4</w:t>
            </w:r>
          </w:p>
        </w:tc>
        <w:tc>
          <w:tcPr>
            <w:tcW w:w="5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(36.5)</w:t>
            </w:r>
          </w:p>
        </w:tc>
        <w:tc>
          <w:tcPr>
            <w:tcW w:w="6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E6EFFF"/>
            </w:tcBorders>
          </w:tcPr>
          <w:p>
            <w:pPr>
              <w:spacing w:after="0"/>
              <w:rPr>
                <w:sz w:val="13"/>
                <w:szCs w:val="13"/>
                <w:color w:val="auto"/>
              </w:rPr>
            </w:pPr>
          </w:p>
        </w:tc>
      </w:tr>
      <w:tr>
        <w:trPr>
          <w:trHeight w:val="155"/>
        </w:trPr>
        <w:tc>
          <w:tcPr>
            <w:tcW w:w="7040" w:type="dxa"/>
            <w:vAlign w:val="bottom"/>
            <w:tcBorders>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Total recognized in net periodic benefit cost and other comprehensive income</w:t>
            </w:r>
          </w:p>
        </w:tc>
        <w:tc>
          <w:tcPr>
            <w:tcW w:w="52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35.9</w:t>
            </w:r>
          </w:p>
        </w:tc>
        <w:tc>
          <w:tcPr>
            <w:tcW w:w="52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FFF"/>
          </w:tcPr>
          <w:p>
            <w:pPr>
              <w:jc w:val="right"/>
              <w:ind w:right="52"/>
              <w:spacing w:after="0" w:line="155" w:lineRule="exact"/>
              <w:rPr>
                <w:sz w:val="20"/>
                <w:szCs w:val="20"/>
                <w:color w:val="auto"/>
              </w:rPr>
            </w:pPr>
            <w:r>
              <w:rPr>
                <w:rFonts w:ascii="Arial" w:cs="Arial" w:eastAsia="Arial" w:hAnsi="Arial"/>
                <w:sz w:val="14"/>
                <w:szCs w:val="14"/>
                <w:color w:val="auto"/>
              </w:rPr>
              <w:t>(17.3)</w:t>
            </w:r>
          </w:p>
        </w:tc>
        <w:tc>
          <w:tcPr>
            <w:tcW w:w="60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16.8</w:t>
            </w:r>
          </w:p>
        </w:tc>
        <w:tc>
          <w:tcPr>
            <w:tcW w:w="220" w:type="dxa"/>
            <w:vAlign w:val="bottom"/>
            <w:tcBorders>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The estimated net gain and prior service cost for the defined benefit pension plans that will be amortized from Accumulated Other Comprehensive (Loss) Income into net periodic benefit cost during 2009 are $2.1 and $0.8,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in the measurement of the benefit obligation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600"/>
              <w:spacing w:after="0"/>
              <w:rPr>
                <w:sz w:val="20"/>
                <w:szCs w:val="20"/>
                <w:color w:val="auto"/>
              </w:rPr>
            </w:pPr>
            <w:r>
              <w:rPr>
                <w:rFonts w:ascii="Arial" w:cs="Arial" w:eastAsia="Arial" w:hAnsi="Arial"/>
                <w:sz w:val="14"/>
                <w:szCs w:val="14"/>
                <w:color w:val="4D8ABE"/>
              </w:rPr>
              <w:t>U.S. Plans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color w:val="4D8ABE"/>
              </w:rPr>
              <w:t>Non-U.S. Plans</w:t>
            </w:r>
          </w:p>
        </w:tc>
      </w:tr>
      <w:tr>
        <w:trPr>
          <w:trHeight w:val="155"/>
        </w:trPr>
        <w:tc>
          <w:tcPr>
            <w:tcW w:w="5680" w:type="dxa"/>
            <w:vAlign w:val="bottom"/>
            <w:tcBorders>
              <w:top w:val="single" w:sz="8" w:color="4D8ABE"/>
              <w:bottom w:val="single" w:sz="8" w:color="4D8ABE"/>
              <w:right w:val="single" w:sz="8" w:color="4D8ABE"/>
            </w:tcBorders>
          </w:tcPr>
          <w:p>
            <w:pPr>
              <w:spacing w:after="0" w:line="155" w:lineRule="exact"/>
              <w:rPr>
                <w:sz w:val="20"/>
                <w:szCs w:val="20"/>
                <w:color w:val="auto"/>
              </w:rPr>
            </w:pPr>
            <w:r>
              <w:rPr>
                <w:rFonts w:ascii="Arial" w:cs="Arial" w:eastAsia="Arial" w:hAnsi="Arial"/>
                <w:sz w:val="14"/>
                <w:szCs w:val="14"/>
                <w:color w:val="4D8ABE"/>
              </w:rPr>
              <w:t>Year Ended December 31</w:t>
            </w:r>
          </w:p>
        </w:tc>
        <w:tc>
          <w:tcPr>
            <w:tcW w:w="1120" w:type="dxa"/>
            <w:vAlign w:val="bottom"/>
            <w:tcBorders>
              <w:top w:val="single" w:sz="8" w:color="4D8ABE"/>
              <w:bottom w:val="single" w:sz="8" w:color="4D8ABE"/>
            </w:tcBorders>
            <w:shd w:val="clear" w:color="auto" w:fill="4D8ABE"/>
          </w:tcPr>
          <w:p>
            <w:pPr>
              <w:jc w:val="right"/>
              <w:spacing w:after="0" w:line="155" w:lineRule="exact"/>
              <w:rPr>
                <w:sz w:val="20"/>
                <w:szCs w:val="20"/>
                <w:color w:val="auto"/>
              </w:rPr>
            </w:pPr>
            <w:r>
              <w:rPr>
                <w:rFonts w:ascii="Arial" w:cs="Arial" w:eastAsia="Arial" w:hAnsi="Arial"/>
                <w:sz w:val="14"/>
                <w:szCs w:val="14"/>
                <w:b w:val="1"/>
                <w:bCs w:val="1"/>
                <w:color w:val="FFFFFF"/>
              </w:rPr>
              <w:t>2008</w:t>
            </w:r>
          </w:p>
        </w:tc>
        <w:tc>
          <w:tcPr>
            <w:tcW w:w="240" w:type="dxa"/>
            <w:vAlign w:val="bottom"/>
            <w:tcBorders>
              <w:top w:val="single" w:sz="8" w:color="4D8ABE"/>
              <w:bottom w:val="single" w:sz="8" w:color="4D8ABE"/>
              <w:right w:val="single" w:sz="8" w:color="4D8ABE"/>
            </w:tcBorders>
            <w:shd w:val="clear" w:color="auto" w:fill="4D8ABE"/>
          </w:tcPr>
          <w:p>
            <w:pPr>
              <w:spacing w:after="0"/>
              <w:rPr>
                <w:sz w:val="13"/>
                <w:szCs w:val="13"/>
                <w:color w:val="auto"/>
              </w:rPr>
            </w:pPr>
          </w:p>
        </w:tc>
        <w:tc>
          <w:tcPr>
            <w:tcW w:w="1460" w:type="dxa"/>
            <w:vAlign w:val="bottom"/>
            <w:tcBorders>
              <w:top w:val="single" w:sz="8" w:color="4D8ABE"/>
              <w:bottom w:val="single" w:sz="8" w:color="4D8ABE"/>
            </w:tcBorders>
          </w:tcPr>
          <w:p>
            <w:pPr>
              <w:jc w:val="right"/>
              <w:ind w:right="152"/>
              <w:spacing w:after="0" w:line="155" w:lineRule="exact"/>
              <w:rPr>
                <w:sz w:val="20"/>
                <w:szCs w:val="20"/>
                <w:color w:val="auto"/>
              </w:rPr>
            </w:pPr>
            <w:r>
              <w:rPr>
                <w:rFonts w:ascii="Arial" w:cs="Arial" w:eastAsia="Arial" w:hAnsi="Arial"/>
                <w:sz w:val="14"/>
                <w:szCs w:val="14"/>
                <w:color w:val="4D8ABE"/>
              </w:rPr>
              <w:t>2007</w:t>
            </w:r>
          </w:p>
        </w:tc>
        <w:tc>
          <w:tcPr>
            <w:tcW w:w="140" w:type="dxa"/>
            <w:vAlign w:val="bottom"/>
            <w:tcBorders>
              <w:right w:val="single" w:sz="8" w:color="4D8ABE"/>
            </w:tcBorders>
          </w:tcPr>
          <w:p>
            <w:pPr>
              <w:spacing w:after="0"/>
              <w:rPr>
                <w:sz w:val="13"/>
                <w:szCs w:val="13"/>
                <w:color w:val="auto"/>
              </w:rPr>
            </w:pPr>
          </w:p>
        </w:tc>
        <w:tc>
          <w:tcPr>
            <w:tcW w:w="1120" w:type="dxa"/>
            <w:vAlign w:val="bottom"/>
            <w:tcBorders>
              <w:top w:val="single" w:sz="8" w:color="4D8ABE"/>
              <w:bottom w:val="single" w:sz="8" w:color="4D8ABE"/>
            </w:tcBorders>
            <w:shd w:val="clear" w:color="auto" w:fill="4D8ABE"/>
          </w:tcPr>
          <w:p>
            <w:pPr>
              <w:jc w:val="right"/>
              <w:spacing w:after="0" w:line="155" w:lineRule="exact"/>
              <w:rPr>
                <w:sz w:val="20"/>
                <w:szCs w:val="20"/>
                <w:color w:val="auto"/>
              </w:rPr>
            </w:pPr>
            <w:r>
              <w:rPr>
                <w:rFonts w:ascii="Arial" w:cs="Arial" w:eastAsia="Arial" w:hAnsi="Arial"/>
                <w:sz w:val="14"/>
                <w:szCs w:val="14"/>
                <w:b w:val="1"/>
                <w:bCs w:val="1"/>
                <w:color w:val="FFFFFF"/>
              </w:rPr>
              <w:t>2008</w:t>
            </w:r>
          </w:p>
        </w:tc>
        <w:tc>
          <w:tcPr>
            <w:tcW w:w="240" w:type="dxa"/>
            <w:vAlign w:val="bottom"/>
            <w:tcBorders>
              <w:top w:val="single" w:sz="8" w:color="4D8ABE"/>
              <w:bottom w:val="single" w:sz="8" w:color="4D8ABE"/>
              <w:right w:val="single" w:sz="8" w:color="4D8ABE"/>
            </w:tcBorders>
            <w:shd w:val="clear" w:color="auto" w:fill="4D8ABE"/>
          </w:tcPr>
          <w:p>
            <w:pPr>
              <w:spacing w:after="0"/>
              <w:rPr>
                <w:sz w:val="13"/>
                <w:szCs w:val="13"/>
                <w:color w:val="auto"/>
              </w:rPr>
            </w:pPr>
          </w:p>
        </w:tc>
        <w:tc>
          <w:tcPr>
            <w:tcW w:w="1240" w:type="dxa"/>
            <w:vAlign w:val="bottom"/>
            <w:tcBorders>
              <w:top w:val="single" w:sz="8" w:color="4D8ABE"/>
              <w:bottom w:val="single" w:sz="8" w:color="4D8ABE"/>
            </w:tcBorders>
          </w:tcPr>
          <w:p>
            <w:pPr>
              <w:jc w:val="right"/>
              <w:spacing w:after="0" w:line="155" w:lineRule="exact"/>
              <w:rPr>
                <w:sz w:val="20"/>
                <w:szCs w:val="20"/>
                <w:color w:val="auto"/>
              </w:rPr>
            </w:pPr>
            <w:r>
              <w:rPr>
                <w:rFonts w:ascii="Arial" w:cs="Arial" w:eastAsia="Arial" w:hAnsi="Arial"/>
                <w:sz w:val="14"/>
                <w:szCs w:val="14"/>
                <w:color w:val="4D8ABE"/>
              </w:rPr>
              <w:t>2007</w:t>
            </w:r>
          </w:p>
        </w:tc>
        <w:tc>
          <w:tcPr>
            <w:tcW w:w="220" w:type="dxa"/>
            <w:vAlign w:val="bottom"/>
          </w:tcPr>
          <w:p>
            <w:pPr>
              <w:spacing w:after="0"/>
              <w:rPr>
                <w:sz w:val="13"/>
                <w:szCs w:val="13"/>
                <w:color w:val="auto"/>
              </w:rPr>
            </w:pPr>
          </w:p>
        </w:tc>
      </w:tr>
      <w:tr>
        <w:trPr>
          <w:trHeight w:val="155"/>
        </w:trPr>
        <w:tc>
          <w:tcPr>
            <w:tcW w:w="5680" w:type="dxa"/>
            <w:vAlign w:val="bottom"/>
            <w:tcBorders>
              <w:right w:val="single" w:sz="8" w:color="4D8ABE"/>
            </w:tcBorders>
          </w:tcPr>
          <w:p>
            <w:pPr>
              <w:spacing w:after="0" w:line="155" w:lineRule="exact"/>
              <w:rPr>
                <w:sz w:val="20"/>
                <w:szCs w:val="20"/>
                <w:color w:val="auto"/>
              </w:rPr>
            </w:pPr>
            <w:r>
              <w:rPr>
                <w:rFonts w:ascii="Arial" w:cs="Arial" w:eastAsia="Arial" w:hAnsi="Arial"/>
                <w:sz w:val="14"/>
                <w:szCs w:val="14"/>
                <w:color w:val="auto"/>
              </w:rPr>
              <w:t>Discount rate</w:t>
            </w:r>
          </w:p>
        </w:tc>
        <w:tc>
          <w:tcPr>
            <w:tcW w:w="1120" w:type="dxa"/>
            <w:vAlign w:val="bottom"/>
          </w:tcPr>
          <w:p>
            <w:pPr>
              <w:jc w:val="right"/>
              <w:spacing w:after="0" w:line="155" w:lineRule="exact"/>
              <w:rPr>
                <w:sz w:val="20"/>
                <w:szCs w:val="20"/>
                <w:color w:val="auto"/>
              </w:rPr>
            </w:pPr>
            <w:r>
              <w:rPr>
                <w:rFonts w:ascii="Arial" w:cs="Arial" w:eastAsia="Arial" w:hAnsi="Arial"/>
                <w:sz w:val="14"/>
                <w:szCs w:val="14"/>
                <w:b w:val="1"/>
                <w:bCs w:val="1"/>
                <w:color w:val="4D8ABE"/>
              </w:rPr>
              <w:t>6.4%</w:t>
            </w:r>
          </w:p>
        </w:tc>
        <w:tc>
          <w:tcPr>
            <w:tcW w:w="240" w:type="dxa"/>
            <w:vAlign w:val="bottom"/>
            <w:tcBorders>
              <w:right w:val="single" w:sz="8" w:color="4D8ABE"/>
            </w:tcBorders>
          </w:tcPr>
          <w:p>
            <w:pPr>
              <w:spacing w:after="0"/>
              <w:rPr>
                <w:sz w:val="13"/>
                <w:szCs w:val="13"/>
                <w:color w:val="auto"/>
              </w:rPr>
            </w:pPr>
          </w:p>
        </w:tc>
        <w:tc>
          <w:tcPr>
            <w:tcW w:w="1460" w:type="dxa"/>
            <w:vAlign w:val="bottom"/>
          </w:tcPr>
          <w:p>
            <w:pPr>
              <w:jc w:val="right"/>
              <w:ind w:right="152"/>
              <w:spacing w:after="0" w:line="155" w:lineRule="exact"/>
              <w:rPr>
                <w:sz w:val="20"/>
                <w:szCs w:val="20"/>
                <w:color w:val="auto"/>
              </w:rPr>
            </w:pPr>
            <w:r>
              <w:rPr>
                <w:rFonts w:ascii="Arial" w:cs="Arial" w:eastAsia="Arial" w:hAnsi="Arial"/>
                <w:sz w:val="14"/>
                <w:szCs w:val="14"/>
                <w:color w:val="auto"/>
              </w:rPr>
              <w:t>6.3%</w:t>
            </w:r>
          </w:p>
        </w:tc>
        <w:tc>
          <w:tcPr>
            <w:tcW w:w="140" w:type="dxa"/>
            <w:vAlign w:val="bottom"/>
            <w:tcBorders>
              <w:right w:val="single" w:sz="8" w:color="4D8ABE"/>
            </w:tcBorders>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b w:val="1"/>
                <w:bCs w:val="1"/>
                <w:color w:val="4D8ABE"/>
              </w:rPr>
              <w:t>5.2%</w:t>
            </w:r>
          </w:p>
        </w:tc>
        <w:tc>
          <w:tcPr>
            <w:tcW w:w="240" w:type="dxa"/>
            <w:vAlign w:val="bottom"/>
            <w:tcBorders>
              <w:right w:val="single" w:sz="8" w:color="4D8ABE"/>
            </w:tcBorders>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3"/>
                <w:szCs w:val="13"/>
                <w:color w:val="auto"/>
              </w:rPr>
            </w:pPr>
          </w:p>
        </w:tc>
      </w:tr>
      <w:tr>
        <w:trPr>
          <w:trHeight w:val="164"/>
        </w:trPr>
        <w:tc>
          <w:tcPr>
            <w:tcW w:w="56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Rate of compensation increase</w:t>
            </w:r>
          </w:p>
        </w:tc>
        <w:tc>
          <w:tcPr>
            <w:tcW w:w="1360" w:type="dxa"/>
            <w:vAlign w:val="bottom"/>
            <w:tcBorders>
              <w:bottom w:val="single" w:sz="8" w:color="auto"/>
              <w:right w:val="single" w:sz="8" w:color="4D8ABE"/>
            </w:tcBorders>
            <w:gridSpan w:val="2"/>
            <w:shd w:val="clear" w:color="auto" w:fill="E6EFFF"/>
          </w:tcPr>
          <w:p>
            <w:pPr>
              <w:jc w:val="right"/>
              <w:ind w:right="240"/>
              <w:spacing w:after="0"/>
              <w:rPr>
                <w:sz w:val="20"/>
                <w:szCs w:val="20"/>
                <w:color w:val="auto"/>
              </w:rPr>
            </w:pPr>
            <w:r>
              <w:rPr>
                <w:rFonts w:ascii="Arial" w:cs="Arial" w:eastAsia="Arial" w:hAnsi="Arial"/>
                <w:sz w:val="14"/>
                <w:szCs w:val="14"/>
                <w:b w:val="1"/>
                <w:bCs w:val="1"/>
                <w:color w:val="4D8ABE"/>
              </w:rPr>
              <w:t>4.0%</w:t>
            </w:r>
          </w:p>
        </w:tc>
        <w:tc>
          <w:tcPr>
            <w:tcW w:w="1460" w:type="dxa"/>
            <w:vAlign w:val="bottom"/>
            <w:tcBorders>
              <w:bottom w:val="single" w:sz="8" w:color="auto"/>
            </w:tcBorders>
            <w:shd w:val="clear" w:color="auto" w:fill="E6EFFF"/>
          </w:tcPr>
          <w:p>
            <w:pPr>
              <w:jc w:val="right"/>
              <w:ind w:right="152"/>
              <w:spacing w:after="0"/>
              <w:rPr>
                <w:sz w:val="20"/>
                <w:szCs w:val="20"/>
                <w:color w:val="auto"/>
              </w:rPr>
            </w:pPr>
            <w:r>
              <w:rPr>
                <w:rFonts w:ascii="Arial" w:cs="Arial" w:eastAsia="Arial" w:hAnsi="Arial"/>
                <w:sz w:val="14"/>
                <w:szCs w:val="14"/>
                <w:color w:val="auto"/>
              </w:rPr>
              <w:t>4.5%</w:t>
            </w:r>
          </w:p>
        </w:tc>
        <w:tc>
          <w:tcPr>
            <w:tcW w:w="140" w:type="dxa"/>
            <w:vAlign w:val="bottom"/>
            <w:tcBorders>
              <w:right w:val="single" w:sz="8" w:color="4D8ABE"/>
            </w:tcBorders>
            <w:shd w:val="clear" w:color="auto" w:fill="E6EFFF"/>
          </w:tcPr>
          <w:p>
            <w:pPr>
              <w:spacing w:after="0"/>
              <w:rPr>
                <w:sz w:val="14"/>
                <w:szCs w:val="14"/>
                <w:color w:val="auto"/>
              </w:rPr>
            </w:pPr>
          </w:p>
        </w:tc>
        <w:tc>
          <w:tcPr>
            <w:tcW w:w="11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b w:val="1"/>
                <w:bCs w:val="1"/>
                <w:color w:val="4D8ABE"/>
              </w:rPr>
              <w:t>4.1%</w:t>
            </w:r>
          </w:p>
        </w:tc>
        <w:tc>
          <w:tcPr>
            <w:tcW w:w="240" w:type="dxa"/>
            <w:vAlign w:val="bottom"/>
            <w:tcBorders>
              <w:bottom w:val="single" w:sz="8" w:color="auto"/>
              <w:right w:val="single" w:sz="8" w:color="4D8ABE"/>
            </w:tcBorders>
            <w:shd w:val="clear" w:color="auto" w:fill="E6EFFF"/>
          </w:tcPr>
          <w:p>
            <w:pPr>
              <w:spacing w:after="0"/>
              <w:rPr>
                <w:sz w:val="14"/>
                <w:szCs w:val="14"/>
                <w:color w:val="auto"/>
              </w:rPr>
            </w:pPr>
          </w:p>
        </w:tc>
        <w:tc>
          <w:tcPr>
            <w:tcW w:w="1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4.4%</w:t>
            </w:r>
          </w:p>
        </w:tc>
        <w:tc>
          <w:tcPr>
            <w:tcW w:w="220" w:type="dxa"/>
            <w:vAlign w:val="bottom"/>
            <w:shd w:val="clear" w:color="auto" w:fill="E6EFFF"/>
          </w:tcPr>
          <w:p>
            <w:pPr>
              <w:spacing w:after="0"/>
              <w:rPr>
                <w:sz w:val="14"/>
                <w:szCs w:val="14"/>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in the measurement of the net periodic benefit cost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Arial" w:cs="Arial" w:eastAsia="Arial" w:hAnsi="Arial"/>
                <w:sz w:val="13"/>
                <w:szCs w:val="13"/>
                <w:color w:val="4D8ABE"/>
              </w:rPr>
              <w:t>U.S. Plans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color w:val="4D8ABE"/>
              </w:rPr>
              <w:t>Non-U.S. Plans</w:t>
            </w:r>
          </w:p>
        </w:tc>
      </w:tr>
      <w:tr>
        <w:trPr>
          <w:trHeight w:val="144"/>
        </w:trPr>
        <w:tc>
          <w:tcPr>
            <w:tcW w:w="4760" w:type="dxa"/>
            <w:vAlign w:val="bottom"/>
            <w:tcBorders>
              <w:top w:val="single" w:sz="8" w:color="4D8ABE"/>
              <w:bottom w:val="single" w:sz="8" w:color="4D8ABE"/>
              <w:right w:val="single" w:sz="8" w:color="4D8ABE"/>
            </w:tcBorders>
          </w:tcPr>
          <w:p>
            <w:pPr>
              <w:spacing w:after="0" w:line="144" w:lineRule="exact"/>
              <w:rPr>
                <w:sz w:val="20"/>
                <w:szCs w:val="20"/>
                <w:color w:val="auto"/>
              </w:rPr>
            </w:pPr>
            <w:r>
              <w:rPr>
                <w:rFonts w:ascii="Arial" w:cs="Arial" w:eastAsia="Arial" w:hAnsi="Arial"/>
                <w:sz w:val="13"/>
                <w:szCs w:val="13"/>
                <w:color w:val="4D8ABE"/>
              </w:rPr>
              <w:t>Year Ended December 31</w:t>
            </w:r>
          </w:p>
        </w:tc>
        <w:tc>
          <w:tcPr>
            <w:tcW w:w="780" w:type="dxa"/>
            <w:vAlign w:val="bottom"/>
            <w:tcBorders>
              <w:top w:val="single" w:sz="8" w:color="4D8ABE"/>
              <w:bottom w:val="single" w:sz="8" w:color="4D8ABE"/>
            </w:tcBorders>
            <w:shd w:val="clear" w:color="auto" w:fill="4D8ABE"/>
          </w:tcPr>
          <w:p>
            <w:pPr>
              <w:jc w:val="right"/>
              <w:spacing w:after="0" w:line="144" w:lineRule="exact"/>
              <w:rPr>
                <w:sz w:val="20"/>
                <w:szCs w:val="20"/>
                <w:color w:val="auto"/>
              </w:rPr>
            </w:pPr>
            <w:r>
              <w:rPr>
                <w:rFonts w:ascii="Arial" w:cs="Arial" w:eastAsia="Arial" w:hAnsi="Arial"/>
                <w:sz w:val="13"/>
                <w:szCs w:val="13"/>
                <w:b w:val="1"/>
                <w:bCs w:val="1"/>
                <w:color w:val="FFFFFF"/>
              </w:rPr>
              <w:t>2008</w:t>
            </w:r>
          </w:p>
        </w:tc>
        <w:tc>
          <w:tcPr>
            <w:tcW w:w="240" w:type="dxa"/>
            <w:vAlign w:val="bottom"/>
            <w:tcBorders>
              <w:top w:val="single" w:sz="8" w:color="4D8ABE"/>
              <w:bottom w:val="single" w:sz="8" w:color="4D8ABE"/>
              <w:right w:val="single" w:sz="8" w:color="4D8ABE"/>
            </w:tcBorders>
            <w:shd w:val="clear" w:color="auto" w:fill="4D8ABE"/>
          </w:tcPr>
          <w:p>
            <w:pPr>
              <w:spacing w:after="0"/>
              <w:rPr>
                <w:sz w:val="12"/>
                <w:szCs w:val="12"/>
                <w:color w:val="auto"/>
              </w:rPr>
            </w:pPr>
          </w:p>
        </w:tc>
        <w:tc>
          <w:tcPr>
            <w:tcW w:w="1160" w:type="dxa"/>
            <w:vAlign w:val="bottom"/>
            <w:tcBorders>
              <w:top w:val="single" w:sz="8" w:color="4D8ABE"/>
              <w:bottom w:val="single" w:sz="8" w:color="4D8ABE"/>
            </w:tcBorders>
          </w:tcPr>
          <w:p>
            <w:pPr>
              <w:jc w:val="right"/>
              <w:ind w:right="193"/>
              <w:spacing w:after="0" w:line="144" w:lineRule="exact"/>
              <w:rPr>
                <w:sz w:val="20"/>
                <w:szCs w:val="20"/>
                <w:color w:val="auto"/>
              </w:rPr>
            </w:pPr>
            <w:r>
              <w:rPr>
                <w:rFonts w:ascii="Arial" w:cs="Arial" w:eastAsia="Arial" w:hAnsi="Arial"/>
                <w:sz w:val="13"/>
                <w:szCs w:val="13"/>
                <w:color w:val="4D8ABE"/>
              </w:rPr>
              <w:t>2007</w:t>
            </w:r>
          </w:p>
        </w:tc>
        <w:tc>
          <w:tcPr>
            <w:tcW w:w="1100" w:type="dxa"/>
            <w:vAlign w:val="bottom"/>
            <w:tcBorders>
              <w:top w:val="single" w:sz="8" w:color="4D8ABE"/>
              <w:bottom w:val="single" w:sz="8" w:color="4D8ABE"/>
            </w:tcBorders>
          </w:tcPr>
          <w:p>
            <w:pPr>
              <w:jc w:val="right"/>
              <w:ind w:right="153"/>
              <w:spacing w:after="0" w:line="144" w:lineRule="exact"/>
              <w:rPr>
                <w:sz w:val="20"/>
                <w:szCs w:val="20"/>
                <w:color w:val="auto"/>
              </w:rPr>
            </w:pPr>
            <w:r>
              <w:rPr>
                <w:rFonts w:ascii="Arial" w:cs="Arial" w:eastAsia="Arial" w:hAnsi="Arial"/>
                <w:sz w:val="13"/>
                <w:szCs w:val="13"/>
                <w:color w:val="4D8ABE"/>
              </w:rPr>
              <w:t>2006</w:t>
            </w:r>
          </w:p>
        </w:tc>
        <w:tc>
          <w:tcPr>
            <w:tcW w:w="140" w:type="dxa"/>
            <w:vAlign w:val="bottom"/>
            <w:tcBorders>
              <w:bottom w:val="single" w:sz="8" w:color="E6EFFF"/>
              <w:right w:val="single" w:sz="8" w:color="4D8ABE"/>
            </w:tcBorders>
          </w:tcPr>
          <w:p>
            <w:pPr>
              <w:spacing w:after="0"/>
              <w:rPr>
                <w:sz w:val="12"/>
                <w:szCs w:val="12"/>
                <w:color w:val="auto"/>
              </w:rPr>
            </w:pPr>
          </w:p>
        </w:tc>
        <w:tc>
          <w:tcPr>
            <w:tcW w:w="780" w:type="dxa"/>
            <w:vAlign w:val="bottom"/>
            <w:tcBorders>
              <w:top w:val="single" w:sz="8" w:color="4D8ABE"/>
              <w:bottom w:val="single" w:sz="8" w:color="4D8ABE"/>
            </w:tcBorders>
            <w:shd w:val="clear" w:color="auto" w:fill="4D8ABE"/>
          </w:tcPr>
          <w:p>
            <w:pPr>
              <w:jc w:val="right"/>
              <w:spacing w:after="0" w:line="144" w:lineRule="exact"/>
              <w:rPr>
                <w:sz w:val="20"/>
                <w:szCs w:val="20"/>
                <w:color w:val="auto"/>
              </w:rPr>
            </w:pPr>
            <w:r>
              <w:rPr>
                <w:rFonts w:ascii="Arial" w:cs="Arial" w:eastAsia="Arial" w:hAnsi="Arial"/>
                <w:sz w:val="13"/>
                <w:szCs w:val="13"/>
                <w:b w:val="1"/>
                <w:bCs w:val="1"/>
                <w:color w:val="FFFFFF"/>
              </w:rPr>
              <w:t>2008</w:t>
            </w:r>
          </w:p>
        </w:tc>
        <w:tc>
          <w:tcPr>
            <w:tcW w:w="240" w:type="dxa"/>
            <w:vAlign w:val="bottom"/>
            <w:tcBorders>
              <w:top w:val="single" w:sz="8" w:color="4D8ABE"/>
              <w:bottom w:val="single" w:sz="8" w:color="4D8ABE"/>
              <w:right w:val="single" w:sz="8" w:color="4D8ABE"/>
            </w:tcBorders>
            <w:shd w:val="clear" w:color="auto" w:fill="4D8ABE"/>
          </w:tcPr>
          <w:p>
            <w:pPr>
              <w:spacing w:after="0"/>
              <w:rPr>
                <w:sz w:val="12"/>
                <w:szCs w:val="12"/>
                <w:color w:val="auto"/>
              </w:rPr>
            </w:pPr>
          </w:p>
        </w:tc>
        <w:tc>
          <w:tcPr>
            <w:tcW w:w="1000" w:type="dxa"/>
            <w:vAlign w:val="bottom"/>
            <w:tcBorders>
              <w:top w:val="single" w:sz="8" w:color="4D8ABE"/>
              <w:bottom w:val="single" w:sz="8" w:color="4D8ABE"/>
            </w:tcBorders>
          </w:tcPr>
          <w:p>
            <w:pPr>
              <w:jc w:val="right"/>
              <w:ind w:right="33"/>
              <w:spacing w:after="0" w:line="144" w:lineRule="exact"/>
              <w:rPr>
                <w:sz w:val="20"/>
                <w:szCs w:val="20"/>
                <w:color w:val="auto"/>
              </w:rPr>
            </w:pPr>
            <w:r>
              <w:rPr>
                <w:rFonts w:ascii="Arial" w:cs="Arial" w:eastAsia="Arial" w:hAnsi="Arial"/>
                <w:sz w:val="13"/>
                <w:szCs w:val="13"/>
                <w:color w:val="4D8ABE"/>
              </w:rPr>
              <w:t>2007</w:t>
            </w:r>
          </w:p>
        </w:tc>
        <w:tc>
          <w:tcPr>
            <w:tcW w:w="1040" w:type="dxa"/>
            <w:vAlign w:val="bottom"/>
            <w:tcBorders>
              <w:top w:val="single" w:sz="8" w:color="4D8ABE"/>
              <w:bottom w:val="single" w:sz="8" w:color="4D8ABE"/>
            </w:tcBorders>
          </w:tcPr>
          <w:p>
            <w:pPr>
              <w:jc w:val="right"/>
              <w:spacing w:after="0" w:line="144" w:lineRule="exact"/>
              <w:rPr>
                <w:sz w:val="20"/>
                <w:szCs w:val="20"/>
                <w:color w:val="auto"/>
              </w:rPr>
            </w:pPr>
            <w:r>
              <w:rPr>
                <w:rFonts w:ascii="Arial" w:cs="Arial" w:eastAsia="Arial" w:hAnsi="Arial"/>
                <w:sz w:val="13"/>
                <w:szCs w:val="13"/>
                <w:color w:val="4D8ABE"/>
              </w:rPr>
              <w:t>2006</w:t>
            </w:r>
          </w:p>
        </w:tc>
        <w:tc>
          <w:tcPr>
            <w:tcW w:w="220" w:type="dxa"/>
            <w:vAlign w:val="bottom"/>
            <w:tcBorders>
              <w:bottom w:val="single" w:sz="8" w:color="E6EFFF"/>
            </w:tcBorders>
          </w:tcPr>
          <w:p>
            <w:pPr>
              <w:spacing w:after="0"/>
              <w:rPr>
                <w:sz w:val="12"/>
                <w:szCs w:val="12"/>
                <w:color w:val="auto"/>
              </w:rPr>
            </w:pPr>
          </w:p>
        </w:tc>
      </w:tr>
      <w:tr>
        <w:trPr>
          <w:trHeight w:val="144"/>
        </w:trPr>
        <w:tc>
          <w:tcPr>
            <w:tcW w:w="4760" w:type="dxa"/>
            <w:vAlign w:val="bottom"/>
            <w:tcBorders>
              <w:right w:val="single" w:sz="8" w:color="4D8ABE"/>
            </w:tcBorders>
            <w:shd w:val="clear" w:color="auto" w:fill="E6EFFF"/>
          </w:tcPr>
          <w:p>
            <w:pPr>
              <w:spacing w:after="0" w:line="144" w:lineRule="exact"/>
              <w:rPr>
                <w:sz w:val="20"/>
                <w:szCs w:val="20"/>
                <w:color w:val="auto"/>
              </w:rPr>
            </w:pPr>
            <w:r>
              <w:rPr>
                <w:rFonts w:ascii="Arial" w:cs="Arial" w:eastAsia="Arial" w:hAnsi="Arial"/>
                <w:sz w:val="13"/>
                <w:szCs w:val="13"/>
                <w:color w:val="auto"/>
              </w:rPr>
              <w:t>Discount rate</w:t>
            </w:r>
          </w:p>
        </w:tc>
        <w:tc>
          <w:tcPr>
            <w:tcW w:w="780" w:type="dxa"/>
            <w:vAlign w:val="bottom"/>
            <w:shd w:val="clear" w:color="auto" w:fill="E6EFFF"/>
          </w:tcPr>
          <w:p>
            <w:pPr>
              <w:jc w:val="right"/>
              <w:spacing w:after="0" w:line="144" w:lineRule="exact"/>
              <w:rPr>
                <w:sz w:val="20"/>
                <w:szCs w:val="20"/>
                <w:color w:val="auto"/>
              </w:rPr>
            </w:pPr>
            <w:r>
              <w:rPr>
                <w:rFonts w:ascii="Arial" w:cs="Arial" w:eastAsia="Arial" w:hAnsi="Arial"/>
                <w:sz w:val="13"/>
                <w:szCs w:val="13"/>
                <w:b w:val="1"/>
                <w:bCs w:val="1"/>
                <w:color w:val="4D8ABE"/>
              </w:rPr>
              <w:t>6.3%</w:t>
            </w:r>
          </w:p>
        </w:tc>
        <w:tc>
          <w:tcPr>
            <w:tcW w:w="240" w:type="dxa"/>
            <w:vAlign w:val="bottom"/>
            <w:tcBorders>
              <w:right w:val="single" w:sz="8" w:color="4D8ABE"/>
            </w:tcBorders>
            <w:shd w:val="clear" w:color="auto" w:fill="E6EFFF"/>
          </w:tcPr>
          <w:p>
            <w:pPr>
              <w:spacing w:after="0"/>
              <w:rPr>
                <w:sz w:val="12"/>
                <w:szCs w:val="12"/>
                <w:color w:val="auto"/>
              </w:rPr>
            </w:pPr>
          </w:p>
        </w:tc>
        <w:tc>
          <w:tcPr>
            <w:tcW w:w="1160" w:type="dxa"/>
            <w:vAlign w:val="bottom"/>
            <w:shd w:val="clear" w:color="auto" w:fill="E6EFFF"/>
          </w:tcPr>
          <w:p>
            <w:pPr>
              <w:jc w:val="right"/>
              <w:ind w:right="193"/>
              <w:spacing w:after="0" w:line="144" w:lineRule="exact"/>
              <w:rPr>
                <w:sz w:val="20"/>
                <w:szCs w:val="20"/>
                <w:color w:val="auto"/>
              </w:rPr>
            </w:pPr>
            <w:r>
              <w:rPr>
                <w:rFonts w:ascii="Arial" w:cs="Arial" w:eastAsia="Arial" w:hAnsi="Arial"/>
                <w:sz w:val="13"/>
                <w:szCs w:val="13"/>
                <w:color w:val="auto"/>
              </w:rPr>
              <w:t>5.8%</w:t>
            </w:r>
          </w:p>
        </w:tc>
        <w:tc>
          <w:tcPr>
            <w:tcW w:w="1100" w:type="dxa"/>
            <w:vAlign w:val="bottom"/>
            <w:shd w:val="clear" w:color="auto" w:fill="E6EFFF"/>
          </w:tcPr>
          <w:p>
            <w:pPr>
              <w:jc w:val="right"/>
              <w:ind w:right="153"/>
              <w:spacing w:after="0" w:line="144" w:lineRule="exact"/>
              <w:rPr>
                <w:sz w:val="20"/>
                <w:szCs w:val="20"/>
                <w:color w:val="auto"/>
              </w:rPr>
            </w:pPr>
            <w:r>
              <w:rPr>
                <w:rFonts w:ascii="Arial" w:cs="Arial" w:eastAsia="Arial" w:hAnsi="Arial"/>
                <w:sz w:val="13"/>
                <w:szCs w:val="13"/>
                <w:color w:val="auto"/>
              </w:rPr>
              <w:t>5.5%</w:t>
            </w:r>
          </w:p>
        </w:tc>
        <w:tc>
          <w:tcPr>
            <w:tcW w:w="140" w:type="dxa"/>
            <w:vAlign w:val="bottom"/>
            <w:tcBorders>
              <w:right w:val="single" w:sz="8" w:color="4D8ABE"/>
            </w:tcBorders>
            <w:shd w:val="clear" w:color="auto" w:fill="E6EFFF"/>
          </w:tcPr>
          <w:p>
            <w:pPr>
              <w:spacing w:after="0"/>
              <w:rPr>
                <w:sz w:val="12"/>
                <w:szCs w:val="12"/>
                <w:color w:val="auto"/>
              </w:rPr>
            </w:pPr>
          </w:p>
        </w:tc>
        <w:tc>
          <w:tcPr>
            <w:tcW w:w="780" w:type="dxa"/>
            <w:vAlign w:val="bottom"/>
            <w:shd w:val="clear" w:color="auto" w:fill="E6EFFF"/>
          </w:tcPr>
          <w:p>
            <w:pPr>
              <w:jc w:val="right"/>
              <w:spacing w:after="0" w:line="144" w:lineRule="exact"/>
              <w:rPr>
                <w:sz w:val="20"/>
                <w:szCs w:val="20"/>
                <w:color w:val="auto"/>
              </w:rPr>
            </w:pPr>
            <w:r>
              <w:rPr>
                <w:rFonts w:ascii="Arial" w:cs="Arial" w:eastAsia="Arial" w:hAnsi="Arial"/>
                <w:sz w:val="13"/>
                <w:szCs w:val="13"/>
                <w:b w:val="1"/>
                <w:bCs w:val="1"/>
                <w:color w:val="4D8ABE"/>
              </w:rPr>
              <w:t>5.0%</w:t>
            </w:r>
          </w:p>
        </w:tc>
        <w:tc>
          <w:tcPr>
            <w:tcW w:w="240" w:type="dxa"/>
            <w:vAlign w:val="bottom"/>
            <w:tcBorders>
              <w:right w:val="single" w:sz="8" w:color="4D8ABE"/>
            </w:tcBorders>
            <w:shd w:val="clear" w:color="auto" w:fill="E6EFFF"/>
          </w:tcPr>
          <w:p>
            <w:pPr>
              <w:spacing w:after="0"/>
              <w:rPr>
                <w:sz w:val="12"/>
                <w:szCs w:val="12"/>
                <w:color w:val="auto"/>
              </w:rPr>
            </w:pPr>
          </w:p>
        </w:tc>
        <w:tc>
          <w:tcPr>
            <w:tcW w:w="1000" w:type="dxa"/>
            <w:vAlign w:val="bottom"/>
            <w:shd w:val="clear" w:color="auto" w:fill="E6EFFF"/>
          </w:tcPr>
          <w:p>
            <w:pPr>
              <w:jc w:val="right"/>
              <w:ind w:right="33"/>
              <w:spacing w:after="0" w:line="144" w:lineRule="exact"/>
              <w:rPr>
                <w:sz w:val="20"/>
                <w:szCs w:val="20"/>
                <w:color w:val="auto"/>
              </w:rPr>
            </w:pPr>
            <w:r>
              <w:rPr>
                <w:rFonts w:ascii="Arial" w:cs="Arial" w:eastAsia="Arial" w:hAnsi="Arial"/>
                <w:sz w:val="13"/>
                <w:szCs w:val="13"/>
                <w:color w:val="auto"/>
              </w:rPr>
              <w:t>4.6%</w:t>
            </w:r>
          </w:p>
        </w:tc>
        <w:tc>
          <w:tcPr>
            <w:tcW w:w="1040" w:type="dxa"/>
            <w:vAlign w:val="bottom"/>
            <w:shd w:val="clear" w:color="auto" w:fill="E6EFFF"/>
          </w:tcPr>
          <w:p>
            <w:pPr>
              <w:jc w:val="right"/>
              <w:spacing w:after="0" w:line="144" w:lineRule="exact"/>
              <w:rPr>
                <w:sz w:val="20"/>
                <w:szCs w:val="20"/>
                <w:color w:val="auto"/>
              </w:rPr>
            </w:pPr>
            <w:r>
              <w:rPr>
                <w:rFonts w:ascii="Arial" w:cs="Arial" w:eastAsia="Arial" w:hAnsi="Arial"/>
                <w:sz w:val="13"/>
                <w:szCs w:val="13"/>
                <w:color w:val="auto"/>
              </w:rPr>
              <w:t>4.6%</w:t>
            </w:r>
          </w:p>
        </w:tc>
        <w:tc>
          <w:tcPr>
            <w:tcW w:w="220" w:type="dxa"/>
            <w:vAlign w:val="bottom"/>
            <w:shd w:val="clear" w:color="auto" w:fill="E6EFFF"/>
          </w:tcPr>
          <w:p>
            <w:pPr>
              <w:spacing w:after="0"/>
              <w:rPr>
                <w:sz w:val="12"/>
                <w:szCs w:val="12"/>
                <w:color w:val="auto"/>
              </w:rPr>
            </w:pPr>
          </w:p>
        </w:tc>
      </w:tr>
      <w:tr>
        <w:trPr>
          <w:trHeight w:val="154"/>
        </w:trPr>
        <w:tc>
          <w:tcPr>
            <w:tcW w:w="4760" w:type="dxa"/>
            <w:vAlign w:val="bottom"/>
            <w:tcBorders>
              <w:right w:val="single" w:sz="8" w:color="4D8ABE"/>
            </w:tcBorders>
          </w:tcPr>
          <w:p>
            <w:pPr>
              <w:spacing w:after="0"/>
              <w:rPr>
                <w:sz w:val="20"/>
                <w:szCs w:val="20"/>
                <w:color w:val="auto"/>
              </w:rPr>
            </w:pPr>
            <w:r>
              <w:rPr>
                <w:rFonts w:ascii="Arial" w:cs="Arial" w:eastAsia="Arial" w:hAnsi="Arial"/>
                <w:sz w:val="13"/>
                <w:szCs w:val="13"/>
                <w:color w:val="auto"/>
              </w:rPr>
              <w:t>Expected long-term return on plan assets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4D8ABE"/>
              </w:rPr>
              <w:t>7.5%</w:t>
            </w:r>
          </w:p>
        </w:tc>
        <w:tc>
          <w:tcPr>
            <w:tcW w:w="240" w:type="dxa"/>
            <w:vAlign w:val="bottom"/>
            <w:tcBorders>
              <w:right w:val="single" w:sz="8" w:color="4D8ABE"/>
            </w:tcBorders>
          </w:tcPr>
          <w:p>
            <w:pPr>
              <w:spacing w:after="0"/>
              <w:rPr>
                <w:sz w:val="13"/>
                <w:szCs w:val="13"/>
                <w:color w:val="auto"/>
              </w:rPr>
            </w:pPr>
          </w:p>
        </w:tc>
        <w:tc>
          <w:tcPr>
            <w:tcW w:w="1160" w:type="dxa"/>
            <w:vAlign w:val="bottom"/>
          </w:tcPr>
          <w:p>
            <w:pPr>
              <w:jc w:val="right"/>
              <w:ind w:right="193"/>
              <w:spacing w:after="0"/>
              <w:rPr>
                <w:sz w:val="20"/>
                <w:szCs w:val="20"/>
                <w:color w:val="auto"/>
              </w:rPr>
            </w:pPr>
            <w:r>
              <w:rPr>
                <w:rFonts w:ascii="Arial" w:cs="Arial" w:eastAsia="Arial" w:hAnsi="Arial"/>
                <w:sz w:val="13"/>
                <w:szCs w:val="13"/>
                <w:color w:val="auto"/>
              </w:rPr>
              <w:t>8.0%</w:t>
            </w: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8.0%</w:t>
            </w:r>
          </w:p>
        </w:tc>
        <w:tc>
          <w:tcPr>
            <w:tcW w:w="140" w:type="dxa"/>
            <w:vAlign w:val="bottom"/>
            <w:tcBorders>
              <w:right w:val="single" w:sz="8" w:color="4D8ABE"/>
            </w:tcBorders>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4D8ABE"/>
              </w:rPr>
              <w:t>5.4%</w:t>
            </w:r>
          </w:p>
        </w:tc>
        <w:tc>
          <w:tcPr>
            <w:tcW w:w="240" w:type="dxa"/>
            <w:vAlign w:val="bottom"/>
            <w:tcBorders>
              <w:right w:val="single" w:sz="8" w:color="4D8ABE"/>
            </w:tcBorders>
          </w:tcPr>
          <w:p>
            <w:pPr>
              <w:spacing w:after="0"/>
              <w:rPr>
                <w:sz w:val="13"/>
                <w:szCs w:val="13"/>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5.4%</w:t>
            </w:r>
          </w:p>
        </w:tc>
        <w:tc>
          <w:tcPr>
            <w:tcW w:w="1040" w:type="dxa"/>
            <w:vAlign w:val="bottom"/>
          </w:tcPr>
          <w:p>
            <w:pPr>
              <w:jc w:val="right"/>
              <w:spacing w:after="0"/>
              <w:rPr>
                <w:sz w:val="20"/>
                <w:szCs w:val="20"/>
                <w:color w:val="auto"/>
              </w:rPr>
            </w:pPr>
            <w:r>
              <w:rPr>
                <w:rFonts w:ascii="Arial" w:cs="Arial" w:eastAsia="Arial" w:hAnsi="Arial"/>
                <w:sz w:val="13"/>
                <w:szCs w:val="13"/>
                <w:color w:val="auto"/>
              </w:rPr>
              <w:t>5.1%</w:t>
            </w:r>
          </w:p>
        </w:tc>
        <w:tc>
          <w:tcPr>
            <w:tcW w:w="220" w:type="dxa"/>
            <w:vAlign w:val="bottom"/>
          </w:tcPr>
          <w:p>
            <w:pPr>
              <w:spacing w:after="0"/>
              <w:rPr>
                <w:sz w:val="13"/>
                <w:szCs w:val="13"/>
                <w:color w:val="auto"/>
              </w:rPr>
            </w:pPr>
          </w:p>
        </w:tc>
      </w:tr>
      <w:tr>
        <w:trPr>
          <w:trHeight w:val="154"/>
        </w:trPr>
        <w:tc>
          <w:tcPr>
            <w:tcW w:w="476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3"/>
                <w:szCs w:val="13"/>
                <w:color w:val="auto"/>
              </w:rPr>
              <w:t>Rate of compensation increase</w:t>
            </w:r>
          </w:p>
        </w:tc>
        <w:tc>
          <w:tcPr>
            <w:tcW w:w="7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b w:val="1"/>
                <w:bCs w:val="1"/>
                <w:color w:val="4D8ABE"/>
              </w:rPr>
              <w:t>4.5%</w:t>
            </w:r>
          </w:p>
        </w:tc>
        <w:tc>
          <w:tcPr>
            <w:tcW w:w="240" w:type="dxa"/>
            <w:vAlign w:val="bottom"/>
            <w:tcBorders>
              <w:bottom w:val="single" w:sz="8" w:color="auto"/>
              <w:right w:val="single" w:sz="8" w:color="4D8ABE"/>
            </w:tcBorders>
            <w:shd w:val="clear" w:color="auto" w:fill="E6EFFF"/>
          </w:tcPr>
          <w:p>
            <w:pPr>
              <w:spacing w:after="0"/>
              <w:rPr>
                <w:sz w:val="13"/>
                <w:szCs w:val="13"/>
                <w:color w:val="auto"/>
              </w:rPr>
            </w:pPr>
          </w:p>
        </w:tc>
        <w:tc>
          <w:tcPr>
            <w:tcW w:w="1160" w:type="dxa"/>
            <w:vAlign w:val="bottom"/>
            <w:tcBorders>
              <w:bottom w:val="single" w:sz="8" w:color="auto"/>
            </w:tcBorders>
            <w:shd w:val="clear" w:color="auto" w:fill="E6EFFF"/>
          </w:tcPr>
          <w:p>
            <w:pPr>
              <w:jc w:val="right"/>
              <w:ind w:right="193"/>
              <w:spacing w:after="0"/>
              <w:rPr>
                <w:sz w:val="20"/>
                <w:szCs w:val="20"/>
                <w:color w:val="auto"/>
              </w:rPr>
            </w:pPr>
            <w:r>
              <w:rPr>
                <w:rFonts w:ascii="Arial" w:cs="Arial" w:eastAsia="Arial" w:hAnsi="Arial"/>
                <w:sz w:val="13"/>
                <w:szCs w:val="13"/>
                <w:color w:val="auto"/>
              </w:rPr>
              <w:t>4.5%</w:t>
            </w:r>
          </w:p>
        </w:tc>
        <w:tc>
          <w:tcPr>
            <w:tcW w:w="1100" w:type="dxa"/>
            <w:vAlign w:val="bottom"/>
            <w:tcBorders>
              <w:bottom w:val="single" w:sz="8" w:color="auto"/>
            </w:tcBorders>
            <w:shd w:val="clear" w:color="auto" w:fill="E6EFFF"/>
          </w:tcPr>
          <w:p>
            <w:pPr>
              <w:jc w:val="right"/>
              <w:ind w:right="153"/>
              <w:spacing w:after="0"/>
              <w:rPr>
                <w:sz w:val="20"/>
                <w:szCs w:val="20"/>
                <w:color w:val="auto"/>
              </w:rPr>
            </w:pPr>
            <w:r>
              <w:rPr>
                <w:rFonts w:ascii="Arial" w:cs="Arial" w:eastAsia="Arial" w:hAnsi="Arial"/>
                <w:sz w:val="13"/>
                <w:szCs w:val="13"/>
                <w:color w:val="auto"/>
              </w:rPr>
              <w:t>4.5%</w:t>
            </w:r>
          </w:p>
        </w:tc>
        <w:tc>
          <w:tcPr>
            <w:tcW w:w="140" w:type="dxa"/>
            <w:vAlign w:val="bottom"/>
            <w:tcBorders>
              <w:right w:val="single" w:sz="8" w:color="4D8ABE"/>
            </w:tcBorders>
            <w:shd w:val="clear" w:color="auto" w:fill="E6EFFF"/>
          </w:tcPr>
          <w:p>
            <w:pPr>
              <w:spacing w:after="0"/>
              <w:rPr>
                <w:sz w:val="13"/>
                <w:szCs w:val="13"/>
                <w:color w:val="auto"/>
              </w:rPr>
            </w:pPr>
          </w:p>
        </w:tc>
        <w:tc>
          <w:tcPr>
            <w:tcW w:w="7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b w:val="1"/>
                <w:bCs w:val="1"/>
                <w:color w:val="4D8ABE"/>
              </w:rPr>
              <w:t>4.2%</w:t>
            </w:r>
          </w:p>
        </w:tc>
        <w:tc>
          <w:tcPr>
            <w:tcW w:w="240" w:type="dxa"/>
            <w:vAlign w:val="bottom"/>
            <w:tcBorders>
              <w:bottom w:val="single" w:sz="8" w:color="auto"/>
              <w:right w:val="single" w:sz="8" w:color="4D8ABE"/>
            </w:tcBorders>
            <w:shd w:val="clear" w:color="auto" w:fill="E6EFFF"/>
          </w:tcPr>
          <w:p>
            <w:pPr>
              <w:spacing w:after="0"/>
              <w:rPr>
                <w:sz w:val="13"/>
                <w:szCs w:val="13"/>
                <w:color w:val="auto"/>
              </w:rPr>
            </w:pPr>
          </w:p>
        </w:tc>
        <w:tc>
          <w:tcPr>
            <w:tcW w:w="1000" w:type="dxa"/>
            <w:vAlign w:val="bottom"/>
            <w:tcBorders>
              <w:bottom w:val="single" w:sz="8" w:color="auto"/>
            </w:tcBorders>
            <w:shd w:val="clear" w:color="auto" w:fill="E6EFFF"/>
          </w:tcPr>
          <w:p>
            <w:pPr>
              <w:jc w:val="right"/>
              <w:ind w:right="33"/>
              <w:spacing w:after="0"/>
              <w:rPr>
                <w:sz w:val="20"/>
                <w:szCs w:val="20"/>
                <w:color w:val="auto"/>
              </w:rPr>
            </w:pPr>
            <w:r>
              <w:rPr>
                <w:rFonts w:ascii="Arial" w:cs="Arial" w:eastAsia="Arial" w:hAnsi="Arial"/>
                <w:sz w:val="13"/>
                <w:szCs w:val="13"/>
                <w:color w:val="auto"/>
              </w:rPr>
              <w:t>4.1%</w:t>
            </w:r>
          </w:p>
        </w:tc>
        <w:tc>
          <w:tcPr>
            <w:tcW w:w="10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3"/>
                <w:szCs w:val="13"/>
                <w:color w:val="auto"/>
              </w:rPr>
              <w:t>3.9%</w:t>
            </w:r>
          </w:p>
        </w:tc>
        <w:tc>
          <w:tcPr>
            <w:tcW w:w="220" w:type="dxa"/>
            <w:vAlign w:val="bottom"/>
            <w:shd w:val="clear" w:color="auto" w:fill="E6EFFF"/>
          </w:tcPr>
          <w:p>
            <w:pPr>
              <w:spacing w:after="0"/>
              <w:rPr>
                <w:sz w:val="13"/>
                <w:szCs w:val="13"/>
                <w:color w:val="auto"/>
              </w:rPr>
            </w:pPr>
          </w:p>
        </w:tc>
      </w:tr>
    </w:tbl>
    <w:p>
      <w:pPr>
        <w:spacing w:after="0" w:line="18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We determine our assumption for the discount rate to be used for purposes of computing annual service and interest costs based on an index of high-quality corporate bond yields and matched-funding yield curve analysis as of the end of each fiscal year.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86"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Our overall expected long-term rate of return on U.S. plan assets is 7.5%. Our overall expected long-term rate of return on our non-U.S. plans varies by country and ranges from 1.3% to 6.3%.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three of our foreign plans. Peer data and historical returns are reviewed to check for reasonableness and appropriateness of our expected rate of return.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Projected salary levels utilized in the determination of the projected benefit obligation for the pension plans are based upon historical experience.</w:t>
      </w:r>
    </w:p>
    <w:p>
      <w:pPr>
        <w:spacing w:after="0" w:line="186"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generally use an external investment manager to assist us in establishing our investment strategies and policies.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2007 allocations, are determined based on the favorable risk tolerance characteristics of the plan and, at times, may be adjusted within a specified range to advance our overall objective.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asset allocation of our plans as of December 31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Borders>
              <w:right w:val="single" w:sz="8" w:color="4D8ABE"/>
            </w:tcBorders>
          </w:tcPr>
          <w:p>
            <w:pPr>
              <w:spacing w:after="0"/>
              <w:rPr>
                <w:sz w:val="15"/>
                <w:szCs w:val="15"/>
                <w:color w:val="auto"/>
              </w:rPr>
            </w:pPr>
          </w:p>
        </w:tc>
        <w:tc>
          <w:tcPr>
            <w:tcW w:w="14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4D8ABE"/>
              </w:rPr>
              <w:t>2007</w:t>
            </w:r>
          </w:p>
        </w:tc>
      </w:tr>
      <w:tr>
        <w:trPr>
          <w:trHeight w:val="155"/>
        </w:trPr>
        <w:tc>
          <w:tcPr>
            <w:tcW w:w="8520" w:type="dxa"/>
            <w:vAlign w:val="bottom"/>
            <w:tcBorders>
              <w:top w:val="single" w:sz="8" w:color="4D8ABE"/>
              <w:right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Asset Category</w:t>
            </w:r>
          </w:p>
        </w:tc>
        <w:tc>
          <w:tcPr>
            <w:tcW w:w="1480" w:type="dxa"/>
            <w:vAlign w:val="bottom"/>
            <w:tcBorders>
              <w:top w:val="single" w:sz="8" w:color="4D8ABE"/>
              <w:right w:val="single" w:sz="8" w:color="4D8ABE"/>
            </w:tcBorders>
          </w:tcPr>
          <w:p>
            <w:pPr>
              <w:spacing w:after="0"/>
              <w:rPr>
                <w:sz w:val="13"/>
                <w:szCs w:val="13"/>
                <w:color w:val="auto"/>
              </w:rPr>
            </w:pPr>
          </w:p>
        </w:tc>
        <w:tc>
          <w:tcPr>
            <w:tcW w:w="124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r>
      <w:tr>
        <w:trPr>
          <w:trHeight w:val="164"/>
        </w:trPr>
        <w:tc>
          <w:tcPr>
            <w:tcW w:w="852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Cash and other</w:t>
            </w:r>
          </w:p>
        </w:tc>
        <w:tc>
          <w:tcPr>
            <w:tcW w:w="14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18.0%</w:t>
            </w:r>
          </w:p>
        </w:tc>
        <w:tc>
          <w:tcPr>
            <w:tcW w:w="12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9.9%</w:t>
            </w:r>
          </w:p>
        </w:tc>
        <w:tc>
          <w:tcPr>
            <w:tcW w:w="220" w:type="dxa"/>
            <w:vAlign w:val="bottom"/>
            <w:shd w:val="clear" w:color="auto" w:fill="E6EFFF"/>
          </w:tcPr>
          <w:p>
            <w:pPr>
              <w:spacing w:after="0"/>
              <w:rPr>
                <w:sz w:val="14"/>
                <w:szCs w:val="14"/>
                <w:color w:val="auto"/>
              </w:rPr>
            </w:pP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Fixed-income securities</w:t>
            </w:r>
          </w:p>
        </w:tc>
        <w:tc>
          <w:tcPr>
            <w:tcW w:w="14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51.3%</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48.0%</w:t>
            </w:r>
          </w:p>
        </w:tc>
      </w:tr>
      <w:tr>
        <w:trPr>
          <w:trHeight w:val="164"/>
        </w:trPr>
        <w:tc>
          <w:tcPr>
            <w:tcW w:w="852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Equity securities</w:t>
            </w:r>
          </w:p>
        </w:tc>
        <w:tc>
          <w:tcPr>
            <w:tcW w:w="148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30.7%</w:t>
            </w:r>
          </w:p>
        </w:tc>
        <w:tc>
          <w:tcPr>
            <w:tcW w:w="1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42.1%</w:t>
            </w:r>
          </w:p>
        </w:tc>
        <w:tc>
          <w:tcPr>
            <w:tcW w:w="220" w:type="dxa"/>
            <w:vAlign w:val="bottom"/>
            <w:shd w:val="clear" w:color="auto" w:fill="E6EFFF"/>
          </w:tcPr>
          <w:p>
            <w:pPr>
              <w:spacing w:after="0"/>
              <w:rPr>
                <w:sz w:val="14"/>
                <w:szCs w:val="14"/>
                <w:color w:val="auto"/>
              </w:rPr>
            </w:pPr>
          </w:p>
        </w:tc>
      </w:tr>
    </w:tbl>
    <w:p>
      <w:pPr>
        <w:spacing w:after="0" w:line="18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Plan assets are primarily comprised of domestic and foreign equity securities, professionally-managed equity and bond funds, government and agency securities and guaranteed insurance contracts. None of our plan assets include any of our debt or equity securities.</w:t>
      </w:r>
    </w:p>
    <w:p>
      <w:pPr>
        <w:spacing w:after="0" w:line="161"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Effective January 1, 2009, we have terminated our defined benefit plan in Japan and replaced it with a defined contribution plan. A gain of approximately $4.0 will be recorded in the first quarter of 2009 related to the settlement and curtailment of the defined benefit plan.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RETIREE HEALTH CARE PLAN</w:t>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We provide medical and dental benefits to certain eligible retired employees in the U.S. Due to the nature of the plan, there are no plan assets. The reconciliation of the changes in the plan’s benefit obligation and the statement of the funded status of the plan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20" w:type="dxa"/>
            <w:vAlign w:val="bottom"/>
          </w:tcPr>
          <w:p>
            <w:pPr>
              <w:spacing w:after="0"/>
              <w:rPr>
                <w:sz w:val="20"/>
                <w:szCs w:val="20"/>
                <w:color w:val="auto"/>
              </w:rPr>
            </w:pPr>
            <w:r>
              <w:rPr>
                <w:rFonts w:ascii="Arial" w:cs="Arial" w:eastAsia="Arial" w:hAnsi="Arial"/>
                <w:sz w:val="14"/>
                <w:szCs w:val="14"/>
                <w:color w:val="4D8ABE"/>
              </w:rPr>
              <w:t>Year Ended December 31</w:t>
            </w:r>
          </w:p>
        </w:tc>
        <w:tc>
          <w:tcPr>
            <w:tcW w:w="6020" w:type="dxa"/>
            <w:vAlign w:val="bottom"/>
            <w:tcBorders>
              <w:right w:val="single" w:sz="8" w:color="4D8ABE"/>
            </w:tcBorders>
          </w:tcPr>
          <w:p>
            <w:pPr>
              <w:spacing w:after="0"/>
              <w:rPr>
                <w:sz w:val="15"/>
                <w:szCs w:val="15"/>
                <w:color w:val="auto"/>
              </w:rPr>
            </w:pPr>
          </w:p>
        </w:tc>
        <w:tc>
          <w:tcPr>
            <w:tcW w:w="500" w:type="dxa"/>
            <w:vAlign w:val="bottom"/>
            <w:shd w:val="clear" w:color="auto" w:fill="4D8ABE"/>
          </w:tcPr>
          <w:p>
            <w:pPr>
              <w:spacing w:after="0"/>
              <w:rPr>
                <w:sz w:val="15"/>
                <w:szCs w:val="15"/>
                <w:color w:val="auto"/>
              </w:rPr>
            </w:pPr>
          </w:p>
        </w:tc>
        <w:tc>
          <w:tcPr>
            <w:tcW w:w="96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6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4D8ABE"/>
              </w:rPr>
              <w:t>2007</w:t>
            </w:r>
          </w:p>
        </w:tc>
        <w:tc>
          <w:tcPr>
            <w:tcW w:w="40" w:type="dxa"/>
            <w:vAlign w:val="bottom"/>
          </w:tcPr>
          <w:p>
            <w:pPr>
              <w:spacing w:after="0"/>
              <w:rPr>
                <w:sz w:val="15"/>
                <w:szCs w:val="15"/>
                <w:color w:val="auto"/>
              </w:rPr>
            </w:pPr>
          </w:p>
        </w:tc>
      </w:tr>
      <w:tr>
        <w:trPr>
          <w:trHeight w:val="155"/>
        </w:trPr>
        <w:tc>
          <w:tcPr>
            <w:tcW w:w="2520" w:type="dxa"/>
            <w:vAlign w:val="bottom"/>
            <w:tcBorders>
              <w:top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Change in Benefit Obligation</w:t>
            </w:r>
          </w:p>
        </w:tc>
        <w:tc>
          <w:tcPr>
            <w:tcW w:w="6020" w:type="dxa"/>
            <w:vAlign w:val="bottom"/>
            <w:tcBorders>
              <w:top w:val="single" w:sz="8" w:color="4D8ABE"/>
              <w:right w:val="single" w:sz="8" w:color="4D8ABE"/>
            </w:tcBorders>
          </w:tcPr>
          <w:p>
            <w:pPr>
              <w:spacing w:after="0"/>
              <w:rPr>
                <w:sz w:val="13"/>
                <w:szCs w:val="13"/>
                <w:color w:val="auto"/>
              </w:rPr>
            </w:pPr>
          </w:p>
        </w:tc>
        <w:tc>
          <w:tcPr>
            <w:tcW w:w="500" w:type="dxa"/>
            <w:vAlign w:val="bottom"/>
            <w:tcBorders>
              <w:top w:val="single" w:sz="8" w:color="4D8ABE"/>
            </w:tcBorders>
          </w:tcPr>
          <w:p>
            <w:pPr>
              <w:spacing w:after="0"/>
              <w:rPr>
                <w:sz w:val="13"/>
                <w:szCs w:val="13"/>
                <w:color w:val="auto"/>
              </w:rPr>
            </w:pPr>
          </w:p>
        </w:tc>
        <w:tc>
          <w:tcPr>
            <w:tcW w:w="960" w:type="dxa"/>
            <w:vAlign w:val="bottom"/>
            <w:tcBorders>
              <w:top w:val="single" w:sz="8" w:color="4D8ABE"/>
              <w:right w:val="single" w:sz="8" w:color="4D8ABE"/>
            </w:tcBorders>
          </w:tcPr>
          <w:p>
            <w:pPr>
              <w:spacing w:after="0"/>
              <w:rPr>
                <w:sz w:val="13"/>
                <w:szCs w:val="13"/>
                <w:color w:val="auto"/>
              </w:rPr>
            </w:pPr>
          </w:p>
        </w:tc>
        <w:tc>
          <w:tcPr>
            <w:tcW w:w="620" w:type="dxa"/>
            <w:vAlign w:val="bottom"/>
            <w:tcBorders>
              <w:top w:val="single" w:sz="8" w:color="4D8ABE"/>
            </w:tcBorders>
          </w:tcPr>
          <w:p>
            <w:pPr>
              <w:spacing w:after="0"/>
              <w:rPr>
                <w:sz w:val="13"/>
                <w:szCs w:val="13"/>
                <w:color w:val="auto"/>
              </w:rPr>
            </w:pPr>
          </w:p>
        </w:tc>
        <w:tc>
          <w:tcPr>
            <w:tcW w:w="62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520" w:type="dxa"/>
            <w:vAlign w:val="bottom"/>
            <w:shd w:val="clear" w:color="auto" w:fill="E6EFFF"/>
          </w:tcPr>
          <w:p>
            <w:pPr>
              <w:spacing w:after="0"/>
              <w:rPr>
                <w:sz w:val="20"/>
                <w:szCs w:val="20"/>
                <w:color w:val="auto"/>
              </w:rPr>
            </w:pPr>
            <w:r>
              <w:rPr>
                <w:rFonts w:ascii="Arial" w:cs="Arial" w:eastAsia="Arial" w:hAnsi="Arial"/>
                <w:sz w:val="14"/>
                <w:szCs w:val="14"/>
                <w:color w:val="auto"/>
              </w:rPr>
              <w:t>Benefit obligation, beginning of year</w:t>
            </w:r>
          </w:p>
        </w:tc>
        <w:tc>
          <w:tcPr>
            <w:tcW w:w="602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jc w:val="right"/>
              <w:ind w:right="353"/>
              <w:spacing w:after="0"/>
              <w:rPr>
                <w:sz w:val="20"/>
                <w:szCs w:val="20"/>
                <w:color w:val="auto"/>
              </w:rPr>
            </w:pPr>
            <w:r>
              <w:rPr>
                <w:rFonts w:ascii="Arial" w:cs="Arial" w:eastAsia="Arial" w:hAnsi="Arial"/>
                <w:sz w:val="14"/>
                <w:szCs w:val="14"/>
                <w:b w:val="1"/>
                <w:bCs w:val="1"/>
                <w:color w:val="4D8ABE"/>
                <w:w w:val="76"/>
              </w:rPr>
              <w:t>$</w:t>
            </w: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22.6</w:t>
            </w:r>
          </w:p>
        </w:tc>
        <w:tc>
          <w:tcPr>
            <w:tcW w:w="620" w:type="dxa"/>
            <w:vAlign w:val="bottom"/>
            <w:shd w:val="clear" w:color="auto" w:fill="E6EFFF"/>
          </w:tcPr>
          <w:p>
            <w:pPr>
              <w:jc w:val="right"/>
              <w:ind w:right="452"/>
              <w:spacing w:after="0"/>
              <w:rPr>
                <w:sz w:val="20"/>
                <w:szCs w:val="20"/>
                <w:color w:val="auto"/>
              </w:rPr>
            </w:pPr>
            <w:r>
              <w:rPr>
                <w:rFonts w:ascii="Arial" w:cs="Arial" w:eastAsia="Arial" w:hAnsi="Arial"/>
                <w:sz w:val="14"/>
                <w:szCs w:val="14"/>
                <w:color w:val="auto"/>
              </w:rPr>
              <w:t>$</w:t>
            </w:r>
          </w:p>
        </w:tc>
        <w:tc>
          <w:tcPr>
            <w:tcW w:w="620" w:type="dxa"/>
            <w:vAlign w:val="bottom"/>
            <w:shd w:val="clear" w:color="auto" w:fill="E6EFFF"/>
          </w:tcPr>
          <w:p>
            <w:pPr>
              <w:jc w:val="right"/>
              <w:spacing w:after="0"/>
              <w:rPr>
                <w:sz w:val="20"/>
                <w:szCs w:val="20"/>
                <w:color w:val="auto"/>
              </w:rPr>
            </w:pPr>
            <w:r>
              <w:rPr>
                <w:rFonts w:ascii="Arial" w:cs="Arial" w:eastAsia="Arial" w:hAnsi="Arial"/>
                <w:sz w:val="14"/>
                <w:szCs w:val="14"/>
                <w:color w:val="auto"/>
              </w:rPr>
              <w:t>23.5</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520" w:type="dxa"/>
            <w:vAlign w:val="bottom"/>
          </w:tcPr>
          <w:p>
            <w:pPr>
              <w:ind w:left="120"/>
              <w:spacing w:after="0"/>
              <w:rPr>
                <w:sz w:val="20"/>
                <w:szCs w:val="20"/>
                <w:color w:val="auto"/>
              </w:rPr>
            </w:pPr>
            <w:r>
              <w:rPr>
                <w:rFonts w:ascii="Arial" w:cs="Arial" w:eastAsia="Arial" w:hAnsi="Arial"/>
                <w:sz w:val="14"/>
                <w:szCs w:val="14"/>
                <w:color w:val="auto"/>
              </w:rPr>
              <w:t>Service cost</w:t>
            </w:r>
          </w:p>
        </w:tc>
        <w:tc>
          <w:tcPr>
            <w:tcW w:w="602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0.2</w:t>
            </w:r>
          </w:p>
        </w:tc>
        <w:tc>
          <w:tcPr>
            <w:tcW w:w="6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4"/>
                <w:szCs w:val="14"/>
                <w:color w:val="auto"/>
              </w:rPr>
            </w:pPr>
          </w:p>
        </w:tc>
      </w:tr>
      <w:tr>
        <w:trPr>
          <w:trHeight w:val="164"/>
        </w:trPr>
        <w:tc>
          <w:tcPr>
            <w:tcW w:w="2520" w:type="dxa"/>
            <w:vAlign w:val="bottom"/>
            <w:shd w:val="clear" w:color="auto" w:fill="E6EFFF"/>
          </w:tcPr>
          <w:p>
            <w:pPr>
              <w:ind w:left="120"/>
              <w:spacing w:after="0"/>
              <w:rPr>
                <w:sz w:val="20"/>
                <w:szCs w:val="20"/>
                <w:color w:val="auto"/>
              </w:rPr>
            </w:pPr>
            <w:r>
              <w:rPr>
                <w:rFonts w:ascii="Arial" w:cs="Arial" w:eastAsia="Arial" w:hAnsi="Arial"/>
                <w:sz w:val="14"/>
                <w:szCs w:val="14"/>
                <w:color w:val="auto"/>
              </w:rPr>
              <w:t>Interest cost</w:t>
            </w:r>
          </w:p>
        </w:tc>
        <w:tc>
          <w:tcPr>
            <w:tcW w:w="602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1.4</w:t>
            </w:r>
          </w:p>
        </w:tc>
        <w:tc>
          <w:tcPr>
            <w:tcW w:w="620" w:type="dxa"/>
            <w:vAlign w:val="bottom"/>
            <w:shd w:val="clear" w:color="auto" w:fill="E6EFFF"/>
          </w:tcPr>
          <w:p>
            <w:pPr>
              <w:spacing w:after="0"/>
              <w:rPr>
                <w:sz w:val="14"/>
                <w:szCs w:val="14"/>
                <w:color w:val="auto"/>
              </w:rPr>
            </w:pPr>
          </w:p>
        </w:tc>
        <w:tc>
          <w:tcPr>
            <w:tcW w:w="84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4"/>
                <w:szCs w:val="14"/>
                <w:color w:val="auto"/>
              </w:rPr>
            </w:pPr>
          </w:p>
        </w:tc>
      </w:tr>
      <w:tr>
        <w:trPr>
          <w:trHeight w:val="164"/>
        </w:trPr>
        <w:tc>
          <w:tcPr>
            <w:tcW w:w="2520" w:type="dxa"/>
            <w:vAlign w:val="bottom"/>
          </w:tcPr>
          <w:p>
            <w:pPr>
              <w:ind w:left="120"/>
              <w:spacing w:after="0"/>
              <w:rPr>
                <w:sz w:val="20"/>
                <w:szCs w:val="20"/>
                <w:color w:val="auto"/>
              </w:rPr>
            </w:pPr>
            <w:r>
              <w:rPr>
                <w:rFonts w:ascii="Arial" w:cs="Arial" w:eastAsia="Arial" w:hAnsi="Arial"/>
                <w:sz w:val="14"/>
                <w:szCs w:val="14"/>
                <w:color w:val="auto"/>
              </w:rPr>
              <w:t>Actuarial gain</w:t>
            </w:r>
          </w:p>
        </w:tc>
        <w:tc>
          <w:tcPr>
            <w:tcW w:w="602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(0.7)</w:t>
            </w:r>
          </w:p>
        </w:tc>
        <w:tc>
          <w:tcPr>
            <w:tcW w:w="6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4"/>
                <w:szCs w:val="14"/>
                <w:color w:val="auto"/>
              </w:rPr>
            </w:pPr>
          </w:p>
        </w:tc>
      </w:tr>
      <w:tr>
        <w:trPr>
          <w:trHeight w:val="164"/>
        </w:trPr>
        <w:tc>
          <w:tcPr>
            <w:tcW w:w="2520" w:type="dxa"/>
            <w:vAlign w:val="bottom"/>
            <w:shd w:val="clear" w:color="auto" w:fill="E6EFFF"/>
          </w:tcPr>
          <w:p>
            <w:pPr>
              <w:ind w:left="120"/>
              <w:spacing w:after="0"/>
              <w:rPr>
                <w:sz w:val="20"/>
                <w:szCs w:val="20"/>
                <w:color w:val="auto"/>
              </w:rPr>
            </w:pPr>
            <w:r>
              <w:rPr>
                <w:rFonts w:ascii="Arial" w:cs="Arial" w:eastAsia="Arial" w:hAnsi="Arial"/>
                <w:sz w:val="14"/>
                <w:szCs w:val="14"/>
                <w:color w:val="auto"/>
              </w:rPr>
              <w:t>Benefits paid</w:t>
            </w:r>
          </w:p>
        </w:tc>
        <w:tc>
          <w:tcPr>
            <w:tcW w:w="6020" w:type="dxa"/>
            <w:vAlign w:val="bottom"/>
            <w:tcBorders>
              <w:right w:val="single" w:sz="8" w:color="4D8ABE"/>
            </w:tcBorders>
            <w:shd w:val="clear" w:color="auto" w:fill="E6EFFF"/>
          </w:tcPr>
          <w:p>
            <w:pPr>
              <w:spacing w:after="0"/>
              <w:rPr>
                <w:sz w:val="14"/>
                <w:szCs w:val="14"/>
                <w:color w:val="auto"/>
              </w:rPr>
            </w:pPr>
          </w:p>
        </w:tc>
        <w:tc>
          <w:tcPr>
            <w:tcW w:w="50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(1.4)</w:t>
            </w:r>
          </w:p>
        </w:tc>
        <w:tc>
          <w:tcPr>
            <w:tcW w:w="620" w:type="dxa"/>
            <w:vAlign w:val="bottom"/>
            <w:shd w:val="clear" w:color="auto" w:fill="E6EFFF"/>
          </w:tcPr>
          <w:p>
            <w:pPr>
              <w:spacing w:after="0"/>
              <w:rPr>
                <w:sz w:val="14"/>
                <w:szCs w:val="14"/>
                <w:color w:val="auto"/>
              </w:rPr>
            </w:pPr>
          </w:p>
        </w:tc>
        <w:tc>
          <w:tcPr>
            <w:tcW w:w="840" w:type="dxa"/>
            <w:vAlign w:val="bottom"/>
            <w:gridSpan w:val="2"/>
            <w:shd w:val="clear" w:color="auto" w:fill="E6EFFF"/>
          </w:tcPr>
          <w:p>
            <w:pPr>
              <w:jc w:val="right"/>
              <w:ind w:right="14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r>
      <w:tr>
        <w:trPr>
          <w:trHeight w:val="164"/>
        </w:trPr>
        <w:tc>
          <w:tcPr>
            <w:tcW w:w="2520" w:type="dxa"/>
            <w:vAlign w:val="bottom"/>
          </w:tcPr>
          <w:p>
            <w:pPr>
              <w:ind w:left="120"/>
              <w:spacing w:after="0"/>
              <w:rPr>
                <w:sz w:val="20"/>
                <w:szCs w:val="20"/>
                <w:color w:val="auto"/>
              </w:rPr>
            </w:pPr>
            <w:r>
              <w:rPr>
                <w:rFonts w:ascii="Arial" w:cs="Arial" w:eastAsia="Arial" w:hAnsi="Arial"/>
                <w:sz w:val="14"/>
                <w:szCs w:val="14"/>
                <w:color w:val="auto"/>
              </w:rPr>
              <w:t>Medicare Part D subsidy receipts</w:t>
            </w:r>
          </w:p>
        </w:tc>
        <w:tc>
          <w:tcPr>
            <w:tcW w:w="602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0.3</w:t>
            </w:r>
          </w:p>
        </w:tc>
        <w:tc>
          <w:tcPr>
            <w:tcW w:w="6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4"/>
                <w:szCs w:val="14"/>
                <w:color w:val="auto"/>
              </w:rPr>
            </w:pPr>
          </w:p>
        </w:tc>
      </w:tr>
      <w:tr>
        <w:trPr>
          <w:trHeight w:val="155"/>
        </w:trPr>
        <w:tc>
          <w:tcPr>
            <w:tcW w:w="2520" w:type="dxa"/>
            <w:vAlign w:val="bottom"/>
            <w:tcBorders>
              <w:top w:val="single" w:sz="8" w:color="auto"/>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Benefit obligation, end of year</w:t>
            </w:r>
          </w:p>
        </w:tc>
        <w:tc>
          <w:tcPr>
            <w:tcW w:w="6020" w:type="dxa"/>
            <w:vAlign w:val="bottom"/>
            <w:tcBorders>
              <w:top w:val="single" w:sz="8" w:color="auto"/>
              <w:bottom w:val="single" w:sz="8" w:color="auto"/>
              <w:right w:val="single" w:sz="8" w:color="4D8ABE"/>
            </w:tcBorders>
            <w:shd w:val="clear" w:color="auto" w:fill="E6EFFF"/>
          </w:tcPr>
          <w:p>
            <w:pPr>
              <w:spacing w:after="0"/>
              <w:rPr>
                <w:sz w:val="13"/>
                <w:szCs w:val="13"/>
                <w:color w:val="auto"/>
              </w:rPr>
            </w:pPr>
          </w:p>
        </w:tc>
        <w:tc>
          <w:tcPr>
            <w:tcW w:w="500" w:type="dxa"/>
            <w:vAlign w:val="bottom"/>
            <w:tcBorders>
              <w:top w:val="single" w:sz="8" w:color="auto"/>
              <w:bottom w:val="single" w:sz="8" w:color="auto"/>
            </w:tcBorders>
            <w:shd w:val="clear" w:color="auto" w:fill="E6EFFF"/>
          </w:tcPr>
          <w:p>
            <w:pPr>
              <w:jc w:val="right"/>
              <w:ind w:right="353"/>
              <w:spacing w:after="0" w:line="155" w:lineRule="exact"/>
              <w:rPr>
                <w:sz w:val="20"/>
                <w:szCs w:val="20"/>
                <w:color w:val="auto"/>
              </w:rPr>
            </w:pPr>
            <w:r>
              <w:rPr>
                <w:rFonts w:ascii="Arial" w:cs="Arial" w:eastAsia="Arial" w:hAnsi="Arial"/>
                <w:sz w:val="14"/>
                <w:szCs w:val="14"/>
                <w:b w:val="1"/>
                <w:bCs w:val="1"/>
                <w:color w:val="4D8ABE"/>
                <w:w w:val="76"/>
              </w:rPr>
              <w:t>$</w:t>
            </w:r>
          </w:p>
        </w:tc>
        <w:tc>
          <w:tcPr>
            <w:tcW w:w="96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22.4</w:t>
            </w:r>
          </w:p>
        </w:tc>
        <w:tc>
          <w:tcPr>
            <w:tcW w:w="620" w:type="dxa"/>
            <w:vAlign w:val="bottom"/>
            <w:tcBorders>
              <w:top w:val="single" w:sz="8" w:color="auto"/>
              <w:bottom w:val="single" w:sz="8" w:color="auto"/>
            </w:tcBorders>
            <w:shd w:val="clear" w:color="auto" w:fill="E6EFFF"/>
          </w:tcPr>
          <w:p>
            <w:pPr>
              <w:jc w:val="right"/>
              <w:ind w:right="452"/>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22.6</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520" w:type="dxa"/>
            <w:vAlign w:val="bottom"/>
          </w:tcPr>
          <w:p>
            <w:pPr>
              <w:spacing w:after="0"/>
              <w:rPr>
                <w:sz w:val="20"/>
                <w:szCs w:val="20"/>
                <w:color w:val="auto"/>
              </w:rPr>
            </w:pPr>
            <w:r>
              <w:rPr>
                <w:rFonts w:ascii="Arial" w:cs="Arial" w:eastAsia="Arial" w:hAnsi="Arial"/>
                <w:sz w:val="14"/>
                <w:szCs w:val="14"/>
                <w:b w:val="1"/>
                <w:bCs w:val="1"/>
                <w:color w:val="939598"/>
              </w:rPr>
              <w:t>Funded Status at End of Year</w:t>
            </w:r>
          </w:p>
        </w:tc>
        <w:tc>
          <w:tcPr>
            <w:tcW w:w="602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Borders>
              <w:right w:val="single" w:sz="8" w:color="4D8ABE"/>
            </w:tcBorders>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520" w:type="dxa"/>
            <w:vAlign w:val="bottom"/>
            <w:shd w:val="clear" w:color="auto" w:fill="E6EFFF"/>
          </w:tcPr>
          <w:p>
            <w:pPr>
              <w:spacing w:after="0" w:line="154" w:lineRule="exact"/>
              <w:rPr>
                <w:sz w:val="20"/>
                <w:szCs w:val="20"/>
                <w:color w:val="auto"/>
              </w:rPr>
            </w:pPr>
            <w:r>
              <w:rPr>
                <w:rFonts w:ascii="Arial" w:cs="Arial" w:eastAsia="Arial" w:hAnsi="Arial"/>
                <w:sz w:val="14"/>
                <w:szCs w:val="14"/>
                <w:color w:val="auto"/>
              </w:rPr>
              <w:t>Funded status, end of year</w:t>
            </w:r>
          </w:p>
        </w:tc>
        <w:tc>
          <w:tcPr>
            <w:tcW w:w="6020" w:type="dxa"/>
            <w:vAlign w:val="bottom"/>
            <w:tcBorders>
              <w:right w:val="single" w:sz="8" w:color="4D8ABE"/>
            </w:tcBorders>
            <w:shd w:val="clear" w:color="auto" w:fill="E6EFFF"/>
          </w:tcPr>
          <w:p>
            <w:pPr>
              <w:spacing w:after="0"/>
              <w:rPr>
                <w:sz w:val="13"/>
                <w:szCs w:val="13"/>
                <w:color w:val="auto"/>
              </w:rPr>
            </w:pPr>
          </w:p>
        </w:tc>
        <w:tc>
          <w:tcPr>
            <w:tcW w:w="500" w:type="dxa"/>
            <w:vAlign w:val="bottom"/>
            <w:shd w:val="clear" w:color="auto" w:fill="E6EFFF"/>
          </w:tcPr>
          <w:p>
            <w:pPr>
              <w:jc w:val="right"/>
              <w:ind w:right="353"/>
              <w:spacing w:after="0" w:line="154" w:lineRule="exact"/>
              <w:rPr>
                <w:sz w:val="20"/>
                <w:szCs w:val="20"/>
                <w:color w:val="auto"/>
              </w:rPr>
            </w:pPr>
            <w:r>
              <w:rPr>
                <w:rFonts w:ascii="Arial" w:cs="Arial" w:eastAsia="Arial" w:hAnsi="Arial"/>
                <w:sz w:val="14"/>
                <w:szCs w:val="14"/>
                <w:b w:val="1"/>
                <w:bCs w:val="1"/>
                <w:color w:val="4D8ABE"/>
                <w:w w:val="76"/>
              </w:rPr>
              <w:t>$</w:t>
            </w:r>
          </w:p>
        </w:tc>
        <w:tc>
          <w:tcPr>
            <w:tcW w:w="96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(22.4)</w:t>
            </w:r>
          </w:p>
        </w:tc>
        <w:tc>
          <w:tcPr>
            <w:tcW w:w="620" w:type="dxa"/>
            <w:vAlign w:val="bottom"/>
            <w:shd w:val="clear" w:color="auto" w:fill="E6EFFF"/>
          </w:tcPr>
          <w:p>
            <w:pPr>
              <w:jc w:val="right"/>
              <w:ind w:right="452"/>
              <w:spacing w:after="0" w:line="154"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6EFFF"/>
          </w:tcPr>
          <w:p>
            <w:pPr>
              <w:jc w:val="right"/>
              <w:ind w:right="140"/>
              <w:spacing w:after="0" w:line="154" w:lineRule="exact"/>
              <w:rPr>
                <w:sz w:val="20"/>
                <w:szCs w:val="20"/>
                <w:color w:val="auto"/>
              </w:rPr>
            </w:pPr>
            <w:r>
              <w:rPr>
                <w:rFonts w:ascii="Arial" w:cs="Arial" w:eastAsia="Arial" w:hAnsi="Arial"/>
                <w:sz w:val="14"/>
                <w:szCs w:val="14"/>
                <w:color w:val="auto"/>
              </w:rPr>
              <w:t>(22.6)</w:t>
            </w:r>
          </w:p>
        </w:tc>
        <w:tc>
          <w:tcPr>
            <w:tcW w:w="40" w:type="dxa"/>
            <w:vAlign w:val="bottom"/>
          </w:tcPr>
          <w:p>
            <w:pPr>
              <w:spacing w:after="0"/>
              <w:rPr>
                <w:sz w:val="13"/>
                <w:szCs w:val="13"/>
                <w:color w:val="auto"/>
              </w:rPr>
            </w:pPr>
          </w:p>
        </w:tc>
      </w:tr>
      <w:tr>
        <w:trPr>
          <w:trHeight w:val="164"/>
        </w:trPr>
        <w:tc>
          <w:tcPr>
            <w:tcW w:w="25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939598"/>
              </w:rPr>
              <w:t>Amounts Recognized</w:t>
            </w:r>
          </w:p>
        </w:tc>
        <w:tc>
          <w:tcPr>
            <w:tcW w:w="6020" w:type="dxa"/>
            <w:vAlign w:val="bottom"/>
            <w:tcBorders>
              <w:top w:val="single" w:sz="8" w:color="auto"/>
              <w:right w:val="single" w:sz="8" w:color="4D8ABE"/>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60" w:type="dxa"/>
            <w:vAlign w:val="bottom"/>
            <w:tcBorders>
              <w:top w:val="single" w:sz="8" w:color="auto"/>
              <w:right w:val="single" w:sz="8" w:color="4D8ABE"/>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E6EFFF"/>
            </w:tcBorders>
          </w:tcPr>
          <w:p>
            <w:pPr>
              <w:spacing w:after="0"/>
              <w:rPr>
                <w:sz w:val="14"/>
                <w:szCs w:val="14"/>
                <w:color w:val="auto"/>
              </w:rPr>
            </w:pPr>
          </w:p>
        </w:tc>
        <w:tc>
          <w:tcPr>
            <w:tcW w:w="40" w:type="dxa"/>
            <w:vAlign w:val="bottom"/>
          </w:tcPr>
          <w:p>
            <w:pPr>
              <w:spacing w:after="0"/>
              <w:rPr>
                <w:sz w:val="14"/>
                <w:szCs w:val="14"/>
                <w:color w:val="auto"/>
              </w:rPr>
            </w:pPr>
          </w:p>
        </w:tc>
      </w:tr>
      <w:tr>
        <w:trPr>
          <w:trHeight w:val="154"/>
        </w:trPr>
        <w:tc>
          <w:tcPr>
            <w:tcW w:w="2520" w:type="dxa"/>
            <w:vAlign w:val="bottom"/>
            <w:shd w:val="clear" w:color="auto" w:fill="E6EFFF"/>
          </w:tcPr>
          <w:p>
            <w:pPr>
              <w:spacing w:after="0" w:line="154" w:lineRule="exact"/>
              <w:rPr>
                <w:sz w:val="20"/>
                <w:szCs w:val="20"/>
                <w:color w:val="auto"/>
              </w:rPr>
            </w:pPr>
            <w:r>
              <w:rPr>
                <w:rFonts w:ascii="Arial" w:cs="Arial" w:eastAsia="Arial" w:hAnsi="Arial"/>
                <w:sz w:val="14"/>
                <w:szCs w:val="14"/>
                <w:color w:val="auto"/>
              </w:rPr>
              <w:t>Current liabilities</w:t>
            </w:r>
          </w:p>
        </w:tc>
        <w:tc>
          <w:tcPr>
            <w:tcW w:w="6020" w:type="dxa"/>
            <w:vAlign w:val="bottom"/>
            <w:tcBorders>
              <w:right w:val="single" w:sz="8" w:color="4D8ABE"/>
            </w:tcBorders>
            <w:shd w:val="clear" w:color="auto" w:fill="E6EFFF"/>
          </w:tcPr>
          <w:p>
            <w:pPr>
              <w:spacing w:after="0"/>
              <w:rPr>
                <w:sz w:val="13"/>
                <w:szCs w:val="13"/>
                <w:color w:val="auto"/>
              </w:rPr>
            </w:pPr>
          </w:p>
        </w:tc>
        <w:tc>
          <w:tcPr>
            <w:tcW w:w="500" w:type="dxa"/>
            <w:vAlign w:val="bottom"/>
            <w:shd w:val="clear" w:color="auto" w:fill="E6EFFF"/>
          </w:tcPr>
          <w:p>
            <w:pPr>
              <w:jc w:val="right"/>
              <w:ind w:right="353"/>
              <w:spacing w:after="0" w:line="154" w:lineRule="exact"/>
              <w:rPr>
                <w:sz w:val="20"/>
                <w:szCs w:val="20"/>
                <w:color w:val="auto"/>
              </w:rPr>
            </w:pPr>
            <w:r>
              <w:rPr>
                <w:rFonts w:ascii="Arial" w:cs="Arial" w:eastAsia="Arial" w:hAnsi="Arial"/>
                <w:sz w:val="14"/>
                <w:szCs w:val="14"/>
                <w:b w:val="1"/>
                <w:bCs w:val="1"/>
                <w:color w:val="4D8ABE"/>
                <w:w w:val="76"/>
              </w:rPr>
              <w:t>$</w:t>
            </w:r>
          </w:p>
        </w:tc>
        <w:tc>
          <w:tcPr>
            <w:tcW w:w="96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(1.6)</w:t>
            </w:r>
          </w:p>
        </w:tc>
        <w:tc>
          <w:tcPr>
            <w:tcW w:w="620" w:type="dxa"/>
            <w:vAlign w:val="bottom"/>
            <w:shd w:val="clear" w:color="auto" w:fill="E6EFFF"/>
          </w:tcPr>
          <w:p>
            <w:pPr>
              <w:jc w:val="right"/>
              <w:ind w:right="452"/>
              <w:spacing w:after="0" w:line="154"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6EFFF"/>
          </w:tcPr>
          <w:p>
            <w:pPr>
              <w:jc w:val="right"/>
              <w:ind w:right="140"/>
              <w:spacing w:after="0" w:line="154"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3"/>
                <w:szCs w:val="13"/>
                <w:color w:val="auto"/>
              </w:rPr>
            </w:pPr>
          </w:p>
        </w:tc>
      </w:tr>
      <w:tr>
        <w:trPr>
          <w:trHeight w:val="164"/>
        </w:trPr>
        <w:tc>
          <w:tcPr>
            <w:tcW w:w="2520" w:type="dxa"/>
            <w:vAlign w:val="bottom"/>
          </w:tcPr>
          <w:p>
            <w:pPr>
              <w:spacing w:after="0"/>
              <w:rPr>
                <w:sz w:val="20"/>
                <w:szCs w:val="20"/>
                <w:color w:val="auto"/>
              </w:rPr>
            </w:pPr>
            <w:r>
              <w:rPr>
                <w:rFonts w:ascii="Arial" w:cs="Arial" w:eastAsia="Arial" w:hAnsi="Arial"/>
                <w:sz w:val="14"/>
                <w:szCs w:val="14"/>
                <w:color w:val="auto"/>
              </w:rPr>
              <w:t>Noncurrent liabilities</w:t>
            </w:r>
          </w:p>
        </w:tc>
        <w:tc>
          <w:tcPr>
            <w:tcW w:w="6020" w:type="dxa"/>
            <w:vAlign w:val="bottom"/>
            <w:tcBorders>
              <w:right w:val="single" w:sz="8" w:color="4D8ABE"/>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(20.8)</w:t>
            </w:r>
          </w:p>
        </w:tc>
        <w:tc>
          <w:tcPr>
            <w:tcW w:w="6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(21.1)</w:t>
            </w:r>
          </w:p>
        </w:tc>
        <w:tc>
          <w:tcPr>
            <w:tcW w:w="40" w:type="dxa"/>
            <w:vAlign w:val="bottom"/>
          </w:tcPr>
          <w:p>
            <w:pPr>
              <w:spacing w:after="0"/>
              <w:rPr>
                <w:sz w:val="14"/>
                <w:szCs w:val="14"/>
                <w:color w:val="auto"/>
              </w:rPr>
            </w:pPr>
          </w:p>
        </w:tc>
      </w:tr>
      <w:tr>
        <w:trPr>
          <w:trHeight w:val="145"/>
        </w:trPr>
        <w:tc>
          <w:tcPr>
            <w:tcW w:w="2520" w:type="dxa"/>
            <w:vAlign w:val="bottom"/>
            <w:tcBorders>
              <w:top w:val="single" w:sz="8" w:color="auto"/>
              <w:bottom w:val="single" w:sz="8" w:color="auto"/>
            </w:tcBorders>
            <w:shd w:val="clear" w:color="auto" w:fill="E6EFFF"/>
          </w:tcPr>
          <w:p>
            <w:pPr>
              <w:spacing w:after="0" w:line="145" w:lineRule="exact"/>
              <w:rPr>
                <w:sz w:val="20"/>
                <w:szCs w:val="20"/>
                <w:color w:val="auto"/>
              </w:rPr>
            </w:pPr>
            <w:r>
              <w:rPr>
                <w:rFonts w:ascii="Arial" w:cs="Arial" w:eastAsia="Arial" w:hAnsi="Arial"/>
                <w:sz w:val="14"/>
                <w:szCs w:val="14"/>
                <w:color w:val="auto"/>
              </w:rPr>
              <w:t>Net amount recognized</w:t>
            </w:r>
          </w:p>
        </w:tc>
        <w:tc>
          <w:tcPr>
            <w:tcW w:w="6020" w:type="dxa"/>
            <w:vAlign w:val="bottom"/>
            <w:tcBorders>
              <w:top w:val="single" w:sz="8" w:color="auto"/>
              <w:bottom w:val="single" w:sz="8" w:color="auto"/>
              <w:right w:val="single" w:sz="8" w:color="4D8ABE"/>
            </w:tcBorders>
            <w:shd w:val="clear" w:color="auto" w:fill="E6EFFF"/>
          </w:tcPr>
          <w:p>
            <w:pPr>
              <w:spacing w:after="0"/>
              <w:rPr>
                <w:sz w:val="12"/>
                <w:szCs w:val="12"/>
                <w:color w:val="auto"/>
              </w:rPr>
            </w:pPr>
          </w:p>
        </w:tc>
        <w:tc>
          <w:tcPr>
            <w:tcW w:w="500" w:type="dxa"/>
            <w:vAlign w:val="bottom"/>
            <w:tcBorders>
              <w:top w:val="single" w:sz="8" w:color="auto"/>
              <w:bottom w:val="single" w:sz="8" w:color="auto"/>
            </w:tcBorders>
            <w:shd w:val="clear" w:color="auto" w:fill="E6EFFF"/>
          </w:tcPr>
          <w:p>
            <w:pPr>
              <w:jc w:val="right"/>
              <w:ind w:right="353"/>
              <w:spacing w:after="0" w:line="145" w:lineRule="exact"/>
              <w:rPr>
                <w:sz w:val="20"/>
                <w:szCs w:val="20"/>
                <w:color w:val="auto"/>
              </w:rPr>
            </w:pPr>
            <w:r>
              <w:rPr>
                <w:rFonts w:ascii="Arial" w:cs="Arial" w:eastAsia="Arial" w:hAnsi="Arial"/>
                <w:sz w:val="14"/>
                <w:szCs w:val="14"/>
                <w:b w:val="1"/>
                <w:bCs w:val="1"/>
                <w:color w:val="4D8ABE"/>
                <w:w w:val="76"/>
              </w:rPr>
              <w:t>$</w:t>
            </w:r>
          </w:p>
        </w:tc>
        <w:tc>
          <w:tcPr>
            <w:tcW w:w="960" w:type="dxa"/>
            <w:vAlign w:val="bottom"/>
            <w:tcBorders>
              <w:top w:val="single" w:sz="8" w:color="auto"/>
              <w:bottom w:val="single" w:sz="8" w:color="auto"/>
              <w:right w:val="single" w:sz="8" w:color="4D8ABE"/>
            </w:tcBorders>
            <w:shd w:val="clear" w:color="auto" w:fill="E6EFFF"/>
          </w:tcPr>
          <w:p>
            <w:pPr>
              <w:jc w:val="right"/>
              <w:ind w:right="132"/>
              <w:spacing w:after="0" w:line="145" w:lineRule="exact"/>
              <w:rPr>
                <w:sz w:val="20"/>
                <w:szCs w:val="20"/>
                <w:color w:val="auto"/>
              </w:rPr>
            </w:pPr>
            <w:r>
              <w:rPr>
                <w:rFonts w:ascii="Arial" w:cs="Arial" w:eastAsia="Arial" w:hAnsi="Arial"/>
                <w:sz w:val="14"/>
                <w:szCs w:val="14"/>
                <w:b w:val="1"/>
                <w:bCs w:val="1"/>
                <w:color w:val="4D8ABE"/>
              </w:rPr>
              <w:t>(22.4)</w:t>
            </w:r>
          </w:p>
        </w:tc>
        <w:tc>
          <w:tcPr>
            <w:tcW w:w="620" w:type="dxa"/>
            <w:vAlign w:val="bottom"/>
            <w:tcBorders>
              <w:top w:val="single" w:sz="8" w:color="auto"/>
              <w:bottom w:val="single" w:sz="8" w:color="auto"/>
            </w:tcBorders>
            <w:shd w:val="clear" w:color="auto" w:fill="E6EFFF"/>
          </w:tcPr>
          <w:p>
            <w:pPr>
              <w:jc w:val="right"/>
              <w:ind w:right="452"/>
              <w:spacing w:after="0" w:line="14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6EFFF"/>
          </w:tcPr>
          <w:p>
            <w:pPr>
              <w:jc w:val="right"/>
              <w:spacing w:after="0" w:line="145" w:lineRule="exact"/>
              <w:rPr>
                <w:sz w:val="20"/>
                <w:szCs w:val="20"/>
                <w:color w:val="auto"/>
              </w:rPr>
            </w:pPr>
            <w:r>
              <w:rPr>
                <w:rFonts w:ascii="Arial" w:cs="Arial" w:eastAsia="Arial" w:hAnsi="Arial"/>
                <w:sz w:val="14"/>
                <w:szCs w:val="14"/>
                <w:color w:val="auto"/>
              </w:rPr>
              <w:t>(22.6</w:t>
            </w:r>
          </w:p>
        </w:tc>
        <w:tc>
          <w:tcPr>
            <w:tcW w:w="220" w:type="dxa"/>
            <w:vAlign w:val="bottom"/>
            <w:tcBorders>
              <w:top w:val="single" w:sz="8" w:color="E6EFFF"/>
              <w:bottom w:val="single" w:sz="8" w:color="E6EFFF"/>
            </w:tcBorders>
            <w:shd w:val="clear" w:color="auto" w:fill="E6EFFF"/>
          </w:tcPr>
          <w:p>
            <w:pPr>
              <w:jc w:val="right"/>
              <w:ind w:right="140"/>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r>
      <w:tr>
        <w:trPr>
          <w:trHeight w:val="370"/>
        </w:trPr>
        <w:tc>
          <w:tcPr>
            <w:tcW w:w="25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2520" w:type="dxa"/>
            <w:vAlign w:val="bottom"/>
          </w:tcPr>
          <w:p>
            <w:pPr>
              <w:spacing w:after="0"/>
              <w:rPr>
                <w:sz w:val="20"/>
                <w:szCs w:val="20"/>
                <w:color w:val="auto"/>
              </w:rPr>
            </w:pPr>
            <w:r>
              <w:rPr>
                <w:rFonts w:ascii="Arial" w:cs="Arial" w:eastAsia="Arial" w:hAnsi="Arial"/>
                <w:sz w:val="12"/>
                <w:szCs w:val="12"/>
                <w:b w:val="1"/>
                <w:bCs w:val="1"/>
                <w:color w:val="auto"/>
              </w:rPr>
              <w:t>64</w:t>
            </w:r>
          </w:p>
        </w:tc>
        <w:tc>
          <w:tcPr>
            <w:tcW w:w="6020" w:type="dxa"/>
            <w:vAlign w:val="bottom"/>
          </w:tcPr>
          <w:p>
            <w:pPr>
              <w:ind w:left="340"/>
              <w:spacing w:after="0"/>
              <w:rPr>
                <w:sz w:val="20"/>
                <w:szCs w:val="20"/>
                <w:color w:val="auto"/>
              </w:rPr>
            </w:pPr>
            <w:r>
              <w:rPr>
                <w:rFonts w:ascii="Arial" w:cs="Arial" w:eastAsia="Arial" w:hAnsi="Arial"/>
                <w:sz w:val="12"/>
                <w:szCs w:val="12"/>
                <w:b w:val="1"/>
                <w:bCs w:val="1"/>
                <w:color w:val="939598"/>
              </w:rPr>
              <w:t>Notes To Consolidated Financial Statements</w:t>
            </w:r>
          </w:p>
        </w:tc>
        <w:tc>
          <w:tcPr>
            <w:tcW w:w="2080" w:type="dxa"/>
            <w:vAlign w:val="bottom"/>
            <w:gridSpan w:val="3"/>
          </w:tcPr>
          <w:p>
            <w:pPr>
              <w:jc w:val="right"/>
              <w:ind w:right="252"/>
              <w:spacing w:after="0"/>
              <w:rPr>
                <w:sz w:val="20"/>
                <w:szCs w:val="20"/>
                <w:color w:val="auto"/>
              </w:rPr>
            </w:pPr>
            <w:r>
              <w:rPr>
                <w:rFonts w:ascii="Arial" w:cs="Arial" w:eastAsia="Arial" w:hAnsi="Arial"/>
                <w:sz w:val="12"/>
                <w:szCs w:val="12"/>
                <w:b w:val="1"/>
                <w:bCs w:val="1"/>
                <w:color w:val="auto"/>
                <w:w w:val="99"/>
              </w:rPr>
              <w:t>Manpower Annual Report 2008</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7"/>
        </w:trPr>
        <w:tc>
          <w:tcPr>
            <w:tcW w:w="2520" w:type="dxa"/>
            <w:vAlign w:val="bottom"/>
          </w:tcPr>
          <w:p>
            <w:pPr>
              <w:spacing w:after="0"/>
              <w:rPr>
                <w:sz w:val="4"/>
                <w:szCs w:val="4"/>
                <w:color w:val="auto"/>
              </w:rPr>
            </w:pPr>
          </w:p>
        </w:tc>
        <w:tc>
          <w:tcPr>
            <w:tcW w:w="6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2520" w:type="dxa"/>
            <w:vAlign w:val="bottom"/>
            <w:shd w:val="clear" w:color="auto" w:fill="808080"/>
          </w:tcPr>
          <w:p>
            <w:pPr>
              <w:spacing w:after="0"/>
              <w:rPr>
                <w:sz w:val="5"/>
                <w:szCs w:val="5"/>
                <w:color w:val="auto"/>
              </w:rPr>
            </w:pPr>
          </w:p>
        </w:tc>
        <w:tc>
          <w:tcPr>
            <w:tcW w:w="602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00"/>
          </w:cols>
          <w:pgMar w:left="220" w:top="114" w:right="179" w:bottom="1440" w:gutter="0" w:footer="0" w:header="0"/>
        </w:sectPr>
      </w:pPr>
    </w:p>
    <w:bookmarkStart w:id="122" w:name="page123"/>
    <w:bookmarkEnd w:id="122"/>
    <w:p>
      <w:pPr>
        <w:jc w:val="both"/>
        <w:ind w:right="40"/>
        <w:spacing w:after="0" w:line="248" w:lineRule="auto"/>
        <w:rPr>
          <w:sz w:val="20"/>
          <w:szCs w:val="20"/>
          <w:color w:val="auto"/>
        </w:rPr>
      </w:pPr>
      <w:r>
        <w:rPr>
          <w:rFonts w:ascii="Arial" w:cs="Arial" w:eastAsia="Arial" w:hAnsi="Arial"/>
          <w:sz w:val="16"/>
          <w:szCs w:val="16"/>
          <w:color w:val="auto"/>
        </w:rPr>
        <w:t>The amount recognized in Accumulated Other Comprehensive (Loss) Income, net of tax, represents a net gain of $4.6 and $5.0 in 2008 and 2007, respectively.</w:t>
      </w:r>
    </w:p>
    <w:p>
      <w:pPr>
        <w:spacing w:after="0" w:line="365"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The discount rate used in the measurement of the benefit obligation was 6.4% and 6.3% in 2008 and 2007, respectively. The discount rate used in the measurement of net periodic benefit cost was 6.3%, 5.8% and 5.5% in 2008, 2007 and 2006, respectively. The components of net periodic benefit cost for this plan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520" w:type="dxa"/>
            <w:vAlign w:val="bottom"/>
            <w:shd w:val="clear" w:color="auto" w:fill="4D8ABE"/>
          </w:tcPr>
          <w:p>
            <w:pPr>
              <w:spacing w:after="0"/>
              <w:rPr>
                <w:sz w:val="15"/>
                <w:szCs w:val="15"/>
                <w:color w:val="auto"/>
              </w:rPr>
            </w:pPr>
          </w:p>
        </w:tc>
        <w:tc>
          <w:tcPr>
            <w:tcW w:w="96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4D8ABE"/>
              </w:rPr>
              <w:t>2007</w:t>
            </w:r>
          </w:p>
        </w:tc>
        <w:tc>
          <w:tcPr>
            <w:tcW w:w="6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Net Periodic Benefit Cost</w:t>
            </w:r>
          </w:p>
        </w:tc>
        <w:tc>
          <w:tcPr>
            <w:tcW w:w="520" w:type="dxa"/>
            <w:vAlign w:val="bottom"/>
            <w:tcBorders>
              <w:top w:val="single" w:sz="8" w:color="4D8ABE"/>
            </w:tcBorders>
          </w:tcPr>
          <w:p>
            <w:pPr>
              <w:spacing w:after="0"/>
              <w:rPr>
                <w:sz w:val="13"/>
                <w:szCs w:val="13"/>
                <w:color w:val="auto"/>
              </w:rPr>
            </w:pPr>
          </w:p>
        </w:tc>
        <w:tc>
          <w:tcPr>
            <w:tcW w:w="960" w:type="dxa"/>
            <w:vAlign w:val="bottom"/>
            <w:tcBorders>
              <w:top w:val="single" w:sz="8" w:color="4D8ABE"/>
              <w:right w:val="single" w:sz="8" w:color="4D8ABE"/>
            </w:tcBorders>
          </w:tcPr>
          <w:p>
            <w:pPr>
              <w:spacing w:after="0"/>
              <w:rPr>
                <w:sz w:val="13"/>
                <w:szCs w:val="13"/>
                <w:color w:val="auto"/>
              </w:rPr>
            </w:pPr>
          </w:p>
        </w:tc>
        <w:tc>
          <w:tcPr>
            <w:tcW w:w="520" w:type="dxa"/>
            <w:vAlign w:val="bottom"/>
            <w:tcBorders>
              <w:top w:val="single" w:sz="8" w:color="4D8ABE"/>
            </w:tcBorders>
          </w:tcPr>
          <w:p>
            <w:pPr>
              <w:spacing w:after="0"/>
              <w:rPr>
                <w:sz w:val="13"/>
                <w:szCs w:val="13"/>
                <w:color w:val="auto"/>
              </w:rPr>
            </w:pPr>
          </w:p>
        </w:tc>
        <w:tc>
          <w:tcPr>
            <w:tcW w:w="880" w:type="dxa"/>
            <w:vAlign w:val="bottom"/>
            <w:tcBorders>
              <w:top w:val="single" w:sz="8" w:color="4D8ABE"/>
            </w:tcBorders>
          </w:tcPr>
          <w:p>
            <w:pPr>
              <w:spacing w:after="0"/>
              <w:rPr>
                <w:sz w:val="13"/>
                <w:szCs w:val="13"/>
                <w:color w:val="auto"/>
              </w:rPr>
            </w:pPr>
          </w:p>
        </w:tc>
        <w:tc>
          <w:tcPr>
            <w:tcW w:w="600" w:type="dxa"/>
            <w:vAlign w:val="bottom"/>
            <w:tcBorders>
              <w:top w:val="single" w:sz="8" w:color="4D8ABE"/>
            </w:tcBorders>
          </w:tcPr>
          <w:p>
            <w:pPr>
              <w:spacing w:after="0"/>
              <w:rPr>
                <w:sz w:val="13"/>
                <w:szCs w:val="13"/>
                <w:color w:val="auto"/>
              </w:rPr>
            </w:pPr>
          </w:p>
        </w:tc>
        <w:tc>
          <w:tcPr>
            <w:tcW w:w="72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Service cost</w:t>
            </w:r>
          </w:p>
        </w:tc>
        <w:tc>
          <w:tcPr>
            <w:tcW w:w="520" w:type="dxa"/>
            <w:vAlign w:val="bottom"/>
            <w:shd w:val="clear" w:color="auto" w:fill="E6EFFF"/>
          </w:tcPr>
          <w:p>
            <w:pPr>
              <w:jc w:val="right"/>
              <w:ind w:right="352"/>
              <w:spacing w:after="0"/>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0.2</w:t>
            </w:r>
          </w:p>
        </w:tc>
        <w:tc>
          <w:tcPr>
            <w:tcW w:w="520" w:type="dxa"/>
            <w:vAlign w:val="bottom"/>
            <w:shd w:val="clear" w:color="auto" w:fill="E6EFFF"/>
          </w:tcPr>
          <w:p>
            <w:pPr>
              <w:jc w:val="right"/>
              <w:ind w:right="352"/>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0.3</w:t>
            </w:r>
          </w:p>
        </w:tc>
        <w:tc>
          <w:tcPr>
            <w:tcW w:w="600" w:type="dxa"/>
            <w:vAlign w:val="bottom"/>
            <w:shd w:val="clear" w:color="auto" w:fill="E6EFFF"/>
          </w:tcPr>
          <w:p>
            <w:pPr>
              <w:jc w:val="right"/>
              <w:ind w:right="352"/>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0.4</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Interest cost</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1.4</w:t>
            </w:r>
          </w:p>
        </w:tc>
        <w:tc>
          <w:tcPr>
            <w:tcW w:w="52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1.3</w:t>
            </w:r>
          </w:p>
        </w:tc>
        <w:tc>
          <w:tcPr>
            <w:tcW w:w="6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Net gain</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(0.7)</w:t>
            </w:r>
          </w:p>
        </w:tc>
        <w:tc>
          <w:tcPr>
            <w:tcW w:w="52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(0.4)</w:t>
            </w:r>
          </w:p>
        </w:tc>
        <w:tc>
          <w:tcPr>
            <w:tcW w:w="600" w:type="dxa"/>
            <w:vAlign w:val="bottom"/>
            <w:shd w:val="clear" w:color="auto" w:fill="E6EFFF"/>
          </w:tcPr>
          <w:p>
            <w:pPr>
              <w:spacing w:after="0"/>
              <w:rPr>
                <w:sz w:val="14"/>
                <w:szCs w:val="14"/>
                <w:color w:val="auto"/>
              </w:rPr>
            </w:pPr>
          </w:p>
        </w:tc>
        <w:tc>
          <w:tcPr>
            <w:tcW w:w="94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(0.6)</w:t>
            </w:r>
          </w:p>
        </w:tc>
      </w:tr>
      <w:tr>
        <w:trPr>
          <w:trHeight w:val="155"/>
        </w:trPr>
        <w:tc>
          <w:tcPr>
            <w:tcW w:w="7040" w:type="dxa"/>
            <w:vAlign w:val="bottom"/>
            <w:tcBorders>
              <w:top w:val="single" w:sz="8" w:color="auto"/>
              <w:bottom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Net periodic benefit cost</w:t>
            </w:r>
          </w:p>
        </w:tc>
        <w:tc>
          <w:tcPr>
            <w:tcW w:w="5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0.9</w:t>
            </w:r>
          </w:p>
        </w:tc>
        <w:tc>
          <w:tcPr>
            <w:tcW w:w="5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1.2</w:t>
            </w:r>
          </w:p>
        </w:tc>
        <w:tc>
          <w:tcPr>
            <w:tcW w:w="6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w:t>
            </w:r>
          </w:p>
        </w:tc>
        <w:tc>
          <w:tcPr>
            <w:tcW w:w="220" w:type="dxa"/>
            <w:vAlign w:val="bottom"/>
            <w:tcBorders>
              <w:bottom w:val="single" w:sz="8" w:color="E6EFFF"/>
            </w:tcBorders>
          </w:tcPr>
          <w:p>
            <w:pPr>
              <w:spacing w:after="0"/>
              <w:rPr>
                <w:sz w:val="13"/>
                <w:szCs w:val="13"/>
                <w:color w:val="auto"/>
              </w:rPr>
            </w:pPr>
          </w:p>
        </w:tc>
      </w:tr>
      <w:tr>
        <w:trPr>
          <w:trHeight w:val="138"/>
        </w:trPr>
        <w:tc>
          <w:tcPr>
            <w:tcW w:w="7040" w:type="dxa"/>
            <w:vAlign w:val="bottom"/>
            <w:tcBorders>
              <w:right w:val="single" w:sz="8" w:color="4D8ABE"/>
            </w:tcBorders>
            <w:shd w:val="clear" w:color="auto" w:fill="E6EFFF"/>
          </w:tcPr>
          <w:p>
            <w:pPr>
              <w:spacing w:after="0" w:line="138" w:lineRule="exact"/>
              <w:rPr>
                <w:sz w:val="20"/>
                <w:szCs w:val="20"/>
                <w:color w:val="auto"/>
              </w:rPr>
            </w:pPr>
            <w:r>
              <w:rPr>
                <w:rFonts w:ascii="Arial" w:cs="Arial" w:eastAsia="Arial" w:hAnsi="Arial"/>
                <w:sz w:val="14"/>
                <w:szCs w:val="14"/>
                <w:b w:val="1"/>
                <w:bCs w:val="1"/>
                <w:color w:val="939598"/>
              </w:rPr>
              <w:t>Other Changes in Plan Assets and Benefit Obligations</w:t>
            </w:r>
          </w:p>
        </w:tc>
        <w:tc>
          <w:tcPr>
            <w:tcW w:w="520" w:type="dxa"/>
            <w:vAlign w:val="bottom"/>
            <w:shd w:val="clear" w:color="auto" w:fill="E6EFFF"/>
          </w:tcPr>
          <w:p>
            <w:pPr>
              <w:spacing w:after="0"/>
              <w:rPr>
                <w:sz w:val="11"/>
                <w:szCs w:val="11"/>
                <w:color w:val="auto"/>
              </w:rPr>
            </w:pPr>
          </w:p>
        </w:tc>
        <w:tc>
          <w:tcPr>
            <w:tcW w:w="960" w:type="dxa"/>
            <w:vAlign w:val="bottom"/>
            <w:tcBorders>
              <w:right w:val="single" w:sz="8" w:color="4D8ABE"/>
            </w:tcBorders>
            <w:shd w:val="clear" w:color="auto" w:fill="E6EFFF"/>
          </w:tcPr>
          <w:p>
            <w:pPr>
              <w:spacing w:after="0"/>
              <w:rPr>
                <w:sz w:val="11"/>
                <w:szCs w:val="11"/>
                <w:color w:val="auto"/>
              </w:rPr>
            </w:pPr>
          </w:p>
        </w:tc>
        <w:tc>
          <w:tcPr>
            <w:tcW w:w="520" w:type="dxa"/>
            <w:vAlign w:val="bottom"/>
            <w:shd w:val="clear" w:color="auto" w:fill="E6EFFF"/>
          </w:tcPr>
          <w:p>
            <w:pPr>
              <w:spacing w:after="0"/>
              <w:rPr>
                <w:sz w:val="11"/>
                <w:szCs w:val="11"/>
                <w:color w:val="auto"/>
              </w:rPr>
            </w:pPr>
          </w:p>
        </w:tc>
        <w:tc>
          <w:tcPr>
            <w:tcW w:w="880" w:type="dxa"/>
            <w:vAlign w:val="bottom"/>
            <w:shd w:val="clear" w:color="auto" w:fill="E6EFFF"/>
          </w:tcPr>
          <w:p>
            <w:pPr>
              <w:spacing w:after="0"/>
              <w:rPr>
                <w:sz w:val="11"/>
                <w:szCs w:val="11"/>
                <w:color w:val="auto"/>
              </w:rPr>
            </w:pPr>
          </w:p>
        </w:tc>
        <w:tc>
          <w:tcPr>
            <w:tcW w:w="600" w:type="dxa"/>
            <w:vAlign w:val="bottom"/>
            <w:shd w:val="clear" w:color="auto" w:fill="E6EFFF"/>
          </w:tcPr>
          <w:p>
            <w:pPr>
              <w:spacing w:after="0"/>
              <w:rPr>
                <w:sz w:val="11"/>
                <w:szCs w:val="11"/>
                <w:color w:val="auto"/>
              </w:rPr>
            </w:pPr>
          </w:p>
        </w:tc>
        <w:tc>
          <w:tcPr>
            <w:tcW w:w="720" w:type="dxa"/>
            <w:vAlign w:val="bottom"/>
            <w:shd w:val="clear" w:color="auto" w:fill="E6EFFF"/>
          </w:tcPr>
          <w:p>
            <w:pPr>
              <w:spacing w:after="0"/>
              <w:rPr>
                <w:sz w:val="11"/>
                <w:szCs w:val="11"/>
                <w:color w:val="auto"/>
              </w:rPr>
            </w:pPr>
          </w:p>
        </w:tc>
        <w:tc>
          <w:tcPr>
            <w:tcW w:w="220" w:type="dxa"/>
            <w:vAlign w:val="bottom"/>
            <w:shd w:val="clear" w:color="auto" w:fill="E6EFFF"/>
          </w:tcPr>
          <w:p>
            <w:pPr>
              <w:spacing w:after="0"/>
              <w:rPr>
                <w:sz w:val="11"/>
                <w:szCs w:val="11"/>
                <w:color w:val="auto"/>
              </w:rPr>
            </w:pPr>
          </w:p>
        </w:tc>
      </w:tr>
      <w:tr>
        <w:trPr>
          <w:trHeight w:val="181"/>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b w:val="1"/>
                <w:bCs w:val="1"/>
                <w:color w:val="939598"/>
              </w:rPr>
              <w:t>Recognized in Other Comprehensive Income</w:t>
            </w:r>
          </w:p>
        </w:tc>
        <w:tc>
          <w:tcPr>
            <w:tcW w:w="520" w:type="dxa"/>
            <w:vAlign w:val="bottom"/>
            <w:shd w:val="clear" w:color="auto" w:fill="E6EFFF"/>
          </w:tcPr>
          <w:p>
            <w:pPr>
              <w:spacing w:after="0"/>
              <w:rPr>
                <w:sz w:val="15"/>
                <w:szCs w:val="15"/>
                <w:color w:val="auto"/>
              </w:rPr>
            </w:pPr>
          </w:p>
        </w:tc>
        <w:tc>
          <w:tcPr>
            <w:tcW w:w="960" w:type="dxa"/>
            <w:vAlign w:val="bottom"/>
            <w:tcBorders>
              <w:right w:val="single" w:sz="8" w:color="4D8ABE"/>
            </w:tcBorders>
            <w:shd w:val="clear" w:color="auto" w:fill="E6EFFF"/>
          </w:tcPr>
          <w:p>
            <w:pPr>
              <w:spacing w:after="0"/>
              <w:rPr>
                <w:sz w:val="15"/>
                <w:szCs w:val="15"/>
                <w:color w:val="auto"/>
              </w:rPr>
            </w:pPr>
          </w:p>
        </w:tc>
        <w:tc>
          <w:tcPr>
            <w:tcW w:w="520" w:type="dxa"/>
            <w:vAlign w:val="bottom"/>
            <w:shd w:val="clear" w:color="auto" w:fill="E6EFFF"/>
          </w:tcPr>
          <w:p>
            <w:pPr>
              <w:spacing w:after="0"/>
              <w:rPr>
                <w:sz w:val="15"/>
                <w:szCs w:val="15"/>
                <w:color w:val="auto"/>
              </w:rPr>
            </w:pPr>
          </w:p>
        </w:tc>
        <w:tc>
          <w:tcPr>
            <w:tcW w:w="880" w:type="dxa"/>
            <w:vAlign w:val="bottom"/>
            <w:shd w:val="clear" w:color="auto" w:fill="E6EFFF"/>
          </w:tcPr>
          <w:p>
            <w:pPr>
              <w:spacing w:after="0"/>
              <w:rPr>
                <w:sz w:val="15"/>
                <w:szCs w:val="15"/>
                <w:color w:val="auto"/>
              </w:rPr>
            </w:pPr>
          </w:p>
        </w:tc>
        <w:tc>
          <w:tcPr>
            <w:tcW w:w="600" w:type="dxa"/>
            <w:vAlign w:val="bottom"/>
            <w:shd w:val="clear" w:color="auto" w:fill="E6EFFF"/>
          </w:tcPr>
          <w:p>
            <w:pPr>
              <w:spacing w:after="0"/>
              <w:rPr>
                <w:sz w:val="15"/>
                <w:szCs w:val="15"/>
                <w:color w:val="auto"/>
              </w:rPr>
            </w:pPr>
          </w:p>
        </w:tc>
        <w:tc>
          <w:tcPr>
            <w:tcW w:w="72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Net gain</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(0.6)</w:t>
            </w:r>
          </w:p>
        </w:tc>
        <w:tc>
          <w:tcPr>
            <w:tcW w:w="52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6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Amortization of net gain</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0.6</w:t>
            </w:r>
          </w:p>
        </w:tc>
        <w:tc>
          <w:tcPr>
            <w:tcW w:w="52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0.4</w:t>
            </w:r>
          </w:p>
        </w:tc>
        <w:tc>
          <w:tcPr>
            <w:tcW w:w="600" w:type="dxa"/>
            <w:vAlign w:val="bottom"/>
            <w:shd w:val="clear" w:color="auto" w:fill="E6EFFF"/>
          </w:tcPr>
          <w:p>
            <w:pPr>
              <w:spacing w:after="0"/>
              <w:rPr>
                <w:sz w:val="14"/>
                <w:szCs w:val="14"/>
                <w:color w:val="auto"/>
              </w:rPr>
            </w:pPr>
          </w:p>
        </w:tc>
        <w:tc>
          <w:tcPr>
            <w:tcW w:w="9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55"/>
        </w:trPr>
        <w:tc>
          <w:tcPr>
            <w:tcW w:w="7040" w:type="dxa"/>
            <w:vAlign w:val="bottom"/>
            <w:tcBorders>
              <w:top w:val="single" w:sz="8" w:color="auto"/>
              <w:bottom w:val="single" w:sz="8" w:color="auto"/>
              <w:right w:val="single" w:sz="8" w:color="4D8ABE"/>
            </w:tcBorders>
          </w:tcPr>
          <w:p>
            <w:pPr>
              <w:spacing w:after="0" w:line="155" w:lineRule="exact"/>
              <w:rPr>
                <w:sz w:val="20"/>
                <w:szCs w:val="20"/>
                <w:color w:val="auto"/>
              </w:rPr>
            </w:pPr>
            <w:r>
              <w:rPr>
                <w:rFonts w:ascii="Arial" w:cs="Arial" w:eastAsia="Arial" w:hAnsi="Arial"/>
                <w:sz w:val="14"/>
                <w:szCs w:val="14"/>
                <w:color w:val="auto"/>
              </w:rPr>
              <w:t>Total recognized in other comprehensive income</w:t>
            </w:r>
          </w:p>
        </w:tc>
        <w:tc>
          <w:tcPr>
            <w:tcW w:w="5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w:t>
            </w:r>
          </w:p>
        </w:tc>
        <w:tc>
          <w:tcPr>
            <w:tcW w:w="5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(1.0)</w:t>
            </w:r>
          </w:p>
        </w:tc>
        <w:tc>
          <w:tcPr>
            <w:tcW w:w="6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E6EFFF"/>
            </w:tcBorders>
          </w:tcPr>
          <w:p>
            <w:pPr>
              <w:spacing w:after="0"/>
              <w:rPr>
                <w:sz w:val="13"/>
                <w:szCs w:val="13"/>
                <w:color w:val="auto"/>
              </w:rPr>
            </w:pPr>
          </w:p>
        </w:tc>
      </w:tr>
      <w:tr>
        <w:trPr>
          <w:trHeight w:val="155"/>
        </w:trPr>
        <w:tc>
          <w:tcPr>
            <w:tcW w:w="7040" w:type="dxa"/>
            <w:vAlign w:val="bottom"/>
            <w:tcBorders>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Total recognized in net periodic benefit cost and other comprehensive income</w:t>
            </w:r>
          </w:p>
        </w:tc>
        <w:tc>
          <w:tcPr>
            <w:tcW w:w="52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0.9</w:t>
            </w:r>
          </w:p>
        </w:tc>
        <w:tc>
          <w:tcPr>
            <w:tcW w:w="52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0.2</w:t>
            </w:r>
          </w:p>
        </w:tc>
        <w:tc>
          <w:tcPr>
            <w:tcW w:w="60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0.9</w:t>
            </w:r>
          </w:p>
        </w:tc>
        <w:tc>
          <w:tcPr>
            <w:tcW w:w="220" w:type="dxa"/>
            <w:vAlign w:val="bottom"/>
            <w:tcBorders>
              <w:bottom w:val="single" w:sz="8" w:color="E6EFFF"/>
            </w:tcBorders>
            <w:shd w:val="clear" w:color="auto" w:fill="E6EFFF"/>
          </w:tcPr>
          <w:p>
            <w:pPr>
              <w:spacing w:after="0"/>
              <w:rPr>
                <w:sz w:val="13"/>
                <w:szCs w:val="13"/>
                <w:color w:val="auto"/>
              </w:rPr>
            </w:pPr>
          </w:p>
        </w:tc>
      </w:tr>
    </w:tbl>
    <w:p>
      <w:pPr>
        <w:spacing w:after="0" w:line="180"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The estimated net gain for the retiree health care plan that will be amortized from Accumulated Other Comprehensive (Loss) Income into net periodic benefit cost during 2009 is $0.7.</w:t>
      </w:r>
    </w:p>
    <w:p>
      <w:pPr>
        <w:spacing w:after="0" w:line="161"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The health care cost trend rate was assumed to be 8.0% for 2008, decreasing gradually to 5.0% for the years 2014 and beyond. Assumed health care cost trend rates have a significant effect on the amounts reported. A one-percentage point change in the assumed health care cost trend rate would have the following effects: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4D8ABE"/>
              </w:rPr>
              <w:t>1% Increase</w:t>
            </w:r>
          </w:p>
        </w:tc>
        <w:tc>
          <w:tcPr>
            <w:tcW w:w="48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4D8ABE"/>
              </w:rPr>
              <w:t>1% Decrease</w:t>
            </w:r>
          </w:p>
        </w:tc>
      </w:tr>
      <w:tr>
        <w:trPr>
          <w:trHeight w:val="155"/>
        </w:trPr>
        <w:tc>
          <w:tcPr>
            <w:tcW w:w="5680" w:type="dxa"/>
            <w:vAlign w:val="bottom"/>
            <w:tcBorders>
              <w:top w:val="single" w:sz="8" w:color="4D8ABE"/>
            </w:tcBorders>
          </w:tcPr>
          <w:p>
            <w:pPr>
              <w:spacing w:after="0" w:line="155" w:lineRule="exact"/>
              <w:rPr>
                <w:sz w:val="20"/>
                <w:szCs w:val="20"/>
                <w:color w:val="auto"/>
              </w:rPr>
            </w:pPr>
            <w:r>
              <w:rPr>
                <w:rFonts w:ascii="Arial" w:cs="Arial" w:eastAsia="Arial" w:hAnsi="Arial"/>
                <w:sz w:val="14"/>
                <w:szCs w:val="14"/>
                <w:color w:val="auto"/>
              </w:rPr>
              <w:t>Effect on total of service and interest cost components</w:t>
            </w:r>
          </w:p>
        </w:tc>
        <w:tc>
          <w:tcPr>
            <w:tcW w:w="2780" w:type="dxa"/>
            <w:vAlign w:val="bottom"/>
            <w:tcBorders>
              <w:top w:val="single" w:sz="8" w:color="4D8ABE"/>
            </w:tcBorders>
          </w:tcPr>
          <w:p>
            <w:pPr>
              <w:jc w:val="right"/>
              <w:ind w:right="252"/>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4D8ABE"/>
            </w:tcBorders>
          </w:tcPr>
          <w:p>
            <w:pPr>
              <w:jc w:val="right"/>
              <w:ind w:right="32"/>
              <w:spacing w:after="0" w:line="155" w:lineRule="exact"/>
              <w:rPr>
                <w:sz w:val="20"/>
                <w:szCs w:val="20"/>
                <w:color w:val="auto"/>
              </w:rPr>
            </w:pPr>
            <w:r>
              <w:rPr>
                <w:rFonts w:ascii="Arial" w:cs="Arial" w:eastAsia="Arial" w:hAnsi="Arial"/>
                <w:sz w:val="14"/>
                <w:szCs w:val="14"/>
                <w:color w:val="auto"/>
              </w:rPr>
              <w:t>0.2</w:t>
            </w:r>
          </w:p>
        </w:tc>
        <w:tc>
          <w:tcPr>
            <w:tcW w:w="480" w:type="dxa"/>
            <w:vAlign w:val="bottom"/>
            <w:tcBorders>
              <w:top w:val="single" w:sz="8" w:color="4D8ABE"/>
            </w:tcBorders>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(0.2</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r>
      <w:tr>
        <w:trPr>
          <w:trHeight w:val="164"/>
        </w:trPr>
        <w:tc>
          <w:tcPr>
            <w:tcW w:w="5680" w:type="dxa"/>
            <w:vAlign w:val="bottom"/>
            <w:shd w:val="clear" w:color="auto" w:fill="E6EFFF"/>
          </w:tcPr>
          <w:p>
            <w:pPr>
              <w:spacing w:after="0"/>
              <w:rPr>
                <w:sz w:val="20"/>
                <w:szCs w:val="20"/>
                <w:color w:val="auto"/>
              </w:rPr>
            </w:pPr>
            <w:r>
              <w:rPr>
                <w:rFonts w:ascii="Arial" w:cs="Arial" w:eastAsia="Arial" w:hAnsi="Arial"/>
                <w:sz w:val="14"/>
                <w:szCs w:val="14"/>
                <w:color w:val="auto"/>
              </w:rPr>
              <w:t>Effect on benefit obligation</w:t>
            </w:r>
          </w:p>
        </w:tc>
        <w:tc>
          <w:tcPr>
            <w:tcW w:w="2780" w:type="dxa"/>
            <w:vAlign w:val="bottom"/>
            <w:shd w:val="clear" w:color="auto" w:fill="E6EFFF"/>
          </w:tcPr>
          <w:p>
            <w:pPr>
              <w:spacing w:after="0"/>
              <w:rPr>
                <w:sz w:val="14"/>
                <w:szCs w:val="14"/>
                <w:color w:val="auto"/>
              </w:rPr>
            </w:pPr>
          </w:p>
        </w:tc>
        <w:tc>
          <w:tcPr>
            <w:tcW w:w="118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2.4</w:t>
            </w:r>
          </w:p>
        </w:tc>
        <w:tc>
          <w:tcPr>
            <w:tcW w:w="480" w:type="dxa"/>
            <w:vAlign w:val="bottom"/>
            <w:shd w:val="clear" w:color="auto" w:fill="E6EFFF"/>
          </w:tcPr>
          <w:p>
            <w:pPr>
              <w:spacing w:after="0"/>
              <w:rPr>
                <w:sz w:val="14"/>
                <w:szCs w:val="14"/>
                <w:color w:val="auto"/>
              </w:rPr>
            </w:pPr>
          </w:p>
        </w:tc>
        <w:tc>
          <w:tcPr>
            <w:tcW w:w="1340" w:type="dxa"/>
            <w:vAlign w:val="bottom"/>
            <w:gridSpan w:val="2"/>
            <w:shd w:val="clear" w:color="auto" w:fill="E6EFFF"/>
          </w:tcPr>
          <w:p>
            <w:pPr>
              <w:jc w:val="right"/>
              <w:ind w:right="140"/>
              <w:spacing w:after="0"/>
              <w:rPr>
                <w:sz w:val="20"/>
                <w:szCs w:val="20"/>
                <w:color w:val="auto"/>
              </w:rPr>
            </w:pPr>
            <w:r>
              <w:rPr>
                <w:rFonts w:ascii="Arial" w:cs="Arial" w:eastAsia="Arial" w:hAnsi="Arial"/>
                <w:sz w:val="14"/>
                <w:szCs w:val="14"/>
                <w:color w:val="auto"/>
              </w:rPr>
              <w:t>(2.1)</w:t>
            </w:r>
          </w:p>
        </w:tc>
      </w:tr>
      <w:tr>
        <w:trPr>
          <w:trHeight w:val="21"/>
        </w:trPr>
        <w:tc>
          <w:tcPr>
            <w:tcW w:w="568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4682B4"/>
        </w:rPr>
        <w:t>FUTURE CONTRIBUTIONS AND PAYMENTS</w:t>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We plan to contribute $12.5 to our pension plans and $1.6 to our retiree health care plan in 2009. Projected benefit payments from the plans as of December 31, 2008 are estimated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20" w:type="dxa"/>
            <w:vAlign w:val="bottom"/>
          </w:tcPr>
          <w:p>
            <w:pPr>
              <w:spacing w:after="0"/>
              <w:rPr>
                <w:sz w:val="20"/>
                <w:szCs w:val="20"/>
                <w:color w:val="auto"/>
              </w:rPr>
            </w:pPr>
            <w:r>
              <w:rPr>
                <w:rFonts w:ascii="Arial" w:cs="Arial" w:eastAsia="Arial" w:hAnsi="Arial"/>
                <w:sz w:val="14"/>
                <w:szCs w:val="14"/>
                <w:color w:val="4D8ABE"/>
              </w:rPr>
              <w:t>Year</w:t>
            </w:r>
          </w:p>
        </w:tc>
        <w:tc>
          <w:tcPr>
            <w:tcW w:w="3380" w:type="dxa"/>
            <w:vAlign w:val="bottom"/>
          </w:tcPr>
          <w:p>
            <w:pPr>
              <w:spacing w:after="0"/>
              <w:rPr>
                <w:sz w:val="14"/>
                <w:szCs w:val="14"/>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4D8ABE"/>
              </w:rPr>
              <w:t>Pension Plans</w:t>
            </w:r>
          </w:p>
        </w:tc>
        <w:tc>
          <w:tcPr>
            <w:tcW w:w="46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4D8ABE"/>
              </w:rPr>
              <w:t>Retiree Health</w:t>
            </w:r>
          </w:p>
        </w:tc>
      </w:tr>
      <w:tr>
        <w:trPr>
          <w:trHeight w:val="155"/>
        </w:trPr>
        <w:tc>
          <w:tcPr>
            <w:tcW w:w="5020" w:type="dxa"/>
            <w:vAlign w:val="bottom"/>
            <w:tcBorders>
              <w:top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2009</w:t>
            </w:r>
          </w:p>
        </w:tc>
        <w:tc>
          <w:tcPr>
            <w:tcW w:w="3380" w:type="dxa"/>
            <w:vAlign w:val="bottom"/>
            <w:tcBorders>
              <w:top w:val="single" w:sz="8" w:color="4D8ABE"/>
            </w:tcBorders>
            <w:shd w:val="clear" w:color="auto" w:fill="E6EFFF"/>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4D8ABE"/>
            </w:tcBorders>
            <w:shd w:val="clear" w:color="auto" w:fill="E6EFFF"/>
          </w:tcPr>
          <w:p>
            <w:pPr>
              <w:jc w:val="right"/>
              <w:ind w:right="32"/>
              <w:spacing w:after="0" w:line="155" w:lineRule="exact"/>
              <w:rPr>
                <w:sz w:val="20"/>
                <w:szCs w:val="20"/>
                <w:color w:val="auto"/>
              </w:rPr>
            </w:pPr>
            <w:r>
              <w:rPr>
                <w:rFonts w:ascii="Arial" w:cs="Arial" w:eastAsia="Arial" w:hAnsi="Arial"/>
                <w:sz w:val="14"/>
                <w:szCs w:val="14"/>
                <w:color w:val="auto"/>
              </w:rPr>
              <w:t>8.0</w:t>
            </w:r>
          </w:p>
        </w:tc>
        <w:tc>
          <w:tcPr>
            <w:tcW w:w="460" w:type="dxa"/>
            <w:vAlign w:val="bottom"/>
            <w:tcBorders>
              <w:top w:val="single" w:sz="8" w:color="4D8ABE"/>
            </w:tcBorders>
            <w:shd w:val="clear" w:color="auto" w:fill="E6EFFF"/>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1.6</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5020" w:type="dxa"/>
            <w:vAlign w:val="bottom"/>
          </w:tcPr>
          <w:p>
            <w:pPr>
              <w:spacing w:after="0"/>
              <w:rPr>
                <w:sz w:val="20"/>
                <w:szCs w:val="20"/>
                <w:color w:val="auto"/>
              </w:rPr>
            </w:pPr>
            <w:r>
              <w:rPr>
                <w:rFonts w:ascii="Arial" w:cs="Arial" w:eastAsia="Arial" w:hAnsi="Arial"/>
                <w:sz w:val="14"/>
                <w:szCs w:val="14"/>
                <w:color w:val="auto"/>
              </w:rPr>
              <w:t>2010</w:t>
            </w:r>
          </w:p>
        </w:tc>
        <w:tc>
          <w:tcPr>
            <w:tcW w:w="3380" w:type="dxa"/>
            <w:vAlign w:val="bottom"/>
          </w:tcPr>
          <w:p>
            <w:pPr>
              <w:spacing w:after="0"/>
              <w:rPr>
                <w:sz w:val="14"/>
                <w:szCs w:val="14"/>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8.0</w:t>
            </w:r>
          </w:p>
        </w:tc>
        <w:tc>
          <w:tcPr>
            <w:tcW w:w="46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1.7</w:t>
            </w:r>
          </w:p>
        </w:tc>
      </w:tr>
      <w:tr>
        <w:trPr>
          <w:trHeight w:val="165"/>
        </w:trPr>
        <w:tc>
          <w:tcPr>
            <w:tcW w:w="5020" w:type="dxa"/>
            <w:vAlign w:val="bottom"/>
            <w:shd w:val="clear" w:color="auto" w:fill="E6EFFF"/>
          </w:tcPr>
          <w:p>
            <w:pPr>
              <w:spacing w:after="0"/>
              <w:rPr>
                <w:sz w:val="20"/>
                <w:szCs w:val="20"/>
                <w:color w:val="auto"/>
              </w:rPr>
            </w:pPr>
            <w:r>
              <w:rPr>
                <w:rFonts w:ascii="Arial" w:cs="Arial" w:eastAsia="Arial" w:hAnsi="Arial"/>
                <w:sz w:val="14"/>
                <w:szCs w:val="14"/>
                <w:color w:val="auto"/>
              </w:rPr>
              <w:t>2011</w:t>
            </w:r>
          </w:p>
        </w:tc>
        <w:tc>
          <w:tcPr>
            <w:tcW w:w="3380" w:type="dxa"/>
            <w:vAlign w:val="bottom"/>
            <w:shd w:val="clear" w:color="auto" w:fill="E6EFFF"/>
          </w:tcPr>
          <w:p>
            <w:pPr>
              <w:spacing w:after="0"/>
              <w:rPr>
                <w:sz w:val="14"/>
                <w:szCs w:val="14"/>
                <w:color w:val="auto"/>
              </w:rPr>
            </w:pPr>
          </w:p>
        </w:tc>
        <w:tc>
          <w:tcPr>
            <w:tcW w:w="124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8.7</w:t>
            </w:r>
          </w:p>
        </w:tc>
        <w:tc>
          <w:tcPr>
            <w:tcW w:w="460" w:type="dxa"/>
            <w:vAlign w:val="bottom"/>
            <w:shd w:val="clear" w:color="auto" w:fill="E6EFFF"/>
          </w:tcPr>
          <w:p>
            <w:pPr>
              <w:spacing w:after="0"/>
              <w:rPr>
                <w:sz w:val="14"/>
                <w:szCs w:val="14"/>
                <w:color w:val="auto"/>
              </w:rPr>
            </w:pPr>
          </w:p>
        </w:tc>
        <w:tc>
          <w:tcPr>
            <w:tcW w:w="13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1.8</w:t>
            </w:r>
          </w:p>
        </w:tc>
      </w:tr>
      <w:tr>
        <w:trPr>
          <w:trHeight w:val="164"/>
        </w:trPr>
        <w:tc>
          <w:tcPr>
            <w:tcW w:w="5020" w:type="dxa"/>
            <w:vAlign w:val="bottom"/>
          </w:tcPr>
          <w:p>
            <w:pPr>
              <w:spacing w:after="0"/>
              <w:rPr>
                <w:sz w:val="20"/>
                <w:szCs w:val="20"/>
                <w:color w:val="auto"/>
              </w:rPr>
            </w:pPr>
            <w:r>
              <w:rPr>
                <w:rFonts w:ascii="Arial" w:cs="Arial" w:eastAsia="Arial" w:hAnsi="Arial"/>
                <w:sz w:val="14"/>
                <w:szCs w:val="14"/>
                <w:color w:val="auto"/>
              </w:rPr>
              <w:t>2012</w:t>
            </w:r>
          </w:p>
        </w:tc>
        <w:tc>
          <w:tcPr>
            <w:tcW w:w="3380" w:type="dxa"/>
            <w:vAlign w:val="bottom"/>
          </w:tcPr>
          <w:p>
            <w:pPr>
              <w:spacing w:after="0"/>
              <w:rPr>
                <w:sz w:val="14"/>
                <w:szCs w:val="14"/>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9.5</w:t>
            </w:r>
          </w:p>
        </w:tc>
        <w:tc>
          <w:tcPr>
            <w:tcW w:w="46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1.7</w:t>
            </w:r>
          </w:p>
        </w:tc>
      </w:tr>
      <w:tr>
        <w:trPr>
          <w:trHeight w:val="165"/>
        </w:trPr>
        <w:tc>
          <w:tcPr>
            <w:tcW w:w="5020" w:type="dxa"/>
            <w:vAlign w:val="bottom"/>
            <w:shd w:val="clear" w:color="auto" w:fill="E6EFFF"/>
          </w:tcPr>
          <w:p>
            <w:pPr>
              <w:spacing w:after="0"/>
              <w:rPr>
                <w:sz w:val="20"/>
                <w:szCs w:val="20"/>
                <w:color w:val="auto"/>
              </w:rPr>
            </w:pPr>
            <w:r>
              <w:rPr>
                <w:rFonts w:ascii="Arial" w:cs="Arial" w:eastAsia="Arial" w:hAnsi="Arial"/>
                <w:sz w:val="14"/>
                <w:szCs w:val="14"/>
                <w:color w:val="auto"/>
              </w:rPr>
              <w:t>2013</w:t>
            </w:r>
          </w:p>
        </w:tc>
        <w:tc>
          <w:tcPr>
            <w:tcW w:w="3380" w:type="dxa"/>
            <w:vAlign w:val="bottom"/>
            <w:shd w:val="clear" w:color="auto" w:fill="E6EFFF"/>
          </w:tcPr>
          <w:p>
            <w:pPr>
              <w:spacing w:after="0"/>
              <w:rPr>
                <w:sz w:val="14"/>
                <w:szCs w:val="14"/>
                <w:color w:val="auto"/>
              </w:rPr>
            </w:pPr>
          </w:p>
        </w:tc>
        <w:tc>
          <w:tcPr>
            <w:tcW w:w="1240" w:type="dxa"/>
            <w:vAlign w:val="bottom"/>
            <w:shd w:val="clear" w:color="auto" w:fill="E6EFFF"/>
          </w:tcPr>
          <w:p>
            <w:pPr>
              <w:jc w:val="right"/>
              <w:ind w:right="32"/>
              <w:spacing w:after="0"/>
              <w:rPr>
                <w:sz w:val="20"/>
                <w:szCs w:val="20"/>
                <w:color w:val="auto"/>
              </w:rPr>
            </w:pPr>
            <w:r>
              <w:rPr>
                <w:rFonts w:ascii="Arial" w:cs="Arial" w:eastAsia="Arial" w:hAnsi="Arial"/>
                <w:sz w:val="14"/>
                <w:szCs w:val="14"/>
                <w:color w:val="auto"/>
              </w:rPr>
              <w:t>10.0</w:t>
            </w:r>
          </w:p>
        </w:tc>
        <w:tc>
          <w:tcPr>
            <w:tcW w:w="460" w:type="dxa"/>
            <w:vAlign w:val="bottom"/>
            <w:shd w:val="clear" w:color="auto" w:fill="E6EFFF"/>
          </w:tcPr>
          <w:p>
            <w:pPr>
              <w:spacing w:after="0"/>
              <w:rPr>
                <w:sz w:val="14"/>
                <w:szCs w:val="14"/>
                <w:color w:val="auto"/>
              </w:rPr>
            </w:pPr>
          </w:p>
        </w:tc>
        <w:tc>
          <w:tcPr>
            <w:tcW w:w="13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1.8</w:t>
            </w:r>
          </w:p>
        </w:tc>
      </w:tr>
      <w:tr>
        <w:trPr>
          <w:trHeight w:val="164"/>
        </w:trPr>
        <w:tc>
          <w:tcPr>
            <w:tcW w:w="5020" w:type="dxa"/>
            <w:vAlign w:val="bottom"/>
          </w:tcPr>
          <w:p>
            <w:pPr>
              <w:spacing w:after="0"/>
              <w:rPr>
                <w:sz w:val="20"/>
                <w:szCs w:val="20"/>
                <w:color w:val="auto"/>
              </w:rPr>
            </w:pPr>
            <w:r>
              <w:rPr>
                <w:rFonts w:ascii="Arial" w:cs="Arial" w:eastAsia="Arial" w:hAnsi="Arial"/>
                <w:sz w:val="14"/>
                <w:szCs w:val="14"/>
                <w:color w:val="auto"/>
              </w:rPr>
              <w:t>2014-2018</w:t>
            </w:r>
          </w:p>
        </w:tc>
        <w:tc>
          <w:tcPr>
            <w:tcW w:w="3380" w:type="dxa"/>
            <w:vAlign w:val="bottom"/>
          </w:tcPr>
          <w:p>
            <w:pPr>
              <w:spacing w:after="0"/>
              <w:rPr>
                <w:sz w:val="14"/>
                <w:szCs w:val="14"/>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61.1</w:t>
            </w:r>
          </w:p>
        </w:tc>
        <w:tc>
          <w:tcPr>
            <w:tcW w:w="46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8.7</w:t>
            </w:r>
          </w:p>
        </w:tc>
      </w:tr>
      <w:tr>
        <w:trPr>
          <w:trHeight w:val="155"/>
        </w:trPr>
        <w:tc>
          <w:tcPr>
            <w:tcW w:w="5020" w:type="dxa"/>
            <w:vAlign w:val="bottom"/>
            <w:tcBorders>
              <w:top w:val="single" w:sz="8" w:color="auto"/>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Total projected benefit payments</w:t>
            </w:r>
          </w:p>
        </w:tc>
        <w:tc>
          <w:tcPr>
            <w:tcW w:w="3380" w:type="dxa"/>
            <w:vAlign w:val="bottom"/>
            <w:tcBorders>
              <w:top w:val="single" w:sz="8" w:color="auto"/>
              <w:bottom w:val="single" w:sz="8" w:color="auto"/>
            </w:tcBorders>
            <w:shd w:val="clear" w:color="auto" w:fill="E6EFFF"/>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E6EFFF"/>
          </w:tcPr>
          <w:p>
            <w:pPr>
              <w:jc w:val="right"/>
              <w:ind w:right="32"/>
              <w:spacing w:after="0" w:line="155" w:lineRule="exact"/>
              <w:rPr>
                <w:sz w:val="20"/>
                <w:szCs w:val="20"/>
                <w:color w:val="auto"/>
              </w:rPr>
            </w:pPr>
            <w:r>
              <w:rPr>
                <w:rFonts w:ascii="Arial" w:cs="Arial" w:eastAsia="Arial" w:hAnsi="Arial"/>
                <w:sz w:val="14"/>
                <w:szCs w:val="14"/>
                <w:color w:val="auto"/>
              </w:rPr>
              <w:t>105.3</w:t>
            </w:r>
          </w:p>
        </w:tc>
        <w:tc>
          <w:tcPr>
            <w:tcW w:w="460" w:type="dxa"/>
            <w:vAlign w:val="bottom"/>
            <w:tcBorders>
              <w:top w:val="single" w:sz="8" w:color="auto"/>
              <w:bottom w:val="single" w:sz="8" w:color="auto"/>
            </w:tcBorders>
            <w:shd w:val="clear" w:color="auto" w:fill="E6EFFF"/>
          </w:tcPr>
          <w:p>
            <w:pPr>
              <w:jc w:val="right"/>
              <w:ind w:right="192"/>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17.3</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DEFINED CONTRIBUTION PLANS</w:t>
      </w:r>
    </w:p>
    <w:p>
      <w:pPr>
        <w:spacing w:after="0" w:line="198"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have defined contribution plans covering substantially all permanent U.S.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$24.1, $22.9 and $20.6 for 2008, 2007 and 2006, respectively.</w:t>
      </w:r>
    </w:p>
    <w:p>
      <w:pPr>
        <w:spacing w:after="0" w:line="170"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We have the Senior Management Performance-Based Deferred Compensation Plan, which was frozen effective February 1, 2006. No benefits were earned in 2008 and 2007, however any deferred benefits continue to earn interest at a rate equal to the effective yield on a fixed 10-year U.S. Treasury note at the beginning of each year. Participants become vested in the deferred benefits if they are still employed by Manpower when they reach age 50 with 15 years of service, when they reach age 62, or in certain other circumstances. There was approximately $0.1, $0.1 and $0.2 earned under this plan in 2008, 2007 and 2006,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19" w:right="1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86" w:lineRule="exact"/>
        <w:rPr>
          <w:sz w:val="20"/>
          <w:szCs w:val="20"/>
          <w:color w:val="auto"/>
        </w:rPr>
      </w:pPr>
    </w:p>
    <w:p>
      <w:pPr>
        <w:jc w:val="both"/>
        <w:ind w:right="40"/>
        <w:spacing w:after="0" w:line="247" w:lineRule="auto"/>
        <w:rPr>
          <w:sz w:val="20"/>
          <w:szCs w:val="20"/>
          <w:color w:val="auto"/>
        </w:rPr>
      </w:pPr>
      <w:r>
        <w:rPr>
          <w:rFonts w:ascii="Arial" w:cs="Arial" w:eastAsia="Arial" w:hAnsi="Arial"/>
          <w:sz w:val="16"/>
          <w:szCs w:val="16"/>
          <w:color w:val="auto"/>
        </w:rPr>
        <w:t>We also maintain a non-qualified deferred compensation plan for certain employees at Right Management. Under the plan, participants may defer from their pre-tax income, up to a maximum of 6% of their total compensation. A matching contribution is made of 50% of the participating employees’ contributions to the plan. Contributions vest at 33.3% per year over a three-year period from the employee’s date of hire. Our contributions were $0.1 for 2008, 2007 and 2006.</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10.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Accumulated Other Comprehensive (Loss) Income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Accumulated Other Comprehensive (Loss) Income, net of tax,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December 31</w:t>
            </w:r>
          </w:p>
        </w:tc>
        <w:tc>
          <w:tcPr>
            <w:tcW w:w="520" w:type="dxa"/>
            <w:vAlign w:val="bottom"/>
            <w:shd w:val="clear" w:color="auto" w:fill="4D8ABE"/>
          </w:tcPr>
          <w:p>
            <w:pPr>
              <w:spacing w:after="0"/>
              <w:rPr>
                <w:sz w:val="15"/>
                <w:szCs w:val="15"/>
                <w:color w:val="auto"/>
              </w:rPr>
            </w:pPr>
          </w:p>
        </w:tc>
        <w:tc>
          <w:tcPr>
            <w:tcW w:w="96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00" w:type="dxa"/>
            <w:vAlign w:val="bottom"/>
          </w:tcPr>
          <w:p>
            <w:pPr>
              <w:spacing w:after="0"/>
              <w:rPr>
                <w:sz w:val="15"/>
                <w:szCs w:val="15"/>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4D8ABE"/>
              </w:rPr>
              <w:t>2007</w:t>
            </w:r>
          </w:p>
        </w:tc>
        <w:tc>
          <w:tcPr>
            <w:tcW w:w="5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tcPr>
          <w:p>
            <w:pPr>
              <w:spacing w:after="0" w:line="155" w:lineRule="exact"/>
              <w:rPr>
                <w:sz w:val="20"/>
                <w:szCs w:val="20"/>
                <w:color w:val="auto"/>
              </w:rPr>
            </w:pPr>
            <w:r>
              <w:rPr>
                <w:rFonts w:ascii="Arial" w:cs="Arial" w:eastAsia="Arial" w:hAnsi="Arial"/>
                <w:sz w:val="14"/>
                <w:szCs w:val="14"/>
                <w:color w:val="auto"/>
              </w:rPr>
              <w:t>Foreign currency translation</w:t>
            </w:r>
          </w:p>
        </w:tc>
        <w:tc>
          <w:tcPr>
            <w:tcW w:w="520" w:type="dxa"/>
            <w:vAlign w:val="bottom"/>
            <w:tcBorders>
              <w:top w:val="single" w:sz="8" w:color="4D8ABE"/>
            </w:tcBorders>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4D8ABE"/>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4.0</w:t>
            </w:r>
          </w:p>
        </w:tc>
        <w:tc>
          <w:tcPr>
            <w:tcW w:w="500" w:type="dxa"/>
            <w:vAlign w:val="bottom"/>
            <w:tcBorders>
              <w:top w:val="single" w:sz="8" w:color="4D8ABE"/>
            </w:tcBorders>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4D8ABE"/>
            </w:tcBorders>
          </w:tcPr>
          <w:p>
            <w:pPr>
              <w:jc w:val="right"/>
              <w:ind w:right="92"/>
              <w:spacing w:after="0" w:line="155" w:lineRule="exact"/>
              <w:rPr>
                <w:sz w:val="20"/>
                <w:szCs w:val="20"/>
                <w:color w:val="auto"/>
              </w:rPr>
            </w:pPr>
            <w:r>
              <w:rPr>
                <w:rFonts w:ascii="Arial" w:cs="Arial" w:eastAsia="Arial" w:hAnsi="Arial"/>
                <w:sz w:val="14"/>
                <w:szCs w:val="14"/>
                <w:color w:val="auto"/>
              </w:rPr>
              <w:t>253.9</w:t>
            </w:r>
          </w:p>
        </w:tc>
        <w:tc>
          <w:tcPr>
            <w:tcW w:w="580" w:type="dxa"/>
            <w:vAlign w:val="bottom"/>
            <w:tcBorders>
              <w:top w:val="single" w:sz="8" w:color="4D8ABE"/>
            </w:tcBorders>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4D8ABE"/>
            </w:tcBorders>
          </w:tcPr>
          <w:p>
            <w:pPr>
              <w:jc w:val="right"/>
              <w:spacing w:after="0" w:line="155" w:lineRule="exact"/>
              <w:rPr>
                <w:sz w:val="20"/>
                <w:szCs w:val="20"/>
                <w:color w:val="auto"/>
              </w:rPr>
            </w:pPr>
            <w:r>
              <w:rPr>
                <w:rFonts w:ascii="Arial" w:cs="Arial" w:eastAsia="Arial" w:hAnsi="Arial"/>
                <w:sz w:val="14"/>
                <w:szCs w:val="14"/>
                <w:color w:val="auto"/>
              </w:rPr>
              <w:t>147.6</w:t>
            </w:r>
          </w:p>
        </w:tc>
        <w:tc>
          <w:tcPr>
            <w:tcW w:w="220" w:type="dxa"/>
            <w:vAlign w:val="bottom"/>
          </w:tcPr>
          <w:p>
            <w:pPr>
              <w:spacing w:after="0"/>
              <w:rPr>
                <w:sz w:val="13"/>
                <w:szCs w:val="13"/>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Unrealized gain on investments</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2.3</w:t>
            </w:r>
          </w:p>
        </w:tc>
        <w:tc>
          <w:tcPr>
            <w:tcW w:w="50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9.9</w:t>
            </w:r>
          </w:p>
        </w:tc>
        <w:tc>
          <w:tcPr>
            <w:tcW w:w="580" w:type="dxa"/>
            <w:vAlign w:val="bottom"/>
            <w:shd w:val="clear" w:color="auto" w:fill="E6EFFF"/>
          </w:tcPr>
          <w:p>
            <w:pPr>
              <w:spacing w:after="0"/>
              <w:rPr>
                <w:sz w:val="14"/>
                <w:szCs w:val="14"/>
                <w:color w:val="auto"/>
              </w:rPr>
            </w:pPr>
          </w:p>
        </w:tc>
        <w:tc>
          <w:tcPr>
            <w:tcW w:w="9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8.9</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Unrealized loss on derivatives</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(4.6)</w:t>
            </w:r>
          </w:p>
        </w:tc>
        <w:tc>
          <w:tcPr>
            <w:tcW w:w="50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5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(4.8)</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Defined benefit pension plans (Note 9)</w:t>
            </w: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(15.2)</w:t>
            </w:r>
          </w:p>
        </w:tc>
        <w:tc>
          <w:tcPr>
            <w:tcW w:w="50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(8.0)</w:t>
            </w:r>
          </w:p>
        </w:tc>
        <w:tc>
          <w:tcPr>
            <w:tcW w:w="580" w:type="dxa"/>
            <w:vAlign w:val="bottom"/>
            <w:shd w:val="clear" w:color="auto" w:fill="E6EFFF"/>
          </w:tcPr>
          <w:p>
            <w:pPr>
              <w:spacing w:after="0"/>
              <w:rPr>
                <w:sz w:val="14"/>
                <w:szCs w:val="14"/>
                <w:color w:val="auto"/>
              </w:rPr>
            </w:pPr>
          </w:p>
        </w:tc>
        <w:tc>
          <w:tcPr>
            <w:tcW w:w="960" w:type="dxa"/>
            <w:vAlign w:val="bottom"/>
            <w:gridSpan w:val="2"/>
            <w:shd w:val="clear" w:color="auto" w:fill="E6EFFF"/>
          </w:tcPr>
          <w:p>
            <w:pPr>
              <w:jc w:val="right"/>
              <w:ind w:right="180"/>
              <w:spacing w:after="0"/>
              <w:rPr>
                <w:sz w:val="20"/>
                <w:szCs w:val="20"/>
                <w:color w:val="auto"/>
              </w:rPr>
            </w:pPr>
            <w:r>
              <w:rPr>
                <w:rFonts w:ascii="Arial" w:cs="Arial" w:eastAsia="Arial" w:hAnsi="Arial"/>
                <w:sz w:val="14"/>
                <w:szCs w:val="14"/>
                <w:color w:val="auto"/>
              </w:rPr>
              <w:t>(34.0)</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Retiree health care plan (Note 9)</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4.6</w:t>
            </w:r>
          </w:p>
        </w:tc>
        <w:tc>
          <w:tcPr>
            <w:tcW w:w="50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5.0</w:t>
            </w:r>
          </w:p>
        </w:tc>
        <w:tc>
          <w:tcPr>
            <w:tcW w:w="5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2.9</w:t>
            </w:r>
          </w:p>
        </w:tc>
      </w:tr>
      <w:tr>
        <w:trPr>
          <w:trHeight w:val="155"/>
        </w:trPr>
        <w:tc>
          <w:tcPr>
            <w:tcW w:w="7040" w:type="dxa"/>
            <w:vAlign w:val="bottom"/>
            <w:tcBorders>
              <w:top w:val="single" w:sz="8" w:color="auto"/>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Accumulated other comprehensive (loss) income</w:t>
            </w:r>
          </w:p>
        </w:tc>
        <w:tc>
          <w:tcPr>
            <w:tcW w:w="520" w:type="dxa"/>
            <w:vAlign w:val="bottom"/>
            <w:tcBorders>
              <w:top w:val="single" w:sz="8" w:color="auto"/>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auto"/>
              <w:bottom w:val="single" w:sz="8" w:color="auto"/>
              <w:right w:val="single" w:sz="8" w:color="4D8ABE"/>
            </w:tcBorders>
            <w:shd w:val="clear" w:color="auto" w:fill="E6EFFF"/>
          </w:tcPr>
          <w:p>
            <w:pPr>
              <w:jc w:val="right"/>
              <w:ind w:right="132"/>
              <w:spacing w:after="0" w:line="155" w:lineRule="exact"/>
              <w:rPr>
                <w:sz w:val="20"/>
                <w:szCs w:val="20"/>
                <w:color w:val="auto"/>
              </w:rPr>
            </w:pPr>
            <w:r>
              <w:rPr>
                <w:rFonts w:ascii="Arial" w:cs="Arial" w:eastAsia="Arial" w:hAnsi="Arial"/>
                <w:sz w:val="14"/>
                <w:szCs w:val="14"/>
                <w:b w:val="1"/>
                <w:bCs w:val="1"/>
                <w:color w:val="4D8ABE"/>
              </w:rPr>
              <w:t>(8.9)</w:t>
            </w:r>
          </w:p>
        </w:tc>
        <w:tc>
          <w:tcPr>
            <w:tcW w:w="500" w:type="dxa"/>
            <w:vAlign w:val="bottom"/>
            <w:tcBorders>
              <w:top w:val="single" w:sz="8" w:color="auto"/>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257.6</w:t>
            </w:r>
          </w:p>
        </w:tc>
        <w:tc>
          <w:tcPr>
            <w:tcW w:w="580" w:type="dxa"/>
            <w:vAlign w:val="bottom"/>
            <w:tcBorders>
              <w:top w:val="single" w:sz="8" w:color="auto"/>
              <w:bottom w:val="single" w:sz="8" w:color="auto"/>
            </w:tcBorders>
            <w:shd w:val="clear" w:color="auto" w:fill="E6EFFF"/>
          </w:tcPr>
          <w:p>
            <w:pPr>
              <w:jc w:val="right"/>
              <w:ind w:right="332"/>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120.6</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11.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Leases</w:t>
      </w:r>
    </w:p>
    <w:p>
      <w:pPr>
        <w:spacing w:after="0" w:line="18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2008:</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4D8ABE"/>
        </w:rPr>
        <w:t>Year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20" w:type="dxa"/>
            <w:vAlign w:val="bottom"/>
            <w:tcBorders>
              <w:top w:val="single" w:sz="8" w:color="4D8ABE"/>
            </w:tcBorders>
            <w:shd w:val="clear" w:color="auto" w:fill="E6EFFF"/>
          </w:tcPr>
          <w:p>
            <w:pPr>
              <w:spacing w:after="0" w:line="145" w:lineRule="exact"/>
              <w:rPr>
                <w:sz w:val="20"/>
                <w:szCs w:val="20"/>
                <w:color w:val="auto"/>
              </w:rPr>
            </w:pPr>
            <w:r>
              <w:rPr>
                <w:rFonts w:ascii="Arial" w:cs="Arial" w:eastAsia="Arial" w:hAnsi="Arial"/>
                <w:sz w:val="14"/>
                <w:szCs w:val="14"/>
                <w:color w:val="auto"/>
              </w:rPr>
              <w:t>2009</w:t>
            </w:r>
          </w:p>
        </w:tc>
        <w:tc>
          <w:tcPr>
            <w:tcW w:w="4540" w:type="dxa"/>
            <w:vAlign w:val="bottom"/>
            <w:tcBorders>
              <w:top w:val="single" w:sz="8" w:color="4D8ABE"/>
            </w:tcBorders>
            <w:shd w:val="clear" w:color="auto" w:fill="E6EFFF"/>
          </w:tcPr>
          <w:p>
            <w:pPr>
              <w:jc w:val="right"/>
              <w:ind w:right="452"/>
              <w:spacing w:after="0" w:line="14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4D8ABE"/>
            </w:tcBorders>
            <w:shd w:val="clear" w:color="auto" w:fill="E6EFFF"/>
          </w:tcPr>
          <w:p>
            <w:pPr>
              <w:jc w:val="right"/>
              <w:spacing w:after="0" w:line="145" w:lineRule="exact"/>
              <w:rPr>
                <w:sz w:val="20"/>
                <w:szCs w:val="20"/>
                <w:color w:val="auto"/>
              </w:rPr>
            </w:pPr>
            <w:r>
              <w:rPr>
                <w:rFonts w:ascii="Arial" w:cs="Arial" w:eastAsia="Arial" w:hAnsi="Arial"/>
                <w:sz w:val="14"/>
                <w:szCs w:val="14"/>
                <w:color w:val="auto"/>
              </w:rPr>
              <w:t>203.2</w:t>
            </w:r>
          </w:p>
        </w:tc>
        <w:tc>
          <w:tcPr>
            <w:tcW w:w="220" w:type="dxa"/>
            <w:vAlign w:val="bottom"/>
            <w:tcBorders>
              <w:top w:val="single" w:sz="8" w:color="E6EFFF"/>
            </w:tcBorders>
            <w:shd w:val="clear" w:color="auto" w:fill="E6EFFF"/>
          </w:tcPr>
          <w:p>
            <w:pPr>
              <w:spacing w:after="0"/>
              <w:rPr>
                <w:sz w:val="12"/>
                <w:szCs w:val="12"/>
                <w:color w:val="auto"/>
              </w:rPr>
            </w:pPr>
          </w:p>
        </w:tc>
      </w:tr>
      <w:tr>
        <w:trPr>
          <w:trHeight w:val="164"/>
        </w:trPr>
        <w:tc>
          <w:tcPr>
            <w:tcW w:w="5820" w:type="dxa"/>
            <w:vAlign w:val="bottom"/>
          </w:tcPr>
          <w:p>
            <w:pPr>
              <w:spacing w:after="0"/>
              <w:rPr>
                <w:sz w:val="20"/>
                <w:szCs w:val="20"/>
                <w:color w:val="auto"/>
              </w:rPr>
            </w:pPr>
            <w:r>
              <w:rPr>
                <w:rFonts w:ascii="Arial" w:cs="Arial" w:eastAsia="Arial" w:hAnsi="Arial"/>
                <w:sz w:val="14"/>
                <w:szCs w:val="14"/>
                <w:color w:val="auto"/>
              </w:rPr>
              <w:t>2010</w:t>
            </w:r>
          </w:p>
        </w:tc>
        <w:tc>
          <w:tcPr>
            <w:tcW w:w="45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153.4</w:t>
            </w:r>
          </w:p>
        </w:tc>
      </w:tr>
      <w:tr>
        <w:trPr>
          <w:trHeight w:val="165"/>
        </w:trPr>
        <w:tc>
          <w:tcPr>
            <w:tcW w:w="5820" w:type="dxa"/>
            <w:vAlign w:val="bottom"/>
            <w:shd w:val="clear" w:color="auto" w:fill="E6EFFF"/>
          </w:tcPr>
          <w:p>
            <w:pPr>
              <w:spacing w:after="0"/>
              <w:rPr>
                <w:sz w:val="20"/>
                <w:szCs w:val="20"/>
                <w:color w:val="auto"/>
              </w:rPr>
            </w:pPr>
            <w:r>
              <w:rPr>
                <w:rFonts w:ascii="Arial" w:cs="Arial" w:eastAsia="Arial" w:hAnsi="Arial"/>
                <w:sz w:val="14"/>
                <w:szCs w:val="14"/>
                <w:color w:val="auto"/>
              </w:rPr>
              <w:t>2011</w:t>
            </w:r>
          </w:p>
        </w:tc>
        <w:tc>
          <w:tcPr>
            <w:tcW w:w="4540" w:type="dxa"/>
            <w:vAlign w:val="bottom"/>
            <w:shd w:val="clear" w:color="auto" w:fill="E6EFFF"/>
          </w:tcPr>
          <w:p>
            <w:pPr>
              <w:spacing w:after="0"/>
              <w:rPr>
                <w:sz w:val="14"/>
                <w:szCs w:val="14"/>
                <w:color w:val="auto"/>
              </w:rPr>
            </w:pPr>
          </w:p>
        </w:tc>
        <w:tc>
          <w:tcPr>
            <w:tcW w:w="110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115.3</w:t>
            </w:r>
          </w:p>
        </w:tc>
      </w:tr>
      <w:tr>
        <w:trPr>
          <w:trHeight w:val="164"/>
        </w:trPr>
        <w:tc>
          <w:tcPr>
            <w:tcW w:w="5820" w:type="dxa"/>
            <w:vAlign w:val="bottom"/>
          </w:tcPr>
          <w:p>
            <w:pPr>
              <w:spacing w:after="0"/>
              <w:rPr>
                <w:sz w:val="20"/>
                <w:szCs w:val="20"/>
                <w:color w:val="auto"/>
              </w:rPr>
            </w:pPr>
            <w:r>
              <w:rPr>
                <w:rFonts w:ascii="Arial" w:cs="Arial" w:eastAsia="Arial" w:hAnsi="Arial"/>
                <w:sz w:val="14"/>
                <w:szCs w:val="14"/>
                <w:color w:val="auto"/>
              </w:rPr>
              <w:t>2012</w:t>
            </w:r>
          </w:p>
        </w:tc>
        <w:tc>
          <w:tcPr>
            <w:tcW w:w="4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81.9</w:t>
            </w:r>
          </w:p>
        </w:tc>
        <w:tc>
          <w:tcPr>
            <w:tcW w:w="220" w:type="dxa"/>
            <w:vAlign w:val="bottom"/>
          </w:tcPr>
          <w:p>
            <w:pPr>
              <w:spacing w:after="0"/>
              <w:rPr>
                <w:sz w:val="14"/>
                <w:szCs w:val="14"/>
                <w:color w:val="auto"/>
              </w:rPr>
            </w:pPr>
          </w:p>
        </w:tc>
      </w:tr>
      <w:tr>
        <w:trPr>
          <w:trHeight w:val="165"/>
        </w:trPr>
        <w:tc>
          <w:tcPr>
            <w:tcW w:w="5820" w:type="dxa"/>
            <w:vAlign w:val="bottom"/>
            <w:shd w:val="clear" w:color="auto" w:fill="E6EFFF"/>
          </w:tcPr>
          <w:p>
            <w:pPr>
              <w:spacing w:after="0"/>
              <w:rPr>
                <w:sz w:val="20"/>
                <w:szCs w:val="20"/>
                <w:color w:val="auto"/>
              </w:rPr>
            </w:pPr>
            <w:r>
              <w:rPr>
                <w:rFonts w:ascii="Arial" w:cs="Arial" w:eastAsia="Arial" w:hAnsi="Arial"/>
                <w:sz w:val="14"/>
                <w:szCs w:val="14"/>
                <w:color w:val="auto"/>
              </w:rPr>
              <w:t>2013</w:t>
            </w:r>
          </w:p>
        </w:tc>
        <w:tc>
          <w:tcPr>
            <w:tcW w:w="4540" w:type="dxa"/>
            <w:vAlign w:val="bottom"/>
            <w:shd w:val="clear" w:color="auto" w:fill="E6EFFF"/>
          </w:tcPr>
          <w:p>
            <w:pPr>
              <w:spacing w:after="0"/>
              <w:rPr>
                <w:sz w:val="14"/>
                <w:szCs w:val="14"/>
                <w:color w:val="auto"/>
              </w:rPr>
            </w:pPr>
          </w:p>
        </w:tc>
        <w:tc>
          <w:tcPr>
            <w:tcW w:w="880" w:type="dxa"/>
            <w:vAlign w:val="bottom"/>
            <w:shd w:val="clear" w:color="auto" w:fill="E6EFFF"/>
          </w:tcPr>
          <w:p>
            <w:pPr>
              <w:jc w:val="right"/>
              <w:spacing w:after="0"/>
              <w:rPr>
                <w:sz w:val="20"/>
                <w:szCs w:val="20"/>
                <w:color w:val="auto"/>
              </w:rPr>
            </w:pPr>
            <w:r>
              <w:rPr>
                <w:rFonts w:ascii="Arial" w:cs="Arial" w:eastAsia="Arial" w:hAnsi="Arial"/>
                <w:sz w:val="14"/>
                <w:szCs w:val="14"/>
                <w:color w:val="auto"/>
              </w:rPr>
              <w:t>57.7</w:t>
            </w:r>
          </w:p>
        </w:tc>
        <w:tc>
          <w:tcPr>
            <w:tcW w:w="220" w:type="dxa"/>
            <w:vAlign w:val="bottom"/>
            <w:shd w:val="clear" w:color="auto" w:fill="E6EFFF"/>
          </w:tcPr>
          <w:p>
            <w:pPr>
              <w:spacing w:after="0"/>
              <w:rPr>
                <w:sz w:val="14"/>
                <w:szCs w:val="14"/>
                <w:color w:val="auto"/>
              </w:rPr>
            </w:pPr>
          </w:p>
        </w:tc>
      </w:tr>
      <w:tr>
        <w:trPr>
          <w:trHeight w:val="164"/>
        </w:trPr>
        <w:tc>
          <w:tcPr>
            <w:tcW w:w="5820" w:type="dxa"/>
            <w:vAlign w:val="bottom"/>
          </w:tcPr>
          <w:p>
            <w:pPr>
              <w:spacing w:after="0"/>
              <w:rPr>
                <w:sz w:val="20"/>
                <w:szCs w:val="20"/>
                <w:color w:val="auto"/>
              </w:rPr>
            </w:pPr>
            <w:r>
              <w:rPr>
                <w:rFonts w:ascii="Arial" w:cs="Arial" w:eastAsia="Arial" w:hAnsi="Arial"/>
                <w:sz w:val="14"/>
                <w:szCs w:val="14"/>
                <w:color w:val="auto"/>
              </w:rPr>
              <w:t>Thereafter</w:t>
            </w:r>
          </w:p>
        </w:tc>
        <w:tc>
          <w:tcPr>
            <w:tcW w:w="45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151.4</w:t>
            </w:r>
          </w:p>
        </w:tc>
      </w:tr>
      <w:tr>
        <w:trPr>
          <w:trHeight w:val="145"/>
        </w:trPr>
        <w:tc>
          <w:tcPr>
            <w:tcW w:w="5820" w:type="dxa"/>
            <w:vAlign w:val="bottom"/>
            <w:tcBorders>
              <w:top w:val="single" w:sz="8" w:color="auto"/>
              <w:bottom w:val="single" w:sz="8" w:color="auto"/>
            </w:tcBorders>
            <w:shd w:val="clear" w:color="auto" w:fill="E6EFFF"/>
          </w:tcPr>
          <w:p>
            <w:pPr>
              <w:spacing w:after="0" w:line="145" w:lineRule="exact"/>
              <w:rPr>
                <w:sz w:val="20"/>
                <w:szCs w:val="20"/>
                <w:color w:val="auto"/>
              </w:rPr>
            </w:pPr>
            <w:r>
              <w:rPr>
                <w:rFonts w:ascii="Arial" w:cs="Arial" w:eastAsia="Arial" w:hAnsi="Arial"/>
                <w:sz w:val="14"/>
                <w:szCs w:val="14"/>
                <w:color w:val="auto"/>
              </w:rPr>
              <w:t>Total minimum lease payments</w:t>
            </w:r>
          </w:p>
        </w:tc>
        <w:tc>
          <w:tcPr>
            <w:tcW w:w="4540" w:type="dxa"/>
            <w:vAlign w:val="bottom"/>
            <w:tcBorders>
              <w:top w:val="single" w:sz="8" w:color="auto"/>
              <w:bottom w:val="single" w:sz="8" w:color="auto"/>
            </w:tcBorders>
            <w:shd w:val="clear" w:color="auto" w:fill="E6EFFF"/>
          </w:tcPr>
          <w:p>
            <w:pPr>
              <w:jc w:val="right"/>
              <w:ind w:right="452"/>
              <w:spacing w:after="0" w:line="14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E6EFFF"/>
          </w:tcPr>
          <w:p>
            <w:pPr>
              <w:jc w:val="right"/>
              <w:spacing w:after="0" w:line="145" w:lineRule="exact"/>
              <w:rPr>
                <w:sz w:val="20"/>
                <w:szCs w:val="20"/>
                <w:color w:val="auto"/>
              </w:rPr>
            </w:pPr>
            <w:r>
              <w:rPr>
                <w:rFonts w:ascii="Arial" w:cs="Arial" w:eastAsia="Arial" w:hAnsi="Arial"/>
                <w:sz w:val="14"/>
                <w:szCs w:val="14"/>
                <w:color w:val="auto"/>
              </w:rPr>
              <w:t>762.9</w:t>
            </w:r>
          </w:p>
        </w:tc>
        <w:tc>
          <w:tcPr>
            <w:tcW w:w="220" w:type="dxa"/>
            <w:vAlign w:val="bottom"/>
            <w:tcBorders>
              <w:top w:val="single" w:sz="8" w:color="E6EFFF"/>
              <w:bottom w:val="single" w:sz="8" w:color="E6EFFF"/>
            </w:tcBorders>
            <w:shd w:val="clear" w:color="auto" w:fill="E6EFFF"/>
          </w:tcPr>
          <w:p>
            <w:pPr>
              <w:spacing w:after="0"/>
              <w:rPr>
                <w:sz w:val="12"/>
                <w:szCs w:val="12"/>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for all operating leases was $284.4, $240.6 and $217.7 for the years ended December 31, 2008, 2007 and 2006,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Interest and Other Expense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Expense consists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20"/>
                <w:szCs w:val="20"/>
                <w:color w:val="auto"/>
              </w:rPr>
            </w:pPr>
            <w:r>
              <w:rPr>
                <w:rFonts w:ascii="Arial" w:cs="Arial" w:eastAsia="Arial" w:hAnsi="Arial"/>
                <w:sz w:val="14"/>
                <w:szCs w:val="14"/>
                <w:color w:val="4D8ABE"/>
              </w:rPr>
              <w:t>Year Ended December 31</w:t>
            </w:r>
          </w:p>
        </w:tc>
        <w:tc>
          <w:tcPr>
            <w:tcW w:w="4720" w:type="dxa"/>
            <w:vAlign w:val="bottom"/>
            <w:tcBorders>
              <w:right w:val="single" w:sz="8" w:color="4D8ABE"/>
            </w:tcBorders>
          </w:tcPr>
          <w:p>
            <w:pPr>
              <w:spacing w:after="0"/>
              <w:rPr>
                <w:sz w:val="15"/>
                <w:szCs w:val="15"/>
                <w:color w:val="auto"/>
              </w:rPr>
            </w:pPr>
          </w:p>
        </w:tc>
        <w:tc>
          <w:tcPr>
            <w:tcW w:w="520" w:type="dxa"/>
            <w:vAlign w:val="bottom"/>
            <w:shd w:val="clear" w:color="auto" w:fill="4D8ABE"/>
          </w:tcPr>
          <w:p>
            <w:pPr>
              <w:spacing w:after="0"/>
              <w:rPr>
                <w:sz w:val="15"/>
                <w:szCs w:val="15"/>
                <w:color w:val="auto"/>
              </w:rPr>
            </w:pPr>
          </w:p>
        </w:tc>
        <w:tc>
          <w:tcPr>
            <w:tcW w:w="96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20" w:type="dxa"/>
            <w:vAlign w:val="bottom"/>
          </w:tcPr>
          <w:p>
            <w:pPr>
              <w:spacing w:after="0"/>
              <w:rPr>
                <w:sz w:val="15"/>
                <w:szCs w:val="15"/>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color w:val="4D8ABE"/>
              </w:rPr>
              <w:t>2007</w:t>
            </w:r>
          </w:p>
        </w:tc>
        <w:tc>
          <w:tcPr>
            <w:tcW w:w="7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c>
          <w:tcPr>
            <w:tcW w:w="40" w:type="dxa"/>
            <w:vAlign w:val="bottom"/>
          </w:tcPr>
          <w:p>
            <w:pPr>
              <w:spacing w:after="0"/>
              <w:rPr>
                <w:sz w:val="15"/>
                <w:szCs w:val="15"/>
                <w:color w:val="auto"/>
              </w:rPr>
            </w:pPr>
          </w:p>
        </w:tc>
      </w:tr>
      <w:tr>
        <w:trPr>
          <w:trHeight w:val="155"/>
        </w:trPr>
        <w:tc>
          <w:tcPr>
            <w:tcW w:w="2320" w:type="dxa"/>
            <w:vAlign w:val="bottom"/>
            <w:tcBorders>
              <w:top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Interest expense</w:t>
            </w:r>
          </w:p>
        </w:tc>
        <w:tc>
          <w:tcPr>
            <w:tcW w:w="4720" w:type="dxa"/>
            <w:vAlign w:val="bottom"/>
            <w:tcBorders>
              <w:top w:val="single" w:sz="8" w:color="4D8ABE"/>
              <w:right w:val="single" w:sz="8" w:color="4D8ABE"/>
            </w:tcBorders>
            <w:shd w:val="clear" w:color="auto" w:fill="E6EFFF"/>
          </w:tcPr>
          <w:p>
            <w:pPr>
              <w:spacing w:after="0"/>
              <w:rPr>
                <w:sz w:val="13"/>
                <w:szCs w:val="13"/>
                <w:color w:val="auto"/>
              </w:rPr>
            </w:pPr>
          </w:p>
        </w:tc>
        <w:tc>
          <w:tcPr>
            <w:tcW w:w="520" w:type="dxa"/>
            <w:vAlign w:val="bottom"/>
            <w:tcBorders>
              <w:top w:val="single" w:sz="8" w:color="4D8ABE"/>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4D8ABE"/>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63.9</w:t>
            </w:r>
          </w:p>
        </w:tc>
        <w:tc>
          <w:tcPr>
            <w:tcW w:w="520" w:type="dxa"/>
            <w:vAlign w:val="bottom"/>
            <w:tcBorders>
              <w:top w:val="single" w:sz="8" w:color="4D8ABE"/>
            </w:tcBorders>
            <w:shd w:val="clear" w:color="auto" w:fill="E6EFFF"/>
          </w:tcPr>
          <w:p>
            <w:pPr>
              <w:jc w:val="right"/>
              <w:ind w:right="355"/>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4D8ABE"/>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53.4</w:t>
            </w:r>
          </w:p>
        </w:tc>
        <w:tc>
          <w:tcPr>
            <w:tcW w:w="700" w:type="dxa"/>
            <w:vAlign w:val="bottom"/>
            <w:tcBorders>
              <w:top w:val="single" w:sz="8" w:color="4D8ABE"/>
            </w:tcBorders>
            <w:shd w:val="clear" w:color="auto" w:fill="E6EFFF"/>
          </w:tcPr>
          <w:p>
            <w:pPr>
              <w:jc w:val="right"/>
              <w:ind w:right="452"/>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50.0</w:t>
            </w:r>
          </w:p>
        </w:tc>
        <w:tc>
          <w:tcPr>
            <w:tcW w:w="220" w:type="dxa"/>
            <w:vAlign w:val="bottom"/>
            <w:tcBorders>
              <w:top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320" w:type="dxa"/>
            <w:vAlign w:val="bottom"/>
          </w:tcPr>
          <w:p>
            <w:pPr>
              <w:spacing w:after="0"/>
              <w:rPr>
                <w:sz w:val="20"/>
                <w:szCs w:val="20"/>
                <w:color w:val="auto"/>
              </w:rPr>
            </w:pPr>
            <w:r>
              <w:rPr>
                <w:rFonts w:ascii="Arial" w:cs="Arial" w:eastAsia="Arial" w:hAnsi="Arial"/>
                <w:sz w:val="14"/>
                <w:szCs w:val="14"/>
                <w:color w:val="auto"/>
              </w:rPr>
              <w:t>Interest income</w:t>
            </w:r>
          </w:p>
        </w:tc>
        <w:tc>
          <w:tcPr>
            <w:tcW w:w="4720" w:type="dxa"/>
            <w:vAlign w:val="bottom"/>
            <w:tcBorders>
              <w:right w:val="single" w:sz="8" w:color="4D8ABE"/>
            </w:tcBorders>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(22.1)</w:t>
            </w:r>
          </w:p>
        </w:tc>
        <w:tc>
          <w:tcPr>
            <w:tcW w:w="52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(24.4)</w:t>
            </w:r>
          </w:p>
        </w:tc>
        <w:tc>
          <w:tcPr>
            <w:tcW w:w="7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(14.2)</w:t>
            </w:r>
          </w:p>
        </w:tc>
        <w:tc>
          <w:tcPr>
            <w:tcW w:w="40" w:type="dxa"/>
            <w:vAlign w:val="bottom"/>
          </w:tcPr>
          <w:p>
            <w:pPr>
              <w:spacing w:after="0"/>
              <w:rPr>
                <w:sz w:val="14"/>
                <w:szCs w:val="14"/>
                <w:color w:val="auto"/>
              </w:rPr>
            </w:pPr>
          </w:p>
        </w:tc>
      </w:tr>
      <w:tr>
        <w:trPr>
          <w:trHeight w:val="164"/>
        </w:trPr>
        <w:tc>
          <w:tcPr>
            <w:tcW w:w="2320" w:type="dxa"/>
            <w:vAlign w:val="bottom"/>
            <w:shd w:val="clear" w:color="auto" w:fill="E6EFFF"/>
          </w:tcPr>
          <w:p>
            <w:pPr>
              <w:spacing w:after="0"/>
              <w:rPr>
                <w:sz w:val="20"/>
                <w:szCs w:val="20"/>
                <w:color w:val="auto"/>
              </w:rPr>
            </w:pPr>
            <w:r>
              <w:rPr>
                <w:rFonts w:ascii="Arial" w:cs="Arial" w:eastAsia="Arial" w:hAnsi="Arial"/>
                <w:sz w:val="14"/>
                <w:szCs w:val="14"/>
                <w:color w:val="auto"/>
              </w:rPr>
              <w:t>Foreign exchange (gain) loss</w:t>
            </w:r>
          </w:p>
        </w:tc>
        <w:tc>
          <w:tcPr>
            <w:tcW w:w="4720" w:type="dxa"/>
            <w:vAlign w:val="bottom"/>
            <w:tcBorders>
              <w:right w:val="single" w:sz="8" w:color="4D8ABE"/>
            </w:tcBorders>
            <w:shd w:val="clear" w:color="auto" w:fill="E6EFFF"/>
          </w:tcPr>
          <w:p>
            <w:pPr>
              <w:spacing w:after="0"/>
              <w:rPr>
                <w:sz w:val="14"/>
                <w:szCs w:val="14"/>
                <w:color w:val="auto"/>
              </w:rPr>
            </w:pPr>
          </w:p>
        </w:tc>
        <w:tc>
          <w:tcPr>
            <w:tcW w:w="520" w:type="dxa"/>
            <w:vAlign w:val="bottom"/>
            <w:shd w:val="clear" w:color="auto" w:fill="E6EFFF"/>
          </w:tcPr>
          <w:p>
            <w:pPr>
              <w:spacing w:after="0"/>
              <w:rPr>
                <w:sz w:val="14"/>
                <w:szCs w:val="14"/>
                <w:color w:val="auto"/>
              </w:rPr>
            </w:pPr>
          </w:p>
        </w:tc>
        <w:tc>
          <w:tcPr>
            <w:tcW w:w="96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(2.9)</w:t>
            </w:r>
          </w:p>
        </w:tc>
        <w:tc>
          <w:tcPr>
            <w:tcW w:w="52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(0.6)</w:t>
            </w:r>
          </w:p>
        </w:tc>
        <w:tc>
          <w:tcPr>
            <w:tcW w:w="700" w:type="dxa"/>
            <w:vAlign w:val="bottom"/>
            <w:shd w:val="clear" w:color="auto" w:fill="E6EFFF"/>
          </w:tcPr>
          <w:p>
            <w:pPr>
              <w:spacing w:after="0"/>
              <w:rPr>
                <w:sz w:val="14"/>
                <w:szCs w:val="14"/>
                <w:color w:val="auto"/>
              </w:rPr>
            </w:pPr>
          </w:p>
        </w:tc>
        <w:tc>
          <w:tcPr>
            <w:tcW w:w="84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4"/>
                <w:szCs w:val="14"/>
                <w:color w:val="auto"/>
              </w:rPr>
            </w:pPr>
          </w:p>
        </w:tc>
      </w:tr>
      <w:tr>
        <w:trPr>
          <w:trHeight w:val="164"/>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Miscellaneous expense, net</w:t>
            </w:r>
          </w:p>
        </w:tc>
        <w:tc>
          <w:tcPr>
            <w:tcW w:w="4720" w:type="dxa"/>
            <w:vAlign w:val="bottom"/>
            <w:tcBorders>
              <w:bottom w:val="single" w:sz="8" w:color="auto"/>
              <w:right w:val="single" w:sz="8" w:color="4D8ABE"/>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12.0</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5.8</w:t>
            </w: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220" w:type="dxa"/>
            <w:vAlign w:val="bottom"/>
            <w:tcBorders>
              <w:bottom w:val="single" w:sz="8" w:color="E6EFFF"/>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320" w:type="dxa"/>
            <w:vAlign w:val="bottom"/>
            <w:tcBorders>
              <w:bottom w:val="single" w:sz="8" w:color="auto"/>
            </w:tcBorders>
            <w:shd w:val="clear" w:color="auto" w:fill="E6EFFF"/>
          </w:tcPr>
          <w:p>
            <w:pPr>
              <w:spacing w:after="0" w:line="155" w:lineRule="exact"/>
              <w:rPr>
                <w:sz w:val="20"/>
                <w:szCs w:val="20"/>
                <w:color w:val="auto"/>
              </w:rPr>
            </w:pPr>
            <w:r>
              <w:rPr>
                <w:rFonts w:ascii="Arial" w:cs="Arial" w:eastAsia="Arial" w:hAnsi="Arial"/>
                <w:sz w:val="14"/>
                <w:szCs w:val="14"/>
                <w:color w:val="auto"/>
              </w:rPr>
              <w:t>Interest and other expense</w:t>
            </w:r>
          </w:p>
        </w:tc>
        <w:tc>
          <w:tcPr>
            <w:tcW w:w="4720" w:type="dxa"/>
            <w:vAlign w:val="bottom"/>
            <w:tcBorders>
              <w:bottom w:val="single" w:sz="8" w:color="auto"/>
              <w:right w:val="single" w:sz="8" w:color="4D8ABE"/>
            </w:tcBorders>
            <w:shd w:val="clear" w:color="auto" w:fill="E6EFFF"/>
          </w:tcPr>
          <w:p>
            <w:pPr>
              <w:spacing w:after="0"/>
              <w:rPr>
                <w:sz w:val="13"/>
                <w:szCs w:val="13"/>
                <w:color w:val="auto"/>
              </w:rPr>
            </w:pPr>
          </w:p>
        </w:tc>
        <w:tc>
          <w:tcPr>
            <w:tcW w:w="520" w:type="dxa"/>
            <w:vAlign w:val="bottom"/>
            <w:tcBorders>
              <w:bottom w:val="single" w:sz="8" w:color="auto"/>
            </w:tcBorders>
            <w:shd w:val="clear" w:color="auto" w:fill="E6EFFF"/>
          </w:tcPr>
          <w:p>
            <w:pPr>
              <w:jc w:val="right"/>
              <w:ind w:right="352"/>
              <w:spacing w:after="0" w:line="155" w:lineRule="exact"/>
              <w:rPr>
                <w:sz w:val="20"/>
                <w:szCs w:val="20"/>
                <w:color w:val="auto"/>
              </w:rPr>
            </w:pPr>
            <w:r>
              <w:rPr>
                <w:rFonts w:ascii="Arial" w:cs="Arial" w:eastAsia="Arial" w:hAnsi="Arial"/>
                <w:sz w:val="14"/>
                <w:szCs w:val="14"/>
                <w:b w:val="1"/>
                <w:bCs w:val="1"/>
                <w:color w:val="4D8ABE"/>
              </w:rPr>
              <w:t>$</w:t>
            </w:r>
          </w:p>
        </w:tc>
        <w:tc>
          <w:tcPr>
            <w:tcW w:w="96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50.9</w:t>
            </w:r>
          </w:p>
        </w:tc>
        <w:tc>
          <w:tcPr>
            <w:tcW w:w="520" w:type="dxa"/>
            <w:vAlign w:val="bottom"/>
            <w:tcBorders>
              <w:bottom w:val="single" w:sz="8" w:color="auto"/>
            </w:tcBorders>
            <w:shd w:val="clear" w:color="auto" w:fill="E6EFFF"/>
          </w:tcPr>
          <w:p>
            <w:pPr>
              <w:jc w:val="right"/>
              <w:ind w:right="355"/>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34.2</w:t>
            </w:r>
          </w:p>
        </w:tc>
        <w:tc>
          <w:tcPr>
            <w:tcW w:w="700" w:type="dxa"/>
            <w:vAlign w:val="bottom"/>
            <w:tcBorders>
              <w:bottom w:val="single" w:sz="8" w:color="auto"/>
            </w:tcBorders>
            <w:shd w:val="clear" w:color="auto" w:fill="E6EFFF"/>
          </w:tcPr>
          <w:p>
            <w:pPr>
              <w:jc w:val="right"/>
              <w:ind w:right="452"/>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50.2</w:t>
            </w:r>
          </w:p>
        </w:tc>
        <w:tc>
          <w:tcPr>
            <w:tcW w:w="220" w:type="dxa"/>
            <w:vAlign w:val="bottom"/>
            <w:tcBorders>
              <w:bottom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370"/>
        </w:trPr>
        <w:tc>
          <w:tcPr>
            <w:tcW w:w="23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2320" w:type="dxa"/>
            <w:vAlign w:val="bottom"/>
          </w:tcPr>
          <w:p>
            <w:pPr>
              <w:spacing w:after="0"/>
              <w:rPr>
                <w:sz w:val="20"/>
                <w:szCs w:val="20"/>
                <w:color w:val="auto"/>
              </w:rPr>
            </w:pPr>
            <w:r>
              <w:rPr>
                <w:rFonts w:ascii="Arial" w:cs="Arial" w:eastAsia="Arial" w:hAnsi="Arial"/>
                <w:sz w:val="12"/>
                <w:szCs w:val="12"/>
                <w:b w:val="1"/>
                <w:bCs w:val="1"/>
                <w:color w:val="auto"/>
              </w:rPr>
              <w:t>66</w:t>
            </w:r>
          </w:p>
        </w:tc>
        <w:tc>
          <w:tcPr>
            <w:tcW w:w="4720" w:type="dxa"/>
            <w:vAlign w:val="bottom"/>
          </w:tcPr>
          <w:p>
            <w:pPr>
              <w:ind w:left="540"/>
              <w:spacing w:after="0"/>
              <w:rPr>
                <w:sz w:val="20"/>
                <w:szCs w:val="20"/>
                <w:color w:val="auto"/>
              </w:rPr>
            </w:pPr>
            <w:r>
              <w:rPr>
                <w:rFonts w:ascii="Arial" w:cs="Arial" w:eastAsia="Arial" w:hAnsi="Arial"/>
                <w:sz w:val="12"/>
                <w:szCs w:val="12"/>
                <w:b w:val="1"/>
                <w:bCs w:val="1"/>
                <w:color w:val="939598"/>
              </w:rPr>
              <w:t>Notes To Consolidated Financial Statements</w:t>
            </w: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00" w:type="dxa"/>
            <w:vAlign w:val="bottom"/>
            <w:gridSpan w:val="3"/>
          </w:tcPr>
          <w:p>
            <w:pPr>
              <w:jc w:val="right"/>
              <w:ind w:right="252"/>
              <w:spacing w:after="0"/>
              <w:rPr>
                <w:sz w:val="20"/>
                <w:szCs w:val="20"/>
                <w:color w:val="auto"/>
              </w:rPr>
            </w:pPr>
            <w:r>
              <w:rPr>
                <w:rFonts w:ascii="Arial" w:cs="Arial" w:eastAsia="Arial" w:hAnsi="Arial"/>
                <w:sz w:val="12"/>
                <w:szCs w:val="12"/>
                <w:b w:val="1"/>
                <w:bCs w:val="1"/>
                <w:color w:val="auto"/>
              </w:rPr>
              <w:t>Manpower Annual Report 2008</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7"/>
        </w:trPr>
        <w:tc>
          <w:tcPr>
            <w:tcW w:w="23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2320" w:type="dxa"/>
            <w:vAlign w:val="bottom"/>
            <w:shd w:val="clear" w:color="auto" w:fill="808080"/>
          </w:tcPr>
          <w:p>
            <w:pPr>
              <w:spacing w:after="0"/>
              <w:rPr>
                <w:sz w:val="5"/>
                <w:szCs w:val="5"/>
                <w:color w:val="auto"/>
              </w:rPr>
            </w:pPr>
          </w:p>
        </w:tc>
        <w:tc>
          <w:tcPr>
            <w:tcW w:w="4720" w:type="dxa"/>
            <w:vAlign w:val="bottom"/>
            <w:tcBorders>
              <w:right w:val="single" w:sz="8" w:color="808080"/>
            </w:tcBorders>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00"/>
          </w:cols>
          <w:pgMar w:left="220" w:top="114" w:right="17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86B6A5"/>
        </w:rPr>
        <w:t>13.</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Derivative Financial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FOREIGN CURRENCY EXCHANGE RATE RISK MANAGEMENT</w:t>
      </w:r>
    </w:p>
    <w:p>
      <w:pPr>
        <w:spacing w:after="0" w:line="198"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In certain circumstances, we enter into foreign currency forward exchange contracts to reduce the effects of fluctuating foreign currency exchange rates on cash flows denominated in foreign currency. All such contracts entered into during 2008 and 2007, whether designated as cash flow hedges or fair value hedges, were considered highly effective, as defined by SFAS No. 133, as amended.</w:t>
      </w:r>
    </w:p>
    <w:p>
      <w:pPr>
        <w:spacing w:after="0" w:line="16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As of December 31, 2008, there were £18.6 ($27.2) of net forward contracts outstanding that relate to cash flows owed to our foreign subsidiaries in 2009. In addition, there were €2.7 ($3.7) of net forward contracts outstanding relating to cash flows owed for interest due on our €200 Notes and €300 Notes in June 2009 and cash flows owed from foreign subsidiaries.</w:t>
      </w:r>
    </w:p>
    <w:p>
      <w:pPr>
        <w:spacing w:after="0" w:line="16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Our revolving credit agreement borrowings of €100.0 ($139.7), the €200.0 ($278.4) Notes and the €300.0 ($418.2) Notes have been designated and are effective as economic hedges of our net investment in our foreign subsidiaries with a Euro functional currency. Therefore, all translation gains or losses related to these borrowings are recorded as a component of Accumulated Other Comprehensive (Loss) Income.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INTEREST RATE RISK MANAGEMENT</w:t>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Our exposure to market risk for changes in interest rates relates primarily to our Long-Term Debt obligations. We have historically managed interest rates through the use of a combination of fixed and variable rate borrowings and interest rate swap agreements.</w:t>
      </w:r>
    </w:p>
    <w:p>
      <w:pPr>
        <w:spacing w:after="0" w:line="161"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We have various interest rate swap agreements to fix our interest costs on a portion of our Euro-denominated variable rate borrowings. The Euro interest rate swap agreements have a notional value of €100.0 ($139.7), which fix the interest rate, on a weighted-average basis, at 5.71% and expire in July 2010. Such contracts have been designated as cash flow hedges and were considered highly effective, as defined by SFAS No. 133, as amended, as of December 31, 2008. For the years ended December 31, 2008, 2007 and 2006 these instruments increased interest expense by $1.9, $2.2 and $3.6,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FAIR VALUE OF DERIVATIVE FINANCIAL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derivative financial instruments are reflected in the consolidated balance sheets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December 31</w:t>
            </w:r>
          </w:p>
        </w:tc>
        <w:tc>
          <w:tcPr>
            <w:tcW w:w="520" w:type="dxa"/>
            <w:vAlign w:val="bottom"/>
            <w:shd w:val="clear" w:color="auto" w:fill="4D8ABE"/>
          </w:tcPr>
          <w:p>
            <w:pPr>
              <w:spacing w:after="0"/>
              <w:rPr>
                <w:sz w:val="14"/>
                <w:szCs w:val="14"/>
                <w:color w:val="auto"/>
              </w:rPr>
            </w:pPr>
          </w:p>
        </w:tc>
        <w:tc>
          <w:tcPr>
            <w:tcW w:w="96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4D8ABE"/>
              </w:rPr>
              <w:t>2007</w:t>
            </w:r>
          </w:p>
        </w:tc>
      </w:tr>
      <w:tr>
        <w:trPr>
          <w:trHeight w:val="155"/>
        </w:trPr>
        <w:tc>
          <w:tcPr>
            <w:tcW w:w="8520" w:type="dxa"/>
            <w:vAlign w:val="bottom"/>
            <w:tcBorders>
              <w:top w:val="single" w:sz="8" w:color="4D8ABE"/>
              <w:right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Other Long-Term Liabilities</w:t>
            </w:r>
          </w:p>
        </w:tc>
        <w:tc>
          <w:tcPr>
            <w:tcW w:w="520" w:type="dxa"/>
            <w:vAlign w:val="bottom"/>
            <w:tcBorders>
              <w:top w:val="single" w:sz="8" w:color="4D8ABE"/>
            </w:tcBorders>
          </w:tcPr>
          <w:p>
            <w:pPr>
              <w:spacing w:after="0"/>
              <w:rPr>
                <w:sz w:val="13"/>
                <w:szCs w:val="13"/>
                <w:color w:val="auto"/>
              </w:rPr>
            </w:pPr>
          </w:p>
        </w:tc>
        <w:tc>
          <w:tcPr>
            <w:tcW w:w="960" w:type="dxa"/>
            <w:vAlign w:val="bottom"/>
            <w:tcBorders>
              <w:top w:val="single" w:sz="8" w:color="4D8ABE"/>
              <w:right w:val="single" w:sz="8" w:color="4D8ABE"/>
            </w:tcBorders>
          </w:tcPr>
          <w:p>
            <w:pPr>
              <w:spacing w:after="0"/>
              <w:rPr>
                <w:sz w:val="13"/>
                <w:szCs w:val="13"/>
                <w:color w:val="auto"/>
              </w:rPr>
            </w:pPr>
          </w:p>
        </w:tc>
        <w:tc>
          <w:tcPr>
            <w:tcW w:w="520" w:type="dxa"/>
            <w:vAlign w:val="bottom"/>
            <w:tcBorders>
              <w:top w:val="single" w:sz="8" w:color="4D8ABE"/>
            </w:tcBorders>
          </w:tcPr>
          <w:p>
            <w:pPr>
              <w:spacing w:after="0"/>
              <w:rPr>
                <w:sz w:val="13"/>
                <w:szCs w:val="13"/>
                <w:color w:val="auto"/>
              </w:rPr>
            </w:pPr>
          </w:p>
        </w:tc>
        <w:tc>
          <w:tcPr>
            <w:tcW w:w="72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r>
      <w:tr>
        <w:trPr>
          <w:trHeight w:val="154"/>
        </w:trPr>
        <w:tc>
          <w:tcPr>
            <w:tcW w:w="8520" w:type="dxa"/>
            <w:vAlign w:val="bottom"/>
            <w:tcBorders>
              <w:right w:val="single" w:sz="8" w:color="4D8ABE"/>
            </w:tcBorders>
            <w:shd w:val="clear" w:color="auto" w:fill="E6EFFF"/>
          </w:tcPr>
          <w:p>
            <w:pPr>
              <w:spacing w:after="0" w:line="154" w:lineRule="exact"/>
              <w:rPr>
                <w:sz w:val="20"/>
                <w:szCs w:val="20"/>
                <w:color w:val="auto"/>
              </w:rPr>
            </w:pPr>
            <w:r>
              <w:rPr>
                <w:rFonts w:ascii="Arial" w:cs="Arial" w:eastAsia="Arial" w:hAnsi="Arial"/>
                <w:sz w:val="14"/>
                <w:szCs w:val="14"/>
                <w:color w:val="auto"/>
              </w:rPr>
              <w:t>€100.0 interest rate swaps</w:t>
            </w:r>
          </w:p>
        </w:tc>
        <w:tc>
          <w:tcPr>
            <w:tcW w:w="520" w:type="dxa"/>
            <w:vAlign w:val="bottom"/>
            <w:shd w:val="clear" w:color="auto" w:fill="E6EFFF"/>
          </w:tcPr>
          <w:p>
            <w:pPr>
              <w:jc w:val="right"/>
              <w:ind w:right="352"/>
              <w:spacing w:after="0" w:line="154" w:lineRule="exact"/>
              <w:rPr>
                <w:sz w:val="20"/>
                <w:szCs w:val="20"/>
                <w:color w:val="auto"/>
              </w:rPr>
            </w:pPr>
            <w:r>
              <w:rPr>
                <w:rFonts w:ascii="Arial" w:cs="Arial" w:eastAsia="Arial" w:hAnsi="Arial"/>
                <w:sz w:val="14"/>
                <w:szCs w:val="14"/>
                <w:b w:val="1"/>
                <w:bCs w:val="1"/>
                <w:color w:val="4D8ABE"/>
              </w:rPr>
              <w:t>$</w:t>
            </w:r>
          </w:p>
        </w:tc>
        <w:tc>
          <w:tcPr>
            <w:tcW w:w="960" w:type="dxa"/>
            <w:vAlign w:val="bottom"/>
            <w:tcBorders>
              <w:right w:val="single" w:sz="8" w:color="4D8ABE"/>
            </w:tcBorders>
            <w:shd w:val="clear" w:color="auto" w:fill="E6EFFF"/>
          </w:tcPr>
          <w:p>
            <w:pPr>
              <w:jc w:val="right"/>
              <w:ind w:right="132"/>
              <w:spacing w:after="0" w:line="154" w:lineRule="exact"/>
              <w:rPr>
                <w:sz w:val="20"/>
                <w:szCs w:val="20"/>
                <w:color w:val="auto"/>
              </w:rPr>
            </w:pPr>
            <w:r>
              <w:rPr>
                <w:rFonts w:ascii="Arial" w:cs="Arial" w:eastAsia="Arial" w:hAnsi="Arial"/>
                <w:sz w:val="14"/>
                <w:szCs w:val="14"/>
                <w:b w:val="1"/>
                <w:bCs w:val="1"/>
                <w:color w:val="4D8ABE"/>
              </w:rPr>
              <w:t>(7.4)</w:t>
            </w:r>
          </w:p>
        </w:tc>
        <w:tc>
          <w:tcPr>
            <w:tcW w:w="520" w:type="dxa"/>
            <w:vAlign w:val="bottom"/>
            <w:shd w:val="clear" w:color="auto" w:fill="E6EFFF"/>
          </w:tcPr>
          <w:p>
            <w:pPr>
              <w:jc w:val="right"/>
              <w:ind w:right="352"/>
              <w:spacing w:after="0" w:line="154"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6EFFF"/>
          </w:tcPr>
          <w:p>
            <w:pPr>
              <w:jc w:val="right"/>
              <w:ind w:right="140"/>
              <w:spacing w:after="0" w:line="154" w:lineRule="exact"/>
              <w:rPr>
                <w:sz w:val="20"/>
                <w:szCs w:val="20"/>
                <w:color w:val="auto"/>
              </w:rPr>
            </w:pPr>
            <w:r>
              <w:rPr>
                <w:rFonts w:ascii="Arial" w:cs="Arial" w:eastAsia="Arial" w:hAnsi="Arial"/>
                <w:sz w:val="14"/>
                <w:szCs w:val="14"/>
                <w:color w:val="auto"/>
              </w:rPr>
              <w:t>(5.1)</w:t>
            </w:r>
          </w:p>
        </w:tc>
      </w:tr>
      <w:tr>
        <w:trPr>
          <w:trHeight w:val="164"/>
        </w:trPr>
        <w:tc>
          <w:tcPr>
            <w:tcW w:w="852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Forward contracts</w:t>
            </w:r>
          </w:p>
        </w:tc>
        <w:tc>
          <w:tcPr>
            <w:tcW w:w="520" w:type="dxa"/>
            <w:vAlign w:val="bottom"/>
          </w:tcPr>
          <w:p>
            <w:pPr>
              <w:spacing w:after="0"/>
              <w:rPr>
                <w:sz w:val="14"/>
                <w:szCs w:val="14"/>
                <w:color w:val="auto"/>
              </w:rPr>
            </w:pPr>
          </w:p>
        </w:tc>
        <w:tc>
          <w:tcPr>
            <w:tcW w:w="96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(8.4)</w:t>
            </w:r>
          </w:p>
        </w:tc>
        <w:tc>
          <w:tcPr>
            <w:tcW w:w="5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45"/>
        </w:trPr>
        <w:tc>
          <w:tcPr>
            <w:tcW w:w="8520" w:type="dxa"/>
            <w:vAlign w:val="bottom"/>
            <w:tcBorders>
              <w:top w:val="single" w:sz="8" w:color="auto"/>
              <w:bottom w:val="single" w:sz="8" w:color="auto"/>
              <w:right w:val="single" w:sz="8" w:color="4D8ABE"/>
            </w:tcBorders>
            <w:shd w:val="clear" w:color="auto" w:fill="E6EFFF"/>
          </w:tcPr>
          <w:p>
            <w:pPr>
              <w:spacing w:after="0" w:line="145" w:lineRule="exact"/>
              <w:rPr>
                <w:sz w:val="20"/>
                <w:szCs w:val="20"/>
                <w:color w:val="auto"/>
              </w:rPr>
            </w:pPr>
            <w:r>
              <w:rPr>
                <w:rFonts w:ascii="Arial" w:cs="Arial" w:eastAsia="Arial" w:hAnsi="Arial"/>
                <w:sz w:val="14"/>
                <w:szCs w:val="14"/>
                <w:color w:val="auto"/>
              </w:rPr>
              <w:t>Total fair value</w:t>
            </w:r>
          </w:p>
        </w:tc>
        <w:tc>
          <w:tcPr>
            <w:tcW w:w="520" w:type="dxa"/>
            <w:vAlign w:val="bottom"/>
            <w:tcBorders>
              <w:top w:val="single" w:sz="8" w:color="auto"/>
              <w:bottom w:val="single" w:sz="8" w:color="auto"/>
            </w:tcBorders>
            <w:shd w:val="clear" w:color="auto" w:fill="E6EFFF"/>
          </w:tcPr>
          <w:p>
            <w:pPr>
              <w:jc w:val="right"/>
              <w:ind w:right="352"/>
              <w:spacing w:after="0" w:line="145" w:lineRule="exact"/>
              <w:rPr>
                <w:sz w:val="20"/>
                <w:szCs w:val="20"/>
                <w:color w:val="auto"/>
              </w:rPr>
            </w:pPr>
            <w:r>
              <w:rPr>
                <w:rFonts w:ascii="Arial" w:cs="Arial" w:eastAsia="Arial" w:hAnsi="Arial"/>
                <w:sz w:val="14"/>
                <w:szCs w:val="14"/>
                <w:b w:val="1"/>
                <w:bCs w:val="1"/>
                <w:color w:val="4D8ABE"/>
              </w:rPr>
              <w:t>$</w:t>
            </w:r>
          </w:p>
        </w:tc>
        <w:tc>
          <w:tcPr>
            <w:tcW w:w="960" w:type="dxa"/>
            <w:vAlign w:val="bottom"/>
            <w:tcBorders>
              <w:top w:val="single" w:sz="8" w:color="auto"/>
              <w:bottom w:val="single" w:sz="8" w:color="auto"/>
              <w:right w:val="single" w:sz="8" w:color="4D8ABE"/>
            </w:tcBorders>
            <w:shd w:val="clear" w:color="auto" w:fill="E6EFFF"/>
          </w:tcPr>
          <w:p>
            <w:pPr>
              <w:jc w:val="right"/>
              <w:ind w:right="132"/>
              <w:spacing w:after="0" w:line="145" w:lineRule="exact"/>
              <w:rPr>
                <w:sz w:val="20"/>
                <w:szCs w:val="20"/>
                <w:color w:val="auto"/>
              </w:rPr>
            </w:pPr>
            <w:r>
              <w:rPr>
                <w:rFonts w:ascii="Arial" w:cs="Arial" w:eastAsia="Arial" w:hAnsi="Arial"/>
                <w:sz w:val="14"/>
                <w:szCs w:val="14"/>
                <w:b w:val="1"/>
                <w:bCs w:val="1"/>
                <w:color w:val="4D8ABE"/>
              </w:rPr>
              <w:t>(15.8)</w:t>
            </w:r>
          </w:p>
        </w:tc>
        <w:tc>
          <w:tcPr>
            <w:tcW w:w="520" w:type="dxa"/>
            <w:vAlign w:val="bottom"/>
            <w:tcBorders>
              <w:top w:val="single" w:sz="8" w:color="auto"/>
              <w:bottom w:val="single" w:sz="8" w:color="auto"/>
            </w:tcBorders>
            <w:shd w:val="clear" w:color="auto" w:fill="E6EFFF"/>
          </w:tcPr>
          <w:p>
            <w:pPr>
              <w:jc w:val="right"/>
              <w:ind w:right="352"/>
              <w:spacing w:after="0" w:line="14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E6EFFF"/>
          </w:tcPr>
          <w:p>
            <w:pPr>
              <w:jc w:val="right"/>
              <w:spacing w:after="0" w:line="145" w:lineRule="exact"/>
              <w:rPr>
                <w:sz w:val="20"/>
                <w:szCs w:val="20"/>
                <w:color w:val="auto"/>
              </w:rPr>
            </w:pPr>
            <w:r>
              <w:rPr>
                <w:rFonts w:ascii="Arial" w:cs="Arial" w:eastAsia="Arial" w:hAnsi="Arial"/>
                <w:sz w:val="14"/>
                <w:szCs w:val="14"/>
                <w:color w:val="auto"/>
              </w:rPr>
              <w:t>(5.1</w:t>
            </w:r>
          </w:p>
        </w:tc>
        <w:tc>
          <w:tcPr>
            <w:tcW w:w="220" w:type="dxa"/>
            <w:vAlign w:val="bottom"/>
            <w:tcBorders>
              <w:top w:val="single" w:sz="8" w:color="E6EFFF"/>
              <w:bottom w:val="single" w:sz="8" w:color="E6EFFF"/>
            </w:tcBorders>
            <w:shd w:val="clear" w:color="auto" w:fill="E6EFFF"/>
          </w:tcPr>
          <w:p>
            <w:pPr>
              <w:jc w:val="right"/>
              <w:ind w:right="140"/>
              <w:spacing w:after="0"/>
              <w:rPr>
                <w:sz w:val="20"/>
                <w:szCs w:val="20"/>
                <w:color w:val="auto"/>
              </w:rPr>
            </w:pPr>
            <w:r>
              <w:rPr>
                <w:rFonts w:ascii="Arial" w:cs="Arial" w:eastAsia="Arial" w:hAnsi="Arial"/>
                <w:sz w:val="8"/>
                <w:szCs w:val="8"/>
                <w:color w:val="auto"/>
                <w:w w:val="73"/>
              </w:rPr>
              <w:t>)</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14.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LITIGATION</w:t>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We are involved in a number of lawsuits arising in the ordinary course of business which will not, in the opinion of management, have a material effect on our results of operations, financial position or cash flows.</w:t>
      </w:r>
    </w:p>
    <w:p>
      <w:pPr>
        <w:spacing w:after="0" w:line="161"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In November 2004, French authorities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has led the DGCCRF to transmit the results of its inquiry to the French Competition Council. In November 2007, we received 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114" w:right="1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Statement of Objections from the Competition Council alleging illegal information sharing between us and certain of our competitors. We responded to this Statement of Objections in February 2008, defending our position.</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June 2008, we received a Report from the Competition Council, which was prepared by the case handler for the Competition Council and opened the second phase of the procedure before the Competition Council. The Report rejected all of the defense arguments we made in our initial response and maintained the objections as set forth in the Statement of Objections. It also provided the Competition Council with the elements for the calculation of fines, including the case handler’s estimation of our portion of the alleged damage to the economy.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responded to the June 2008 Report in August 2008, providing further arguments and information in defense of our position and providing our own estimation of the alleged damage to the economy. A hearing on the matter before the Competition Council was held in October 2008.</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After considering the input that has been provided, the Competition Council rendered its decision in the matter in February 2009 and levied a fine of €42.0 ($53.8) based on the council’s determination of the damage to the economy attributable to the alleged misconduct, with adjustment for aggravating or mitigating factors. We will be required to pay this fine in early 2009, but are currently planning to appeal the Competition Council’s decision. We had previously recorded a reserve sufficient to cover the fine.</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GUARANTEES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have entered into certain guarantee contracts and stand-by letters of credit that total $158.0 ($107.6 for guarantees and $50.4 for stand-by letters of credit). The guarantees primarily relate to indebtedness and bank accounts.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Segment Data</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are organized and managed primarily on a geographic basis, with the exception of Jefferson Wells and Right Management, which are operated as separate global business units. Each country and business unit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reporting segments: United States; France; Other EMEA (Europe, Middle East and Africa, excluding France and Italy); Italy; Jefferson Wells; Right Management; and Other Operations.</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United States, France, Other EMEA, Italy and Other Operations segments derive a significant majority of their revenues from the placement of contingent workers. The remaining revenues within these segments are derived from other human resource services, including permanent employee recruitment, temporary and permanent employee testing, selection, and training and Recruitment Process Outsourcing. The Jefferson Wells segment revenues are derived from services related to internal controls, tax, technology risk management, and finance and accounting. The Right Management segment revenues are derived from outplacement and consulting services. Segment revenues represent sales to external clients primarily within a single segment. Due to the nature of our business, we generally do not have export or intersegment sales. We provide services to a wide variety of clients, none of which individually comprise a significant portion of revenue for us as a whole.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amortization of intangibles related to the acquisition of Right Management, interest and other income and expense amounts or income taxes. Total assets for the segments are reported after the elimination of investments in subsidiaries and intercompany accounts.</w:t>
      </w:r>
    </w:p>
    <w:p>
      <w:pPr>
        <w:spacing w:after="0" w:line="169" w:lineRule="exact"/>
        <w:rPr>
          <w:sz w:val="20"/>
          <w:szCs w:val="20"/>
          <w:color w:val="auto"/>
        </w:rPr>
      </w:pPr>
    </w:p>
    <w:p>
      <w:pPr>
        <w:spacing w:after="0"/>
        <w:tabs>
          <w:tab w:leader="none" w:pos="2840" w:val="left"/>
          <w:tab w:leader="none" w:pos="8580" w:val="left"/>
        </w:tabs>
        <w:rPr>
          <w:sz w:val="20"/>
          <w:szCs w:val="20"/>
          <w:color w:val="auto"/>
        </w:rPr>
      </w:pPr>
      <w:r>
        <w:rPr>
          <w:rFonts w:ascii="Arial" w:cs="Arial" w:eastAsia="Arial" w:hAnsi="Arial"/>
          <w:sz w:val="12"/>
          <w:szCs w:val="12"/>
          <w:b w:val="1"/>
          <w:bCs w:val="1"/>
          <w:color w:val="auto"/>
        </w:rPr>
        <w:t>68</w:t>
      </w:r>
      <w:r>
        <w:rPr>
          <w:sz w:val="20"/>
          <w:szCs w:val="20"/>
          <w:color w:val="auto"/>
        </w:rPr>
        <w:tab/>
      </w:r>
      <w:r>
        <w:rPr>
          <w:rFonts w:ascii="Arial" w:cs="Arial" w:eastAsia="Arial" w:hAnsi="Arial"/>
          <w:sz w:val="12"/>
          <w:szCs w:val="12"/>
          <w:b w:val="1"/>
          <w:bCs w:val="1"/>
          <w:color w:val="939598"/>
        </w:rPr>
        <w:t>Notes To Consolidated Financial Statements</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7964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wp:posOffset>
            </wp:positionV>
            <wp:extent cx="729869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Year Ended December 31</w:t>
            </w:r>
          </w:p>
        </w:tc>
        <w:tc>
          <w:tcPr>
            <w:tcW w:w="400" w:type="dxa"/>
            <w:vAlign w:val="bottom"/>
            <w:shd w:val="clear" w:color="auto" w:fill="4D8ABE"/>
          </w:tcPr>
          <w:p>
            <w:pPr>
              <w:spacing w:after="0"/>
              <w:rPr>
                <w:sz w:val="15"/>
                <w:szCs w:val="15"/>
                <w:color w:val="auto"/>
              </w:rPr>
            </w:pPr>
          </w:p>
        </w:tc>
        <w:tc>
          <w:tcPr>
            <w:tcW w:w="10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400" w:type="dxa"/>
            <w:vAlign w:val="bottom"/>
          </w:tcPr>
          <w:p>
            <w:pPr>
              <w:spacing w:after="0"/>
              <w:rPr>
                <w:sz w:val="15"/>
                <w:szCs w:val="15"/>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4D8ABE"/>
              </w:rPr>
              <w:t>2007</w:t>
            </w:r>
          </w:p>
        </w:tc>
        <w:tc>
          <w:tcPr>
            <w:tcW w:w="4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shd w:val="clear" w:color="auto" w:fill="E6EFFF"/>
          </w:tcPr>
          <w:p>
            <w:pPr>
              <w:spacing w:after="0" w:line="154" w:lineRule="exact"/>
              <w:rPr>
                <w:sz w:val="20"/>
                <w:szCs w:val="20"/>
                <w:color w:val="auto"/>
              </w:rPr>
            </w:pPr>
            <w:r>
              <w:rPr>
                <w:rFonts w:ascii="Arial" w:cs="Arial" w:eastAsia="Arial" w:hAnsi="Arial"/>
                <w:sz w:val="12"/>
                <w:szCs w:val="12"/>
                <w:b w:val="1"/>
                <w:bCs w:val="1"/>
                <w:color w:val="939598"/>
              </w:rPr>
              <w:t xml:space="preserve">Revenues from Services </w:t>
            </w:r>
            <w:r>
              <w:rPr>
                <w:rFonts w:ascii="Arial" w:cs="Arial" w:eastAsia="Arial" w:hAnsi="Arial"/>
                <w:sz w:val="17"/>
                <w:szCs w:val="17"/>
                <w:b w:val="1"/>
                <w:bCs w:val="1"/>
                <w:color w:val="939598"/>
                <w:vertAlign w:val="superscript"/>
              </w:rPr>
              <w:t>(a)</w:t>
            </w:r>
          </w:p>
        </w:tc>
        <w:tc>
          <w:tcPr>
            <w:tcW w:w="400" w:type="dxa"/>
            <w:vAlign w:val="bottom"/>
            <w:tcBorders>
              <w:top w:val="single" w:sz="8" w:color="4D8ABE"/>
            </w:tcBorders>
            <w:shd w:val="clear" w:color="auto" w:fill="E6EFFF"/>
          </w:tcPr>
          <w:p>
            <w:pPr>
              <w:spacing w:after="0"/>
              <w:rPr>
                <w:sz w:val="13"/>
                <w:szCs w:val="13"/>
                <w:color w:val="auto"/>
              </w:rPr>
            </w:pPr>
          </w:p>
        </w:tc>
        <w:tc>
          <w:tcPr>
            <w:tcW w:w="1080" w:type="dxa"/>
            <w:vAlign w:val="bottom"/>
            <w:tcBorders>
              <w:top w:val="single" w:sz="8" w:color="4D8ABE"/>
              <w:right w:val="single" w:sz="8" w:color="4D8ABE"/>
            </w:tcBorders>
            <w:shd w:val="clear" w:color="auto" w:fill="E6EFFF"/>
          </w:tcPr>
          <w:p>
            <w:pPr>
              <w:spacing w:after="0"/>
              <w:rPr>
                <w:sz w:val="13"/>
                <w:szCs w:val="13"/>
                <w:color w:val="auto"/>
              </w:rPr>
            </w:pPr>
          </w:p>
        </w:tc>
        <w:tc>
          <w:tcPr>
            <w:tcW w:w="400" w:type="dxa"/>
            <w:vAlign w:val="bottom"/>
            <w:tcBorders>
              <w:top w:val="single" w:sz="8" w:color="4D8ABE"/>
            </w:tcBorders>
            <w:shd w:val="clear" w:color="auto" w:fill="E6EFFF"/>
          </w:tcPr>
          <w:p>
            <w:pPr>
              <w:spacing w:after="0"/>
              <w:rPr>
                <w:sz w:val="13"/>
                <w:szCs w:val="13"/>
                <w:color w:val="auto"/>
              </w:rPr>
            </w:pPr>
          </w:p>
        </w:tc>
        <w:tc>
          <w:tcPr>
            <w:tcW w:w="1000" w:type="dxa"/>
            <w:vAlign w:val="bottom"/>
            <w:tcBorders>
              <w:top w:val="single" w:sz="8" w:color="4D8ABE"/>
            </w:tcBorders>
            <w:shd w:val="clear" w:color="auto" w:fill="E6EFFF"/>
          </w:tcPr>
          <w:p>
            <w:pPr>
              <w:spacing w:after="0"/>
              <w:rPr>
                <w:sz w:val="13"/>
                <w:szCs w:val="13"/>
                <w:color w:val="auto"/>
              </w:rPr>
            </w:pPr>
          </w:p>
        </w:tc>
        <w:tc>
          <w:tcPr>
            <w:tcW w:w="480" w:type="dxa"/>
            <w:vAlign w:val="bottom"/>
            <w:tcBorders>
              <w:top w:val="single" w:sz="8" w:color="4D8ABE"/>
            </w:tcBorders>
            <w:shd w:val="clear" w:color="auto" w:fill="E6EFFF"/>
          </w:tcPr>
          <w:p>
            <w:pPr>
              <w:spacing w:after="0"/>
              <w:rPr>
                <w:sz w:val="13"/>
                <w:szCs w:val="13"/>
                <w:color w:val="auto"/>
              </w:rPr>
            </w:pPr>
          </w:p>
        </w:tc>
        <w:tc>
          <w:tcPr>
            <w:tcW w:w="840" w:type="dxa"/>
            <w:vAlign w:val="bottom"/>
            <w:tcBorders>
              <w:top w:val="single" w:sz="8" w:color="4D8ABE"/>
            </w:tcBorders>
            <w:shd w:val="clear" w:color="auto" w:fill="E6EFFF"/>
          </w:tcPr>
          <w:p>
            <w:pPr>
              <w:spacing w:after="0"/>
              <w:rPr>
                <w:sz w:val="13"/>
                <w:szCs w:val="13"/>
                <w:color w:val="auto"/>
              </w:rPr>
            </w:pP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line="164" w:lineRule="exact"/>
              <w:rPr>
                <w:sz w:val="20"/>
                <w:szCs w:val="20"/>
                <w:color w:val="auto"/>
              </w:rPr>
            </w:pPr>
            <w:r>
              <w:rPr>
                <w:rFonts w:ascii="Arial" w:cs="Arial" w:eastAsia="Arial" w:hAnsi="Arial"/>
                <w:sz w:val="14"/>
                <w:szCs w:val="14"/>
                <w:color w:val="auto"/>
              </w:rPr>
              <w:t xml:space="preserve">United States </w:t>
            </w:r>
            <w:r>
              <w:rPr>
                <w:rFonts w:ascii="Arial" w:cs="Arial" w:eastAsia="Arial" w:hAnsi="Arial"/>
                <w:sz w:val="19"/>
                <w:szCs w:val="19"/>
                <w:color w:val="auto"/>
                <w:vertAlign w:val="superscript"/>
              </w:rPr>
              <w:t>(b)</w:t>
            </w:r>
          </w:p>
        </w:tc>
        <w:tc>
          <w:tcPr>
            <w:tcW w:w="400" w:type="dxa"/>
            <w:vAlign w:val="bottom"/>
          </w:tcPr>
          <w:p>
            <w:pPr>
              <w:jc w:val="right"/>
              <w:ind w:right="232"/>
              <w:spacing w:after="0"/>
              <w:rPr>
                <w:sz w:val="20"/>
                <w:szCs w:val="20"/>
                <w:color w:val="auto"/>
              </w:rPr>
            </w:pPr>
            <w:r>
              <w:rPr>
                <w:rFonts w:ascii="Arial" w:cs="Arial" w:eastAsia="Arial" w:hAnsi="Arial"/>
                <w:sz w:val="14"/>
                <w:szCs w:val="14"/>
                <w:b w:val="1"/>
                <w:bCs w:val="1"/>
                <w:color w:val="4D8ABE"/>
              </w:rPr>
              <w:t>$</w:t>
            </w: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1,945.4</w:t>
            </w:r>
          </w:p>
        </w:tc>
        <w:tc>
          <w:tcPr>
            <w:tcW w:w="4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1,962.2</w:t>
            </w:r>
          </w:p>
        </w:tc>
        <w:tc>
          <w:tcPr>
            <w:tcW w:w="4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2,114.9</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France</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6,935.6</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7,025.3</w:t>
            </w:r>
          </w:p>
        </w:tc>
        <w:tc>
          <w:tcPr>
            <w:tcW w:w="480" w:type="dxa"/>
            <w:vAlign w:val="bottom"/>
            <w:shd w:val="clear" w:color="auto" w:fill="E6EFFF"/>
          </w:tcPr>
          <w:p>
            <w:pPr>
              <w:spacing w:after="0"/>
              <w:rPr>
                <w:sz w:val="14"/>
                <w:szCs w:val="14"/>
                <w:color w:val="auto"/>
              </w:rPr>
            </w:pP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6,019.1</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Other EMEA</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7,437.7</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6,750.4</w:t>
            </w:r>
          </w:p>
        </w:tc>
        <w:tc>
          <w:tcPr>
            <w:tcW w:w="4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5,230.7</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Italy</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1,519.5</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1,398.1</w:t>
            </w:r>
          </w:p>
        </w:tc>
        <w:tc>
          <w:tcPr>
            <w:tcW w:w="480" w:type="dxa"/>
            <w:vAlign w:val="bottom"/>
            <w:shd w:val="clear" w:color="auto" w:fill="E6EFFF"/>
          </w:tcPr>
          <w:p>
            <w:pPr>
              <w:spacing w:after="0"/>
              <w:rPr>
                <w:sz w:val="14"/>
                <w:szCs w:val="14"/>
                <w:color w:val="auto"/>
              </w:rPr>
            </w:pP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1,132.6</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Jefferson Wells</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291.0</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332.0</w:t>
            </w:r>
          </w:p>
        </w:tc>
        <w:tc>
          <w:tcPr>
            <w:tcW w:w="4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373.0</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Right Management</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449.7</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409.9</w:t>
            </w:r>
          </w:p>
        </w:tc>
        <w:tc>
          <w:tcPr>
            <w:tcW w:w="480" w:type="dxa"/>
            <w:vAlign w:val="bottom"/>
            <w:shd w:val="clear" w:color="auto" w:fill="E6EFFF"/>
          </w:tcPr>
          <w:p>
            <w:pPr>
              <w:spacing w:after="0"/>
              <w:rPr>
                <w:sz w:val="14"/>
                <w:szCs w:val="14"/>
                <w:color w:val="auto"/>
              </w:rPr>
            </w:pP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387.3</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Other Operations</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2,973.9</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2,622.4</w:t>
            </w:r>
          </w:p>
        </w:tc>
        <w:tc>
          <w:tcPr>
            <w:tcW w:w="4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2,304.9</w:t>
            </w:r>
          </w:p>
        </w:tc>
      </w:tr>
      <w:tr>
        <w:trPr>
          <w:trHeight w:val="155"/>
        </w:trPr>
        <w:tc>
          <w:tcPr>
            <w:tcW w:w="7040" w:type="dxa"/>
            <w:vAlign w:val="bottom"/>
            <w:tcBorders>
              <w:top w:val="single" w:sz="8" w:color="auto"/>
              <w:bottom w:val="single" w:sz="8" w:color="auto"/>
              <w:right w:val="single" w:sz="8" w:color="4D8ABE"/>
            </w:tcBorders>
            <w:shd w:val="clear" w:color="auto" w:fill="E6EFFF"/>
          </w:tcPr>
          <w:p>
            <w:pPr>
              <w:spacing w:after="0"/>
              <w:rPr>
                <w:sz w:val="13"/>
                <w:szCs w:val="13"/>
                <w:color w:val="auto"/>
              </w:rPr>
            </w:pPr>
          </w:p>
        </w:tc>
        <w:tc>
          <w:tcPr>
            <w:tcW w:w="400" w:type="dxa"/>
            <w:vAlign w:val="bottom"/>
            <w:tcBorders>
              <w:top w:val="single" w:sz="8" w:color="auto"/>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b w:val="1"/>
                <w:bCs w:val="1"/>
                <w:color w:val="4D8ABE"/>
              </w:rPr>
              <w:t>$</w:t>
            </w:r>
          </w:p>
        </w:tc>
        <w:tc>
          <w:tcPr>
            <w:tcW w:w="108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21,552.8</w:t>
            </w:r>
          </w:p>
        </w:tc>
        <w:tc>
          <w:tcPr>
            <w:tcW w:w="400" w:type="dxa"/>
            <w:vAlign w:val="bottom"/>
            <w:tcBorders>
              <w:top w:val="single" w:sz="8" w:color="auto"/>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20,500.3</w:t>
            </w:r>
          </w:p>
        </w:tc>
        <w:tc>
          <w:tcPr>
            <w:tcW w:w="480" w:type="dxa"/>
            <w:vAlign w:val="bottom"/>
            <w:tcBorders>
              <w:top w:val="single" w:sz="8" w:color="auto"/>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17,562.5</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939598"/>
              </w:rPr>
              <w:t>Operating Unit Profit</w:t>
            </w:r>
          </w:p>
        </w:tc>
        <w:tc>
          <w:tcPr>
            <w:tcW w:w="400" w:type="dxa"/>
            <w:vAlign w:val="bottom"/>
          </w:tcPr>
          <w:p>
            <w:pPr>
              <w:spacing w:after="0"/>
              <w:rPr>
                <w:sz w:val="14"/>
                <w:szCs w:val="14"/>
                <w:color w:val="auto"/>
              </w:rPr>
            </w:pPr>
          </w:p>
        </w:tc>
        <w:tc>
          <w:tcPr>
            <w:tcW w:w="1080" w:type="dxa"/>
            <w:vAlign w:val="bottom"/>
            <w:tcBorders>
              <w:right w:val="single" w:sz="8" w:color="4D8ABE"/>
            </w:tcBorders>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E6EFFF"/>
          </w:tcPr>
          <w:p>
            <w:pPr>
              <w:jc w:val="right"/>
              <w:ind w:right="232"/>
              <w:spacing w:after="0"/>
              <w:rPr>
                <w:sz w:val="20"/>
                <w:szCs w:val="20"/>
                <w:color w:val="auto"/>
              </w:rPr>
            </w:pPr>
            <w:r>
              <w:rPr>
                <w:rFonts w:ascii="Arial" w:cs="Arial" w:eastAsia="Arial" w:hAnsi="Arial"/>
                <w:sz w:val="14"/>
                <w:szCs w:val="14"/>
                <w:b w:val="1"/>
                <w:bCs w:val="1"/>
                <w:color w:val="4D8ABE"/>
              </w:rPr>
              <w:t>$</w:t>
            </w: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32.2</w:t>
            </w:r>
          </w:p>
        </w:tc>
        <w:tc>
          <w:tcPr>
            <w:tcW w:w="400" w:type="dxa"/>
            <w:vAlign w:val="bottom"/>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80.1</w:t>
            </w:r>
          </w:p>
        </w:tc>
        <w:tc>
          <w:tcPr>
            <w:tcW w:w="480" w:type="dxa"/>
            <w:vAlign w:val="bottom"/>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8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87.4</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France</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299.0</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390.3</w:t>
            </w:r>
          </w:p>
        </w:tc>
        <w:tc>
          <w:tcPr>
            <w:tcW w:w="4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203.3</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EMEA</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249.5</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256.7</w:t>
            </w:r>
          </w:p>
        </w:tc>
        <w:tc>
          <w:tcPr>
            <w:tcW w:w="480" w:type="dxa"/>
            <w:vAlign w:val="bottom"/>
            <w:shd w:val="clear" w:color="auto" w:fill="E6EFFF"/>
          </w:tcPr>
          <w:p>
            <w:pPr>
              <w:spacing w:after="0"/>
              <w:rPr>
                <w:sz w:val="14"/>
                <w:szCs w:val="14"/>
                <w:color w:val="auto"/>
              </w:rPr>
            </w:pP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156.7</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Italy</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120.3</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103.7</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63.5</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Jefferson Wells</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(19.6)</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(5.2)</w:t>
            </w:r>
          </w:p>
        </w:tc>
        <w:tc>
          <w:tcPr>
            <w:tcW w:w="480" w:type="dxa"/>
            <w:vAlign w:val="bottom"/>
            <w:shd w:val="clear" w:color="auto" w:fill="E6EFFF"/>
          </w:tcPr>
          <w:p>
            <w:pPr>
              <w:spacing w:after="0"/>
              <w:rPr>
                <w:sz w:val="14"/>
                <w:szCs w:val="14"/>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31.9</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Right Management</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44.6</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34.6</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14"/>
                <w:szCs w:val="14"/>
                <w:color w:val="auto"/>
              </w:rPr>
            </w:pPr>
          </w:p>
        </w:tc>
      </w:tr>
      <w:tr>
        <w:trPr>
          <w:trHeight w:val="164"/>
        </w:trPr>
        <w:tc>
          <w:tcPr>
            <w:tcW w:w="704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Operations</w:t>
            </w:r>
          </w:p>
        </w:tc>
        <w:tc>
          <w:tcPr>
            <w:tcW w:w="400" w:type="dxa"/>
            <w:vAlign w:val="bottom"/>
            <w:tcBorders>
              <w:bottom w:val="single" w:sz="8" w:color="auto"/>
            </w:tcBorders>
            <w:shd w:val="clear" w:color="auto" w:fill="E6EFFF"/>
          </w:tcPr>
          <w:p>
            <w:pPr>
              <w:spacing w:after="0"/>
              <w:rPr>
                <w:sz w:val="14"/>
                <w:szCs w:val="14"/>
                <w:color w:val="auto"/>
              </w:rPr>
            </w:pPr>
          </w:p>
        </w:tc>
        <w:tc>
          <w:tcPr>
            <w:tcW w:w="108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54.5</w:t>
            </w:r>
          </w:p>
        </w:tc>
        <w:tc>
          <w:tcPr>
            <w:tcW w:w="400" w:type="dxa"/>
            <w:vAlign w:val="bottom"/>
            <w:tcBorders>
              <w:bottom w:val="single" w:sz="8" w:color="auto"/>
            </w:tcBorders>
            <w:shd w:val="clear" w:color="auto" w:fill="E6EFFF"/>
          </w:tcPr>
          <w:p>
            <w:pPr>
              <w:spacing w:after="0"/>
              <w:rPr>
                <w:sz w:val="14"/>
                <w:szCs w:val="14"/>
                <w:color w:val="auto"/>
              </w:rPr>
            </w:pPr>
          </w:p>
        </w:tc>
        <w:tc>
          <w:tcPr>
            <w:tcW w:w="1000" w:type="dxa"/>
            <w:vAlign w:val="bottom"/>
            <w:tcBorders>
              <w:bottom w:val="single" w:sz="8" w:color="auto"/>
            </w:tcBorders>
            <w:shd w:val="clear" w:color="auto" w:fill="E6EFFF"/>
          </w:tcPr>
          <w:p>
            <w:pPr>
              <w:jc w:val="right"/>
              <w:ind w:right="92"/>
              <w:spacing w:after="0"/>
              <w:rPr>
                <w:sz w:val="20"/>
                <w:szCs w:val="20"/>
                <w:color w:val="auto"/>
              </w:rPr>
            </w:pPr>
            <w:r>
              <w:rPr>
                <w:rFonts w:ascii="Arial" w:cs="Arial" w:eastAsia="Arial" w:hAnsi="Arial"/>
                <w:sz w:val="14"/>
                <w:szCs w:val="14"/>
                <w:color w:val="auto"/>
              </w:rPr>
              <w:t>73.5</w:t>
            </w:r>
          </w:p>
        </w:tc>
        <w:tc>
          <w:tcPr>
            <w:tcW w:w="480" w:type="dxa"/>
            <w:vAlign w:val="bottom"/>
            <w:tcBorders>
              <w:bottom w:val="single" w:sz="8" w:color="auto"/>
            </w:tcBorders>
            <w:shd w:val="clear" w:color="auto" w:fill="E6EFFF"/>
          </w:tcPr>
          <w:p>
            <w:pPr>
              <w:spacing w:after="0"/>
              <w:rPr>
                <w:sz w:val="14"/>
                <w:szCs w:val="14"/>
                <w:color w:val="auto"/>
              </w:rPr>
            </w:pPr>
          </w:p>
        </w:tc>
        <w:tc>
          <w:tcPr>
            <w:tcW w:w="8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69.9</w:t>
            </w:r>
          </w:p>
        </w:tc>
        <w:tc>
          <w:tcPr>
            <w:tcW w:w="220" w:type="dxa"/>
            <w:vAlign w:val="bottom"/>
            <w:shd w:val="clear" w:color="auto" w:fill="E6EFFF"/>
          </w:tcPr>
          <w:p>
            <w:pPr>
              <w:spacing w:after="0"/>
              <w:rPr>
                <w:sz w:val="14"/>
                <w:szCs w:val="14"/>
                <w:color w:val="auto"/>
              </w:rPr>
            </w:pPr>
          </w:p>
        </w:tc>
      </w:tr>
      <w:tr>
        <w:trPr>
          <w:trHeight w:val="155"/>
        </w:trPr>
        <w:tc>
          <w:tcPr>
            <w:tcW w:w="7040" w:type="dxa"/>
            <w:vAlign w:val="bottom"/>
            <w:tcBorders>
              <w:bottom w:val="single" w:sz="8" w:color="auto"/>
              <w:right w:val="single" w:sz="8" w:color="4D8ABE"/>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780.5</w:t>
            </w: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933.7</w:t>
            </w: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631.0</w:t>
            </w:r>
          </w:p>
        </w:tc>
        <w:tc>
          <w:tcPr>
            <w:tcW w:w="220" w:type="dxa"/>
            <w:vAlign w:val="bottom"/>
            <w:tcBorders>
              <w:bottom w:val="single" w:sz="8" w:color="E6EFFF"/>
            </w:tcBorders>
          </w:tcPr>
          <w:p>
            <w:pPr>
              <w:spacing w:after="0"/>
              <w:rPr>
                <w:sz w:val="13"/>
                <w:szCs w:val="13"/>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Corporate expenses</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94.8</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95.2</w:t>
            </w:r>
          </w:p>
        </w:tc>
        <w:tc>
          <w:tcPr>
            <w:tcW w:w="480" w:type="dxa"/>
            <w:vAlign w:val="bottom"/>
            <w:shd w:val="clear" w:color="auto" w:fill="E6EFFF"/>
          </w:tcPr>
          <w:p>
            <w:pPr>
              <w:spacing w:after="0"/>
              <w:rPr>
                <w:sz w:val="14"/>
                <w:szCs w:val="14"/>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85.8</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Goodwill and intangible asset impairment</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163.1</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Amortization of intangible assets</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13.4</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13.1</w:t>
            </w:r>
          </w:p>
        </w:tc>
        <w:tc>
          <w:tcPr>
            <w:tcW w:w="480" w:type="dxa"/>
            <w:vAlign w:val="bottom"/>
            <w:shd w:val="clear" w:color="auto" w:fill="E6EFFF"/>
          </w:tcPr>
          <w:p>
            <w:pPr>
              <w:spacing w:after="0"/>
              <w:rPr>
                <w:sz w:val="14"/>
                <w:szCs w:val="14"/>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13.1</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Interest and other expense</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50.9</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34.2</w:t>
            </w: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bottom w:val="single" w:sz="8" w:color="auto"/>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Earnings before income taxes and discontinued operations</w:t>
            </w:r>
          </w:p>
        </w:tc>
        <w:tc>
          <w:tcPr>
            <w:tcW w:w="40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b w:val="1"/>
                <w:bCs w:val="1"/>
                <w:color w:val="4D8ABE"/>
              </w:rPr>
              <w:t>$</w:t>
            </w:r>
          </w:p>
        </w:tc>
        <w:tc>
          <w:tcPr>
            <w:tcW w:w="108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458.3</w:t>
            </w:r>
          </w:p>
        </w:tc>
        <w:tc>
          <w:tcPr>
            <w:tcW w:w="40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791.2</w:t>
            </w:r>
          </w:p>
        </w:tc>
        <w:tc>
          <w:tcPr>
            <w:tcW w:w="48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481.9</w:t>
            </w:r>
          </w:p>
        </w:tc>
        <w:tc>
          <w:tcPr>
            <w:tcW w:w="220" w:type="dxa"/>
            <w:vAlign w:val="bottom"/>
            <w:tcBorders>
              <w:bottom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939598"/>
              </w:rPr>
              <w:t>Depreciation and Amortization Expense</w:t>
            </w:r>
          </w:p>
        </w:tc>
        <w:tc>
          <w:tcPr>
            <w:tcW w:w="400" w:type="dxa"/>
            <w:vAlign w:val="bottom"/>
          </w:tcPr>
          <w:p>
            <w:pPr>
              <w:spacing w:after="0"/>
              <w:rPr>
                <w:sz w:val="14"/>
                <w:szCs w:val="14"/>
                <w:color w:val="auto"/>
              </w:rPr>
            </w:pPr>
          </w:p>
        </w:tc>
        <w:tc>
          <w:tcPr>
            <w:tcW w:w="1080" w:type="dxa"/>
            <w:vAlign w:val="bottom"/>
            <w:tcBorders>
              <w:right w:val="single" w:sz="8" w:color="4D8ABE"/>
            </w:tcBorders>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E6EFFF"/>
          </w:tcPr>
          <w:p>
            <w:pPr>
              <w:jc w:val="right"/>
              <w:ind w:right="232"/>
              <w:spacing w:after="0"/>
              <w:rPr>
                <w:sz w:val="20"/>
                <w:szCs w:val="20"/>
                <w:color w:val="auto"/>
              </w:rPr>
            </w:pPr>
            <w:r>
              <w:rPr>
                <w:rFonts w:ascii="Arial" w:cs="Arial" w:eastAsia="Arial" w:hAnsi="Arial"/>
                <w:sz w:val="14"/>
                <w:szCs w:val="14"/>
                <w:b w:val="1"/>
                <w:bCs w:val="1"/>
                <w:color w:val="4D8ABE"/>
              </w:rPr>
              <w:t>$</w:t>
            </w: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14.9</w:t>
            </w:r>
          </w:p>
        </w:tc>
        <w:tc>
          <w:tcPr>
            <w:tcW w:w="400" w:type="dxa"/>
            <w:vAlign w:val="bottom"/>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9.7</w:t>
            </w:r>
          </w:p>
        </w:tc>
        <w:tc>
          <w:tcPr>
            <w:tcW w:w="480" w:type="dxa"/>
            <w:vAlign w:val="bottom"/>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8.1</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France</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20.1</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23.3</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EMEA</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29.5</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21.7</w:t>
            </w:r>
          </w:p>
        </w:tc>
        <w:tc>
          <w:tcPr>
            <w:tcW w:w="480" w:type="dxa"/>
            <w:vAlign w:val="bottom"/>
            <w:shd w:val="clear" w:color="auto" w:fill="E6EFFF"/>
          </w:tcPr>
          <w:p>
            <w:pPr>
              <w:spacing w:after="0"/>
              <w:rPr>
                <w:sz w:val="14"/>
                <w:szCs w:val="14"/>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17.4</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Italy</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5.1</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6.7</w:t>
            </w:r>
          </w:p>
        </w:tc>
        <w:tc>
          <w:tcPr>
            <w:tcW w:w="4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5.5</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Jefferson Wells</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2.7</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3.1</w:t>
            </w:r>
          </w:p>
        </w:tc>
        <w:tc>
          <w:tcPr>
            <w:tcW w:w="480" w:type="dxa"/>
            <w:vAlign w:val="bottom"/>
            <w:shd w:val="clear" w:color="auto" w:fill="E6EFFF"/>
          </w:tcPr>
          <w:p>
            <w:pPr>
              <w:spacing w:after="0"/>
              <w:rPr>
                <w:sz w:val="14"/>
                <w:szCs w:val="14"/>
                <w:color w:val="auto"/>
              </w:rPr>
            </w:pP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3.9</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Right Management</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9.5</w:t>
            </w:r>
          </w:p>
        </w:tc>
        <w:tc>
          <w:tcPr>
            <w:tcW w:w="400" w:type="dxa"/>
            <w:vAlign w:val="bottom"/>
          </w:tcPr>
          <w:p>
            <w:pPr>
              <w:spacing w:after="0"/>
              <w:rPr>
                <w:sz w:val="14"/>
                <w:szCs w:val="14"/>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10.1</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Operations</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11.9</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11.3</w:t>
            </w:r>
          </w:p>
        </w:tc>
        <w:tc>
          <w:tcPr>
            <w:tcW w:w="480" w:type="dxa"/>
            <w:vAlign w:val="bottom"/>
            <w:shd w:val="clear" w:color="auto" w:fill="E6EFFF"/>
          </w:tcPr>
          <w:p>
            <w:pPr>
              <w:spacing w:after="0"/>
              <w:rPr>
                <w:sz w:val="14"/>
                <w:szCs w:val="14"/>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11.0</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Amortization of intangible assets</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13.4</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13.1</w:t>
            </w: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bottom w:val="single" w:sz="8" w:color="auto"/>
              <w:right w:val="single" w:sz="8" w:color="4D8ABE"/>
            </w:tcBorders>
            <w:shd w:val="clear" w:color="auto" w:fill="E6EFFF"/>
          </w:tcPr>
          <w:p>
            <w:pPr>
              <w:spacing w:after="0"/>
              <w:rPr>
                <w:sz w:val="13"/>
                <w:szCs w:val="13"/>
                <w:color w:val="auto"/>
              </w:rPr>
            </w:pPr>
          </w:p>
        </w:tc>
        <w:tc>
          <w:tcPr>
            <w:tcW w:w="40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b w:val="1"/>
                <w:bCs w:val="1"/>
                <w:color w:val="4D8ABE"/>
              </w:rPr>
              <w:t>$</w:t>
            </w:r>
          </w:p>
        </w:tc>
        <w:tc>
          <w:tcPr>
            <w:tcW w:w="108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107.1</w:t>
            </w:r>
          </w:p>
        </w:tc>
        <w:tc>
          <w:tcPr>
            <w:tcW w:w="40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99.0</w:t>
            </w:r>
          </w:p>
        </w:tc>
        <w:tc>
          <w:tcPr>
            <w:tcW w:w="480" w:type="dxa"/>
            <w:vAlign w:val="bottom"/>
            <w:tcBorders>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88.8</w:t>
            </w:r>
          </w:p>
        </w:tc>
        <w:tc>
          <w:tcPr>
            <w:tcW w:w="220" w:type="dxa"/>
            <w:vAlign w:val="bottom"/>
            <w:tcBorders>
              <w:bottom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939598"/>
              </w:rPr>
              <w:t>Earnings from Equity Investments</w:t>
            </w:r>
          </w:p>
        </w:tc>
        <w:tc>
          <w:tcPr>
            <w:tcW w:w="400" w:type="dxa"/>
            <w:vAlign w:val="bottom"/>
          </w:tcPr>
          <w:p>
            <w:pPr>
              <w:spacing w:after="0"/>
              <w:rPr>
                <w:sz w:val="14"/>
                <w:szCs w:val="14"/>
                <w:color w:val="auto"/>
              </w:rPr>
            </w:pPr>
          </w:p>
        </w:tc>
        <w:tc>
          <w:tcPr>
            <w:tcW w:w="1080" w:type="dxa"/>
            <w:vAlign w:val="bottom"/>
            <w:tcBorders>
              <w:right w:val="single" w:sz="8" w:color="4D8ABE"/>
            </w:tcBorders>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E6EFFF"/>
          </w:tcPr>
          <w:p>
            <w:pPr>
              <w:jc w:val="right"/>
              <w:ind w:right="232"/>
              <w:spacing w:after="0"/>
              <w:rPr>
                <w:sz w:val="20"/>
                <w:szCs w:val="20"/>
                <w:color w:val="auto"/>
              </w:rPr>
            </w:pPr>
            <w:r>
              <w:rPr>
                <w:rFonts w:ascii="Arial" w:cs="Arial" w:eastAsia="Arial" w:hAnsi="Arial"/>
                <w:sz w:val="14"/>
                <w:szCs w:val="14"/>
                <w:b w:val="1"/>
                <w:bCs w:val="1"/>
                <w:color w:val="4D8ABE"/>
              </w:rPr>
              <w:t>$</w:t>
            </w:r>
          </w:p>
        </w:tc>
        <w:tc>
          <w:tcPr>
            <w:tcW w:w="1080" w:type="dxa"/>
            <w:vAlign w:val="bottom"/>
            <w:tcBorders>
              <w:right w:val="single" w:sz="8" w:color="4D8ABE"/>
            </w:tcBorders>
            <w:shd w:val="clear" w:color="auto" w:fill="E6EFFF"/>
          </w:tcPr>
          <w:p>
            <w:pPr>
              <w:jc w:val="right"/>
              <w:ind w:right="132"/>
              <w:spacing w:after="0"/>
              <w:rPr>
                <w:sz w:val="20"/>
                <w:szCs w:val="20"/>
                <w:color w:val="auto"/>
              </w:rPr>
            </w:pPr>
            <w:r>
              <w:rPr>
                <w:rFonts w:ascii="Arial" w:cs="Arial" w:eastAsia="Arial" w:hAnsi="Arial"/>
                <w:sz w:val="14"/>
                <w:szCs w:val="14"/>
                <w:b w:val="1"/>
                <w:bCs w:val="1"/>
                <w:color w:val="4D8ABE"/>
              </w:rPr>
              <w:t>(1.6)</w:t>
            </w:r>
          </w:p>
        </w:tc>
        <w:tc>
          <w:tcPr>
            <w:tcW w:w="400" w:type="dxa"/>
            <w:vAlign w:val="bottom"/>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0.8</w:t>
            </w:r>
          </w:p>
        </w:tc>
        <w:tc>
          <w:tcPr>
            <w:tcW w:w="480" w:type="dxa"/>
            <w:vAlign w:val="bottom"/>
            <w:shd w:val="clear" w:color="auto" w:fill="E6EFFF"/>
          </w:tcPr>
          <w:p>
            <w:pPr>
              <w:jc w:val="right"/>
              <w:ind w:right="232"/>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0.9</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France</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32"/>
              <w:spacing w:after="0"/>
              <w:rPr>
                <w:sz w:val="20"/>
                <w:szCs w:val="20"/>
                <w:color w:val="auto"/>
              </w:rPr>
            </w:pPr>
            <w:r>
              <w:rPr>
                <w:rFonts w:ascii="Arial" w:cs="Arial" w:eastAsia="Arial" w:hAnsi="Arial"/>
                <w:sz w:val="14"/>
                <w:szCs w:val="14"/>
                <w:b w:val="1"/>
                <w:bCs w:val="1"/>
                <w:color w:val="4D8ABE"/>
              </w:rPr>
              <w:t>(0.9)</w:t>
            </w:r>
          </w:p>
        </w:tc>
        <w:tc>
          <w:tcPr>
            <w:tcW w:w="40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(1.1)</w:t>
            </w:r>
          </w:p>
        </w:tc>
        <w:tc>
          <w:tcPr>
            <w:tcW w:w="4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(1.2)</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EMEA</w:t>
            </w:r>
          </w:p>
        </w:tc>
        <w:tc>
          <w:tcPr>
            <w:tcW w:w="400" w:type="dxa"/>
            <w:vAlign w:val="bottom"/>
            <w:shd w:val="clear" w:color="auto" w:fill="E6EFFF"/>
          </w:tcPr>
          <w:p>
            <w:pPr>
              <w:spacing w:after="0"/>
              <w:rPr>
                <w:sz w:val="14"/>
                <w:szCs w:val="14"/>
                <w:color w:val="auto"/>
              </w:rPr>
            </w:pPr>
          </w:p>
        </w:tc>
        <w:tc>
          <w:tcPr>
            <w:tcW w:w="10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3.0</w:t>
            </w:r>
          </w:p>
        </w:tc>
        <w:tc>
          <w:tcPr>
            <w:tcW w:w="400" w:type="dxa"/>
            <w:vAlign w:val="bottom"/>
            <w:shd w:val="clear" w:color="auto" w:fill="E6EFFF"/>
          </w:tcPr>
          <w:p>
            <w:pPr>
              <w:spacing w:after="0"/>
              <w:rPr>
                <w:sz w:val="14"/>
                <w:szCs w:val="14"/>
                <w:color w:val="auto"/>
              </w:rPr>
            </w:pPr>
          </w:p>
        </w:tc>
        <w:tc>
          <w:tcPr>
            <w:tcW w:w="1000" w:type="dxa"/>
            <w:vAlign w:val="bottom"/>
            <w:shd w:val="clear" w:color="auto" w:fill="E6EFFF"/>
          </w:tcPr>
          <w:p>
            <w:pPr>
              <w:jc w:val="right"/>
              <w:ind w:right="92"/>
              <w:spacing w:after="0"/>
              <w:rPr>
                <w:sz w:val="20"/>
                <w:szCs w:val="20"/>
                <w:color w:val="auto"/>
              </w:rPr>
            </w:pPr>
            <w:r>
              <w:rPr>
                <w:rFonts w:ascii="Arial" w:cs="Arial" w:eastAsia="Arial" w:hAnsi="Arial"/>
                <w:sz w:val="14"/>
                <w:szCs w:val="14"/>
                <w:color w:val="auto"/>
              </w:rPr>
              <w:t>2.6</w:t>
            </w:r>
          </w:p>
        </w:tc>
        <w:tc>
          <w:tcPr>
            <w:tcW w:w="480" w:type="dxa"/>
            <w:vAlign w:val="bottom"/>
            <w:shd w:val="clear" w:color="auto" w:fill="E6EFFF"/>
          </w:tcPr>
          <w:p>
            <w:pPr>
              <w:spacing w:after="0"/>
              <w:rPr>
                <w:sz w:val="14"/>
                <w:szCs w:val="14"/>
                <w:color w:val="auto"/>
              </w:rPr>
            </w:pP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4.0</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Other Operations</w:t>
            </w:r>
          </w:p>
        </w:tc>
        <w:tc>
          <w:tcPr>
            <w:tcW w:w="400" w:type="dxa"/>
            <w:vAlign w:val="bottom"/>
          </w:tcPr>
          <w:p>
            <w:pPr>
              <w:spacing w:after="0"/>
              <w:rPr>
                <w:sz w:val="14"/>
                <w:szCs w:val="14"/>
                <w:color w:val="auto"/>
              </w:rPr>
            </w:pPr>
          </w:p>
        </w:tc>
        <w:tc>
          <w:tcPr>
            <w:tcW w:w="10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0.4</w:t>
            </w:r>
          </w:p>
        </w:tc>
        <w:tc>
          <w:tcPr>
            <w:tcW w:w="40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(0.1)</w:t>
            </w:r>
          </w:p>
        </w:tc>
        <w:tc>
          <w:tcPr>
            <w:tcW w:w="4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(0.6)</w:t>
            </w:r>
          </w:p>
        </w:tc>
      </w:tr>
      <w:tr>
        <w:trPr>
          <w:trHeight w:val="155"/>
        </w:trPr>
        <w:tc>
          <w:tcPr>
            <w:tcW w:w="7040" w:type="dxa"/>
            <w:vAlign w:val="bottom"/>
            <w:tcBorders>
              <w:top w:val="single" w:sz="8" w:color="auto"/>
              <w:bottom w:val="single" w:sz="8" w:color="auto"/>
              <w:right w:val="single" w:sz="8" w:color="4D8ABE"/>
            </w:tcBorders>
            <w:shd w:val="clear" w:color="auto" w:fill="E6EFFF"/>
          </w:tcPr>
          <w:p>
            <w:pPr>
              <w:spacing w:after="0"/>
              <w:rPr>
                <w:sz w:val="13"/>
                <w:szCs w:val="13"/>
                <w:color w:val="auto"/>
              </w:rPr>
            </w:pPr>
          </w:p>
        </w:tc>
        <w:tc>
          <w:tcPr>
            <w:tcW w:w="400" w:type="dxa"/>
            <w:vAlign w:val="bottom"/>
            <w:tcBorders>
              <w:top w:val="single" w:sz="8" w:color="auto"/>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b w:val="1"/>
                <w:bCs w:val="1"/>
                <w:color w:val="4D8ABE"/>
              </w:rPr>
              <w:t>$</w:t>
            </w:r>
          </w:p>
        </w:tc>
        <w:tc>
          <w:tcPr>
            <w:tcW w:w="1080" w:type="dxa"/>
            <w:vAlign w:val="bottom"/>
            <w:tcBorders>
              <w:top w:val="single" w:sz="8" w:color="auto"/>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0.9</w:t>
            </w:r>
          </w:p>
        </w:tc>
        <w:tc>
          <w:tcPr>
            <w:tcW w:w="400" w:type="dxa"/>
            <w:vAlign w:val="bottom"/>
            <w:tcBorders>
              <w:top w:val="single" w:sz="8" w:color="auto"/>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E6EFFF"/>
          </w:tcPr>
          <w:p>
            <w:pPr>
              <w:jc w:val="right"/>
              <w:ind w:right="92"/>
              <w:spacing w:after="0" w:line="155" w:lineRule="exact"/>
              <w:rPr>
                <w:sz w:val="20"/>
                <w:szCs w:val="20"/>
                <w:color w:val="auto"/>
              </w:rPr>
            </w:pPr>
            <w:r>
              <w:rPr>
                <w:rFonts w:ascii="Arial" w:cs="Arial" w:eastAsia="Arial" w:hAnsi="Arial"/>
                <w:sz w:val="14"/>
                <w:szCs w:val="14"/>
                <w:color w:val="auto"/>
              </w:rPr>
              <w:t>2.2</w:t>
            </w:r>
          </w:p>
        </w:tc>
        <w:tc>
          <w:tcPr>
            <w:tcW w:w="480" w:type="dxa"/>
            <w:vAlign w:val="bottom"/>
            <w:tcBorders>
              <w:top w:val="single" w:sz="8" w:color="auto"/>
              <w:bottom w:val="single" w:sz="8" w:color="auto"/>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3.1</w:t>
            </w:r>
          </w:p>
        </w:tc>
        <w:tc>
          <w:tcPr>
            <w:tcW w:w="220" w:type="dxa"/>
            <w:vAlign w:val="bottom"/>
            <w:tcBorders>
              <w:top w:val="single" w:sz="8" w:color="E6EFFF"/>
              <w:bottom w:val="single" w:sz="8" w:color="E6EFFF"/>
            </w:tcBorders>
            <w:shd w:val="clear" w:color="auto" w:fill="E6EFFF"/>
          </w:tcPr>
          <w:p>
            <w:pPr>
              <w:spacing w:after="0"/>
              <w:rPr>
                <w:sz w:val="13"/>
                <w:szCs w:val="13"/>
                <w:color w:val="auto"/>
              </w:rPr>
            </w:pPr>
          </w:p>
        </w:tc>
      </w:tr>
    </w:tbl>
    <w:p>
      <w:pPr>
        <w:spacing w:after="0" w:line="184" w:lineRule="exact"/>
        <w:rPr>
          <w:sz w:val="20"/>
          <w:szCs w:val="20"/>
          <w:color w:val="auto"/>
        </w:rPr>
      </w:pPr>
    </w:p>
    <w:p>
      <w:pPr>
        <w:ind w:left="560" w:hanging="558"/>
        <w:spacing w:after="0"/>
        <w:tabs>
          <w:tab w:leader="none" w:pos="5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Further breakdown of Revenues from Services by geographical region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Revenues from Services</w:t>
            </w:r>
          </w:p>
        </w:tc>
        <w:tc>
          <w:tcPr>
            <w:tcW w:w="250" w:type="dxa"/>
            <w:vAlign w:val="bottom"/>
            <w:shd w:val="clear" w:color="auto" w:fill="4D8ABE"/>
          </w:tcPr>
          <w:p>
            <w:pPr>
              <w:spacing w:after="0"/>
              <w:rPr>
                <w:sz w:val="15"/>
                <w:szCs w:val="15"/>
                <w:color w:val="auto"/>
              </w:rPr>
            </w:pPr>
          </w:p>
        </w:tc>
        <w:tc>
          <w:tcPr>
            <w:tcW w:w="123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4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4D8ABE"/>
              </w:rPr>
              <w:t>2007</w:t>
            </w:r>
          </w:p>
        </w:tc>
        <w:tc>
          <w:tcPr>
            <w:tcW w:w="5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United States</w:t>
            </w:r>
          </w:p>
        </w:tc>
        <w:tc>
          <w:tcPr>
            <w:tcW w:w="250" w:type="dxa"/>
            <w:vAlign w:val="bottom"/>
            <w:tcBorders>
              <w:top w:val="single" w:sz="8" w:color="4D8ABE"/>
            </w:tcBorders>
            <w:shd w:val="clear" w:color="auto" w:fill="E6EFFF"/>
          </w:tcPr>
          <w:p>
            <w:pPr>
              <w:jc w:val="right"/>
              <w:ind w:right="82"/>
              <w:spacing w:after="0" w:line="155" w:lineRule="exact"/>
              <w:rPr>
                <w:sz w:val="20"/>
                <w:szCs w:val="20"/>
                <w:color w:val="auto"/>
              </w:rPr>
            </w:pPr>
            <w:r>
              <w:rPr>
                <w:rFonts w:ascii="Arial" w:cs="Arial" w:eastAsia="Arial" w:hAnsi="Arial"/>
                <w:sz w:val="14"/>
                <w:szCs w:val="14"/>
                <w:b w:val="1"/>
                <w:bCs w:val="1"/>
                <w:color w:val="4D8ABE"/>
              </w:rPr>
              <w:t>$</w:t>
            </w:r>
          </w:p>
        </w:tc>
        <w:tc>
          <w:tcPr>
            <w:tcW w:w="1230" w:type="dxa"/>
            <w:vAlign w:val="bottom"/>
            <w:tcBorders>
              <w:top w:val="single" w:sz="8" w:color="4D8ABE"/>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2,436.3</w:t>
            </w:r>
          </w:p>
        </w:tc>
        <w:tc>
          <w:tcPr>
            <w:tcW w:w="400" w:type="dxa"/>
            <w:vAlign w:val="bottom"/>
            <w:tcBorders>
              <w:top w:val="single" w:sz="8" w:color="4D8ABE"/>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4D8ABE"/>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2,466.8</w:t>
            </w:r>
          </w:p>
        </w:tc>
        <w:tc>
          <w:tcPr>
            <w:tcW w:w="500" w:type="dxa"/>
            <w:vAlign w:val="bottom"/>
            <w:tcBorders>
              <w:top w:val="single" w:sz="8" w:color="4D8ABE"/>
            </w:tcBorders>
            <w:shd w:val="clear" w:color="auto" w:fill="E6EFFF"/>
          </w:tcPr>
          <w:p>
            <w:pPr>
              <w:jc w:val="right"/>
              <w:ind w:right="232"/>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2,644.1</w:t>
            </w: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France</w:t>
            </w:r>
          </w:p>
        </w:tc>
        <w:tc>
          <w:tcPr>
            <w:tcW w:w="250" w:type="dxa"/>
            <w:vAlign w:val="bottom"/>
          </w:tcPr>
          <w:p>
            <w:pPr>
              <w:spacing w:after="0"/>
              <w:rPr>
                <w:sz w:val="14"/>
                <w:szCs w:val="14"/>
                <w:color w:val="auto"/>
              </w:rPr>
            </w:pPr>
          </w:p>
        </w:tc>
        <w:tc>
          <w:tcPr>
            <w:tcW w:w="123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6,968.8</w:t>
            </w:r>
          </w:p>
        </w:tc>
        <w:tc>
          <w:tcPr>
            <w:tcW w:w="40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7,056.3</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6,050.6</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Italy</w:t>
            </w:r>
          </w:p>
        </w:tc>
        <w:tc>
          <w:tcPr>
            <w:tcW w:w="250" w:type="dxa"/>
            <w:vAlign w:val="bottom"/>
            <w:shd w:val="clear" w:color="auto" w:fill="E6EFFF"/>
          </w:tcPr>
          <w:p>
            <w:pPr>
              <w:spacing w:after="0"/>
              <w:rPr>
                <w:sz w:val="14"/>
                <w:szCs w:val="14"/>
                <w:color w:val="auto"/>
              </w:rPr>
            </w:pPr>
          </w:p>
        </w:tc>
        <w:tc>
          <w:tcPr>
            <w:tcW w:w="123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1,534.9</w:t>
            </w:r>
          </w:p>
        </w:tc>
        <w:tc>
          <w:tcPr>
            <w:tcW w:w="400" w:type="dxa"/>
            <w:vAlign w:val="bottom"/>
            <w:shd w:val="clear" w:color="auto" w:fill="E6EFFF"/>
          </w:tcPr>
          <w:p>
            <w:pPr>
              <w:spacing w:after="0"/>
              <w:rPr>
                <w:sz w:val="14"/>
                <w:szCs w:val="14"/>
                <w:color w:val="auto"/>
              </w:rPr>
            </w:pPr>
          </w:p>
        </w:tc>
        <w:tc>
          <w:tcPr>
            <w:tcW w:w="9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1,409.7</w:t>
            </w:r>
          </w:p>
        </w:tc>
        <w:tc>
          <w:tcPr>
            <w:tcW w:w="500" w:type="dxa"/>
            <w:vAlign w:val="bottom"/>
            <w:shd w:val="clear" w:color="auto" w:fill="E6EFFF"/>
          </w:tcPr>
          <w:p>
            <w:pPr>
              <w:spacing w:after="0"/>
              <w:rPr>
                <w:sz w:val="14"/>
                <w:szCs w:val="14"/>
                <w:color w:val="auto"/>
              </w:rPr>
            </w:pPr>
          </w:p>
        </w:tc>
        <w:tc>
          <w:tcPr>
            <w:tcW w:w="10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1,141.2</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U.K.</w:t>
            </w:r>
          </w:p>
        </w:tc>
        <w:tc>
          <w:tcPr>
            <w:tcW w:w="250" w:type="dxa"/>
            <w:vAlign w:val="bottom"/>
          </w:tcPr>
          <w:p>
            <w:pPr>
              <w:spacing w:after="0"/>
              <w:rPr>
                <w:sz w:val="14"/>
                <w:szCs w:val="14"/>
                <w:color w:val="auto"/>
              </w:rPr>
            </w:pPr>
          </w:p>
        </w:tc>
        <w:tc>
          <w:tcPr>
            <w:tcW w:w="123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2,491.8</w:t>
            </w:r>
          </w:p>
        </w:tc>
        <w:tc>
          <w:tcPr>
            <w:tcW w:w="40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2,402.4</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2,195.0</w:t>
            </w:r>
          </w:p>
        </w:tc>
      </w:tr>
      <w:tr>
        <w:trPr>
          <w:trHeight w:val="164"/>
        </w:trPr>
        <w:tc>
          <w:tcPr>
            <w:tcW w:w="704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Total Foreign</w:t>
            </w:r>
          </w:p>
        </w:tc>
        <w:tc>
          <w:tcPr>
            <w:tcW w:w="250" w:type="dxa"/>
            <w:vAlign w:val="bottom"/>
            <w:tcBorders>
              <w:bottom w:val="single" w:sz="8" w:color="auto"/>
            </w:tcBorders>
            <w:shd w:val="clear" w:color="auto" w:fill="E6EFFF"/>
          </w:tcPr>
          <w:p>
            <w:pPr>
              <w:spacing w:after="0"/>
              <w:rPr>
                <w:sz w:val="14"/>
                <w:szCs w:val="14"/>
                <w:color w:val="auto"/>
              </w:rPr>
            </w:pPr>
          </w:p>
        </w:tc>
        <w:tc>
          <w:tcPr>
            <w:tcW w:w="123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19,116.5</w:t>
            </w:r>
          </w:p>
        </w:tc>
        <w:tc>
          <w:tcPr>
            <w:tcW w:w="400" w:type="dxa"/>
            <w:vAlign w:val="bottom"/>
            <w:tcBorders>
              <w:bottom w:val="single" w:sz="8" w:color="auto"/>
            </w:tcBorders>
            <w:shd w:val="clear" w:color="auto" w:fill="E6EFFF"/>
          </w:tcPr>
          <w:p>
            <w:pPr>
              <w:spacing w:after="0"/>
              <w:rPr>
                <w:sz w:val="14"/>
                <w:szCs w:val="14"/>
                <w:color w:val="auto"/>
              </w:rPr>
            </w:pPr>
          </w:p>
        </w:tc>
        <w:tc>
          <w:tcPr>
            <w:tcW w:w="98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18,033.5</w:t>
            </w:r>
          </w:p>
        </w:tc>
        <w:tc>
          <w:tcPr>
            <w:tcW w:w="500" w:type="dxa"/>
            <w:vAlign w:val="bottom"/>
            <w:tcBorders>
              <w:bottom w:val="single" w:sz="8" w:color="auto"/>
            </w:tcBorders>
            <w:shd w:val="clear" w:color="auto" w:fill="E6EFFF"/>
          </w:tcPr>
          <w:p>
            <w:pPr>
              <w:spacing w:after="0"/>
              <w:rPr>
                <w:sz w:val="14"/>
                <w:szCs w:val="14"/>
                <w:color w:val="auto"/>
              </w:rPr>
            </w:pPr>
          </w:p>
        </w:tc>
        <w:tc>
          <w:tcPr>
            <w:tcW w:w="8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4"/>
                <w:szCs w:val="14"/>
                <w:color w:val="auto"/>
              </w:rPr>
              <w:t>14,918.4</w:t>
            </w:r>
          </w:p>
        </w:tc>
        <w:tc>
          <w:tcPr>
            <w:tcW w:w="220" w:type="dxa"/>
            <w:vAlign w:val="bottom"/>
            <w:shd w:val="clear" w:color="auto" w:fill="E6EFFF"/>
          </w:tcPr>
          <w:p>
            <w:pPr>
              <w:spacing w:after="0"/>
              <w:rPr>
                <w:sz w:val="14"/>
                <w:szCs w:val="14"/>
                <w:color w:val="auto"/>
              </w:rPr>
            </w:pPr>
          </w:p>
        </w:tc>
      </w:tr>
    </w:tbl>
    <w:p>
      <w:pPr>
        <w:spacing w:after="0" w:line="184" w:lineRule="exact"/>
        <w:rPr>
          <w:sz w:val="20"/>
          <w:szCs w:val="20"/>
          <w:color w:val="auto"/>
        </w:rPr>
      </w:pPr>
    </w:p>
    <w:p>
      <w:pPr>
        <w:ind w:left="580" w:right="260" w:hanging="578"/>
        <w:spacing w:after="0" w:line="237" w:lineRule="auto"/>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U.S. revenues above represent revenues from our Company-owned branches and franchise fees received from our franchise operations. These fees are primarily based on revenues generated by our franchise operations, which are discussed further on the financial highlights page.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6040" w:type="dxa"/>
            <w:vAlign w:val="bottom"/>
            <w:tcBorders>
              <w:top w:val="single" w:sz="8" w:color="auto"/>
            </w:tcBorders>
            <w:vMerge w:val="restart"/>
          </w:tcPr>
          <w:p>
            <w:pPr>
              <w:ind w:left="58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604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324" w:right="1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939598"/>
        </w:rPr>
        <w:t>Notes To Consolidated Financial Statements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4D8ABE"/>
              </w:rPr>
              <w:t>As Of And For The Year Ended December 31</w:t>
            </w:r>
          </w:p>
        </w:tc>
        <w:tc>
          <w:tcPr>
            <w:tcW w:w="440" w:type="dxa"/>
            <w:vAlign w:val="bottom"/>
            <w:shd w:val="clear" w:color="auto" w:fill="4D8ABE"/>
          </w:tcPr>
          <w:p>
            <w:pPr>
              <w:spacing w:after="0"/>
              <w:rPr>
                <w:sz w:val="15"/>
                <w:szCs w:val="15"/>
                <w:color w:val="auto"/>
              </w:rPr>
            </w:pPr>
          </w:p>
        </w:tc>
        <w:tc>
          <w:tcPr>
            <w:tcW w:w="104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44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4D8ABE"/>
              </w:rPr>
              <w:t>2007</w:t>
            </w:r>
          </w:p>
        </w:tc>
        <w:tc>
          <w:tcPr>
            <w:tcW w:w="5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r>
      <w:tr>
        <w:trPr>
          <w:trHeight w:val="155"/>
        </w:trPr>
        <w:tc>
          <w:tcPr>
            <w:tcW w:w="7040" w:type="dxa"/>
            <w:vAlign w:val="bottom"/>
            <w:tcBorders>
              <w:top w:val="single" w:sz="8" w:color="4D8ABE"/>
              <w:right w:val="single" w:sz="8" w:color="4D8ABE"/>
            </w:tcBorders>
            <w:shd w:val="clear" w:color="auto" w:fill="E6EFFF"/>
          </w:tcPr>
          <w:p>
            <w:pPr>
              <w:spacing w:after="0" w:line="155" w:lineRule="exact"/>
              <w:rPr>
                <w:sz w:val="20"/>
                <w:szCs w:val="20"/>
                <w:color w:val="auto"/>
              </w:rPr>
            </w:pPr>
            <w:r>
              <w:rPr>
                <w:rFonts w:ascii="Arial" w:cs="Arial" w:eastAsia="Arial" w:hAnsi="Arial"/>
                <w:sz w:val="14"/>
                <w:szCs w:val="14"/>
                <w:b w:val="1"/>
                <w:bCs w:val="1"/>
                <w:color w:val="939598"/>
              </w:rPr>
              <w:t>Total Assets</w:t>
            </w:r>
          </w:p>
        </w:tc>
        <w:tc>
          <w:tcPr>
            <w:tcW w:w="440" w:type="dxa"/>
            <w:vAlign w:val="bottom"/>
            <w:tcBorders>
              <w:top w:val="single" w:sz="8" w:color="4D8ABE"/>
            </w:tcBorders>
            <w:shd w:val="clear" w:color="auto" w:fill="E6EFFF"/>
          </w:tcPr>
          <w:p>
            <w:pPr>
              <w:spacing w:after="0"/>
              <w:rPr>
                <w:sz w:val="13"/>
                <w:szCs w:val="13"/>
                <w:color w:val="auto"/>
              </w:rPr>
            </w:pPr>
          </w:p>
        </w:tc>
        <w:tc>
          <w:tcPr>
            <w:tcW w:w="1040" w:type="dxa"/>
            <w:vAlign w:val="bottom"/>
            <w:tcBorders>
              <w:top w:val="single" w:sz="8" w:color="4D8ABE"/>
              <w:right w:val="single" w:sz="8" w:color="4D8ABE"/>
            </w:tcBorders>
            <w:shd w:val="clear" w:color="auto" w:fill="E6EFFF"/>
          </w:tcPr>
          <w:p>
            <w:pPr>
              <w:spacing w:after="0"/>
              <w:rPr>
                <w:sz w:val="13"/>
                <w:szCs w:val="13"/>
                <w:color w:val="auto"/>
              </w:rPr>
            </w:pPr>
          </w:p>
        </w:tc>
        <w:tc>
          <w:tcPr>
            <w:tcW w:w="440" w:type="dxa"/>
            <w:vAlign w:val="bottom"/>
            <w:tcBorders>
              <w:top w:val="single" w:sz="8" w:color="4D8ABE"/>
            </w:tcBorders>
            <w:shd w:val="clear" w:color="auto" w:fill="E6EFFF"/>
          </w:tcPr>
          <w:p>
            <w:pPr>
              <w:spacing w:after="0"/>
              <w:rPr>
                <w:sz w:val="13"/>
                <w:szCs w:val="13"/>
                <w:color w:val="auto"/>
              </w:rPr>
            </w:pPr>
          </w:p>
        </w:tc>
        <w:tc>
          <w:tcPr>
            <w:tcW w:w="940" w:type="dxa"/>
            <w:vAlign w:val="bottom"/>
            <w:tcBorders>
              <w:top w:val="single" w:sz="8" w:color="4D8ABE"/>
            </w:tcBorders>
            <w:shd w:val="clear" w:color="auto" w:fill="E6EFFF"/>
          </w:tcPr>
          <w:p>
            <w:pPr>
              <w:spacing w:after="0"/>
              <w:rPr>
                <w:sz w:val="13"/>
                <w:szCs w:val="13"/>
                <w:color w:val="auto"/>
              </w:rPr>
            </w:pPr>
          </w:p>
        </w:tc>
        <w:tc>
          <w:tcPr>
            <w:tcW w:w="540" w:type="dxa"/>
            <w:vAlign w:val="bottom"/>
            <w:tcBorders>
              <w:top w:val="single" w:sz="8" w:color="4D8ABE"/>
            </w:tcBorders>
            <w:shd w:val="clear" w:color="auto" w:fill="E6EFFF"/>
          </w:tcPr>
          <w:p>
            <w:pPr>
              <w:spacing w:after="0"/>
              <w:rPr>
                <w:sz w:val="13"/>
                <w:szCs w:val="13"/>
                <w:color w:val="auto"/>
              </w:rPr>
            </w:pPr>
          </w:p>
        </w:tc>
        <w:tc>
          <w:tcPr>
            <w:tcW w:w="800" w:type="dxa"/>
            <w:vAlign w:val="bottom"/>
            <w:tcBorders>
              <w:top w:val="single" w:sz="8" w:color="4D8ABE"/>
            </w:tcBorders>
            <w:shd w:val="clear" w:color="auto" w:fill="E6EFFF"/>
          </w:tcPr>
          <w:p>
            <w:pPr>
              <w:spacing w:after="0"/>
              <w:rPr>
                <w:sz w:val="13"/>
                <w:szCs w:val="13"/>
                <w:color w:val="auto"/>
              </w:rPr>
            </w:pPr>
          </w:p>
        </w:tc>
        <w:tc>
          <w:tcPr>
            <w:tcW w:w="220" w:type="dxa"/>
            <w:vAlign w:val="bottom"/>
            <w:tcBorders>
              <w:top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United States</w:t>
            </w:r>
          </w:p>
        </w:tc>
        <w:tc>
          <w:tcPr>
            <w:tcW w:w="440" w:type="dxa"/>
            <w:vAlign w:val="bottom"/>
          </w:tcPr>
          <w:p>
            <w:pPr>
              <w:jc w:val="right"/>
              <w:ind w:right="272"/>
              <w:spacing w:after="0"/>
              <w:rPr>
                <w:sz w:val="20"/>
                <w:szCs w:val="20"/>
                <w:color w:val="auto"/>
              </w:rPr>
            </w:pPr>
            <w:r>
              <w:rPr>
                <w:rFonts w:ascii="Arial" w:cs="Arial" w:eastAsia="Arial" w:hAnsi="Arial"/>
                <w:sz w:val="14"/>
                <w:szCs w:val="14"/>
                <w:b w:val="1"/>
                <w:bCs w:val="1"/>
                <w:color w:val="4D8ABE"/>
              </w:rPr>
              <w:t>$</w:t>
            </w: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622.4</w:t>
            </w: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602.4</w:t>
            </w:r>
          </w:p>
        </w:tc>
        <w:tc>
          <w:tcPr>
            <w:tcW w:w="5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683.9</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France</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2,314.7</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2,389.4</w:t>
            </w:r>
          </w:p>
        </w:tc>
        <w:tc>
          <w:tcPr>
            <w:tcW w:w="540" w:type="dxa"/>
            <w:vAlign w:val="bottom"/>
            <w:shd w:val="clear" w:color="auto" w:fill="E6EFFF"/>
          </w:tcPr>
          <w:p>
            <w:pPr>
              <w:spacing w:after="0"/>
              <w:rPr>
                <w:sz w:val="14"/>
                <w:szCs w:val="14"/>
                <w:color w:val="auto"/>
              </w:rPr>
            </w:pPr>
          </w:p>
        </w:tc>
        <w:tc>
          <w:tcPr>
            <w:tcW w:w="10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2,067.7</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Other EMEA</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1,656.3</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1,891.3</w:t>
            </w:r>
          </w:p>
        </w:tc>
        <w:tc>
          <w:tcPr>
            <w:tcW w:w="5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1,674.7</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Italy</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291.2</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343.9</w:t>
            </w:r>
          </w:p>
        </w:tc>
        <w:tc>
          <w:tcPr>
            <w:tcW w:w="540" w:type="dxa"/>
            <w:vAlign w:val="bottom"/>
            <w:shd w:val="clear" w:color="auto" w:fill="E6EFFF"/>
          </w:tcPr>
          <w:p>
            <w:pPr>
              <w:spacing w:after="0"/>
              <w:rPr>
                <w:sz w:val="14"/>
                <w:szCs w:val="14"/>
                <w:color w:val="auto"/>
              </w:rPr>
            </w:pPr>
          </w:p>
        </w:tc>
        <w:tc>
          <w:tcPr>
            <w:tcW w:w="10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276.4</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Jefferson Wells</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42.5</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67.7</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81.7</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Right Management</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210.0</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208.8</w:t>
            </w:r>
          </w:p>
        </w:tc>
        <w:tc>
          <w:tcPr>
            <w:tcW w:w="540" w:type="dxa"/>
            <w:vAlign w:val="bottom"/>
            <w:shd w:val="clear" w:color="auto" w:fill="E6EFFF"/>
          </w:tcPr>
          <w:p>
            <w:pPr>
              <w:spacing w:after="0"/>
              <w:rPr>
                <w:sz w:val="14"/>
                <w:szCs w:val="14"/>
                <w:color w:val="auto"/>
              </w:rPr>
            </w:pPr>
          </w:p>
        </w:tc>
        <w:tc>
          <w:tcPr>
            <w:tcW w:w="10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228.5</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Other Operations</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634.5</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652.8</w:t>
            </w:r>
          </w:p>
        </w:tc>
        <w:tc>
          <w:tcPr>
            <w:tcW w:w="5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645.5</w:t>
            </w:r>
          </w:p>
        </w:tc>
      </w:tr>
      <w:tr>
        <w:trPr>
          <w:trHeight w:val="164"/>
        </w:trPr>
        <w:tc>
          <w:tcPr>
            <w:tcW w:w="7040" w:type="dxa"/>
            <w:vAlign w:val="bottom"/>
            <w:tcBorders>
              <w:right w:val="single" w:sz="8" w:color="4D8ABE"/>
            </w:tcBorders>
            <w:shd w:val="clear" w:color="auto" w:fill="E6EFFF"/>
          </w:tcPr>
          <w:p>
            <w:pPr>
              <w:spacing w:after="0" w:line="164" w:lineRule="exact"/>
              <w:rPr>
                <w:sz w:val="20"/>
                <w:szCs w:val="20"/>
                <w:color w:val="auto"/>
              </w:rPr>
            </w:pPr>
            <w:r>
              <w:rPr>
                <w:rFonts w:ascii="Arial" w:cs="Arial" w:eastAsia="Arial" w:hAnsi="Arial"/>
                <w:sz w:val="14"/>
                <w:szCs w:val="14"/>
                <w:color w:val="auto"/>
              </w:rPr>
              <w:t>Corporate</w:t>
            </w:r>
            <w:r>
              <w:rPr>
                <w:rFonts w:ascii="Arial" w:cs="Arial" w:eastAsia="Arial" w:hAnsi="Arial"/>
                <w:sz w:val="19"/>
                <w:szCs w:val="19"/>
                <w:color w:val="auto"/>
                <w:vertAlign w:val="superscript"/>
              </w:rPr>
              <w:t>(a)</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846.6</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1,068.1</w:t>
            </w:r>
          </w:p>
        </w:tc>
        <w:tc>
          <w:tcPr>
            <w:tcW w:w="540" w:type="dxa"/>
            <w:vAlign w:val="bottom"/>
            <w:shd w:val="clear" w:color="auto" w:fill="E6EFFF"/>
          </w:tcPr>
          <w:p>
            <w:pPr>
              <w:spacing w:after="0"/>
              <w:rPr>
                <w:sz w:val="14"/>
                <w:szCs w:val="14"/>
                <w:color w:val="auto"/>
              </w:rPr>
            </w:pPr>
          </w:p>
        </w:tc>
        <w:tc>
          <w:tcPr>
            <w:tcW w:w="10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855.7</w:t>
            </w:r>
          </w:p>
        </w:tc>
      </w:tr>
      <w:tr>
        <w:trPr>
          <w:trHeight w:val="155"/>
        </w:trPr>
        <w:tc>
          <w:tcPr>
            <w:tcW w:w="7040" w:type="dxa"/>
            <w:vAlign w:val="bottom"/>
            <w:tcBorders>
              <w:top w:val="single" w:sz="8" w:color="auto"/>
              <w:bottom w:val="single" w:sz="8" w:color="auto"/>
              <w:right w:val="single" w:sz="8" w:color="4D8ABE"/>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4D8ABE"/>
              </w:rPr>
              <w:t>$</w:t>
            </w:r>
          </w:p>
        </w:tc>
        <w:tc>
          <w:tcPr>
            <w:tcW w:w="1040" w:type="dxa"/>
            <w:vAlign w:val="bottom"/>
            <w:tcBorders>
              <w:top w:val="single" w:sz="8" w:color="auto"/>
              <w:bottom w:val="single" w:sz="8" w:color="auto"/>
              <w:right w:val="single" w:sz="8" w:color="4D8ABE"/>
            </w:tcBorders>
          </w:tcPr>
          <w:p>
            <w:pPr>
              <w:jc w:val="right"/>
              <w:ind w:right="172"/>
              <w:spacing w:after="0" w:line="155" w:lineRule="exact"/>
              <w:rPr>
                <w:sz w:val="20"/>
                <w:szCs w:val="20"/>
                <w:color w:val="auto"/>
              </w:rPr>
            </w:pPr>
            <w:r>
              <w:rPr>
                <w:rFonts w:ascii="Arial" w:cs="Arial" w:eastAsia="Arial" w:hAnsi="Arial"/>
                <w:sz w:val="14"/>
                <w:szCs w:val="14"/>
                <w:b w:val="1"/>
                <w:bCs w:val="1"/>
                <w:color w:val="4D8ABE"/>
              </w:rPr>
              <w:t>6,618.2</w:t>
            </w:r>
          </w:p>
        </w:tc>
        <w:tc>
          <w:tcPr>
            <w:tcW w:w="44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7,224.4</w:t>
            </w:r>
          </w:p>
        </w:tc>
        <w:tc>
          <w:tcPr>
            <w:tcW w:w="54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6,514.1</w:t>
            </w:r>
          </w:p>
        </w:tc>
        <w:tc>
          <w:tcPr>
            <w:tcW w:w="220" w:type="dxa"/>
            <w:vAlign w:val="bottom"/>
            <w:tcBorders>
              <w:bottom w:val="single" w:sz="8" w:color="E6EFFF"/>
            </w:tcBorders>
          </w:tcPr>
          <w:p>
            <w:pPr>
              <w:spacing w:after="0"/>
              <w:rPr>
                <w:sz w:val="13"/>
                <w:szCs w:val="13"/>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b w:val="1"/>
                <w:bCs w:val="1"/>
                <w:color w:val="939598"/>
              </w:rPr>
              <w:t>Equity Investments</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spacing w:after="0"/>
              <w:rPr>
                <w:sz w:val="14"/>
                <w:szCs w:val="14"/>
                <w:color w:val="auto"/>
              </w:rPr>
            </w:pP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spacing w:after="0"/>
              <w:rPr>
                <w:sz w:val="14"/>
                <w:szCs w:val="14"/>
                <w:color w:val="auto"/>
              </w:rPr>
            </w:pPr>
          </w:p>
        </w:tc>
        <w:tc>
          <w:tcPr>
            <w:tcW w:w="54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United States</w:t>
            </w:r>
          </w:p>
        </w:tc>
        <w:tc>
          <w:tcPr>
            <w:tcW w:w="440" w:type="dxa"/>
            <w:vAlign w:val="bottom"/>
          </w:tcPr>
          <w:p>
            <w:pPr>
              <w:jc w:val="right"/>
              <w:ind w:right="272"/>
              <w:spacing w:after="0"/>
              <w:rPr>
                <w:sz w:val="20"/>
                <w:szCs w:val="20"/>
                <w:color w:val="auto"/>
              </w:rPr>
            </w:pPr>
            <w:r>
              <w:rPr>
                <w:rFonts w:ascii="Arial" w:cs="Arial" w:eastAsia="Arial" w:hAnsi="Arial"/>
                <w:sz w:val="14"/>
                <w:szCs w:val="14"/>
                <w:b w:val="1"/>
                <w:bCs w:val="1"/>
                <w:color w:val="4D8ABE"/>
              </w:rPr>
              <w:t>$</w:t>
            </w: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w:t>
            </w:r>
          </w:p>
        </w:tc>
        <w:tc>
          <w:tcPr>
            <w:tcW w:w="4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17.6</w:t>
            </w:r>
          </w:p>
        </w:tc>
        <w:tc>
          <w:tcPr>
            <w:tcW w:w="5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France</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2.0</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1.6</w:t>
            </w:r>
          </w:p>
        </w:tc>
        <w:tc>
          <w:tcPr>
            <w:tcW w:w="540" w:type="dxa"/>
            <w:vAlign w:val="bottom"/>
            <w:shd w:val="clear" w:color="auto" w:fill="E6EFFF"/>
          </w:tcPr>
          <w:p>
            <w:pPr>
              <w:spacing w:after="0"/>
              <w:rPr>
                <w:sz w:val="14"/>
                <w:szCs w:val="14"/>
                <w:color w:val="auto"/>
              </w:rPr>
            </w:pPr>
          </w:p>
        </w:tc>
        <w:tc>
          <w:tcPr>
            <w:tcW w:w="10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1.4</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Other EMEA</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55.6</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60.6</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56.9</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Right Management</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0.4</w:t>
            </w:r>
          </w:p>
        </w:tc>
        <w:tc>
          <w:tcPr>
            <w:tcW w:w="540" w:type="dxa"/>
            <w:vAlign w:val="bottom"/>
            <w:shd w:val="clear" w:color="auto" w:fill="E6EFFF"/>
          </w:tcPr>
          <w:p>
            <w:pPr>
              <w:spacing w:after="0"/>
              <w:rPr>
                <w:sz w:val="14"/>
                <w:szCs w:val="14"/>
                <w:color w:val="auto"/>
              </w:rPr>
            </w:pPr>
          </w:p>
        </w:tc>
        <w:tc>
          <w:tcPr>
            <w:tcW w:w="10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w:t>
            </w:r>
          </w:p>
        </w:tc>
      </w:tr>
      <w:tr>
        <w:trPr>
          <w:trHeight w:val="164"/>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Other Operations</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23.4</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18.5</w:t>
            </w: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bottom w:val="single" w:sz="8" w:color="auto"/>
              <w:right w:val="single" w:sz="8" w:color="4D8ABE"/>
            </w:tcBorders>
            <w:shd w:val="clear" w:color="auto" w:fill="E6EFFF"/>
          </w:tcPr>
          <w:p>
            <w:pPr>
              <w:spacing w:after="0"/>
              <w:rPr>
                <w:sz w:val="13"/>
                <w:szCs w:val="13"/>
                <w:color w:val="auto"/>
              </w:rPr>
            </w:pPr>
          </w:p>
        </w:tc>
        <w:tc>
          <w:tcPr>
            <w:tcW w:w="440" w:type="dxa"/>
            <w:vAlign w:val="bottom"/>
            <w:tcBorders>
              <w:bottom w:val="single" w:sz="8" w:color="auto"/>
            </w:tcBorders>
            <w:shd w:val="clear" w:color="auto" w:fill="E6EFFF"/>
          </w:tcPr>
          <w:p>
            <w:pPr>
              <w:jc w:val="right"/>
              <w:ind w:right="272"/>
              <w:spacing w:after="0" w:line="155" w:lineRule="exact"/>
              <w:rPr>
                <w:sz w:val="20"/>
                <w:szCs w:val="20"/>
                <w:color w:val="auto"/>
              </w:rPr>
            </w:pPr>
            <w:r>
              <w:rPr>
                <w:rFonts w:ascii="Arial" w:cs="Arial" w:eastAsia="Arial" w:hAnsi="Arial"/>
                <w:sz w:val="14"/>
                <w:szCs w:val="14"/>
                <w:b w:val="1"/>
                <w:bCs w:val="1"/>
                <w:color w:val="4D8ABE"/>
              </w:rPr>
              <w:t>$</w:t>
            </w:r>
          </w:p>
        </w:tc>
        <w:tc>
          <w:tcPr>
            <w:tcW w:w="104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81.0</w:t>
            </w:r>
          </w:p>
        </w:tc>
        <w:tc>
          <w:tcPr>
            <w:tcW w:w="440" w:type="dxa"/>
            <w:vAlign w:val="bottom"/>
            <w:tcBorders>
              <w:bottom w:val="single" w:sz="8" w:color="auto"/>
            </w:tcBorders>
            <w:shd w:val="clear" w:color="auto" w:fill="E6EFFF"/>
          </w:tcPr>
          <w:p>
            <w:pPr>
              <w:jc w:val="right"/>
              <w:ind w:right="272"/>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98.7</w:t>
            </w:r>
          </w:p>
        </w:tc>
        <w:tc>
          <w:tcPr>
            <w:tcW w:w="540" w:type="dxa"/>
            <w:vAlign w:val="bottom"/>
            <w:tcBorders>
              <w:bottom w:val="single" w:sz="8" w:color="auto"/>
            </w:tcBorders>
            <w:shd w:val="clear" w:color="auto" w:fill="E6EFFF"/>
          </w:tcPr>
          <w:p>
            <w:pPr>
              <w:jc w:val="right"/>
              <w:ind w:right="27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92.5</w:t>
            </w:r>
          </w:p>
        </w:tc>
        <w:tc>
          <w:tcPr>
            <w:tcW w:w="220" w:type="dxa"/>
            <w:vAlign w:val="bottom"/>
            <w:tcBorders>
              <w:bottom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line="164" w:lineRule="exact"/>
              <w:rPr>
                <w:sz w:val="20"/>
                <w:szCs w:val="20"/>
                <w:color w:val="auto"/>
              </w:rPr>
            </w:pPr>
            <w:r>
              <w:rPr>
                <w:rFonts w:ascii="Arial" w:cs="Arial" w:eastAsia="Arial" w:hAnsi="Arial"/>
                <w:sz w:val="14"/>
                <w:szCs w:val="14"/>
                <w:b w:val="1"/>
                <w:bCs w:val="1"/>
                <w:color w:val="939598"/>
              </w:rPr>
              <w:t xml:space="preserve">Long-Lived Assets </w:t>
            </w:r>
            <w:r>
              <w:rPr>
                <w:rFonts w:ascii="Arial" w:cs="Arial" w:eastAsia="Arial" w:hAnsi="Arial"/>
                <w:sz w:val="19"/>
                <w:szCs w:val="19"/>
                <w:b w:val="1"/>
                <w:bCs w:val="1"/>
                <w:color w:val="939598"/>
                <w:vertAlign w:val="superscript"/>
              </w:rPr>
              <w:t>(b)</w:t>
            </w:r>
          </w:p>
        </w:tc>
        <w:tc>
          <w:tcPr>
            <w:tcW w:w="440" w:type="dxa"/>
            <w:vAlign w:val="bottom"/>
          </w:tcPr>
          <w:p>
            <w:pPr>
              <w:spacing w:after="0"/>
              <w:rPr>
                <w:sz w:val="14"/>
                <w:szCs w:val="14"/>
                <w:color w:val="auto"/>
              </w:rPr>
            </w:pPr>
          </w:p>
        </w:tc>
        <w:tc>
          <w:tcPr>
            <w:tcW w:w="1040" w:type="dxa"/>
            <w:vAlign w:val="bottom"/>
            <w:tcBorders>
              <w:right w:val="single" w:sz="8" w:color="4D8ABE"/>
            </w:tcBorders>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United States</w:t>
            </w:r>
          </w:p>
        </w:tc>
        <w:tc>
          <w:tcPr>
            <w:tcW w:w="440" w:type="dxa"/>
            <w:vAlign w:val="bottom"/>
            <w:shd w:val="clear" w:color="auto" w:fill="E6EFFF"/>
          </w:tcPr>
          <w:p>
            <w:pPr>
              <w:jc w:val="right"/>
              <w:ind w:right="272"/>
              <w:spacing w:after="0"/>
              <w:rPr>
                <w:sz w:val="20"/>
                <w:szCs w:val="20"/>
                <w:color w:val="auto"/>
              </w:rPr>
            </w:pPr>
            <w:r>
              <w:rPr>
                <w:rFonts w:ascii="Arial" w:cs="Arial" w:eastAsia="Arial" w:hAnsi="Arial"/>
                <w:sz w:val="14"/>
                <w:szCs w:val="14"/>
                <w:b w:val="1"/>
                <w:bCs w:val="1"/>
                <w:color w:val="4D8ABE"/>
              </w:rPr>
              <w:t>$</w:t>
            </w: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42.9</w:t>
            </w:r>
          </w:p>
        </w:tc>
        <w:tc>
          <w:tcPr>
            <w:tcW w:w="440" w:type="dxa"/>
            <w:vAlign w:val="bottom"/>
            <w:shd w:val="clear" w:color="auto" w:fill="E6EFFF"/>
          </w:tcPr>
          <w:p>
            <w:pPr>
              <w:jc w:val="right"/>
              <w:ind w:right="272"/>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40.4</w:t>
            </w:r>
          </w:p>
        </w:tc>
        <w:tc>
          <w:tcPr>
            <w:tcW w:w="540" w:type="dxa"/>
            <w:vAlign w:val="bottom"/>
            <w:shd w:val="clear" w:color="auto" w:fill="E6EFFF"/>
          </w:tcPr>
          <w:p>
            <w:pPr>
              <w:jc w:val="right"/>
              <w:ind w:right="272"/>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FFF"/>
          </w:tcPr>
          <w:p>
            <w:pPr>
              <w:jc w:val="right"/>
              <w:spacing w:after="0"/>
              <w:rPr>
                <w:sz w:val="20"/>
                <w:szCs w:val="20"/>
                <w:color w:val="auto"/>
              </w:rPr>
            </w:pPr>
            <w:r>
              <w:rPr>
                <w:rFonts w:ascii="Arial" w:cs="Arial" w:eastAsia="Arial" w:hAnsi="Arial"/>
                <w:sz w:val="14"/>
                <w:szCs w:val="14"/>
                <w:color w:val="auto"/>
              </w:rPr>
              <w:t>41.2</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France</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54.9</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65.3</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65.6</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EMEA</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73.9</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70.9</w:t>
            </w:r>
          </w:p>
        </w:tc>
        <w:tc>
          <w:tcPr>
            <w:tcW w:w="540" w:type="dxa"/>
            <w:vAlign w:val="bottom"/>
            <w:shd w:val="clear" w:color="auto" w:fill="E6EFFF"/>
          </w:tcPr>
          <w:p>
            <w:pPr>
              <w:spacing w:after="0"/>
              <w:rPr>
                <w:sz w:val="14"/>
                <w:szCs w:val="14"/>
                <w:color w:val="auto"/>
              </w:rPr>
            </w:pPr>
          </w:p>
        </w:tc>
        <w:tc>
          <w:tcPr>
            <w:tcW w:w="800" w:type="dxa"/>
            <w:vAlign w:val="bottom"/>
            <w:shd w:val="clear" w:color="auto" w:fill="E6EFFF"/>
          </w:tcPr>
          <w:p>
            <w:pPr>
              <w:jc w:val="right"/>
              <w:spacing w:after="0"/>
              <w:rPr>
                <w:sz w:val="20"/>
                <w:szCs w:val="20"/>
                <w:color w:val="auto"/>
              </w:rPr>
            </w:pPr>
            <w:r>
              <w:rPr>
                <w:rFonts w:ascii="Arial" w:cs="Arial" w:eastAsia="Arial" w:hAnsi="Arial"/>
                <w:sz w:val="14"/>
                <w:szCs w:val="14"/>
                <w:color w:val="auto"/>
              </w:rPr>
              <w:t>53.7</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Italy</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11.4</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14.3</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Jefferson Wells</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5.4</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6.1</w:t>
            </w:r>
          </w:p>
        </w:tc>
        <w:tc>
          <w:tcPr>
            <w:tcW w:w="540" w:type="dxa"/>
            <w:vAlign w:val="bottom"/>
            <w:shd w:val="clear" w:color="auto" w:fill="E6EFFF"/>
          </w:tcPr>
          <w:p>
            <w:pPr>
              <w:spacing w:after="0"/>
              <w:rPr>
                <w:sz w:val="14"/>
                <w:szCs w:val="14"/>
                <w:color w:val="auto"/>
              </w:rPr>
            </w:pPr>
          </w:p>
        </w:tc>
        <w:tc>
          <w:tcPr>
            <w:tcW w:w="10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7.5</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Right Management</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23.5</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27.6</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Operations</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27.6</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27.7</w:t>
            </w:r>
          </w:p>
        </w:tc>
        <w:tc>
          <w:tcPr>
            <w:tcW w:w="540" w:type="dxa"/>
            <w:vAlign w:val="bottom"/>
            <w:shd w:val="clear" w:color="auto" w:fill="E6EFFF"/>
          </w:tcPr>
          <w:p>
            <w:pPr>
              <w:spacing w:after="0"/>
              <w:rPr>
                <w:sz w:val="14"/>
                <w:szCs w:val="14"/>
                <w:color w:val="auto"/>
              </w:rPr>
            </w:pPr>
          </w:p>
        </w:tc>
        <w:tc>
          <w:tcPr>
            <w:tcW w:w="800" w:type="dxa"/>
            <w:vAlign w:val="bottom"/>
            <w:shd w:val="clear" w:color="auto" w:fill="E6EFFF"/>
          </w:tcPr>
          <w:p>
            <w:pPr>
              <w:jc w:val="right"/>
              <w:spacing w:after="0"/>
              <w:rPr>
                <w:sz w:val="20"/>
                <w:szCs w:val="20"/>
                <w:color w:val="auto"/>
              </w:rPr>
            </w:pPr>
            <w:r>
              <w:rPr>
                <w:rFonts w:ascii="Arial" w:cs="Arial" w:eastAsia="Arial" w:hAnsi="Arial"/>
                <w:sz w:val="14"/>
                <w:szCs w:val="14"/>
                <w:color w:val="auto"/>
              </w:rPr>
              <w:t>26.7</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Corporate</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7.6</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9.3</w:t>
            </w: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bottom w:val="single" w:sz="8" w:color="auto"/>
              <w:right w:val="single" w:sz="8" w:color="4D8ABE"/>
            </w:tcBorders>
            <w:shd w:val="clear" w:color="auto" w:fill="E6EFFF"/>
          </w:tcPr>
          <w:p>
            <w:pPr>
              <w:spacing w:after="0"/>
              <w:rPr>
                <w:sz w:val="13"/>
                <w:szCs w:val="13"/>
                <w:color w:val="auto"/>
              </w:rPr>
            </w:pPr>
          </w:p>
        </w:tc>
        <w:tc>
          <w:tcPr>
            <w:tcW w:w="440" w:type="dxa"/>
            <w:vAlign w:val="bottom"/>
            <w:tcBorders>
              <w:bottom w:val="single" w:sz="8" w:color="auto"/>
            </w:tcBorders>
            <w:shd w:val="clear" w:color="auto" w:fill="E6EFFF"/>
          </w:tcPr>
          <w:p>
            <w:pPr>
              <w:jc w:val="right"/>
              <w:ind w:right="272"/>
              <w:spacing w:after="0" w:line="155" w:lineRule="exact"/>
              <w:rPr>
                <w:sz w:val="20"/>
                <w:szCs w:val="20"/>
                <w:color w:val="auto"/>
              </w:rPr>
            </w:pPr>
            <w:r>
              <w:rPr>
                <w:rFonts w:ascii="Arial" w:cs="Arial" w:eastAsia="Arial" w:hAnsi="Arial"/>
                <w:sz w:val="14"/>
                <w:szCs w:val="14"/>
                <w:b w:val="1"/>
                <w:bCs w:val="1"/>
                <w:color w:val="4D8ABE"/>
              </w:rPr>
              <w:t>$</w:t>
            </w:r>
          </w:p>
        </w:tc>
        <w:tc>
          <w:tcPr>
            <w:tcW w:w="104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247.2</w:t>
            </w:r>
          </w:p>
        </w:tc>
        <w:tc>
          <w:tcPr>
            <w:tcW w:w="440" w:type="dxa"/>
            <w:vAlign w:val="bottom"/>
            <w:tcBorders>
              <w:bottom w:val="single" w:sz="8" w:color="auto"/>
            </w:tcBorders>
            <w:shd w:val="clear" w:color="auto" w:fill="E6EFFF"/>
          </w:tcPr>
          <w:p>
            <w:pPr>
              <w:jc w:val="right"/>
              <w:ind w:right="272"/>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261.6</w:t>
            </w:r>
          </w:p>
        </w:tc>
        <w:tc>
          <w:tcPr>
            <w:tcW w:w="540" w:type="dxa"/>
            <w:vAlign w:val="bottom"/>
            <w:tcBorders>
              <w:bottom w:val="single" w:sz="8" w:color="auto"/>
            </w:tcBorders>
            <w:shd w:val="clear" w:color="auto" w:fill="E6EFFF"/>
          </w:tcPr>
          <w:p>
            <w:pPr>
              <w:jc w:val="right"/>
              <w:ind w:right="27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246.2</w:t>
            </w:r>
          </w:p>
        </w:tc>
        <w:tc>
          <w:tcPr>
            <w:tcW w:w="220" w:type="dxa"/>
            <w:vAlign w:val="bottom"/>
            <w:tcBorders>
              <w:bottom w:val="single" w:sz="8" w:color="E6EFFF"/>
            </w:tcBorders>
            <w:shd w:val="clear" w:color="auto" w:fill="E6EFFF"/>
          </w:tcPr>
          <w:p>
            <w:pPr>
              <w:spacing w:after="0"/>
              <w:rPr>
                <w:sz w:val="13"/>
                <w:szCs w:val="13"/>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b w:val="1"/>
                <w:bCs w:val="1"/>
                <w:color w:val="939598"/>
              </w:rPr>
              <w:t>Additions to Long-Lived Assets</w:t>
            </w:r>
          </w:p>
        </w:tc>
        <w:tc>
          <w:tcPr>
            <w:tcW w:w="440" w:type="dxa"/>
            <w:vAlign w:val="bottom"/>
          </w:tcPr>
          <w:p>
            <w:pPr>
              <w:spacing w:after="0"/>
              <w:rPr>
                <w:sz w:val="14"/>
                <w:szCs w:val="14"/>
                <w:color w:val="auto"/>
              </w:rPr>
            </w:pPr>
          </w:p>
        </w:tc>
        <w:tc>
          <w:tcPr>
            <w:tcW w:w="1040" w:type="dxa"/>
            <w:vAlign w:val="bottom"/>
            <w:tcBorders>
              <w:right w:val="single" w:sz="8" w:color="4D8ABE"/>
            </w:tcBorders>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United States</w:t>
            </w:r>
          </w:p>
        </w:tc>
        <w:tc>
          <w:tcPr>
            <w:tcW w:w="440" w:type="dxa"/>
            <w:vAlign w:val="bottom"/>
            <w:shd w:val="clear" w:color="auto" w:fill="E6EFFF"/>
          </w:tcPr>
          <w:p>
            <w:pPr>
              <w:jc w:val="right"/>
              <w:ind w:right="272"/>
              <w:spacing w:after="0"/>
              <w:rPr>
                <w:sz w:val="20"/>
                <w:szCs w:val="20"/>
                <w:color w:val="auto"/>
              </w:rPr>
            </w:pPr>
            <w:r>
              <w:rPr>
                <w:rFonts w:ascii="Arial" w:cs="Arial" w:eastAsia="Arial" w:hAnsi="Arial"/>
                <w:sz w:val="14"/>
                <w:szCs w:val="14"/>
                <w:b w:val="1"/>
                <w:bCs w:val="1"/>
                <w:color w:val="4D8ABE"/>
              </w:rPr>
              <w:t>$</w:t>
            </w: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8.7</w:t>
            </w:r>
          </w:p>
        </w:tc>
        <w:tc>
          <w:tcPr>
            <w:tcW w:w="440" w:type="dxa"/>
            <w:vAlign w:val="bottom"/>
            <w:shd w:val="clear" w:color="auto" w:fill="E6EFFF"/>
          </w:tcPr>
          <w:p>
            <w:pPr>
              <w:jc w:val="right"/>
              <w:ind w:right="272"/>
              <w:spacing w:after="0"/>
              <w:rPr>
                <w:sz w:val="20"/>
                <w:szCs w:val="20"/>
                <w:color w:val="auto"/>
              </w:rPr>
            </w:pPr>
            <w:r>
              <w:rPr>
                <w:rFonts w:ascii="Arial" w:cs="Arial" w:eastAsia="Arial" w:hAnsi="Arial"/>
                <w:sz w:val="14"/>
                <w:szCs w:val="14"/>
                <w:color w:val="auto"/>
              </w:rPr>
              <w:t>$</w:t>
            </w: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15.6</w:t>
            </w:r>
          </w:p>
        </w:tc>
        <w:tc>
          <w:tcPr>
            <w:tcW w:w="540" w:type="dxa"/>
            <w:vAlign w:val="bottom"/>
            <w:shd w:val="clear" w:color="auto" w:fill="E6EFFF"/>
          </w:tcPr>
          <w:p>
            <w:pPr>
              <w:jc w:val="right"/>
              <w:ind w:right="272"/>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6.4</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France</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12.6</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18.8</w:t>
            </w:r>
          </w:p>
        </w:tc>
        <w:tc>
          <w:tcPr>
            <w:tcW w:w="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w:t>
            </w:r>
          </w:p>
        </w:tc>
        <w:tc>
          <w:tcPr>
            <w:tcW w:w="220" w:type="dxa"/>
            <w:vAlign w:val="bottom"/>
          </w:tcPr>
          <w:p>
            <w:pPr>
              <w:spacing w:after="0"/>
              <w:rPr>
                <w:sz w:val="14"/>
                <w:szCs w:val="14"/>
                <w:color w:val="auto"/>
              </w:rPr>
            </w:pP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EMEA</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37.9</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35.5</w:t>
            </w:r>
          </w:p>
        </w:tc>
        <w:tc>
          <w:tcPr>
            <w:tcW w:w="540" w:type="dxa"/>
            <w:vAlign w:val="bottom"/>
            <w:shd w:val="clear" w:color="auto" w:fill="E6EFFF"/>
          </w:tcPr>
          <w:p>
            <w:pPr>
              <w:spacing w:after="0"/>
              <w:rPr>
                <w:sz w:val="14"/>
                <w:szCs w:val="14"/>
                <w:color w:val="auto"/>
              </w:rPr>
            </w:pPr>
          </w:p>
        </w:tc>
        <w:tc>
          <w:tcPr>
            <w:tcW w:w="80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18.9</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Italy</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2.7</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5.4</w:t>
            </w:r>
          </w:p>
        </w:tc>
        <w:tc>
          <w:tcPr>
            <w:tcW w:w="5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4.6</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Jefferson Wells</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2.1</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2.6</w:t>
            </w:r>
          </w:p>
        </w:tc>
        <w:tc>
          <w:tcPr>
            <w:tcW w:w="540" w:type="dxa"/>
            <w:vAlign w:val="bottom"/>
            <w:shd w:val="clear" w:color="auto" w:fill="E6EFFF"/>
          </w:tcPr>
          <w:p>
            <w:pPr>
              <w:spacing w:after="0"/>
              <w:rPr>
                <w:sz w:val="14"/>
                <w:szCs w:val="14"/>
                <w:color w:val="auto"/>
              </w:rPr>
            </w:pPr>
          </w:p>
        </w:tc>
        <w:tc>
          <w:tcPr>
            <w:tcW w:w="102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3.0</w:t>
            </w:r>
          </w:p>
        </w:tc>
      </w:tr>
      <w:tr>
        <w:trPr>
          <w:trHeight w:val="164"/>
        </w:trPr>
        <w:tc>
          <w:tcPr>
            <w:tcW w:w="704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Right Management</w:t>
            </w:r>
          </w:p>
        </w:tc>
        <w:tc>
          <w:tcPr>
            <w:tcW w:w="44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7.8</w:t>
            </w:r>
          </w:p>
        </w:tc>
        <w:tc>
          <w:tcPr>
            <w:tcW w:w="4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12.3</w:t>
            </w:r>
          </w:p>
        </w:tc>
        <w:tc>
          <w:tcPr>
            <w:tcW w:w="5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7.3</w:t>
            </w:r>
          </w:p>
        </w:tc>
      </w:tr>
      <w:tr>
        <w:trPr>
          <w:trHeight w:val="164"/>
        </w:trPr>
        <w:tc>
          <w:tcPr>
            <w:tcW w:w="704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Other Operations</w:t>
            </w:r>
          </w:p>
        </w:tc>
        <w:tc>
          <w:tcPr>
            <w:tcW w:w="44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12.9</w:t>
            </w:r>
          </w:p>
        </w:tc>
        <w:tc>
          <w:tcPr>
            <w:tcW w:w="44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10.5</w:t>
            </w:r>
          </w:p>
        </w:tc>
        <w:tc>
          <w:tcPr>
            <w:tcW w:w="540" w:type="dxa"/>
            <w:vAlign w:val="bottom"/>
            <w:shd w:val="clear" w:color="auto" w:fill="E6EFFF"/>
          </w:tcPr>
          <w:p>
            <w:pPr>
              <w:spacing w:after="0"/>
              <w:rPr>
                <w:sz w:val="14"/>
                <w:szCs w:val="14"/>
                <w:color w:val="auto"/>
              </w:rPr>
            </w:pPr>
          </w:p>
        </w:tc>
        <w:tc>
          <w:tcPr>
            <w:tcW w:w="80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13.2</w:t>
            </w:r>
          </w:p>
        </w:tc>
        <w:tc>
          <w:tcPr>
            <w:tcW w:w="220" w:type="dxa"/>
            <w:vAlign w:val="bottom"/>
            <w:shd w:val="clear" w:color="auto" w:fill="E6EFFF"/>
          </w:tcPr>
          <w:p>
            <w:pPr>
              <w:spacing w:after="0"/>
              <w:rPr>
                <w:sz w:val="14"/>
                <w:szCs w:val="14"/>
                <w:color w:val="auto"/>
              </w:rPr>
            </w:pPr>
          </w:p>
        </w:tc>
      </w:tr>
      <w:tr>
        <w:trPr>
          <w:trHeight w:val="164"/>
        </w:trPr>
        <w:tc>
          <w:tcPr>
            <w:tcW w:w="7040" w:type="dxa"/>
            <w:vAlign w:val="bottom"/>
            <w:tcBorders>
              <w:bottom w:val="single" w:sz="8" w:color="auto"/>
              <w:right w:val="single" w:sz="8" w:color="4D8ABE"/>
            </w:tcBorders>
          </w:tcPr>
          <w:p>
            <w:pPr>
              <w:spacing w:after="0"/>
              <w:rPr>
                <w:sz w:val="20"/>
                <w:szCs w:val="20"/>
                <w:color w:val="auto"/>
              </w:rPr>
            </w:pPr>
            <w:r>
              <w:rPr>
                <w:rFonts w:ascii="Arial" w:cs="Arial" w:eastAsia="Arial" w:hAnsi="Arial"/>
                <w:sz w:val="14"/>
                <w:szCs w:val="14"/>
                <w:color w:val="auto"/>
              </w:rPr>
              <w:t>Corporate</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2.2</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0.8</w:t>
            </w: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220" w:type="dxa"/>
            <w:vAlign w:val="bottom"/>
            <w:tcBorders>
              <w:bottom w:val="single" w:sz="8" w:color="E6EFFF"/>
            </w:tcBorders>
          </w:tcPr>
          <w:p>
            <w:pPr>
              <w:spacing w:after="0"/>
              <w:rPr>
                <w:sz w:val="14"/>
                <w:szCs w:val="14"/>
                <w:color w:val="auto"/>
              </w:rPr>
            </w:pPr>
          </w:p>
        </w:tc>
      </w:tr>
      <w:tr>
        <w:trPr>
          <w:trHeight w:val="155"/>
        </w:trPr>
        <w:tc>
          <w:tcPr>
            <w:tcW w:w="7040" w:type="dxa"/>
            <w:vAlign w:val="bottom"/>
            <w:tcBorders>
              <w:bottom w:val="single" w:sz="8" w:color="auto"/>
              <w:right w:val="single" w:sz="8" w:color="4D8ABE"/>
            </w:tcBorders>
            <w:shd w:val="clear" w:color="auto" w:fill="E6EFFF"/>
          </w:tcPr>
          <w:p>
            <w:pPr>
              <w:spacing w:after="0"/>
              <w:rPr>
                <w:sz w:val="13"/>
                <w:szCs w:val="13"/>
                <w:color w:val="auto"/>
              </w:rPr>
            </w:pPr>
          </w:p>
        </w:tc>
        <w:tc>
          <w:tcPr>
            <w:tcW w:w="440" w:type="dxa"/>
            <w:vAlign w:val="bottom"/>
            <w:tcBorders>
              <w:bottom w:val="single" w:sz="8" w:color="auto"/>
            </w:tcBorders>
            <w:shd w:val="clear" w:color="auto" w:fill="E6EFFF"/>
          </w:tcPr>
          <w:p>
            <w:pPr>
              <w:jc w:val="right"/>
              <w:ind w:right="272"/>
              <w:spacing w:after="0" w:line="155" w:lineRule="exact"/>
              <w:rPr>
                <w:sz w:val="20"/>
                <w:szCs w:val="20"/>
                <w:color w:val="auto"/>
              </w:rPr>
            </w:pPr>
            <w:r>
              <w:rPr>
                <w:rFonts w:ascii="Arial" w:cs="Arial" w:eastAsia="Arial" w:hAnsi="Arial"/>
                <w:sz w:val="14"/>
                <w:szCs w:val="14"/>
                <w:b w:val="1"/>
                <w:bCs w:val="1"/>
                <w:color w:val="4D8ABE"/>
              </w:rPr>
              <w:t>$</w:t>
            </w:r>
          </w:p>
        </w:tc>
        <w:tc>
          <w:tcPr>
            <w:tcW w:w="1040" w:type="dxa"/>
            <w:vAlign w:val="bottom"/>
            <w:tcBorders>
              <w:bottom w:val="single" w:sz="8" w:color="auto"/>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86.9</w:t>
            </w:r>
          </w:p>
        </w:tc>
        <w:tc>
          <w:tcPr>
            <w:tcW w:w="440" w:type="dxa"/>
            <w:vAlign w:val="bottom"/>
            <w:tcBorders>
              <w:bottom w:val="single" w:sz="8" w:color="auto"/>
            </w:tcBorders>
            <w:shd w:val="clear" w:color="auto" w:fill="E6EFFF"/>
          </w:tcPr>
          <w:p>
            <w:pPr>
              <w:jc w:val="right"/>
              <w:ind w:right="272"/>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101.5</w:t>
            </w:r>
          </w:p>
        </w:tc>
        <w:tc>
          <w:tcPr>
            <w:tcW w:w="540" w:type="dxa"/>
            <w:vAlign w:val="bottom"/>
            <w:tcBorders>
              <w:bottom w:val="single" w:sz="8" w:color="auto"/>
            </w:tcBorders>
            <w:shd w:val="clear" w:color="auto" w:fill="E6EFFF"/>
          </w:tcPr>
          <w:p>
            <w:pPr>
              <w:jc w:val="right"/>
              <w:ind w:right="272"/>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80.0</w:t>
            </w:r>
          </w:p>
        </w:tc>
        <w:tc>
          <w:tcPr>
            <w:tcW w:w="220" w:type="dxa"/>
            <w:vAlign w:val="bottom"/>
            <w:tcBorders>
              <w:bottom w:val="single" w:sz="8" w:color="E6EFFF"/>
            </w:tcBorders>
            <w:shd w:val="clear" w:color="auto" w:fill="E6EFFF"/>
          </w:tcPr>
          <w:p>
            <w:pPr>
              <w:spacing w:after="0"/>
              <w:rPr>
                <w:sz w:val="13"/>
                <w:szCs w:val="13"/>
                <w:color w:val="auto"/>
              </w:rPr>
            </w:pPr>
          </w:p>
        </w:tc>
      </w:tr>
    </w:tbl>
    <w:p>
      <w:pPr>
        <w:spacing w:after="0" w:line="184" w:lineRule="exact"/>
        <w:rPr>
          <w:sz w:val="20"/>
          <w:szCs w:val="20"/>
          <w:color w:val="auto"/>
        </w:rPr>
      </w:pPr>
    </w:p>
    <w:p>
      <w:pPr>
        <w:ind w:left="560" w:hanging="558"/>
        <w:spacing w:after="0"/>
        <w:tabs>
          <w:tab w:leader="none" w:pos="5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Corporate assets include assets that are not used in the operations of any segment, the most significant of which are goodwill and purchased intangibles.</w:t>
      </w:r>
    </w:p>
    <w:p>
      <w:pPr>
        <w:spacing w:after="0" w:line="157" w:lineRule="exact"/>
        <w:rPr>
          <w:rFonts w:ascii="Arial" w:cs="Arial" w:eastAsia="Arial" w:hAnsi="Arial"/>
          <w:sz w:val="14"/>
          <w:szCs w:val="14"/>
          <w:color w:val="auto"/>
        </w:rPr>
      </w:pPr>
    </w:p>
    <w:p>
      <w:pPr>
        <w:ind w:left="560" w:hanging="558"/>
        <w:spacing w:after="0"/>
        <w:tabs>
          <w:tab w:leader="none" w:pos="5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Further breakdown of Long-Lived Assets by geographical region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20"/>
                <w:szCs w:val="20"/>
                <w:color w:val="auto"/>
              </w:rPr>
            </w:pPr>
            <w:r>
              <w:rPr>
                <w:rFonts w:ascii="Arial" w:cs="Arial" w:eastAsia="Arial" w:hAnsi="Arial"/>
                <w:sz w:val="14"/>
                <w:szCs w:val="14"/>
                <w:color w:val="4D8ABE"/>
              </w:rPr>
              <w:t>Long-Lived Assets</w:t>
            </w:r>
          </w:p>
        </w:tc>
        <w:tc>
          <w:tcPr>
            <w:tcW w:w="5040" w:type="dxa"/>
            <w:vAlign w:val="bottom"/>
            <w:tcBorders>
              <w:right w:val="single" w:sz="8" w:color="4D8ABE"/>
            </w:tcBorders>
          </w:tcPr>
          <w:p>
            <w:pPr>
              <w:spacing w:after="0"/>
              <w:rPr>
                <w:sz w:val="15"/>
                <w:szCs w:val="15"/>
                <w:color w:val="auto"/>
              </w:rPr>
            </w:pPr>
          </w:p>
        </w:tc>
        <w:tc>
          <w:tcPr>
            <w:tcW w:w="300" w:type="dxa"/>
            <w:vAlign w:val="bottom"/>
            <w:shd w:val="clear" w:color="auto" w:fill="4D8ABE"/>
          </w:tcPr>
          <w:p>
            <w:pPr>
              <w:spacing w:after="0"/>
              <w:rPr>
                <w:sz w:val="15"/>
                <w:szCs w:val="15"/>
                <w:color w:val="auto"/>
              </w:rPr>
            </w:pPr>
          </w:p>
        </w:tc>
        <w:tc>
          <w:tcPr>
            <w:tcW w:w="1180" w:type="dxa"/>
            <w:vAlign w:val="bottom"/>
            <w:tcBorders>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50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4D8ABE"/>
              </w:rPr>
              <w:t>2007</w:t>
            </w:r>
          </w:p>
        </w:tc>
        <w:tc>
          <w:tcPr>
            <w:tcW w:w="7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4D8ABE"/>
              </w:rPr>
              <w:t>2006</w:t>
            </w:r>
          </w:p>
        </w:tc>
        <w:tc>
          <w:tcPr>
            <w:tcW w:w="40" w:type="dxa"/>
            <w:vAlign w:val="bottom"/>
          </w:tcPr>
          <w:p>
            <w:pPr>
              <w:spacing w:after="0"/>
              <w:rPr>
                <w:sz w:val="15"/>
                <w:szCs w:val="15"/>
                <w:color w:val="auto"/>
              </w:rPr>
            </w:pPr>
          </w:p>
        </w:tc>
      </w:tr>
      <w:tr>
        <w:trPr>
          <w:trHeight w:val="155"/>
        </w:trPr>
        <w:tc>
          <w:tcPr>
            <w:tcW w:w="2000" w:type="dxa"/>
            <w:vAlign w:val="bottom"/>
            <w:tcBorders>
              <w:top w:val="single" w:sz="8" w:color="4D8ABE"/>
            </w:tcBorders>
            <w:shd w:val="clear" w:color="auto" w:fill="E6EFFF"/>
          </w:tcPr>
          <w:p>
            <w:pPr>
              <w:spacing w:after="0" w:line="155" w:lineRule="exact"/>
              <w:rPr>
                <w:sz w:val="20"/>
                <w:szCs w:val="20"/>
                <w:color w:val="auto"/>
              </w:rPr>
            </w:pPr>
            <w:r>
              <w:rPr>
                <w:rFonts w:ascii="Arial" w:cs="Arial" w:eastAsia="Arial" w:hAnsi="Arial"/>
                <w:sz w:val="14"/>
                <w:szCs w:val="14"/>
                <w:color w:val="auto"/>
              </w:rPr>
              <w:t>United States</w:t>
            </w:r>
          </w:p>
        </w:tc>
        <w:tc>
          <w:tcPr>
            <w:tcW w:w="5040" w:type="dxa"/>
            <w:vAlign w:val="bottom"/>
            <w:tcBorders>
              <w:top w:val="single" w:sz="8" w:color="4D8ABE"/>
              <w:right w:val="single" w:sz="8" w:color="4D8ABE"/>
            </w:tcBorders>
            <w:shd w:val="clear" w:color="auto" w:fill="E6EFFF"/>
          </w:tcPr>
          <w:p>
            <w:pPr>
              <w:spacing w:after="0"/>
              <w:rPr>
                <w:sz w:val="13"/>
                <w:szCs w:val="13"/>
                <w:color w:val="auto"/>
              </w:rPr>
            </w:pPr>
          </w:p>
        </w:tc>
        <w:tc>
          <w:tcPr>
            <w:tcW w:w="300" w:type="dxa"/>
            <w:vAlign w:val="bottom"/>
            <w:tcBorders>
              <w:top w:val="single" w:sz="8" w:color="4D8ABE"/>
            </w:tcBorders>
            <w:shd w:val="clear" w:color="auto" w:fill="E6EFFF"/>
          </w:tcPr>
          <w:p>
            <w:pPr>
              <w:jc w:val="right"/>
              <w:ind w:right="132"/>
              <w:spacing w:after="0" w:line="155" w:lineRule="exact"/>
              <w:rPr>
                <w:sz w:val="20"/>
                <w:szCs w:val="20"/>
                <w:color w:val="auto"/>
              </w:rPr>
            </w:pPr>
            <w:r>
              <w:rPr>
                <w:rFonts w:ascii="Arial" w:cs="Arial" w:eastAsia="Arial" w:hAnsi="Arial"/>
                <w:sz w:val="14"/>
                <w:szCs w:val="14"/>
                <w:b w:val="1"/>
                <w:bCs w:val="1"/>
                <w:color w:val="4D8ABE"/>
              </w:rPr>
              <w:t>$</w:t>
            </w:r>
          </w:p>
        </w:tc>
        <w:tc>
          <w:tcPr>
            <w:tcW w:w="1180" w:type="dxa"/>
            <w:vAlign w:val="bottom"/>
            <w:tcBorders>
              <w:top w:val="single" w:sz="8" w:color="4D8ABE"/>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57.3</w:t>
            </w:r>
          </w:p>
        </w:tc>
        <w:tc>
          <w:tcPr>
            <w:tcW w:w="500" w:type="dxa"/>
            <w:vAlign w:val="bottom"/>
            <w:tcBorders>
              <w:top w:val="single" w:sz="8" w:color="4D8ABE"/>
            </w:tcBorders>
            <w:shd w:val="clear" w:color="auto" w:fill="E6EFFF"/>
          </w:tcPr>
          <w:p>
            <w:pPr>
              <w:jc w:val="right"/>
              <w:ind w:right="337"/>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4D8ABE"/>
            </w:tcBorders>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57.9</w:t>
            </w:r>
          </w:p>
        </w:tc>
        <w:tc>
          <w:tcPr>
            <w:tcW w:w="700" w:type="dxa"/>
            <w:vAlign w:val="bottom"/>
            <w:tcBorders>
              <w:top w:val="single" w:sz="8" w:color="4D8ABE"/>
            </w:tcBorders>
            <w:shd w:val="clear" w:color="auto" w:fill="E6EFFF"/>
          </w:tcPr>
          <w:p>
            <w:pPr>
              <w:jc w:val="right"/>
              <w:ind w:right="432"/>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4D8ABE"/>
            </w:tcBorders>
            <w:shd w:val="clear" w:color="auto" w:fill="E6EFFF"/>
          </w:tcPr>
          <w:p>
            <w:pPr>
              <w:jc w:val="right"/>
              <w:spacing w:after="0" w:line="155" w:lineRule="exact"/>
              <w:rPr>
                <w:sz w:val="20"/>
                <w:szCs w:val="20"/>
                <w:color w:val="auto"/>
              </w:rPr>
            </w:pPr>
            <w:r>
              <w:rPr>
                <w:rFonts w:ascii="Arial" w:cs="Arial" w:eastAsia="Arial" w:hAnsi="Arial"/>
                <w:sz w:val="14"/>
                <w:szCs w:val="14"/>
                <w:color w:val="auto"/>
              </w:rPr>
              <w:t>60.2</w:t>
            </w:r>
          </w:p>
        </w:tc>
        <w:tc>
          <w:tcPr>
            <w:tcW w:w="220" w:type="dxa"/>
            <w:vAlign w:val="bottom"/>
            <w:tcBorders>
              <w:top w:val="single" w:sz="8" w:color="E6EFFF"/>
            </w:tcBorders>
            <w:shd w:val="clear" w:color="auto" w:fill="E6EFFF"/>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2000" w:type="dxa"/>
            <w:vAlign w:val="bottom"/>
          </w:tcPr>
          <w:p>
            <w:pPr>
              <w:spacing w:after="0"/>
              <w:rPr>
                <w:sz w:val="20"/>
                <w:szCs w:val="20"/>
                <w:color w:val="auto"/>
              </w:rPr>
            </w:pPr>
            <w:r>
              <w:rPr>
                <w:rFonts w:ascii="Arial" w:cs="Arial" w:eastAsia="Arial" w:hAnsi="Arial"/>
                <w:sz w:val="14"/>
                <w:szCs w:val="14"/>
                <w:color w:val="auto"/>
              </w:rPr>
              <w:t>France</w:t>
            </w:r>
          </w:p>
        </w:tc>
        <w:tc>
          <w:tcPr>
            <w:tcW w:w="5040" w:type="dxa"/>
            <w:vAlign w:val="bottom"/>
            <w:tcBorders>
              <w:right w:val="single" w:sz="8" w:color="4D8ABE"/>
            </w:tcBorders>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58.3</w:t>
            </w:r>
          </w:p>
        </w:tc>
        <w:tc>
          <w:tcPr>
            <w:tcW w:w="50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69.1</w:t>
            </w:r>
          </w:p>
        </w:tc>
        <w:tc>
          <w:tcPr>
            <w:tcW w:w="7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66.9</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000" w:type="dxa"/>
            <w:vAlign w:val="bottom"/>
            <w:shd w:val="clear" w:color="auto" w:fill="E6EFFF"/>
          </w:tcPr>
          <w:p>
            <w:pPr>
              <w:spacing w:after="0"/>
              <w:rPr>
                <w:sz w:val="20"/>
                <w:szCs w:val="20"/>
                <w:color w:val="auto"/>
              </w:rPr>
            </w:pPr>
            <w:r>
              <w:rPr>
                <w:rFonts w:ascii="Arial" w:cs="Arial" w:eastAsia="Arial" w:hAnsi="Arial"/>
                <w:sz w:val="14"/>
                <w:szCs w:val="14"/>
                <w:color w:val="auto"/>
              </w:rPr>
              <w:t>Italy</w:t>
            </w:r>
          </w:p>
        </w:tc>
        <w:tc>
          <w:tcPr>
            <w:tcW w:w="5040" w:type="dxa"/>
            <w:vAlign w:val="bottom"/>
            <w:tcBorders>
              <w:right w:val="single" w:sz="8" w:color="4D8ABE"/>
            </w:tcBorders>
            <w:shd w:val="clear" w:color="auto" w:fill="E6EFFF"/>
          </w:tcPr>
          <w:p>
            <w:pPr>
              <w:spacing w:after="0"/>
              <w:rPr>
                <w:sz w:val="14"/>
                <w:szCs w:val="14"/>
                <w:color w:val="auto"/>
              </w:rPr>
            </w:pPr>
          </w:p>
        </w:tc>
        <w:tc>
          <w:tcPr>
            <w:tcW w:w="300" w:type="dxa"/>
            <w:vAlign w:val="bottom"/>
            <w:shd w:val="clear" w:color="auto" w:fill="E6EFFF"/>
          </w:tcPr>
          <w:p>
            <w:pPr>
              <w:spacing w:after="0"/>
              <w:rPr>
                <w:sz w:val="14"/>
                <w:szCs w:val="14"/>
                <w:color w:val="auto"/>
              </w:rPr>
            </w:pPr>
          </w:p>
        </w:tc>
        <w:tc>
          <w:tcPr>
            <w:tcW w:w="11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12.3</w:t>
            </w:r>
          </w:p>
        </w:tc>
        <w:tc>
          <w:tcPr>
            <w:tcW w:w="50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14.8</w:t>
            </w:r>
          </w:p>
        </w:tc>
        <w:tc>
          <w:tcPr>
            <w:tcW w:w="700" w:type="dxa"/>
            <w:vAlign w:val="bottom"/>
            <w:shd w:val="clear" w:color="auto" w:fill="E6EFFF"/>
          </w:tcPr>
          <w:p>
            <w:pPr>
              <w:spacing w:after="0"/>
              <w:rPr>
                <w:sz w:val="14"/>
                <w:szCs w:val="14"/>
                <w:color w:val="auto"/>
              </w:rPr>
            </w:pPr>
          </w:p>
        </w:tc>
        <w:tc>
          <w:tcPr>
            <w:tcW w:w="640" w:type="dxa"/>
            <w:vAlign w:val="bottom"/>
            <w:shd w:val="clear" w:color="auto" w:fill="E6EFFF"/>
          </w:tcPr>
          <w:p>
            <w:pPr>
              <w:jc w:val="right"/>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000" w:type="dxa"/>
            <w:vAlign w:val="bottom"/>
          </w:tcPr>
          <w:p>
            <w:pPr>
              <w:spacing w:after="0"/>
              <w:rPr>
                <w:sz w:val="20"/>
                <w:szCs w:val="20"/>
                <w:color w:val="auto"/>
              </w:rPr>
            </w:pPr>
            <w:r>
              <w:rPr>
                <w:rFonts w:ascii="Arial" w:cs="Arial" w:eastAsia="Arial" w:hAnsi="Arial"/>
                <w:sz w:val="14"/>
                <w:szCs w:val="14"/>
                <w:color w:val="auto"/>
              </w:rPr>
              <w:t>U.K.</w:t>
            </w:r>
          </w:p>
        </w:tc>
        <w:tc>
          <w:tcPr>
            <w:tcW w:w="5040" w:type="dxa"/>
            <w:vAlign w:val="bottom"/>
            <w:tcBorders>
              <w:right w:val="single" w:sz="8" w:color="4D8ABE"/>
            </w:tcBorders>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19.4</w:t>
            </w:r>
          </w:p>
        </w:tc>
        <w:tc>
          <w:tcPr>
            <w:tcW w:w="50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23.3</w:t>
            </w:r>
          </w:p>
        </w:tc>
        <w:tc>
          <w:tcPr>
            <w:tcW w:w="7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22.2</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000" w:type="dxa"/>
            <w:vAlign w:val="bottom"/>
            <w:shd w:val="clear" w:color="auto" w:fill="E6EFFF"/>
          </w:tcPr>
          <w:p>
            <w:pPr>
              <w:spacing w:after="0"/>
              <w:rPr>
                <w:sz w:val="20"/>
                <w:szCs w:val="20"/>
                <w:color w:val="auto"/>
              </w:rPr>
            </w:pPr>
            <w:r>
              <w:rPr>
                <w:rFonts w:ascii="Arial" w:cs="Arial" w:eastAsia="Arial" w:hAnsi="Arial"/>
                <w:sz w:val="14"/>
                <w:szCs w:val="14"/>
                <w:color w:val="auto"/>
              </w:rPr>
              <w:t>Total Foreign</w:t>
            </w:r>
          </w:p>
        </w:tc>
        <w:tc>
          <w:tcPr>
            <w:tcW w:w="5040" w:type="dxa"/>
            <w:vAlign w:val="bottom"/>
            <w:tcBorders>
              <w:right w:val="single" w:sz="8" w:color="4D8ABE"/>
            </w:tcBorders>
            <w:shd w:val="clear" w:color="auto" w:fill="E6EFFF"/>
          </w:tcPr>
          <w:p>
            <w:pPr>
              <w:spacing w:after="0"/>
              <w:rPr>
                <w:sz w:val="14"/>
                <w:szCs w:val="14"/>
                <w:color w:val="auto"/>
              </w:rPr>
            </w:pPr>
          </w:p>
        </w:tc>
        <w:tc>
          <w:tcPr>
            <w:tcW w:w="300" w:type="dxa"/>
            <w:vAlign w:val="bottom"/>
            <w:shd w:val="clear" w:color="auto" w:fill="E6EFFF"/>
          </w:tcPr>
          <w:p>
            <w:pPr>
              <w:spacing w:after="0"/>
              <w:rPr>
                <w:sz w:val="14"/>
                <w:szCs w:val="14"/>
                <w:color w:val="auto"/>
              </w:rPr>
            </w:pPr>
          </w:p>
        </w:tc>
        <w:tc>
          <w:tcPr>
            <w:tcW w:w="118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189.9</w:t>
            </w:r>
          </w:p>
        </w:tc>
        <w:tc>
          <w:tcPr>
            <w:tcW w:w="50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203.7</w:t>
            </w:r>
          </w:p>
        </w:tc>
        <w:tc>
          <w:tcPr>
            <w:tcW w:w="700" w:type="dxa"/>
            <w:vAlign w:val="bottom"/>
            <w:shd w:val="clear" w:color="auto" w:fill="E6EFFF"/>
          </w:tcPr>
          <w:p>
            <w:pPr>
              <w:spacing w:after="0"/>
              <w:rPr>
                <w:sz w:val="14"/>
                <w:szCs w:val="14"/>
                <w:color w:val="auto"/>
              </w:rPr>
            </w:pPr>
          </w:p>
        </w:tc>
        <w:tc>
          <w:tcPr>
            <w:tcW w:w="860" w:type="dxa"/>
            <w:vAlign w:val="bottom"/>
            <w:gridSpan w:val="2"/>
            <w:shd w:val="clear" w:color="auto" w:fill="E6EFFF"/>
          </w:tcPr>
          <w:p>
            <w:pPr>
              <w:jc w:val="right"/>
              <w:ind w:right="220"/>
              <w:spacing w:after="0"/>
              <w:rPr>
                <w:sz w:val="20"/>
                <w:szCs w:val="20"/>
                <w:color w:val="auto"/>
              </w:rPr>
            </w:pPr>
            <w:r>
              <w:rPr>
                <w:rFonts w:ascii="Arial" w:cs="Arial" w:eastAsia="Arial" w:hAnsi="Arial"/>
                <w:sz w:val="14"/>
                <w:szCs w:val="14"/>
                <w:color w:val="auto"/>
              </w:rPr>
              <w:t>186.0</w:t>
            </w:r>
          </w:p>
        </w:tc>
        <w:tc>
          <w:tcPr>
            <w:tcW w:w="40" w:type="dxa"/>
            <w:vAlign w:val="bottom"/>
          </w:tcPr>
          <w:p>
            <w:pPr>
              <w:spacing w:after="0"/>
              <w:rPr>
                <w:sz w:val="14"/>
                <w:szCs w:val="14"/>
                <w:color w:val="auto"/>
              </w:rPr>
            </w:pPr>
          </w:p>
        </w:tc>
      </w:tr>
      <w:tr>
        <w:trPr>
          <w:trHeight w:val="360"/>
        </w:trPr>
        <w:tc>
          <w:tcPr>
            <w:tcW w:w="2000" w:type="dxa"/>
            <w:vAlign w:val="bottom"/>
            <w:tcBorders>
              <w:top w:val="single" w:sz="8" w:color="auto"/>
              <w:bottom w:val="single" w:sz="8" w:color="auto"/>
            </w:tcBorders>
          </w:tcPr>
          <w:p>
            <w:pPr>
              <w:spacing w:after="0"/>
              <w:rPr>
                <w:sz w:val="24"/>
                <w:szCs w:val="24"/>
                <w:color w:val="auto"/>
              </w:rPr>
            </w:pPr>
          </w:p>
        </w:tc>
        <w:tc>
          <w:tcPr>
            <w:tcW w:w="50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3"/>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2000" w:type="dxa"/>
            <w:vAlign w:val="bottom"/>
          </w:tcPr>
          <w:p>
            <w:pPr>
              <w:spacing w:after="0"/>
              <w:rPr>
                <w:sz w:val="20"/>
                <w:szCs w:val="20"/>
                <w:color w:val="auto"/>
              </w:rPr>
            </w:pPr>
            <w:r>
              <w:rPr>
                <w:rFonts w:ascii="Arial" w:cs="Arial" w:eastAsia="Arial" w:hAnsi="Arial"/>
                <w:sz w:val="12"/>
                <w:szCs w:val="12"/>
                <w:b w:val="1"/>
                <w:bCs w:val="1"/>
                <w:color w:val="auto"/>
              </w:rPr>
              <w:t>70</w:t>
            </w:r>
          </w:p>
        </w:tc>
        <w:tc>
          <w:tcPr>
            <w:tcW w:w="5040" w:type="dxa"/>
            <w:vAlign w:val="bottom"/>
          </w:tcPr>
          <w:p>
            <w:pPr>
              <w:ind w:left="860"/>
              <w:spacing w:after="0"/>
              <w:rPr>
                <w:sz w:val="20"/>
                <w:szCs w:val="20"/>
                <w:color w:val="auto"/>
              </w:rPr>
            </w:pPr>
            <w:r>
              <w:rPr>
                <w:rFonts w:ascii="Arial" w:cs="Arial" w:eastAsia="Arial" w:hAnsi="Arial"/>
                <w:sz w:val="12"/>
                <w:szCs w:val="12"/>
                <w:b w:val="1"/>
                <w:bCs w:val="1"/>
                <w:color w:val="939598"/>
              </w:rPr>
              <w:t>Notes To Consolidated Financial Statements</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80" w:type="dxa"/>
            <w:vAlign w:val="bottom"/>
            <w:gridSpan w:val="3"/>
          </w:tcPr>
          <w:p>
            <w:pPr>
              <w:jc w:val="right"/>
              <w:ind w:right="232"/>
              <w:spacing w:after="0"/>
              <w:rPr>
                <w:sz w:val="20"/>
                <w:szCs w:val="20"/>
                <w:color w:val="auto"/>
              </w:rPr>
            </w:pPr>
            <w:r>
              <w:rPr>
                <w:rFonts w:ascii="Arial" w:cs="Arial" w:eastAsia="Arial" w:hAnsi="Arial"/>
                <w:sz w:val="12"/>
                <w:szCs w:val="12"/>
                <w:b w:val="1"/>
                <w:bCs w:val="1"/>
                <w:color w:val="auto"/>
              </w:rPr>
              <w:t>Manpower Annual Report 2008</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7"/>
        </w:trPr>
        <w:tc>
          <w:tcPr>
            <w:tcW w:w="2000" w:type="dxa"/>
            <w:vAlign w:val="bottom"/>
          </w:tcPr>
          <w:p>
            <w:pPr>
              <w:spacing w:after="0"/>
              <w:rPr>
                <w:sz w:val="4"/>
                <w:szCs w:val="4"/>
                <w:color w:val="auto"/>
              </w:rPr>
            </w:pPr>
          </w:p>
        </w:tc>
        <w:tc>
          <w:tcPr>
            <w:tcW w:w="5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2000" w:type="dxa"/>
            <w:vAlign w:val="bottom"/>
            <w:shd w:val="clear" w:color="auto" w:fill="808080"/>
          </w:tcPr>
          <w:p>
            <w:pPr>
              <w:spacing w:after="0"/>
              <w:rPr>
                <w:sz w:val="5"/>
                <w:szCs w:val="5"/>
                <w:color w:val="auto"/>
              </w:rPr>
            </w:pPr>
          </w:p>
        </w:tc>
        <w:tc>
          <w:tcPr>
            <w:tcW w:w="504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00"/>
          </w:cols>
          <w:pgMar w:left="220" w:top="114" w:right="17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86B6A5"/>
        </w:rPr>
        <w:t>16.</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86B6A5"/>
        </w:rPr>
        <w:t>Quarterly Data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color w:val="4D8ABE"/>
              </w:rPr>
              <w:t>First</w:t>
            </w:r>
          </w:p>
        </w:tc>
        <w:tc>
          <w:tcPr>
            <w:tcW w:w="380" w:type="dxa"/>
            <w:vAlign w:val="bottom"/>
          </w:tcPr>
          <w:p>
            <w:pPr>
              <w:spacing w:after="0"/>
              <w:rPr>
                <w:sz w:val="13"/>
                <w:szCs w:val="13"/>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4D8ABE"/>
              </w:rPr>
              <w:t>Second</w:t>
            </w:r>
          </w:p>
        </w:tc>
        <w:tc>
          <w:tcPr>
            <w:tcW w:w="380" w:type="dxa"/>
            <w:vAlign w:val="bottom"/>
          </w:tcPr>
          <w:p>
            <w:pPr>
              <w:spacing w:after="0"/>
              <w:rPr>
                <w:sz w:val="13"/>
                <w:szCs w:val="1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4D8ABE"/>
              </w:rPr>
              <w:t>Third</w:t>
            </w:r>
          </w:p>
        </w:tc>
        <w:tc>
          <w:tcPr>
            <w:tcW w:w="360" w:type="dxa"/>
            <w:vAlign w:val="bottom"/>
          </w:tcPr>
          <w:p>
            <w:pPr>
              <w:spacing w:after="0"/>
              <w:rPr>
                <w:sz w:val="13"/>
                <w:szCs w:val="13"/>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4D8ABE"/>
              </w:rPr>
              <w:t>Fourth</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color w:val="4D8ABE"/>
              </w:rPr>
              <w:t>Quarter</w:t>
            </w:r>
          </w:p>
        </w:tc>
        <w:tc>
          <w:tcPr>
            <w:tcW w:w="38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4D8ABE"/>
              </w:rPr>
              <w:t>Quarter</w:t>
            </w:r>
          </w:p>
        </w:tc>
        <w:tc>
          <w:tcPr>
            <w:tcW w:w="38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4D8ABE"/>
              </w:rPr>
              <w:t>Quarter</w:t>
            </w:r>
          </w:p>
        </w:tc>
        <w:tc>
          <w:tcPr>
            <w:tcW w:w="36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4D8ABE"/>
              </w:rPr>
              <w:t>Quarter</w:t>
            </w:r>
          </w:p>
        </w:tc>
        <w:tc>
          <w:tcPr>
            <w:tcW w:w="3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4D8ABE"/>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60" w:type="dxa"/>
            <w:vAlign w:val="bottom"/>
            <w:tcBorders>
              <w:top w:val="single" w:sz="8" w:color="4D8ABE"/>
            </w:tcBorders>
          </w:tcPr>
          <w:p>
            <w:pPr>
              <w:spacing w:after="0"/>
              <w:rPr>
                <w:sz w:val="20"/>
                <w:szCs w:val="20"/>
                <w:color w:val="auto"/>
              </w:rPr>
            </w:pPr>
            <w:r>
              <w:rPr>
                <w:rFonts w:ascii="Arial" w:cs="Arial" w:eastAsia="Arial" w:hAnsi="Arial"/>
                <w:sz w:val="13"/>
                <w:szCs w:val="13"/>
                <w:b w:val="1"/>
                <w:bCs w:val="1"/>
                <w:color w:val="939598"/>
              </w:rPr>
              <w:t>Year Ended December 31, 2008</w:t>
            </w:r>
          </w:p>
        </w:tc>
        <w:tc>
          <w:tcPr>
            <w:tcW w:w="3480" w:type="dxa"/>
            <w:vAlign w:val="bottom"/>
            <w:tcBorders>
              <w:top w:val="single" w:sz="8" w:color="4D8ABE"/>
            </w:tcBorders>
          </w:tcPr>
          <w:p>
            <w:pPr>
              <w:spacing w:after="0"/>
              <w:rPr>
                <w:sz w:val="13"/>
                <w:szCs w:val="13"/>
                <w:color w:val="auto"/>
              </w:rPr>
            </w:pPr>
          </w:p>
        </w:tc>
        <w:tc>
          <w:tcPr>
            <w:tcW w:w="760" w:type="dxa"/>
            <w:vAlign w:val="bottom"/>
            <w:tcBorders>
              <w:top w:val="single" w:sz="8" w:color="4D8ABE"/>
            </w:tcBorders>
          </w:tcPr>
          <w:p>
            <w:pPr>
              <w:spacing w:after="0"/>
              <w:rPr>
                <w:sz w:val="13"/>
                <w:szCs w:val="13"/>
                <w:color w:val="auto"/>
              </w:rPr>
            </w:pPr>
          </w:p>
        </w:tc>
        <w:tc>
          <w:tcPr>
            <w:tcW w:w="380" w:type="dxa"/>
            <w:vAlign w:val="bottom"/>
            <w:tcBorders>
              <w:top w:val="single" w:sz="8" w:color="4D8ABE"/>
            </w:tcBorders>
          </w:tcPr>
          <w:p>
            <w:pPr>
              <w:spacing w:after="0"/>
              <w:rPr>
                <w:sz w:val="13"/>
                <w:szCs w:val="13"/>
                <w:color w:val="auto"/>
              </w:rPr>
            </w:pPr>
          </w:p>
        </w:tc>
        <w:tc>
          <w:tcPr>
            <w:tcW w:w="760" w:type="dxa"/>
            <w:vAlign w:val="bottom"/>
            <w:tcBorders>
              <w:top w:val="single" w:sz="8" w:color="4D8ABE"/>
            </w:tcBorders>
          </w:tcPr>
          <w:p>
            <w:pPr>
              <w:spacing w:after="0"/>
              <w:rPr>
                <w:sz w:val="13"/>
                <w:szCs w:val="13"/>
                <w:color w:val="auto"/>
              </w:rPr>
            </w:pPr>
          </w:p>
        </w:tc>
        <w:tc>
          <w:tcPr>
            <w:tcW w:w="380" w:type="dxa"/>
            <w:vAlign w:val="bottom"/>
            <w:tcBorders>
              <w:top w:val="single" w:sz="8" w:color="4D8ABE"/>
            </w:tcBorders>
          </w:tcPr>
          <w:p>
            <w:pPr>
              <w:spacing w:after="0"/>
              <w:rPr>
                <w:sz w:val="13"/>
                <w:szCs w:val="13"/>
                <w:color w:val="auto"/>
              </w:rPr>
            </w:pPr>
          </w:p>
        </w:tc>
        <w:tc>
          <w:tcPr>
            <w:tcW w:w="780" w:type="dxa"/>
            <w:vAlign w:val="bottom"/>
            <w:tcBorders>
              <w:top w:val="single" w:sz="8" w:color="4D8ABE"/>
            </w:tcBorders>
          </w:tcPr>
          <w:p>
            <w:pPr>
              <w:spacing w:after="0"/>
              <w:rPr>
                <w:sz w:val="13"/>
                <w:szCs w:val="13"/>
                <w:color w:val="auto"/>
              </w:rPr>
            </w:pPr>
          </w:p>
        </w:tc>
        <w:tc>
          <w:tcPr>
            <w:tcW w:w="360" w:type="dxa"/>
            <w:vAlign w:val="bottom"/>
            <w:tcBorders>
              <w:top w:val="single" w:sz="8" w:color="4D8ABE"/>
            </w:tcBorders>
          </w:tcPr>
          <w:p>
            <w:pPr>
              <w:spacing w:after="0"/>
              <w:rPr>
                <w:sz w:val="13"/>
                <w:szCs w:val="13"/>
                <w:color w:val="auto"/>
              </w:rPr>
            </w:pPr>
          </w:p>
        </w:tc>
        <w:tc>
          <w:tcPr>
            <w:tcW w:w="760" w:type="dxa"/>
            <w:vAlign w:val="bottom"/>
            <w:tcBorders>
              <w:top w:val="single" w:sz="8" w:color="4D8ABE"/>
            </w:tcBorders>
          </w:tcPr>
          <w:p>
            <w:pPr>
              <w:spacing w:after="0"/>
              <w:rPr>
                <w:sz w:val="13"/>
                <w:szCs w:val="13"/>
                <w:color w:val="auto"/>
              </w:rPr>
            </w:pPr>
          </w:p>
        </w:tc>
        <w:tc>
          <w:tcPr>
            <w:tcW w:w="340" w:type="dxa"/>
            <w:vAlign w:val="bottom"/>
            <w:tcBorders>
              <w:top w:val="single" w:sz="8" w:color="4D8ABE"/>
            </w:tcBorders>
          </w:tcPr>
          <w:p>
            <w:pPr>
              <w:spacing w:after="0"/>
              <w:rPr>
                <w:sz w:val="13"/>
                <w:szCs w:val="13"/>
                <w:color w:val="auto"/>
              </w:rPr>
            </w:pPr>
          </w:p>
        </w:tc>
        <w:tc>
          <w:tcPr>
            <w:tcW w:w="680" w:type="dxa"/>
            <w:vAlign w:val="bottom"/>
            <w:tcBorders>
              <w:top w:val="single" w:sz="8" w:color="4D8ABE"/>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560" w:type="dxa"/>
            <w:vAlign w:val="bottom"/>
            <w:shd w:val="clear" w:color="auto" w:fill="E6EFFF"/>
          </w:tcPr>
          <w:p>
            <w:pPr>
              <w:spacing w:after="0"/>
              <w:rPr>
                <w:sz w:val="20"/>
                <w:szCs w:val="20"/>
                <w:color w:val="auto"/>
              </w:rPr>
            </w:pPr>
            <w:r>
              <w:rPr>
                <w:rFonts w:ascii="Arial" w:cs="Arial" w:eastAsia="Arial" w:hAnsi="Arial"/>
                <w:sz w:val="13"/>
                <w:szCs w:val="13"/>
                <w:color w:val="auto"/>
              </w:rPr>
              <w:t>Revenues from services</w:t>
            </w:r>
          </w:p>
        </w:tc>
        <w:tc>
          <w:tcPr>
            <w:tcW w:w="3480" w:type="dxa"/>
            <w:vAlign w:val="bottom"/>
            <w:shd w:val="clear" w:color="auto" w:fill="E6EFFF"/>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5,386.6</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5,904.9</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5,668.4</w:t>
            </w:r>
          </w:p>
        </w:tc>
        <w:tc>
          <w:tcPr>
            <w:tcW w:w="36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4,592.9</w:t>
            </w:r>
          </w:p>
        </w:tc>
        <w:tc>
          <w:tcPr>
            <w:tcW w:w="340" w:type="dxa"/>
            <w:vAlign w:val="bottom"/>
            <w:shd w:val="clear" w:color="auto" w:fill="E6EFFF"/>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FFF"/>
          </w:tcPr>
          <w:p>
            <w:pPr>
              <w:jc w:val="right"/>
              <w:ind w:right="220"/>
              <w:spacing w:after="0"/>
              <w:rPr>
                <w:sz w:val="20"/>
                <w:szCs w:val="20"/>
                <w:color w:val="auto"/>
              </w:rPr>
            </w:pPr>
            <w:r>
              <w:rPr>
                <w:rFonts w:ascii="Arial" w:cs="Arial" w:eastAsia="Arial" w:hAnsi="Arial"/>
                <w:sz w:val="13"/>
                <w:szCs w:val="13"/>
                <w:color w:val="auto"/>
              </w:rPr>
              <w:t>21,552.8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60" w:type="dxa"/>
            <w:vAlign w:val="bottom"/>
          </w:tcPr>
          <w:p>
            <w:pPr>
              <w:spacing w:after="0"/>
              <w:rPr>
                <w:sz w:val="20"/>
                <w:szCs w:val="20"/>
                <w:color w:val="auto"/>
              </w:rPr>
            </w:pPr>
            <w:r>
              <w:rPr>
                <w:rFonts w:ascii="Arial" w:cs="Arial" w:eastAsia="Arial" w:hAnsi="Arial"/>
                <w:sz w:val="13"/>
                <w:szCs w:val="13"/>
                <w:color w:val="auto"/>
              </w:rPr>
              <w:t>Gross profit</w:t>
            </w:r>
          </w:p>
        </w:tc>
        <w:tc>
          <w:tcPr>
            <w:tcW w:w="34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color w:val="auto"/>
              </w:rPr>
              <w:t>967.7</w:t>
            </w:r>
          </w:p>
        </w:tc>
        <w:tc>
          <w:tcPr>
            <w:tcW w:w="38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1,153.6</w:t>
            </w:r>
          </w:p>
        </w:tc>
        <w:tc>
          <w:tcPr>
            <w:tcW w:w="38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1,027.6</w:t>
            </w:r>
          </w:p>
        </w:tc>
        <w:tc>
          <w:tcPr>
            <w:tcW w:w="36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953.7</w:t>
            </w:r>
          </w:p>
        </w:tc>
        <w:tc>
          <w:tcPr>
            <w:tcW w:w="3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4,102.6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E6EFFF"/>
          </w:tcPr>
          <w:p>
            <w:pPr>
              <w:spacing w:after="0"/>
              <w:rPr>
                <w:sz w:val="20"/>
                <w:szCs w:val="20"/>
                <w:color w:val="auto"/>
              </w:rPr>
            </w:pPr>
            <w:r>
              <w:rPr>
                <w:rFonts w:ascii="Arial" w:cs="Arial" w:eastAsia="Arial" w:hAnsi="Arial"/>
                <w:sz w:val="13"/>
                <w:szCs w:val="13"/>
                <w:color w:val="auto"/>
              </w:rPr>
              <w:t>Operating profit</w:t>
            </w:r>
          </w:p>
        </w:tc>
        <w:tc>
          <w:tcPr>
            <w:tcW w:w="34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2"/>
              <w:spacing w:after="0"/>
              <w:rPr>
                <w:sz w:val="20"/>
                <w:szCs w:val="20"/>
                <w:color w:val="auto"/>
              </w:rPr>
            </w:pPr>
            <w:r>
              <w:rPr>
                <w:rFonts w:ascii="Arial" w:cs="Arial" w:eastAsia="Arial" w:hAnsi="Arial"/>
                <w:sz w:val="13"/>
                <w:szCs w:val="13"/>
                <w:color w:val="auto"/>
              </w:rPr>
              <w:t>132.0</w:t>
            </w:r>
          </w:p>
        </w:tc>
        <w:tc>
          <w:tcPr>
            <w:tcW w:w="3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207.3</w:t>
            </w:r>
          </w:p>
        </w:tc>
        <w:tc>
          <w:tcPr>
            <w:tcW w:w="380" w:type="dxa"/>
            <w:vAlign w:val="bottom"/>
            <w:shd w:val="clear" w:color="auto" w:fill="E6EFFF"/>
          </w:tcPr>
          <w:p>
            <w:pPr>
              <w:spacing w:after="0"/>
              <w:rPr>
                <w:sz w:val="14"/>
                <w:szCs w:val="14"/>
                <w:color w:val="auto"/>
              </w:rPr>
            </w:pPr>
          </w:p>
        </w:tc>
        <w:tc>
          <w:tcPr>
            <w:tcW w:w="7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21.0</w:t>
            </w:r>
          </w:p>
        </w:tc>
        <w:tc>
          <w:tcPr>
            <w:tcW w:w="36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148.9</w:t>
            </w:r>
          </w:p>
        </w:tc>
        <w:tc>
          <w:tcPr>
            <w:tcW w:w="340" w:type="dxa"/>
            <w:vAlign w:val="bottom"/>
            <w:shd w:val="clear" w:color="auto" w:fill="E6EFFF"/>
          </w:tcPr>
          <w:p>
            <w:pPr>
              <w:spacing w:after="0"/>
              <w:rPr>
                <w:sz w:val="14"/>
                <w:szCs w:val="14"/>
                <w:color w:val="auto"/>
              </w:rPr>
            </w:pPr>
          </w:p>
        </w:tc>
        <w:tc>
          <w:tcPr>
            <w:tcW w:w="6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509.2</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60" w:type="dxa"/>
            <w:vAlign w:val="bottom"/>
          </w:tcPr>
          <w:p>
            <w:pPr>
              <w:spacing w:after="0"/>
              <w:rPr>
                <w:sz w:val="20"/>
                <w:szCs w:val="20"/>
                <w:color w:val="auto"/>
              </w:rPr>
            </w:pPr>
            <w:r>
              <w:rPr>
                <w:rFonts w:ascii="Arial" w:cs="Arial" w:eastAsia="Arial" w:hAnsi="Arial"/>
                <w:sz w:val="13"/>
                <w:szCs w:val="13"/>
                <w:color w:val="auto"/>
              </w:rPr>
              <w:t>Net earnings (loss)</w:t>
            </w:r>
          </w:p>
        </w:tc>
        <w:tc>
          <w:tcPr>
            <w:tcW w:w="34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color w:val="auto"/>
              </w:rPr>
              <w:t>75.5</w:t>
            </w:r>
          </w:p>
        </w:tc>
        <w:tc>
          <w:tcPr>
            <w:tcW w:w="38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107.4</w:t>
            </w:r>
          </w:p>
        </w:tc>
        <w:tc>
          <w:tcPr>
            <w:tcW w:w="38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(43.2)</w:t>
            </w:r>
          </w:p>
        </w:tc>
        <w:tc>
          <w:tcPr>
            <w:tcW w:w="36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79.2</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218.9</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E6EFFF"/>
          </w:tcPr>
          <w:p>
            <w:pPr>
              <w:spacing w:after="0"/>
              <w:rPr>
                <w:sz w:val="20"/>
                <w:szCs w:val="20"/>
                <w:color w:val="auto"/>
              </w:rPr>
            </w:pPr>
            <w:r>
              <w:rPr>
                <w:rFonts w:ascii="Arial" w:cs="Arial" w:eastAsia="Arial" w:hAnsi="Arial"/>
                <w:sz w:val="13"/>
                <w:szCs w:val="13"/>
                <w:color w:val="auto"/>
              </w:rPr>
              <w:t>Net earnings (loss) per share - basic</w:t>
            </w:r>
          </w:p>
        </w:tc>
        <w:tc>
          <w:tcPr>
            <w:tcW w:w="3480" w:type="dxa"/>
            <w:vAlign w:val="bottom"/>
            <w:shd w:val="clear" w:color="auto" w:fill="E6EFFF"/>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0.95</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1.36</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FFF"/>
          </w:tcPr>
          <w:p>
            <w:pPr>
              <w:jc w:val="right"/>
              <w:ind w:right="33"/>
              <w:spacing w:after="0"/>
              <w:rPr>
                <w:sz w:val="20"/>
                <w:szCs w:val="20"/>
                <w:color w:val="auto"/>
              </w:rPr>
            </w:pPr>
            <w:r>
              <w:rPr>
                <w:rFonts w:ascii="Arial" w:cs="Arial" w:eastAsia="Arial" w:hAnsi="Arial"/>
                <w:sz w:val="13"/>
                <w:szCs w:val="13"/>
                <w:color w:val="auto"/>
              </w:rPr>
              <w:t>(0.55)</w:t>
            </w:r>
          </w:p>
        </w:tc>
        <w:tc>
          <w:tcPr>
            <w:tcW w:w="360" w:type="dxa"/>
            <w:vAlign w:val="bottom"/>
            <w:shd w:val="clear" w:color="auto" w:fill="E6EFFF"/>
          </w:tcPr>
          <w:p>
            <w:pPr>
              <w:jc w:val="right"/>
              <w:ind w:right="133"/>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4"/>
                <w:szCs w:val="14"/>
                <w:color w:val="auto"/>
              </w:rPr>
              <w:t>1.02</w:t>
            </w:r>
          </w:p>
        </w:tc>
        <w:tc>
          <w:tcPr>
            <w:tcW w:w="340" w:type="dxa"/>
            <w:vAlign w:val="bottom"/>
            <w:shd w:val="clear" w:color="auto" w:fill="E6EFFF"/>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2.78</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60" w:type="dxa"/>
            <w:vAlign w:val="bottom"/>
          </w:tcPr>
          <w:p>
            <w:pPr>
              <w:spacing w:after="0"/>
              <w:rPr>
                <w:sz w:val="20"/>
                <w:szCs w:val="20"/>
                <w:color w:val="auto"/>
              </w:rPr>
            </w:pPr>
            <w:r>
              <w:rPr>
                <w:rFonts w:ascii="Arial" w:cs="Arial" w:eastAsia="Arial" w:hAnsi="Arial"/>
                <w:sz w:val="13"/>
                <w:szCs w:val="13"/>
                <w:color w:val="auto"/>
              </w:rPr>
              <w:t>Net earnings (loss) per share - diluted</w:t>
            </w:r>
          </w:p>
        </w:tc>
        <w:tc>
          <w:tcPr>
            <w:tcW w:w="34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0.94</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1.34</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(0.55)</w:t>
            </w:r>
          </w:p>
        </w:tc>
        <w:tc>
          <w:tcPr>
            <w:tcW w:w="36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1.01</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2.75</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E6EFFF"/>
          </w:tcPr>
          <w:p>
            <w:pPr>
              <w:spacing w:after="0"/>
              <w:rPr>
                <w:sz w:val="20"/>
                <w:szCs w:val="20"/>
                <w:color w:val="auto"/>
              </w:rPr>
            </w:pPr>
            <w:r>
              <w:rPr>
                <w:rFonts w:ascii="Arial" w:cs="Arial" w:eastAsia="Arial" w:hAnsi="Arial"/>
                <w:sz w:val="13"/>
                <w:szCs w:val="13"/>
                <w:color w:val="auto"/>
              </w:rPr>
              <w:t>Dividends per share</w:t>
            </w:r>
          </w:p>
        </w:tc>
        <w:tc>
          <w:tcPr>
            <w:tcW w:w="3480" w:type="dxa"/>
            <w:vAlign w:val="bottom"/>
            <w:shd w:val="clear" w:color="auto" w:fill="E6EFFF"/>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0.37</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0.37</w:t>
            </w:r>
          </w:p>
        </w:tc>
        <w:tc>
          <w:tcPr>
            <w:tcW w:w="340" w:type="dxa"/>
            <w:vAlign w:val="bottom"/>
            <w:shd w:val="clear" w:color="auto" w:fill="E6EFFF"/>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0.74</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60" w:type="dxa"/>
            <w:vAlign w:val="bottom"/>
          </w:tcPr>
          <w:p>
            <w:pPr>
              <w:spacing w:after="0"/>
              <w:rPr>
                <w:sz w:val="20"/>
                <w:szCs w:val="20"/>
                <w:color w:val="auto"/>
              </w:rPr>
            </w:pPr>
            <w:r>
              <w:rPr>
                <w:rFonts w:ascii="Arial" w:cs="Arial" w:eastAsia="Arial" w:hAnsi="Arial"/>
                <w:sz w:val="13"/>
                <w:szCs w:val="13"/>
                <w:color w:val="auto"/>
              </w:rPr>
              <w:t>Market price:</w:t>
            </w:r>
          </w:p>
        </w:tc>
        <w:tc>
          <w:tcPr>
            <w:tcW w:w="3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E6EFFF"/>
          </w:tcPr>
          <w:p>
            <w:pPr>
              <w:ind w:left="120"/>
              <w:spacing w:after="0"/>
              <w:rPr>
                <w:sz w:val="20"/>
                <w:szCs w:val="20"/>
                <w:color w:val="auto"/>
              </w:rPr>
            </w:pPr>
            <w:r>
              <w:rPr>
                <w:rFonts w:ascii="Arial" w:cs="Arial" w:eastAsia="Arial" w:hAnsi="Arial"/>
                <w:sz w:val="13"/>
                <w:szCs w:val="13"/>
                <w:color w:val="auto"/>
              </w:rPr>
              <w:t>High</w:t>
            </w:r>
          </w:p>
        </w:tc>
        <w:tc>
          <w:tcPr>
            <w:tcW w:w="3480" w:type="dxa"/>
            <w:vAlign w:val="bottom"/>
            <w:shd w:val="clear" w:color="auto" w:fill="E6EFFF"/>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60.50</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70.35</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57.62</w:t>
            </w:r>
          </w:p>
        </w:tc>
        <w:tc>
          <w:tcPr>
            <w:tcW w:w="36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42.29</w:t>
            </w:r>
          </w:p>
        </w:tc>
        <w:tc>
          <w:tcPr>
            <w:tcW w:w="340" w:type="dxa"/>
            <w:vAlign w:val="bottom"/>
            <w:shd w:val="clear" w:color="auto" w:fill="E6EFFF"/>
          </w:tcPr>
          <w:p>
            <w:pPr>
              <w:spacing w:after="0"/>
              <w:rPr>
                <w:sz w:val="14"/>
                <w:szCs w:val="14"/>
                <w:color w:val="auto"/>
              </w:rPr>
            </w:pPr>
          </w:p>
        </w:tc>
        <w:tc>
          <w:tcPr>
            <w:tcW w:w="68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Low</w:t>
            </w:r>
          </w:p>
        </w:tc>
        <w:tc>
          <w:tcPr>
            <w:tcW w:w="3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color w:val="auto"/>
              </w:rPr>
              <w:t>48.83</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55.02</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39.73</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23.60</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E6EF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60" w:type="dxa"/>
            <w:vAlign w:val="bottom"/>
            <w:shd w:val="clear" w:color="auto" w:fill="E6EFFF"/>
          </w:tcPr>
          <w:p>
            <w:pPr>
              <w:spacing w:after="0"/>
              <w:rPr>
                <w:sz w:val="20"/>
                <w:szCs w:val="20"/>
                <w:color w:val="auto"/>
              </w:rPr>
            </w:pPr>
            <w:r>
              <w:rPr>
                <w:rFonts w:ascii="Arial" w:cs="Arial" w:eastAsia="Arial" w:hAnsi="Arial"/>
                <w:sz w:val="13"/>
                <w:szCs w:val="13"/>
                <w:b w:val="1"/>
                <w:bCs w:val="1"/>
                <w:color w:val="939598"/>
              </w:rPr>
              <w:t>Year Ended December 31, 2007</w:t>
            </w:r>
          </w:p>
        </w:tc>
        <w:tc>
          <w:tcPr>
            <w:tcW w:w="3480" w:type="dxa"/>
            <w:vAlign w:val="bottom"/>
            <w:shd w:val="clear" w:color="auto" w:fill="E6EFFF"/>
          </w:tcPr>
          <w:p>
            <w:pPr>
              <w:spacing w:after="0"/>
              <w:rPr>
                <w:sz w:val="13"/>
                <w:szCs w:val="13"/>
                <w:color w:val="auto"/>
              </w:rPr>
            </w:pPr>
          </w:p>
        </w:tc>
        <w:tc>
          <w:tcPr>
            <w:tcW w:w="760" w:type="dxa"/>
            <w:vAlign w:val="bottom"/>
            <w:shd w:val="clear" w:color="auto" w:fill="E6EFFF"/>
          </w:tcPr>
          <w:p>
            <w:pPr>
              <w:spacing w:after="0"/>
              <w:rPr>
                <w:sz w:val="13"/>
                <w:szCs w:val="13"/>
                <w:color w:val="auto"/>
              </w:rPr>
            </w:pPr>
          </w:p>
        </w:tc>
        <w:tc>
          <w:tcPr>
            <w:tcW w:w="380" w:type="dxa"/>
            <w:vAlign w:val="bottom"/>
            <w:shd w:val="clear" w:color="auto" w:fill="E6EFFF"/>
          </w:tcPr>
          <w:p>
            <w:pPr>
              <w:spacing w:after="0"/>
              <w:rPr>
                <w:sz w:val="13"/>
                <w:szCs w:val="13"/>
                <w:color w:val="auto"/>
              </w:rPr>
            </w:pPr>
          </w:p>
        </w:tc>
        <w:tc>
          <w:tcPr>
            <w:tcW w:w="760" w:type="dxa"/>
            <w:vAlign w:val="bottom"/>
            <w:shd w:val="clear" w:color="auto" w:fill="E6EFFF"/>
          </w:tcPr>
          <w:p>
            <w:pPr>
              <w:spacing w:after="0"/>
              <w:rPr>
                <w:sz w:val="13"/>
                <w:szCs w:val="13"/>
                <w:color w:val="auto"/>
              </w:rPr>
            </w:pPr>
          </w:p>
        </w:tc>
        <w:tc>
          <w:tcPr>
            <w:tcW w:w="380" w:type="dxa"/>
            <w:vAlign w:val="bottom"/>
            <w:shd w:val="clear" w:color="auto" w:fill="E6EFFF"/>
          </w:tcPr>
          <w:p>
            <w:pPr>
              <w:spacing w:after="0"/>
              <w:rPr>
                <w:sz w:val="13"/>
                <w:szCs w:val="13"/>
                <w:color w:val="auto"/>
              </w:rPr>
            </w:pPr>
          </w:p>
        </w:tc>
        <w:tc>
          <w:tcPr>
            <w:tcW w:w="780" w:type="dxa"/>
            <w:vAlign w:val="bottom"/>
            <w:shd w:val="clear" w:color="auto" w:fill="E6EFFF"/>
          </w:tcPr>
          <w:p>
            <w:pPr>
              <w:spacing w:after="0"/>
              <w:rPr>
                <w:sz w:val="13"/>
                <w:szCs w:val="13"/>
                <w:color w:val="auto"/>
              </w:rPr>
            </w:pPr>
          </w:p>
        </w:tc>
        <w:tc>
          <w:tcPr>
            <w:tcW w:w="360" w:type="dxa"/>
            <w:vAlign w:val="bottom"/>
            <w:shd w:val="clear" w:color="auto" w:fill="E6EFFF"/>
          </w:tcPr>
          <w:p>
            <w:pPr>
              <w:spacing w:after="0"/>
              <w:rPr>
                <w:sz w:val="13"/>
                <w:szCs w:val="13"/>
                <w:color w:val="auto"/>
              </w:rPr>
            </w:pPr>
          </w:p>
        </w:tc>
        <w:tc>
          <w:tcPr>
            <w:tcW w:w="760" w:type="dxa"/>
            <w:vAlign w:val="bottom"/>
            <w:shd w:val="clear" w:color="auto" w:fill="E6EFFF"/>
          </w:tcPr>
          <w:p>
            <w:pPr>
              <w:spacing w:after="0"/>
              <w:rPr>
                <w:sz w:val="13"/>
                <w:szCs w:val="13"/>
                <w:color w:val="auto"/>
              </w:rPr>
            </w:pPr>
          </w:p>
        </w:tc>
        <w:tc>
          <w:tcPr>
            <w:tcW w:w="340" w:type="dxa"/>
            <w:vAlign w:val="bottom"/>
            <w:shd w:val="clear" w:color="auto" w:fill="E6EFFF"/>
          </w:tcPr>
          <w:p>
            <w:pPr>
              <w:spacing w:after="0"/>
              <w:rPr>
                <w:sz w:val="13"/>
                <w:szCs w:val="13"/>
                <w:color w:val="auto"/>
              </w:rPr>
            </w:pPr>
          </w:p>
        </w:tc>
        <w:tc>
          <w:tcPr>
            <w:tcW w:w="680" w:type="dxa"/>
            <w:vAlign w:val="bottom"/>
            <w:shd w:val="clear" w:color="auto" w:fill="E6EFFF"/>
          </w:tcPr>
          <w:p>
            <w:pPr>
              <w:spacing w:after="0"/>
              <w:rPr>
                <w:sz w:val="13"/>
                <w:szCs w:val="13"/>
                <w:color w:val="auto"/>
              </w:rPr>
            </w:pPr>
          </w:p>
        </w:tc>
        <w:tc>
          <w:tcPr>
            <w:tcW w:w="220" w:type="dxa"/>
            <w:vAlign w:val="bottom"/>
            <w:shd w:val="clear" w:color="auto" w:fill="E6E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560" w:type="dxa"/>
            <w:vAlign w:val="bottom"/>
          </w:tcPr>
          <w:p>
            <w:pPr>
              <w:spacing w:after="0"/>
              <w:rPr>
                <w:sz w:val="20"/>
                <w:szCs w:val="20"/>
                <w:color w:val="auto"/>
              </w:rPr>
            </w:pPr>
            <w:r>
              <w:rPr>
                <w:rFonts w:ascii="Arial" w:cs="Arial" w:eastAsia="Arial" w:hAnsi="Arial"/>
                <w:sz w:val="13"/>
                <w:szCs w:val="13"/>
                <w:color w:val="auto"/>
              </w:rPr>
              <w:t>Revenues from Services</w:t>
            </w:r>
          </w:p>
        </w:tc>
        <w:tc>
          <w:tcPr>
            <w:tcW w:w="34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4,535.6</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5,034.4</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5,295.4</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5,634.9</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20,500.3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E6EFFF"/>
          </w:tcPr>
          <w:p>
            <w:pPr>
              <w:spacing w:after="0"/>
              <w:rPr>
                <w:sz w:val="20"/>
                <w:szCs w:val="20"/>
                <w:color w:val="auto"/>
              </w:rPr>
            </w:pPr>
            <w:r>
              <w:rPr>
                <w:rFonts w:ascii="Arial" w:cs="Arial" w:eastAsia="Arial" w:hAnsi="Arial"/>
                <w:sz w:val="13"/>
                <w:szCs w:val="13"/>
                <w:color w:val="auto"/>
              </w:rPr>
              <w:t>Gross profit</w:t>
            </w:r>
          </w:p>
        </w:tc>
        <w:tc>
          <w:tcPr>
            <w:tcW w:w="34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2"/>
              <w:spacing w:after="0"/>
              <w:rPr>
                <w:sz w:val="20"/>
                <w:szCs w:val="20"/>
                <w:color w:val="auto"/>
              </w:rPr>
            </w:pPr>
            <w:r>
              <w:rPr>
                <w:rFonts w:ascii="Arial" w:cs="Arial" w:eastAsia="Arial" w:hAnsi="Arial"/>
                <w:sz w:val="13"/>
                <w:szCs w:val="13"/>
                <w:color w:val="auto"/>
              </w:rPr>
              <w:t>800.0</w:t>
            </w:r>
          </w:p>
        </w:tc>
        <w:tc>
          <w:tcPr>
            <w:tcW w:w="3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1,024.1</w:t>
            </w:r>
          </w:p>
        </w:tc>
        <w:tc>
          <w:tcPr>
            <w:tcW w:w="380" w:type="dxa"/>
            <w:vAlign w:val="bottom"/>
            <w:shd w:val="clear" w:color="auto" w:fill="E6EFFF"/>
          </w:tcPr>
          <w:p>
            <w:pPr>
              <w:spacing w:after="0"/>
              <w:rPr>
                <w:sz w:val="14"/>
                <w:szCs w:val="14"/>
                <w:color w:val="auto"/>
              </w:rPr>
            </w:pPr>
          </w:p>
        </w:tc>
        <w:tc>
          <w:tcPr>
            <w:tcW w:w="7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974.4</w:t>
            </w:r>
          </w:p>
        </w:tc>
        <w:tc>
          <w:tcPr>
            <w:tcW w:w="36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1,050.1</w:t>
            </w:r>
          </w:p>
        </w:tc>
        <w:tc>
          <w:tcPr>
            <w:tcW w:w="340" w:type="dxa"/>
            <w:vAlign w:val="bottom"/>
            <w:shd w:val="clear" w:color="auto" w:fill="E6EFFF"/>
          </w:tcPr>
          <w:p>
            <w:pPr>
              <w:spacing w:after="0"/>
              <w:rPr>
                <w:sz w:val="14"/>
                <w:szCs w:val="14"/>
                <w:color w:val="auto"/>
              </w:rPr>
            </w:pPr>
          </w:p>
        </w:tc>
        <w:tc>
          <w:tcPr>
            <w:tcW w:w="900" w:type="dxa"/>
            <w:vAlign w:val="bottom"/>
            <w:gridSpan w:val="2"/>
            <w:shd w:val="clear" w:color="auto" w:fill="E6EFFF"/>
          </w:tcPr>
          <w:p>
            <w:pPr>
              <w:jc w:val="right"/>
              <w:ind w:right="220"/>
              <w:spacing w:after="0"/>
              <w:rPr>
                <w:sz w:val="20"/>
                <w:szCs w:val="20"/>
                <w:color w:val="auto"/>
              </w:rPr>
            </w:pPr>
            <w:r>
              <w:rPr>
                <w:rFonts w:ascii="Arial" w:cs="Arial" w:eastAsia="Arial" w:hAnsi="Arial"/>
                <w:sz w:val="13"/>
                <w:szCs w:val="13"/>
                <w:color w:val="auto"/>
              </w:rPr>
              <w:t>3,848.6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60" w:type="dxa"/>
            <w:vAlign w:val="bottom"/>
          </w:tcPr>
          <w:p>
            <w:pPr>
              <w:spacing w:after="0"/>
              <w:rPr>
                <w:sz w:val="20"/>
                <w:szCs w:val="20"/>
                <w:color w:val="auto"/>
              </w:rPr>
            </w:pPr>
            <w:r>
              <w:rPr>
                <w:rFonts w:ascii="Arial" w:cs="Arial" w:eastAsia="Arial" w:hAnsi="Arial"/>
                <w:sz w:val="13"/>
                <w:szCs w:val="13"/>
                <w:color w:val="auto"/>
              </w:rPr>
              <w:t>Operating profit</w:t>
            </w:r>
          </w:p>
        </w:tc>
        <w:tc>
          <w:tcPr>
            <w:tcW w:w="34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color w:val="auto"/>
              </w:rPr>
              <w:t>103.3</w:t>
            </w:r>
          </w:p>
        </w:tc>
        <w:tc>
          <w:tcPr>
            <w:tcW w:w="38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277.0</w:t>
            </w:r>
          </w:p>
        </w:tc>
        <w:tc>
          <w:tcPr>
            <w:tcW w:w="380" w:type="dxa"/>
            <w:vAlign w:val="bottom"/>
          </w:tcPr>
          <w:p>
            <w:pPr>
              <w:spacing w:after="0"/>
              <w:rPr>
                <w:sz w:val="14"/>
                <w:szCs w:val="14"/>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221.9</w:t>
            </w:r>
          </w:p>
        </w:tc>
        <w:tc>
          <w:tcPr>
            <w:tcW w:w="36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223.2</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825.4</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E6EFFF"/>
          </w:tcPr>
          <w:p>
            <w:pPr>
              <w:spacing w:after="0"/>
              <w:rPr>
                <w:sz w:val="20"/>
                <w:szCs w:val="20"/>
                <w:color w:val="auto"/>
              </w:rPr>
            </w:pPr>
            <w:r>
              <w:rPr>
                <w:rFonts w:ascii="Arial" w:cs="Arial" w:eastAsia="Arial" w:hAnsi="Arial"/>
                <w:sz w:val="13"/>
                <w:szCs w:val="13"/>
                <w:color w:val="auto"/>
              </w:rPr>
              <w:t>Net earnings</w:t>
            </w:r>
          </w:p>
        </w:tc>
        <w:tc>
          <w:tcPr>
            <w:tcW w:w="34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2"/>
              <w:spacing w:after="0"/>
              <w:rPr>
                <w:sz w:val="20"/>
                <w:szCs w:val="20"/>
                <w:color w:val="auto"/>
              </w:rPr>
            </w:pPr>
            <w:r>
              <w:rPr>
                <w:rFonts w:ascii="Arial" w:cs="Arial" w:eastAsia="Arial" w:hAnsi="Arial"/>
                <w:sz w:val="13"/>
                <w:szCs w:val="13"/>
                <w:color w:val="auto"/>
              </w:rPr>
              <w:t>59.5</w:t>
            </w:r>
          </w:p>
        </w:tc>
        <w:tc>
          <w:tcPr>
            <w:tcW w:w="3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160.4</w:t>
            </w:r>
          </w:p>
        </w:tc>
        <w:tc>
          <w:tcPr>
            <w:tcW w:w="380" w:type="dxa"/>
            <w:vAlign w:val="bottom"/>
            <w:shd w:val="clear" w:color="auto" w:fill="E6EFFF"/>
          </w:tcPr>
          <w:p>
            <w:pPr>
              <w:spacing w:after="0"/>
              <w:rPr>
                <w:sz w:val="14"/>
                <w:szCs w:val="14"/>
                <w:color w:val="auto"/>
              </w:rPr>
            </w:pPr>
          </w:p>
        </w:tc>
        <w:tc>
          <w:tcPr>
            <w:tcW w:w="7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131.7</w:t>
            </w:r>
          </w:p>
        </w:tc>
        <w:tc>
          <w:tcPr>
            <w:tcW w:w="36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133.1</w:t>
            </w:r>
          </w:p>
        </w:tc>
        <w:tc>
          <w:tcPr>
            <w:tcW w:w="340" w:type="dxa"/>
            <w:vAlign w:val="bottom"/>
            <w:shd w:val="clear" w:color="auto" w:fill="E6EFFF"/>
          </w:tcPr>
          <w:p>
            <w:pPr>
              <w:spacing w:after="0"/>
              <w:rPr>
                <w:sz w:val="14"/>
                <w:szCs w:val="14"/>
                <w:color w:val="auto"/>
              </w:rPr>
            </w:pPr>
          </w:p>
        </w:tc>
        <w:tc>
          <w:tcPr>
            <w:tcW w:w="6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484.7</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60" w:type="dxa"/>
            <w:vAlign w:val="bottom"/>
          </w:tcPr>
          <w:p>
            <w:pPr>
              <w:spacing w:after="0"/>
              <w:rPr>
                <w:sz w:val="20"/>
                <w:szCs w:val="20"/>
                <w:color w:val="auto"/>
              </w:rPr>
            </w:pPr>
            <w:r>
              <w:rPr>
                <w:rFonts w:ascii="Arial" w:cs="Arial" w:eastAsia="Arial" w:hAnsi="Arial"/>
                <w:sz w:val="13"/>
                <w:szCs w:val="13"/>
                <w:color w:val="auto"/>
              </w:rPr>
              <w:t>Net earnings per share - basic</w:t>
            </w:r>
          </w:p>
        </w:tc>
        <w:tc>
          <w:tcPr>
            <w:tcW w:w="34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0.70</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1.90</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1.59</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1.65</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5.83</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E6EFFF"/>
          </w:tcPr>
          <w:p>
            <w:pPr>
              <w:spacing w:after="0"/>
              <w:rPr>
                <w:sz w:val="20"/>
                <w:szCs w:val="20"/>
                <w:color w:val="auto"/>
              </w:rPr>
            </w:pPr>
            <w:r>
              <w:rPr>
                <w:rFonts w:ascii="Arial" w:cs="Arial" w:eastAsia="Arial" w:hAnsi="Arial"/>
                <w:sz w:val="13"/>
                <w:szCs w:val="13"/>
                <w:color w:val="auto"/>
              </w:rPr>
              <w:t>Net earnings per share - diluted</w:t>
            </w:r>
          </w:p>
        </w:tc>
        <w:tc>
          <w:tcPr>
            <w:tcW w:w="3480" w:type="dxa"/>
            <w:vAlign w:val="bottom"/>
            <w:shd w:val="clear" w:color="auto" w:fill="E6EFFF"/>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2"/>
              <w:spacing w:after="0"/>
              <w:rPr>
                <w:sz w:val="20"/>
                <w:szCs w:val="20"/>
                <w:color w:val="auto"/>
              </w:rPr>
            </w:pPr>
            <w:r>
              <w:rPr>
                <w:rFonts w:ascii="Arial" w:cs="Arial" w:eastAsia="Arial" w:hAnsi="Arial"/>
                <w:sz w:val="14"/>
                <w:szCs w:val="14"/>
                <w:color w:val="auto"/>
              </w:rPr>
              <w:t>0.69</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1.86</w:t>
            </w:r>
          </w:p>
        </w:tc>
        <w:tc>
          <w:tcPr>
            <w:tcW w:w="38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1.57</w:t>
            </w:r>
          </w:p>
        </w:tc>
        <w:tc>
          <w:tcPr>
            <w:tcW w:w="360" w:type="dxa"/>
            <w:vAlign w:val="bottom"/>
            <w:shd w:val="clear" w:color="auto" w:fill="E6EFFF"/>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1.63</w:t>
            </w:r>
          </w:p>
        </w:tc>
        <w:tc>
          <w:tcPr>
            <w:tcW w:w="340" w:type="dxa"/>
            <w:vAlign w:val="bottom"/>
            <w:shd w:val="clear" w:color="auto" w:fill="E6EFFF"/>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FFF"/>
          </w:tcPr>
          <w:p>
            <w:pPr>
              <w:jc w:val="right"/>
              <w:spacing w:after="0"/>
              <w:rPr>
                <w:sz w:val="20"/>
                <w:szCs w:val="20"/>
                <w:color w:val="auto"/>
              </w:rPr>
            </w:pPr>
            <w:r>
              <w:rPr>
                <w:rFonts w:ascii="Arial" w:cs="Arial" w:eastAsia="Arial" w:hAnsi="Arial"/>
                <w:sz w:val="13"/>
                <w:szCs w:val="13"/>
                <w:color w:val="auto"/>
              </w:rPr>
              <w:t>5.73</w:t>
            </w: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60" w:type="dxa"/>
            <w:vAlign w:val="bottom"/>
          </w:tcPr>
          <w:p>
            <w:pPr>
              <w:spacing w:after="0"/>
              <w:rPr>
                <w:sz w:val="20"/>
                <w:szCs w:val="20"/>
                <w:color w:val="auto"/>
              </w:rPr>
            </w:pPr>
            <w:r>
              <w:rPr>
                <w:rFonts w:ascii="Arial" w:cs="Arial" w:eastAsia="Arial" w:hAnsi="Arial"/>
                <w:sz w:val="13"/>
                <w:szCs w:val="13"/>
                <w:color w:val="auto"/>
              </w:rPr>
              <w:t>Dividends per share</w:t>
            </w:r>
          </w:p>
        </w:tc>
        <w:tc>
          <w:tcPr>
            <w:tcW w:w="34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0.32</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0.37</w:t>
            </w:r>
          </w:p>
        </w:tc>
        <w:tc>
          <w:tcPr>
            <w:tcW w:w="3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0.69</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E6EFFF"/>
          </w:tcPr>
          <w:p>
            <w:pPr>
              <w:spacing w:after="0"/>
              <w:rPr>
                <w:sz w:val="20"/>
                <w:szCs w:val="20"/>
                <w:color w:val="auto"/>
              </w:rPr>
            </w:pPr>
            <w:r>
              <w:rPr>
                <w:rFonts w:ascii="Arial" w:cs="Arial" w:eastAsia="Arial" w:hAnsi="Arial"/>
                <w:sz w:val="13"/>
                <w:szCs w:val="13"/>
                <w:color w:val="auto"/>
              </w:rPr>
              <w:t>Market price:</w:t>
            </w:r>
          </w:p>
        </w:tc>
        <w:tc>
          <w:tcPr>
            <w:tcW w:w="348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38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38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360" w:type="dxa"/>
            <w:vAlign w:val="bottom"/>
            <w:shd w:val="clear" w:color="auto" w:fill="E6EFFF"/>
          </w:tcPr>
          <w:p>
            <w:pPr>
              <w:spacing w:after="0"/>
              <w:rPr>
                <w:sz w:val="14"/>
                <w:szCs w:val="14"/>
                <w:color w:val="auto"/>
              </w:rPr>
            </w:pPr>
          </w:p>
        </w:tc>
        <w:tc>
          <w:tcPr>
            <w:tcW w:w="76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68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560" w:type="dxa"/>
            <w:vAlign w:val="bottom"/>
          </w:tcPr>
          <w:p>
            <w:pPr>
              <w:ind w:left="120"/>
              <w:spacing w:after="0"/>
              <w:rPr>
                <w:sz w:val="20"/>
                <w:szCs w:val="20"/>
                <w:color w:val="auto"/>
              </w:rPr>
            </w:pPr>
            <w:r>
              <w:rPr>
                <w:rFonts w:ascii="Arial" w:cs="Arial" w:eastAsia="Arial" w:hAnsi="Arial"/>
                <w:sz w:val="13"/>
                <w:szCs w:val="13"/>
                <w:color w:val="auto"/>
              </w:rPr>
              <w:t>High</w:t>
            </w:r>
          </w:p>
        </w:tc>
        <w:tc>
          <w:tcPr>
            <w:tcW w:w="34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78.86</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94.10</w:t>
            </w:r>
          </w:p>
        </w:tc>
        <w:tc>
          <w:tcPr>
            <w:tcW w:w="3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95.05</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74.74</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E6EFFF"/>
          </w:tcPr>
          <w:p>
            <w:pPr>
              <w:ind w:left="120"/>
              <w:spacing w:after="0"/>
              <w:rPr>
                <w:sz w:val="20"/>
                <w:szCs w:val="20"/>
                <w:color w:val="auto"/>
              </w:rPr>
            </w:pPr>
            <w:r>
              <w:rPr>
                <w:rFonts w:ascii="Arial" w:cs="Arial" w:eastAsia="Arial" w:hAnsi="Arial"/>
                <w:sz w:val="13"/>
                <w:szCs w:val="13"/>
                <w:color w:val="auto"/>
              </w:rPr>
              <w:t>Low</w:t>
            </w:r>
          </w:p>
        </w:tc>
        <w:tc>
          <w:tcPr>
            <w:tcW w:w="34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2"/>
              <w:spacing w:after="0"/>
              <w:rPr>
                <w:sz w:val="20"/>
                <w:szCs w:val="20"/>
                <w:color w:val="auto"/>
              </w:rPr>
            </w:pPr>
            <w:r>
              <w:rPr>
                <w:rFonts w:ascii="Arial" w:cs="Arial" w:eastAsia="Arial" w:hAnsi="Arial"/>
                <w:sz w:val="13"/>
                <w:szCs w:val="13"/>
                <w:color w:val="auto"/>
              </w:rPr>
              <w:t>71.56</w:t>
            </w:r>
          </w:p>
        </w:tc>
        <w:tc>
          <w:tcPr>
            <w:tcW w:w="38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73.00</w:t>
            </w:r>
          </w:p>
        </w:tc>
        <w:tc>
          <w:tcPr>
            <w:tcW w:w="380" w:type="dxa"/>
            <w:vAlign w:val="bottom"/>
            <w:shd w:val="clear" w:color="auto" w:fill="E6EFFF"/>
          </w:tcPr>
          <w:p>
            <w:pPr>
              <w:spacing w:after="0"/>
              <w:rPr>
                <w:sz w:val="14"/>
                <w:szCs w:val="14"/>
                <w:color w:val="auto"/>
              </w:rPr>
            </w:pPr>
          </w:p>
        </w:tc>
        <w:tc>
          <w:tcPr>
            <w:tcW w:w="780" w:type="dxa"/>
            <w:vAlign w:val="bottom"/>
            <w:shd w:val="clear" w:color="auto" w:fill="E6EFFF"/>
          </w:tcPr>
          <w:p>
            <w:pPr>
              <w:jc w:val="right"/>
              <w:ind w:right="73"/>
              <w:spacing w:after="0"/>
              <w:rPr>
                <w:sz w:val="20"/>
                <w:szCs w:val="20"/>
                <w:color w:val="auto"/>
              </w:rPr>
            </w:pPr>
            <w:r>
              <w:rPr>
                <w:rFonts w:ascii="Arial" w:cs="Arial" w:eastAsia="Arial" w:hAnsi="Arial"/>
                <w:sz w:val="13"/>
                <w:szCs w:val="13"/>
                <w:color w:val="auto"/>
              </w:rPr>
              <w:t>61.43</w:t>
            </w:r>
          </w:p>
        </w:tc>
        <w:tc>
          <w:tcPr>
            <w:tcW w:w="360" w:type="dxa"/>
            <w:vAlign w:val="bottom"/>
            <w:shd w:val="clear" w:color="auto" w:fill="E6EFFF"/>
          </w:tcPr>
          <w:p>
            <w:pPr>
              <w:spacing w:after="0"/>
              <w:rPr>
                <w:sz w:val="14"/>
                <w:szCs w:val="14"/>
                <w:color w:val="auto"/>
              </w:rPr>
            </w:pPr>
          </w:p>
        </w:tc>
        <w:tc>
          <w:tcPr>
            <w:tcW w:w="760" w:type="dxa"/>
            <w:vAlign w:val="bottom"/>
            <w:shd w:val="clear" w:color="auto" w:fill="E6EFFF"/>
          </w:tcPr>
          <w:p>
            <w:pPr>
              <w:jc w:val="right"/>
              <w:ind w:right="53"/>
              <w:spacing w:after="0"/>
              <w:rPr>
                <w:sz w:val="20"/>
                <w:szCs w:val="20"/>
                <w:color w:val="auto"/>
              </w:rPr>
            </w:pPr>
            <w:r>
              <w:rPr>
                <w:rFonts w:ascii="Arial" w:cs="Arial" w:eastAsia="Arial" w:hAnsi="Arial"/>
                <w:sz w:val="13"/>
                <w:szCs w:val="13"/>
                <w:color w:val="auto"/>
              </w:rPr>
              <w:t>56.20</w:t>
            </w:r>
          </w:p>
        </w:tc>
        <w:tc>
          <w:tcPr>
            <w:tcW w:w="340" w:type="dxa"/>
            <w:vAlign w:val="bottom"/>
            <w:shd w:val="clear" w:color="auto" w:fill="E6EFFF"/>
          </w:tcPr>
          <w:p>
            <w:pPr>
              <w:spacing w:after="0"/>
              <w:rPr>
                <w:sz w:val="14"/>
                <w:szCs w:val="14"/>
                <w:color w:val="auto"/>
              </w:rPr>
            </w:pPr>
          </w:p>
        </w:tc>
        <w:tc>
          <w:tcPr>
            <w:tcW w:w="68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2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560" w:type="dxa"/>
            <w:vAlign w:val="bottom"/>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3480" w:type="dxa"/>
            <w:vAlign w:val="bottom"/>
            <w:vMerge w:val="restart"/>
          </w:tcPr>
          <w:p>
            <w:pPr>
              <w:jc w:val="right"/>
              <w:ind w:right="634"/>
              <w:spacing w:after="0"/>
              <w:rPr>
                <w:sz w:val="20"/>
                <w:szCs w:val="20"/>
                <w:color w:val="auto"/>
              </w:rPr>
            </w:pPr>
            <w:r>
              <w:rPr>
                <w:rFonts w:ascii="Arial" w:cs="Arial" w:eastAsia="Arial" w:hAnsi="Arial"/>
                <w:sz w:val="12"/>
                <w:szCs w:val="12"/>
                <w:b w:val="1"/>
                <w:bCs w:val="1"/>
                <w:color w:val="939598"/>
              </w:rPr>
              <w:t>Notes To Consolidated Financial Statements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b w:val="1"/>
                <w:bCs w:val="1"/>
                <w:color w:val="auto"/>
              </w:rPr>
              <w:t>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560" w:type="dxa"/>
            <w:vAlign w:val="bottom"/>
            <w:vMerge w:val="continue"/>
          </w:tcPr>
          <w:p>
            <w:pPr>
              <w:spacing w:after="0"/>
              <w:rPr>
                <w:sz w:val="6"/>
                <w:szCs w:val="6"/>
                <w:color w:val="auto"/>
              </w:rPr>
            </w:pPr>
          </w:p>
        </w:tc>
        <w:tc>
          <w:tcPr>
            <w:tcW w:w="34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56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115" w:right="1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939598"/>
        </w:rPr>
        <w:t>Selected Financial Data</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Borders>
              <w:bottom w:val="single" w:sz="8" w:color="4D8ABE"/>
              <w:right w:val="single" w:sz="8" w:color="4D8ABE"/>
            </w:tcBorders>
          </w:tcPr>
          <w:p>
            <w:pPr>
              <w:spacing w:after="0"/>
              <w:rPr>
                <w:sz w:val="20"/>
                <w:szCs w:val="20"/>
                <w:color w:val="auto"/>
              </w:rPr>
            </w:pPr>
            <w:r>
              <w:rPr>
                <w:rFonts w:ascii="Arial" w:cs="Arial" w:eastAsia="Arial" w:hAnsi="Arial"/>
                <w:sz w:val="14"/>
                <w:szCs w:val="14"/>
                <w:color w:val="4D8ABE"/>
              </w:rPr>
              <w:t>As Of And For The Year Ended December 31</w:t>
            </w:r>
          </w:p>
        </w:tc>
        <w:tc>
          <w:tcPr>
            <w:tcW w:w="100" w:type="dxa"/>
            <w:vAlign w:val="bottom"/>
            <w:tcBorders>
              <w:bottom w:val="single" w:sz="8" w:color="4D8ABE"/>
            </w:tcBorders>
            <w:shd w:val="clear" w:color="auto" w:fill="4D8ABE"/>
          </w:tcPr>
          <w:p>
            <w:pPr>
              <w:spacing w:after="0"/>
              <w:rPr>
                <w:sz w:val="15"/>
                <w:szCs w:val="15"/>
                <w:color w:val="auto"/>
              </w:rPr>
            </w:pPr>
          </w:p>
        </w:tc>
        <w:tc>
          <w:tcPr>
            <w:tcW w:w="1040" w:type="dxa"/>
            <w:vAlign w:val="bottom"/>
            <w:tcBorders>
              <w:bottom w:val="single" w:sz="8" w:color="4D8ABE"/>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240" w:type="dxa"/>
            <w:vAlign w:val="bottom"/>
            <w:tcBorders>
              <w:bottom w:val="single" w:sz="8" w:color="4D8ABE"/>
            </w:tcBorders>
          </w:tcPr>
          <w:p>
            <w:pPr>
              <w:spacing w:after="0"/>
              <w:rPr>
                <w:sz w:val="15"/>
                <w:szCs w:val="15"/>
                <w:color w:val="auto"/>
              </w:rPr>
            </w:pPr>
          </w:p>
        </w:tc>
        <w:tc>
          <w:tcPr>
            <w:tcW w:w="800" w:type="dxa"/>
            <w:vAlign w:val="bottom"/>
            <w:tcBorders>
              <w:bottom w:val="single" w:sz="8" w:color="4D8ABE"/>
            </w:tcBorders>
          </w:tcPr>
          <w:p>
            <w:pPr>
              <w:jc w:val="right"/>
              <w:ind w:right="72"/>
              <w:spacing w:after="0"/>
              <w:rPr>
                <w:sz w:val="20"/>
                <w:szCs w:val="20"/>
                <w:color w:val="auto"/>
              </w:rPr>
            </w:pPr>
            <w:r>
              <w:rPr>
                <w:rFonts w:ascii="Arial" w:cs="Arial" w:eastAsia="Arial" w:hAnsi="Arial"/>
                <w:sz w:val="14"/>
                <w:szCs w:val="14"/>
                <w:color w:val="4D8ABE"/>
              </w:rPr>
              <w:t>2007</w:t>
            </w:r>
          </w:p>
        </w:tc>
        <w:tc>
          <w:tcPr>
            <w:tcW w:w="340" w:type="dxa"/>
            <w:vAlign w:val="bottom"/>
            <w:tcBorders>
              <w:bottom w:val="single" w:sz="8" w:color="4D8ABE"/>
            </w:tcBorders>
          </w:tcPr>
          <w:p>
            <w:pPr>
              <w:spacing w:after="0"/>
              <w:rPr>
                <w:sz w:val="15"/>
                <w:szCs w:val="15"/>
                <w:color w:val="auto"/>
              </w:rPr>
            </w:pPr>
          </w:p>
        </w:tc>
        <w:tc>
          <w:tcPr>
            <w:tcW w:w="800" w:type="dxa"/>
            <w:vAlign w:val="bottom"/>
            <w:tcBorders>
              <w:bottom w:val="single" w:sz="8" w:color="4D8ABE"/>
            </w:tcBorders>
          </w:tcPr>
          <w:p>
            <w:pPr>
              <w:jc w:val="right"/>
              <w:ind w:right="72"/>
              <w:spacing w:after="0"/>
              <w:rPr>
                <w:sz w:val="20"/>
                <w:szCs w:val="20"/>
                <w:color w:val="auto"/>
              </w:rPr>
            </w:pPr>
            <w:r>
              <w:rPr>
                <w:rFonts w:ascii="Arial" w:cs="Arial" w:eastAsia="Arial" w:hAnsi="Arial"/>
                <w:sz w:val="14"/>
                <w:szCs w:val="14"/>
                <w:color w:val="4D8ABE"/>
              </w:rPr>
              <w:t>2006</w:t>
            </w:r>
          </w:p>
        </w:tc>
        <w:tc>
          <w:tcPr>
            <w:tcW w:w="340" w:type="dxa"/>
            <w:vAlign w:val="bottom"/>
            <w:tcBorders>
              <w:bottom w:val="single" w:sz="8" w:color="4D8ABE"/>
            </w:tcBorders>
          </w:tcPr>
          <w:p>
            <w:pPr>
              <w:spacing w:after="0"/>
              <w:rPr>
                <w:sz w:val="15"/>
                <w:szCs w:val="15"/>
                <w:color w:val="auto"/>
              </w:rPr>
            </w:pPr>
          </w:p>
        </w:tc>
        <w:tc>
          <w:tcPr>
            <w:tcW w:w="800" w:type="dxa"/>
            <w:vAlign w:val="bottom"/>
            <w:tcBorders>
              <w:bottom w:val="single" w:sz="8" w:color="4D8ABE"/>
            </w:tcBorders>
          </w:tcPr>
          <w:p>
            <w:pPr>
              <w:jc w:val="right"/>
              <w:ind w:right="72"/>
              <w:spacing w:after="0"/>
              <w:rPr>
                <w:sz w:val="20"/>
                <w:szCs w:val="20"/>
                <w:color w:val="auto"/>
              </w:rPr>
            </w:pPr>
            <w:r>
              <w:rPr>
                <w:rFonts w:ascii="Arial" w:cs="Arial" w:eastAsia="Arial" w:hAnsi="Arial"/>
                <w:sz w:val="14"/>
                <w:szCs w:val="14"/>
                <w:color w:val="4D8ABE"/>
              </w:rPr>
              <w:t>2005</w:t>
            </w:r>
          </w:p>
        </w:tc>
        <w:tc>
          <w:tcPr>
            <w:tcW w:w="340" w:type="dxa"/>
            <w:vAlign w:val="bottom"/>
            <w:tcBorders>
              <w:bottom w:val="single" w:sz="8" w:color="4D8ABE"/>
            </w:tcBorders>
          </w:tcPr>
          <w:p>
            <w:pPr>
              <w:spacing w:after="0"/>
              <w:rPr>
                <w:sz w:val="15"/>
                <w:szCs w:val="15"/>
                <w:color w:val="auto"/>
              </w:rPr>
            </w:pPr>
          </w:p>
        </w:tc>
        <w:tc>
          <w:tcPr>
            <w:tcW w:w="880" w:type="dxa"/>
            <w:vAlign w:val="bottom"/>
            <w:tcBorders>
              <w:bottom w:val="single" w:sz="8" w:color="4D8ABE"/>
            </w:tcBorders>
          </w:tcPr>
          <w:p>
            <w:pPr>
              <w:jc w:val="right"/>
              <w:ind w:right="152"/>
              <w:spacing w:after="0"/>
              <w:rPr>
                <w:sz w:val="20"/>
                <w:szCs w:val="20"/>
                <w:color w:val="auto"/>
              </w:rPr>
            </w:pPr>
            <w:r>
              <w:rPr>
                <w:rFonts w:ascii="Arial" w:cs="Arial" w:eastAsia="Arial" w:hAnsi="Arial"/>
                <w:sz w:val="14"/>
                <w:szCs w:val="14"/>
                <w:color w:val="4D8ABE"/>
              </w:rPr>
              <w:t>2004</w:t>
            </w:r>
          </w:p>
        </w:tc>
      </w:tr>
      <w:tr>
        <w:trPr>
          <w:trHeight w:val="155"/>
        </w:trPr>
        <w:tc>
          <w:tcPr>
            <w:tcW w:w="5780" w:type="dxa"/>
            <w:vAlign w:val="bottom"/>
            <w:tcBorders>
              <w:right w:val="single" w:sz="8" w:color="4D8ABE"/>
            </w:tcBorders>
          </w:tcPr>
          <w:p>
            <w:pPr>
              <w:spacing w:after="0" w:line="155" w:lineRule="exact"/>
              <w:rPr>
                <w:sz w:val="20"/>
                <w:szCs w:val="20"/>
                <w:color w:val="auto"/>
              </w:rPr>
            </w:pPr>
            <w:r>
              <w:rPr>
                <w:rFonts w:ascii="Arial" w:cs="Arial" w:eastAsia="Arial" w:hAnsi="Arial"/>
                <w:sz w:val="14"/>
                <w:szCs w:val="14"/>
                <w:b w:val="1"/>
                <w:bCs w:val="1"/>
                <w:color w:val="939598"/>
              </w:rPr>
              <w:t>Operations Data</w:t>
            </w:r>
          </w:p>
        </w:tc>
        <w:tc>
          <w:tcPr>
            <w:tcW w:w="100" w:type="dxa"/>
            <w:vAlign w:val="bottom"/>
          </w:tcPr>
          <w:p>
            <w:pPr>
              <w:spacing w:after="0"/>
              <w:rPr>
                <w:sz w:val="13"/>
                <w:szCs w:val="13"/>
                <w:color w:val="auto"/>
              </w:rPr>
            </w:pPr>
          </w:p>
        </w:tc>
        <w:tc>
          <w:tcPr>
            <w:tcW w:w="1040" w:type="dxa"/>
            <w:vAlign w:val="bottom"/>
            <w:tcBorders>
              <w:right w:val="single" w:sz="8" w:color="4D8ABE"/>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4"/>
        </w:trPr>
        <w:tc>
          <w:tcPr>
            <w:tcW w:w="57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Revenues from services</w:t>
            </w:r>
          </w:p>
        </w:tc>
        <w:tc>
          <w:tcPr>
            <w:tcW w:w="100" w:type="dxa"/>
            <w:vAlign w:val="bottom"/>
            <w:shd w:val="clear" w:color="auto" w:fill="E6EFFF"/>
          </w:tcPr>
          <w:p>
            <w:pPr>
              <w:jc w:val="right"/>
              <w:spacing w:after="0"/>
              <w:rPr>
                <w:sz w:val="20"/>
                <w:szCs w:val="20"/>
                <w:color w:val="auto"/>
              </w:rPr>
            </w:pPr>
            <w:r>
              <w:rPr>
                <w:rFonts w:ascii="Arial" w:cs="Arial" w:eastAsia="Arial" w:hAnsi="Arial"/>
                <w:sz w:val="14"/>
                <w:szCs w:val="14"/>
                <w:b w:val="1"/>
                <w:bCs w:val="1"/>
                <w:color w:val="4D8ABE"/>
              </w:rPr>
              <w:t>$</w:t>
            </w: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21,552.8</w:t>
            </w:r>
          </w:p>
        </w:tc>
        <w:tc>
          <w:tcPr>
            <w:tcW w:w="2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20,500.3</w:t>
            </w:r>
          </w:p>
        </w:tc>
        <w:tc>
          <w:tcPr>
            <w:tcW w:w="3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17,562.5</w:t>
            </w:r>
          </w:p>
        </w:tc>
        <w:tc>
          <w:tcPr>
            <w:tcW w:w="3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15,845.4</w:t>
            </w:r>
          </w:p>
        </w:tc>
        <w:tc>
          <w:tcPr>
            <w:tcW w:w="34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FFF"/>
          </w:tcPr>
          <w:p>
            <w:pPr>
              <w:jc w:val="right"/>
              <w:ind w:right="152"/>
              <w:spacing w:after="0"/>
              <w:rPr>
                <w:sz w:val="20"/>
                <w:szCs w:val="20"/>
                <w:color w:val="auto"/>
              </w:rPr>
            </w:pPr>
            <w:r>
              <w:rPr>
                <w:rFonts w:ascii="Arial" w:cs="Arial" w:eastAsia="Arial" w:hAnsi="Arial"/>
                <w:sz w:val="14"/>
                <w:szCs w:val="14"/>
                <w:color w:val="auto"/>
              </w:rPr>
              <w:t>14,675.0</w:t>
            </w:r>
          </w:p>
        </w:tc>
      </w:tr>
      <w:tr>
        <w:trPr>
          <w:trHeight w:val="164"/>
        </w:trPr>
        <w:tc>
          <w:tcPr>
            <w:tcW w:w="578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Gross profit</w:t>
            </w:r>
          </w:p>
        </w:tc>
        <w:tc>
          <w:tcPr>
            <w:tcW w:w="10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4,102.6</w:t>
            </w:r>
          </w:p>
        </w:tc>
        <w:tc>
          <w:tcPr>
            <w:tcW w:w="2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3,848.6</w:t>
            </w:r>
          </w:p>
        </w:tc>
        <w:tc>
          <w:tcPr>
            <w:tcW w:w="3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3,146.0</w:t>
            </w:r>
          </w:p>
        </w:tc>
        <w:tc>
          <w:tcPr>
            <w:tcW w:w="3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2,861.8</w:t>
            </w:r>
          </w:p>
        </w:tc>
        <w:tc>
          <w:tcPr>
            <w:tcW w:w="340" w:type="dxa"/>
            <w:vAlign w:val="bottom"/>
          </w:tcPr>
          <w:p>
            <w:pPr>
              <w:spacing w:after="0"/>
              <w:rPr>
                <w:sz w:val="14"/>
                <w:szCs w:val="14"/>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2,669.3</w:t>
            </w:r>
          </w:p>
        </w:tc>
      </w:tr>
      <w:tr>
        <w:trPr>
          <w:trHeight w:val="164"/>
        </w:trPr>
        <w:tc>
          <w:tcPr>
            <w:tcW w:w="57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Operating profit</w:t>
            </w:r>
          </w:p>
        </w:tc>
        <w:tc>
          <w:tcPr>
            <w:tcW w:w="10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509.2</w:t>
            </w:r>
          </w:p>
        </w:tc>
        <w:tc>
          <w:tcPr>
            <w:tcW w:w="240" w:type="dxa"/>
            <w:vAlign w:val="bottom"/>
            <w:shd w:val="clear" w:color="auto" w:fill="E6EFFF"/>
          </w:tcPr>
          <w:p>
            <w:pPr>
              <w:spacing w:after="0"/>
              <w:rPr>
                <w:sz w:val="14"/>
                <w:szCs w:val="14"/>
                <w:color w:val="auto"/>
              </w:rPr>
            </w:pPr>
          </w:p>
        </w:tc>
        <w:tc>
          <w:tcPr>
            <w:tcW w:w="8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825.4</w:t>
            </w:r>
          </w:p>
        </w:tc>
        <w:tc>
          <w:tcPr>
            <w:tcW w:w="340" w:type="dxa"/>
            <w:vAlign w:val="bottom"/>
            <w:shd w:val="clear" w:color="auto" w:fill="E6EFFF"/>
          </w:tcPr>
          <w:p>
            <w:pPr>
              <w:spacing w:after="0"/>
              <w:rPr>
                <w:sz w:val="14"/>
                <w:szCs w:val="14"/>
                <w:color w:val="auto"/>
              </w:rPr>
            </w:pPr>
          </w:p>
        </w:tc>
        <w:tc>
          <w:tcPr>
            <w:tcW w:w="8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532.1</w:t>
            </w:r>
          </w:p>
        </w:tc>
        <w:tc>
          <w:tcPr>
            <w:tcW w:w="340" w:type="dxa"/>
            <w:vAlign w:val="bottom"/>
            <w:shd w:val="clear" w:color="auto" w:fill="E6EFFF"/>
          </w:tcPr>
          <w:p>
            <w:pPr>
              <w:spacing w:after="0"/>
              <w:rPr>
                <w:sz w:val="14"/>
                <w:szCs w:val="14"/>
                <w:color w:val="auto"/>
              </w:rPr>
            </w:pPr>
          </w:p>
        </w:tc>
        <w:tc>
          <w:tcPr>
            <w:tcW w:w="8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428.8</w:t>
            </w:r>
          </w:p>
        </w:tc>
        <w:tc>
          <w:tcPr>
            <w:tcW w:w="34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152"/>
              <w:spacing w:after="0"/>
              <w:rPr>
                <w:sz w:val="20"/>
                <w:szCs w:val="20"/>
                <w:color w:val="auto"/>
              </w:rPr>
            </w:pPr>
            <w:r>
              <w:rPr>
                <w:rFonts w:ascii="Arial" w:cs="Arial" w:eastAsia="Arial" w:hAnsi="Arial"/>
                <w:sz w:val="14"/>
                <w:szCs w:val="14"/>
                <w:color w:val="auto"/>
              </w:rPr>
              <w:t>397.8</w:t>
            </w:r>
          </w:p>
        </w:tc>
      </w:tr>
      <w:tr>
        <w:trPr>
          <w:trHeight w:val="164"/>
        </w:trPr>
        <w:tc>
          <w:tcPr>
            <w:tcW w:w="578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Net earnings from continuing operations</w:t>
            </w:r>
          </w:p>
        </w:tc>
        <w:tc>
          <w:tcPr>
            <w:tcW w:w="10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218.9</w:t>
            </w:r>
          </w:p>
        </w:tc>
        <w:tc>
          <w:tcPr>
            <w:tcW w:w="2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484.7</w:t>
            </w:r>
          </w:p>
        </w:tc>
        <w:tc>
          <w:tcPr>
            <w:tcW w:w="3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305.7</w:t>
            </w:r>
          </w:p>
        </w:tc>
        <w:tc>
          <w:tcPr>
            <w:tcW w:w="3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255.1</w:t>
            </w:r>
          </w:p>
        </w:tc>
        <w:tc>
          <w:tcPr>
            <w:tcW w:w="340" w:type="dxa"/>
            <w:vAlign w:val="bottom"/>
          </w:tcPr>
          <w:p>
            <w:pPr>
              <w:spacing w:after="0"/>
              <w:rPr>
                <w:sz w:val="14"/>
                <w:szCs w:val="14"/>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247.3</w:t>
            </w:r>
          </w:p>
        </w:tc>
      </w:tr>
      <w:tr>
        <w:trPr>
          <w:trHeight w:val="164"/>
        </w:trPr>
        <w:tc>
          <w:tcPr>
            <w:tcW w:w="57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b w:val="1"/>
                <w:bCs w:val="1"/>
                <w:color w:val="939598"/>
              </w:rPr>
              <w:t>Per Share Data</w:t>
            </w:r>
          </w:p>
        </w:tc>
        <w:tc>
          <w:tcPr>
            <w:tcW w:w="10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spacing w:after="0"/>
              <w:rPr>
                <w:sz w:val="14"/>
                <w:szCs w:val="14"/>
                <w:color w:val="auto"/>
              </w:rPr>
            </w:pPr>
          </w:p>
        </w:tc>
        <w:tc>
          <w:tcPr>
            <w:tcW w:w="24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880" w:type="dxa"/>
            <w:vAlign w:val="bottom"/>
            <w:shd w:val="clear" w:color="auto" w:fill="E6EFFF"/>
          </w:tcPr>
          <w:p>
            <w:pPr>
              <w:spacing w:after="0"/>
              <w:rPr>
                <w:sz w:val="14"/>
                <w:szCs w:val="14"/>
                <w:color w:val="auto"/>
              </w:rPr>
            </w:pPr>
          </w:p>
        </w:tc>
      </w:tr>
      <w:tr>
        <w:trPr>
          <w:trHeight w:val="164"/>
        </w:trPr>
        <w:tc>
          <w:tcPr>
            <w:tcW w:w="578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Net earnings from continuing operations – basic</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4D8ABE"/>
              </w:rPr>
              <w:t>$</w:t>
            </w: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2.78</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5.83</w:t>
            </w:r>
          </w:p>
        </w:tc>
        <w:tc>
          <w:tcPr>
            <w:tcW w:w="3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3.55</w:t>
            </w:r>
          </w:p>
        </w:tc>
        <w:tc>
          <w:tcPr>
            <w:tcW w:w="3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2.89</w:t>
            </w:r>
          </w:p>
        </w:tc>
        <w:tc>
          <w:tcPr>
            <w:tcW w:w="3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2.78</w:t>
            </w:r>
          </w:p>
        </w:tc>
      </w:tr>
      <w:tr>
        <w:trPr>
          <w:trHeight w:val="164"/>
        </w:trPr>
        <w:tc>
          <w:tcPr>
            <w:tcW w:w="57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Net earnings from continuing operations – diluted</w:t>
            </w:r>
          </w:p>
        </w:tc>
        <w:tc>
          <w:tcPr>
            <w:tcW w:w="10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2.75</w:t>
            </w:r>
          </w:p>
        </w:tc>
        <w:tc>
          <w:tcPr>
            <w:tcW w:w="240" w:type="dxa"/>
            <w:vAlign w:val="bottom"/>
            <w:shd w:val="clear" w:color="auto" w:fill="E6EFFF"/>
          </w:tcPr>
          <w:p>
            <w:pPr>
              <w:spacing w:after="0"/>
              <w:rPr>
                <w:sz w:val="14"/>
                <w:szCs w:val="14"/>
                <w:color w:val="auto"/>
              </w:rPr>
            </w:pPr>
          </w:p>
        </w:tc>
        <w:tc>
          <w:tcPr>
            <w:tcW w:w="8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5.73</w:t>
            </w:r>
          </w:p>
        </w:tc>
        <w:tc>
          <w:tcPr>
            <w:tcW w:w="340" w:type="dxa"/>
            <w:vAlign w:val="bottom"/>
            <w:shd w:val="clear" w:color="auto" w:fill="E6EFFF"/>
          </w:tcPr>
          <w:p>
            <w:pPr>
              <w:spacing w:after="0"/>
              <w:rPr>
                <w:sz w:val="14"/>
                <w:szCs w:val="14"/>
                <w:color w:val="auto"/>
              </w:rPr>
            </w:pPr>
          </w:p>
        </w:tc>
        <w:tc>
          <w:tcPr>
            <w:tcW w:w="8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3.48</w:t>
            </w:r>
          </w:p>
        </w:tc>
        <w:tc>
          <w:tcPr>
            <w:tcW w:w="340" w:type="dxa"/>
            <w:vAlign w:val="bottom"/>
            <w:shd w:val="clear" w:color="auto" w:fill="E6EFFF"/>
          </w:tcPr>
          <w:p>
            <w:pPr>
              <w:spacing w:after="0"/>
              <w:rPr>
                <w:sz w:val="14"/>
                <w:szCs w:val="14"/>
                <w:color w:val="auto"/>
              </w:rPr>
            </w:pPr>
          </w:p>
        </w:tc>
        <w:tc>
          <w:tcPr>
            <w:tcW w:w="800" w:type="dxa"/>
            <w:vAlign w:val="bottom"/>
            <w:shd w:val="clear" w:color="auto" w:fill="E6EFFF"/>
          </w:tcPr>
          <w:p>
            <w:pPr>
              <w:jc w:val="right"/>
              <w:ind w:right="72"/>
              <w:spacing w:after="0"/>
              <w:rPr>
                <w:sz w:val="20"/>
                <w:szCs w:val="20"/>
                <w:color w:val="auto"/>
              </w:rPr>
            </w:pPr>
            <w:r>
              <w:rPr>
                <w:rFonts w:ascii="Arial" w:cs="Arial" w:eastAsia="Arial" w:hAnsi="Arial"/>
                <w:sz w:val="14"/>
                <w:szCs w:val="14"/>
                <w:color w:val="auto"/>
              </w:rPr>
              <w:t>2.81</w:t>
            </w:r>
          </w:p>
        </w:tc>
        <w:tc>
          <w:tcPr>
            <w:tcW w:w="340" w:type="dxa"/>
            <w:vAlign w:val="bottom"/>
            <w:shd w:val="clear" w:color="auto" w:fill="E6EFFF"/>
          </w:tcPr>
          <w:p>
            <w:pPr>
              <w:spacing w:after="0"/>
              <w:rPr>
                <w:sz w:val="14"/>
                <w:szCs w:val="14"/>
                <w:color w:val="auto"/>
              </w:rPr>
            </w:pPr>
          </w:p>
        </w:tc>
        <w:tc>
          <w:tcPr>
            <w:tcW w:w="880" w:type="dxa"/>
            <w:vAlign w:val="bottom"/>
            <w:shd w:val="clear" w:color="auto" w:fill="E6EFFF"/>
          </w:tcPr>
          <w:p>
            <w:pPr>
              <w:jc w:val="right"/>
              <w:ind w:right="152"/>
              <w:spacing w:after="0"/>
              <w:rPr>
                <w:sz w:val="20"/>
                <w:szCs w:val="20"/>
                <w:color w:val="auto"/>
              </w:rPr>
            </w:pPr>
            <w:r>
              <w:rPr>
                <w:rFonts w:ascii="Arial" w:cs="Arial" w:eastAsia="Arial" w:hAnsi="Arial"/>
                <w:sz w:val="14"/>
                <w:szCs w:val="14"/>
                <w:color w:val="auto"/>
              </w:rPr>
              <w:t>2.61</w:t>
            </w:r>
          </w:p>
        </w:tc>
      </w:tr>
      <w:tr>
        <w:trPr>
          <w:trHeight w:val="164"/>
        </w:trPr>
        <w:tc>
          <w:tcPr>
            <w:tcW w:w="578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Dividends</w:t>
            </w:r>
          </w:p>
        </w:tc>
        <w:tc>
          <w:tcPr>
            <w:tcW w:w="100" w:type="dxa"/>
            <w:vAlign w:val="bottom"/>
          </w:tcPr>
          <w:p>
            <w:pPr>
              <w:spacing w:after="0"/>
              <w:rPr>
                <w:sz w:val="14"/>
                <w:szCs w:val="14"/>
                <w:color w:val="auto"/>
              </w:rPr>
            </w:pP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0.74</w:t>
            </w:r>
          </w:p>
        </w:tc>
        <w:tc>
          <w:tcPr>
            <w:tcW w:w="2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0.69</w:t>
            </w:r>
          </w:p>
        </w:tc>
        <w:tc>
          <w:tcPr>
            <w:tcW w:w="3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0.59</w:t>
            </w:r>
          </w:p>
        </w:tc>
        <w:tc>
          <w:tcPr>
            <w:tcW w:w="3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0.47</w:t>
            </w:r>
          </w:p>
        </w:tc>
        <w:tc>
          <w:tcPr>
            <w:tcW w:w="340" w:type="dxa"/>
            <w:vAlign w:val="bottom"/>
          </w:tcPr>
          <w:p>
            <w:pPr>
              <w:spacing w:after="0"/>
              <w:rPr>
                <w:sz w:val="14"/>
                <w:szCs w:val="14"/>
                <w:color w:val="auto"/>
              </w:rPr>
            </w:pP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0.30</w:t>
            </w:r>
          </w:p>
        </w:tc>
      </w:tr>
      <w:tr>
        <w:trPr>
          <w:trHeight w:val="164"/>
        </w:trPr>
        <w:tc>
          <w:tcPr>
            <w:tcW w:w="5780" w:type="dxa"/>
            <w:vAlign w:val="bottom"/>
            <w:tcBorders>
              <w:right w:val="single" w:sz="8" w:color="4D8ABE"/>
            </w:tcBorders>
            <w:shd w:val="clear" w:color="auto" w:fill="E6EFFF"/>
          </w:tcPr>
          <w:p>
            <w:pPr>
              <w:spacing w:after="0"/>
              <w:rPr>
                <w:sz w:val="20"/>
                <w:szCs w:val="20"/>
                <w:color w:val="auto"/>
              </w:rPr>
            </w:pPr>
            <w:r>
              <w:rPr>
                <w:rFonts w:ascii="Arial" w:cs="Arial" w:eastAsia="Arial" w:hAnsi="Arial"/>
                <w:sz w:val="14"/>
                <w:szCs w:val="14"/>
                <w:b w:val="1"/>
                <w:bCs w:val="1"/>
                <w:color w:val="939598"/>
              </w:rPr>
              <w:t>Balance Sheet Data</w:t>
            </w:r>
          </w:p>
        </w:tc>
        <w:tc>
          <w:tcPr>
            <w:tcW w:w="100" w:type="dxa"/>
            <w:vAlign w:val="bottom"/>
            <w:shd w:val="clear" w:color="auto" w:fill="E6EFFF"/>
          </w:tcPr>
          <w:p>
            <w:pPr>
              <w:spacing w:after="0"/>
              <w:rPr>
                <w:sz w:val="14"/>
                <w:szCs w:val="14"/>
                <w:color w:val="auto"/>
              </w:rPr>
            </w:pPr>
          </w:p>
        </w:tc>
        <w:tc>
          <w:tcPr>
            <w:tcW w:w="1040" w:type="dxa"/>
            <w:vAlign w:val="bottom"/>
            <w:tcBorders>
              <w:right w:val="single" w:sz="8" w:color="4D8ABE"/>
            </w:tcBorders>
            <w:shd w:val="clear" w:color="auto" w:fill="E6EFFF"/>
          </w:tcPr>
          <w:p>
            <w:pPr>
              <w:spacing w:after="0"/>
              <w:rPr>
                <w:sz w:val="14"/>
                <w:szCs w:val="14"/>
                <w:color w:val="auto"/>
              </w:rPr>
            </w:pPr>
          </w:p>
        </w:tc>
        <w:tc>
          <w:tcPr>
            <w:tcW w:w="24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880" w:type="dxa"/>
            <w:vAlign w:val="bottom"/>
            <w:shd w:val="clear" w:color="auto" w:fill="E6EFFF"/>
          </w:tcPr>
          <w:p>
            <w:pPr>
              <w:spacing w:after="0"/>
              <w:rPr>
                <w:sz w:val="14"/>
                <w:szCs w:val="14"/>
                <w:color w:val="auto"/>
              </w:rPr>
            </w:pPr>
          </w:p>
        </w:tc>
      </w:tr>
      <w:tr>
        <w:trPr>
          <w:trHeight w:val="164"/>
        </w:trPr>
        <w:tc>
          <w:tcPr>
            <w:tcW w:w="5780" w:type="dxa"/>
            <w:vAlign w:val="bottom"/>
            <w:tcBorders>
              <w:right w:val="single" w:sz="8" w:color="4D8ABE"/>
            </w:tcBorders>
          </w:tcPr>
          <w:p>
            <w:pPr>
              <w:spacing w:after="0"/>
              <w:rPr>
                <w:sz w:val="20"/>
                <w:szCs w:val="20"/>
                <w:color w:val="auto"/>
              </w:rPr>
            </w:pPr>
            <w:r>
              <w:rPr>
                <w:rFonts w:ascii="Arial" w:cs="Arial" w:eastAsia="Arial" w:hAnsi="Arial"/>
                <w:sz w:val="14"/>
                <w:szCs w:val="14"/>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4D8ABE"/>
              </w:rPr>
              <w:t>$</w:t>
            </w:r>
          </w:p>
        </w:tc>
        <w:tc>
          <w:tcPr>
            <w:tcW w:w="104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6,618.2</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7,224.4</w:t>
            </w:r>
          </w:p>
        </w:tc>
        <w:tc>
          <w:tcPr>
            <w:tcW w:w="3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6,514.1</w:t>
            </w:r>
          </w:p>
        </w:tc>
        <w:tc>
          <w:tcPr>
            <w:tcW w:w="3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2"/>
              <w:spacing w:after="0"/>
              <w:rPr>
                <w:sz w:val="20"/>
                <w:szCs w:val="20"/>
                <w:color w:val="auto"/>
              </w:rPr>
            </w:pPr>
            <w:r>
              <w:rPr>
                <w:rFonts w:ascii="Arial" w:cs="Arial" w:eastAsia="Arial" w:hAnsi="Arial"/>
                <w:sz w:val="14"/>
                <w:szCs w:val="14"/>
                <w:color w:val="auto"/>
              </w:rPr>
              <w:t>5,568.4</w:t>
            </w:r>
          </w:p>
        </w:tc>
        <w:tc>
          <w:tcPr>
            <w:tcW w:w="3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2"/>
              <w:spacing w:after="0"/>
              <w:rPr>
                <w:sz w:val="20"/>
                <w:szCs w:val="20"/>
                <w:color w:val="auto"/>
              </w:rPr>
            </w:pPr>
            <w:r>
              <w:rPr>
                <w:rFonts w:ascii="Arial" w:cs="Arial" w:eastAsia="Arial" w:hAnsi="Arial"/>
                <w:sz w:val="14"/>
                <w:szCs w:val="14"/>
                <w:color w:val="auto"/>
              </w:rPr>
              <w:t>5,843.1</w:t>
            </w:r>
          </w:p>
        </w:tc>
      </w:tr>
      <w:tr>
        <w:trPr>
          <w:trHeight w:val="164"/>
        </w:trPr>
        <w:tc>
          <w:tcPr>
            <w:tcW w:w="5780" w:type="dxa"/>
            <w:vAlign w:val="bottom"/>
            <w:tcBorders>
              <w:bottom w:val="single" w:sz="8" w:color="auto"/>
              <w:right w:val="single" w:sz="8" w:color="4D8ABE"/>
            </w:tcBorders>
            <w:shd w:val="clear" w:color="auto" w:fill="E6EFFF"/>
          </w:tcPr>
          <w:p>
            <w:pPr>
              <w:spacing w:after="0"/>
              <w:rPr>
                <w:sz w:val="20"/>
                <w:szCs w:val="20"/>
                <w:color w:val="auto"/>
              </w:rPr>
            </w:pPr>
            <w:r>
              <w:rPr>
                <w:rFonts w:ascii="Arial" w:cs="Arial" w:eastAsia="Arial" w:hAnsi="Arial"/>
                <w:sz w:val="14"/>
                <w:szCs w:val="14"/>
                <w:color w:val="auto"/>
              </w:rPr>
              <w:t>Long-term debt</w:t>
            </w:r>
          </w:p>
        </w:tc>
        <w:tc>
          <w:tcPr>
            <w:tcW w:w="100" w:type="dxa"/>
            <w:vAlign w:val="bottom"/>
            <w:tcBorders>
              <w:bottom w:val="single" w:sz="8" w:color="auto"/>
            </w:tcBorders>
            <w:shd w:val="clear" w:color="auto" w:fill="E6EFFF"/>
          </w:tcPr>
          <w:p>
            <w:pPr>
              <w:spacing w:after="0"/>
              <w:rPr>
                <w:sz w:val="14"/>
                <w:szCs w:val="14"/>
                <w:color w:val="auto"/>
              </w:rPr>
            </w:pPr>
          </w:p>
        </w:tc>
        <w:tc>
          <w:tcPr>
            <w:tcW w:w="104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837.3</w:t>
            </w:r>
          </w:p>
        </w:tc>
        <w:tc>
          <w:tcPr>
            <w:tcW w:w="240" w:type="dxa"/>
            <w:vAlign w:val="bottom"/>
            <w:tcBorders>
              <w:bottom w:val="single" w:sz="8" w:color="auto"/>
            </w:tcBorders>
            <w:shd w:val="clear" w:color="auto" w:fill="E6EFFF"/>
          </w:tcPr>
          <w:p>
            <w:pPr>
              <w:spacing w:after="0"/>
              <w:rPr>
                <w:sz w:val="14"/>
                <w:szCs w:val="14"/>
                <w:color w:val="auto"/>
              </w:rPr>
            </w:pPr>
          </w:p>
        </w:tc>
        <w:tc>
          <w:tcPr>
            <w:tcW w:w="80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874.8</w:t>
            </w:r>
          </w:p>
        </w:tc>
        <w:tc>
          <w:tcPr>
            <w:tcW w:w="340" w:type="dxa"/>
            <w:vAlign w:val="bottom"/>
            <w:tcBorders>
              <w:bottom w:val="single" w:sz="8" w:color="auto"/>
            </w:tcBorders>
            <w:shd w:val="clear" w:color="auto" w:fill="E6EFFF"/>
          </w:tcPr>
          <w:p>
            <w:pPr>
              <w:spacing w:after="0"/>
              <w:rPr>
                <w:sz w:val="14"/>
                <w:szCs w:val="14"/>
                <w:color w:val="auto"/>
              </w:rPr>
            </w:pPr>
          </w:p>
        </w:tc>
        <w:tc>
          <w:tcPr>
            <w:tcW w:w="80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791.2</w:t>
            </w:r>
          </w:p>
        </w:tc>
        <w:tc>
          <w:tcPr>
            <w:tcW w:w="340" w:type="dxa"/>
            <w:vAlign w:val="bottom"/>
            <w:tcBorders>
              <w:bottom w:val="single" w:sz="8" w:color="auto"/>
            </w:tcBorders>
            <w:shd w:val="clear" w:color="auto" w:fill="E6EFFF"/>
          </w:tcPr>
          <w:p>
            <w:pPr>
              <w:spacing w:after="0"/>
              <w:rPr>
                <w:sz w:val="14"/>
                <w:szCs w:val="14"/>
                <w:color w:val="auto"/>
              </w:rPr>
            </w:pPr>
          </w:p>
        </w:tc>
        <w:tc>
          <w:tcPr>
            <w:tcW w:w="80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475.0</w:t>
            </w:r>
          </w:p>
        </w:tc>
        <w:tc>
          <w:tcPr>
            <w:tcW w:w="340" w:type="dxa"/>
            <w:vAlign w:val="bottom"/>
            <w:tcBorders>
              <w:bottom w:val="single" w:sz="8" w:color="auto"/>
            </w:tcBorders>
            <w:shd w:val="clear" w:color="auto" w:fill="E6EFFF"/>
          </w:tcPr>
          <w:p>
            <w:pPr>
              <w:spacing w:after="0"/>
              <w:rPr>
                <w:sz w:val="14"/>
                <w:szCs w:val="14"/>
                <w:color w:val="auto"/>
              </w:rPr>
            </w:pPr>
          </w:p>
        </w:tc>
        <w:tc>
          <w:tcPr>
            <w:tcW w:w="880" w:type="dxa"/>
            <w:vAlign w:val="bottom"/>
            <w:tcBorders>
              <w:bottom w:val="single" w:sz="8" w:color="auto"/>
            </w:tcBorders>
            <w:shd w:val="clear" w:color="auto" w:fill="E6EFFF"/>
          </w:tcPr>
          <w:p>
            <w:pPr>
              <w:jc w:val="right"/>
              <w:ind w:right="152"/>
              <w:spacing w:after="0"/>
              <w:rPr>
                <w:sz w:val="20"/>
                <w:szCs w:val="20"/>
                <w:color w:val="auto"/>
              </w:rPr>
            </w:pPr>
            <w:r>
              <w:rPr>
                <w:rFonts w:ascii="Arial" w:cs="Arial" w:eastAsia="Arial" w:hAnsi="Arial"/>
                <w:sz w:val="14"/>
                <w:szCs w:val="14"/>
                <w:color w:val="auto"/>
              </w:rPr>
              <w:t>676.1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should be read in conjunction with the above summary.</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4D8ABE"/>
        </w:rPr>
        <w:t>PERFORMANCE GRAPH</w:t>
      </w:r>
    </w:p>
    <w:p>
      <w:pPr>
        <w:spacing w:after="0" w:line="198"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Set forth below is a graph for the periods ending December 31, 2003-2008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17.4% of the total market capitalization of the companies included in the index. The graph assumes a $100 investment on December 31, 2003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112395</wp:posOffset>
            </wp:positionV>
            <wp:extent cx="4833620" cy="14738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833620" cy="147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60" w:type="dxa"/>
            <w:vAlign w:val="bottom"/>
            <w:tcBorders>
              <w:bottom w:val="single" w:sz="8" w:color="4D8ABE"/>
            </w:tcBorders>
          </w:tcPr>
          <w:p>
            <w:pPr>
              <w:spacing w:after="0"/>
              <w:rPr>
                <w:sz w:val="20"/>
                <w:szCs w:val="20"/>
                <w:color w:val="auto"/>
              </w:rPr>
            </w:pPr>
            <w:r>
              <w:rPr>
                <w:rFonts w:ascii="Arial" w:cs="Arial" w:eastAsia="Arial" w:hAnsi="Arial"/>
                <w:sz w:val="14"/>
                <w:szCs w:val="14"/>
                <w:color w:val="4D8ABE"/>
              </w:rPr>
              <w:t>December 31</w:t>
            </w:r>
          </w:p>
        </w:tc>
        <w:tc>
          <w:tcPr>
            <w:tcW w:w="2280" w:type="dxa"/>
            <w:vAlign w:val="bottom"/>
            <w:tcBorders>
              <w:bottom w:val="single" w:sz="8" w:color="4D8ABE"/>
              <w:right w:val="single" w:sz="8" w:color="4D8ABE"/>
            </w:tcBorders>
          </w:tcPr>
          <w:p>
            <w:pPr>
              <w:spacing w:after="0"/>
              <w:rPr>
                <w:sz w:val="14"/>
                <w:szCs w:val="14"/>
                <w:color w:val="auto"/>
              </w:rPr>
            </w:pPr>
          </w:p>
        </w:tc>
        <w:tc>
          <w:tcPr>
            <w:tcW w:w="220" w:type="dxa"/>
            <w:vAlign w:val="bottom"/>
            <w:tcBorders>
              <w:bottom w:val="single" w:sz="8" w:color="4D8ABE"/>
            </w:tcBorders>
            <w:shd w:val="clear" w:color="auto" w:fill="4D8ABE"/>
          </w:tcPr>
          <w:p>
            <w:pPr>
              <w:spacing w:after="0"/>
              <w:rPr>
                <w:sz w:val="14"/>
                <w:szCs w:val="14"/>
                <w:color w:val="auto"/>
              </w:rPr>
            </w:pPr>
          </w:p>
        </w:tc>
        <w:tc>
          <w:tcPr>
            <w:tcW w:w="920" w:type="dxa"/>
            <w:vAlign w:val="bottom"/>
            <w:tcBorders>
              <w:bottom w:val="single" w:sz="8" w:color="4D8ABE"/>
              <w:right w:val="single" w:sz="8" w:color="4D8ABE"/>
            </w:tcBorders>
            <w:shd w:val="clear" w:color="auto" w:fill="4D8ABE"/>
          </w:tcPr>
          <w:p>
            <w:pPr>
              <w:jc w:val="right"/>
              <w:ind w:right="172"/>
              <w:spacing w:after="0"/>
              <w:rPr>
                <w:sz w:val="20"/>
                <w:szCs w:val="20"/>
                <w:color w:val="auto"/>
              </w:rPr>
            </w:pPr>
            <w:r>
              <w:rPr>
                <w:rFonts w:ascii="Arial" w:cs="Arial" w:eastAsia="Arial" w:hAnsi="Arial"/>
                <w:sz w:val="14"/>
                <w:szCs w:val="14"/>
                <w:b w:val="1"/>
                <w:bCs w:val="1"/>
                <w:color w:val="FFFFFF"/>
              </w:rPr>
              <w:t>2008</w:t>
            </w:r>
          </w:p>
        </w:tc>
        <w:tc>
          <w:tcPr>
            <w:tcW w:w="340" w:type="dxa"/>
            <w:vAlign w:val="bottom"/>
            <w:tcBorders>
              <w:bottom w:val="single" w:sz="8" w:color="4D8ABE"/>
            </w:tcBorders>
          </w:tcPr>
          <w:p>
            <w:pPr>
              <w:spacing w:after="0"/>
              <w:rPr>
                <w:sz w:val="14"/>
                <w:szCs w:val="14"/>
                <w:color w:val="auto"/>
              </w:rPr>
            </w:pPr>
          </w:p>
        </w:tc>
        <w:tc>
          <w:tcPr>
            <w:tcW w:w="700" w:type="dxa"/>
            <w:vAlign w:val="bottom"/>
            <w:tcBorders>
              <w:bottom w:val="single" w:sz="8" w:color="4D8ABE"/>
            </w:tcBorders>
          </w:tcPr>
          <w:p>
            <w:pPr>
              <w:jc w:val="right"/>
              <w:ind w:right="72"/>
              <w:spacing w:after="0"/>
              <w:rPr>
                <w:sz w:val="20"/>
                <w:szCs w:val="20"/>
                <w:color w:val="auto"/>
              </w:rPr>
            </w:pPr>
            <w:r>
              <w:rPr>
                <w:rFonts w:ascii="Arial" w:cs="Arial" w:eastAsia="Arial" w:hAnsi="Arial"/>
                <w:sz w:val="14"/>
                <w:szCs w:val="14"/>
                <w:color w:val="4D8ABE"/>
              </w:rPr>
              <w:t>2007</w:t>
            </w:r>
          </w:p>
        </w:tc>
        <w:tc>
          <w:tcPr>
            <w:tcW w:w="440" w:type="dxa"/>
            <w:vAlign w:val="bottom"/>
            <w:tcBorders>
              <w:bottom w:val="single" w:sz="8" w:color="4D8ABE"/>
            </w:tcBorders>
          </w:tcPr>
          <w:p>
            <w:pPr>
              <w:spacing w:after="0"/>
              <w:rPr>
                <w:sz w:val="14"/>
                <w:szCs w:val="14"/>
                <w:color w:val="auto"/>
              </w:rPr>
            </w:pPr>
          </w:p>
        </w:tc>
        <w:tc>
          <w:tcPr>
            <w:tcW w:w="700" w:type="dxa"/>
            <w:vAlign w:val="bottom"/>
            <w:tcBorders>
              <w:bottom w:val="single" w:sz="8" w:color="4D8ABE"/>
            </w:tcBorders>
          </w:tcPr>
          <w:p>
            <w:pPr>
              <w:jc w:val="right"/>
              <w:ind w:right="72"/>
              <w:spacing w:after="0"/>
              <w:rPr>
                <w:sz w:val="20"/>
                <w:szCs w:val="20"/>
                <w:color w:val="auto"/>
              </w:rPr>
            </w:pPr>
            <w:r>
              <w:rPr>
                <w:rFonts w:ascii="Arial" w:cs="Arial" w:eastAsia="Arial" w:hAnsi="Arial"/>
                <w:sz w:val="14"/>
                <w:szCs w:val="14"/>
                <w:color w:val="4D8ABE"/>
              </w:rPr>
              <w:t>2006</w:t>
            </w:r>
          </w:p>
        </w:tc>
        <w:tc>
          <w:tcPr>
            <w:tcW w:w="420" w:type="dxa"/>
            <w:vAlign w:val="bottom"/>
            <w:tcBorders>
              <w:bottom w:val="single" w:sz="8" w:color="4D8ABE"/>
            </w:tcBorders>
          </w:tcPr>
          <w:p>
            <w:pPr>
              <w:spacing w:after="0"/>
              <w:rPr>
                <w:sz w:val="14"/>
                <w:szCs w:val="14"/>
                <w:color w:val="auto"/>
              </w:rPr>
            </w:pPr>
          </w:p>
        </w:tc>
        <w:tc>
          <w:tcPr>
            <w:tcW w:w="720" w:type="dxa"/>
            <w:vAlign w:val="bottom"/>
            <w:tcBorders>
              <w:bottom w:val="single" w:sz="8" w:color="4D8ABE"/>
            </w:tcBorders>
          </w:tcPr>
          <w:p>
            <w:pPr>
              <w:jc w:val="right"/>
              <w:ind w:right="74"/>
              <w:spacing w:after="0"/>
              <w:rPr>
                <w:sz w:val="20"/>
                <w:szCs w:val="20"/>
                <w:color w:val="auto"/>
              </w:rPr>
            </w:pPr>
            <w:r>
              <w:rPr>
                <w:rFonts w:ascii="Arial" w:cs="Arial" w:eastAsia="Arial" w:hAnsi="Arial"/>
                <w:sz w:val="14"/>
                <w:szCs w:val="14"/>
                <w:color w:val="4D8ABE"/>
              </w:rPr>
              <w:t>2005</w:t>
            </w:r>
          </w:p>
        </w:tc>
        <w:tc>
          <w:tcPr>
            <w:tcW w:w="440" w:type="dxa"/>
            <w:vAlign w:val="bottom"/>
            <w:tcBorders>
              <w:bottom w:val="single" w:sz="8" w:color="4D8ABE"/>
            </w:tcBorders>
          </w:tcPr>
          <w:p>
            <w:pPr>
              <w:spacing w:after="0"/>
              <w:rPr>
                <w:sz w:val="14"/>
                <w:szCs w:val="14"/>
                <w:color w:val="auto"/>
              </w:rPr>
            </w:pPr>
          </w:p>
        </w:tc>
        <w:tc>
          <w:tcPr>
            <w:tcW w:w="800" w:type="dxa"/>
            <w:vAlign w:val="bottom"/>
            <w:tcBorders>
              <w:bottom w:val="single" w:sz="8" w:color="4D8ABE"/>
            </w:tcBorders>
          </w:tcPr>
          <w:p>
            <w:pPr>
              <w:jc w:val="right"/>
              <w:ind w:right="172"/>
              <w:spacing w:after="0"/>
              <w:rPr>
                <w:sz w:val="20"/>
                <w:szCs w:val="20"/>
                <w:color w:val="auto"/>
              </w:rPr>
            </w:pPr>
            <w:r>
              <w:rPr>
                <w:rFonts w:ascii="Arial" w:cs="Arial" w:eastAsia="Arial" w:hAnsi="Arial"/>
                <w:sz w:val="14"/>
                <w:szCs w:val="14"/>
                <w:color w:val="4D8ABE"/>
              </w:rPr>
              <w:t>2004</w:t>
            </w:r>
          </w:p>
        </w:tc>
        <w:tc>
          <w:tcPr>
            <w:tcW w:w="340" w:type="dxa"/>
            <w:vAlign w:val="bottom"/>
            <w:tcBorders>
              <w:bottom w:val="single" w:sz="8" w:color="4D8ABE"/>
            </w:tcBorders>
          </w:tcPr>
          <w:p>
            <w:pPr>
              <w:spacing w:after="0"/>
              <w:rPr>
                <w:sz w:val="14"/>
                <w:szCs w:val="14"/>
                <w:color w:val="auto"/>
              </w:rPr>
            </w:pPr>
          </w:p>
        </w:tc>
        <w:tc>
          <w:tcPr>
            <w:tcW w:w="780" w:type="dxa"/>
            <w:vAlign w:val="bottom"/>
            <w:tcBorders>
              <w:bottom w:val="single" w:sz="8" w:color="4D8ABE"/>
            </w:tcBorders>
          </w:tcPr>
          <w:p>
            <w:pPr>
              <w:jc w:val="right"/>
              <w:ind w:right="152"/>
              <w:spacing w:after="0"/>
              <w:rPr>
                <w:sz w:val="20"/>
                <w:szCs w:val="20"/>
                <w:color w:val="auto"/>
              </w:rPr>
            </w:pPr>
            <w:r>
              <w:rPr>
                <w:rFonts w:ascii="Arial" w:cs="Arial" w:eastAsia="Arial" w:hAnsi="Arial"/>
                <w:sz w:val="14"/>
                <w:szCs w:val="14"/>
                <w:color w:val="4D8ABE"/>
              </w:rPr>
              <w:t>2003</w:t>
            </w:r>
          </w:p>
        </w:tc>
        <w:tc>
          <w:tcPr>
            <w:tcW w:w="40" w:type="dxa"/>
            <w:vAlign w:val="bottom"/>
          </w:tcPr>
          <w:p>
            <w:pPr>
              <w:spacing w:after="0"/>
              <w:rPr>
                <w:sz w:val="14"/>
                <w:szCs w:val="14"/>
                <w:color w:val="auto"/>
              </w:rPr>
            </w:pPr>
          </w:p>
        </w:tc>
      </w:tr>
      <w:tr>
        <w:trPr>
          <w:trHeight w:val="155"/>
        </w:trPr>
        <w:tc>
          <w:tcPr>
            <w:tcW w:w="2360" w:type="dxa"/>
            <w:vAlign w:val="bottom"/>
            <w:shd w:val="clear" w:color="auto" w:fill="E6EFFF"/>
          </w:tcPr>
          <w:p>
            <w:pPr>
              <w:spacing w:after="0" w:line="155" w:lineRule="exact"/>
              <w:rPr>
                <w:sz w:val="20"/>
                <w:szCs w:val="20"/>
                <w:color w:val="auto"/>
              </w:rPr>
            </w:pPr>
            <w:r>
              <w:rPr>
                <w:rFonts w:ascii="Arial" w:cs="Arial" w:eastAsia="Arial" w:hAnsi="Arial"/>
                <w:sz w:val="14"/>
                <w:szCs w:val="14"/>
                <w:color w:val="auto"/>
              </w:rPr>
              <w:t>Manpower</w:t>
            </w:r>
          </w:p>
        </w:tc>
        <w:tc>
          <w:tcPr>
            <w:tcW w:w="2280" w:type="dxa"/>
            <w:vAlign w:val="bottom"/>
            <w:tcBorders>
              <w:right w:val="single" w:sz="8" w:color="4D8ABE"/>
            </w:tcBorders>
            <w:shd w:val="clear" w:color="auto" w:fill="E6EFFF"/>
          </w:tcPr>
          <w:p>
            <w:pPr>
              <w:spacing w:after="0"/>
              <w:rPr>
                <w:sz w:val="13"/>
                <w:szCs w:val="13"/>
                <w:color w:val="auto"/>
              </w:rPr>
            </w:pPr>
          </w:p>
        </w:tc>
        <w:tc>
          <w:tcPr>
            <w:tcW w:w="220" w:type="dxa"/>
            <w:vAlign w:val="bottom"/>
            <w:shd w:val="clear" w:color="auto" w:fill="E6EFFF"/>
          </w:tcPr>
          <w:p>
            <w:pPr>
              <w:jc w:val="right"/>
              <w:ind w:right="53"/>
              <w:spacing w:after="0"/>
              <w:rPr>
                <w:sz w:val="20"/>
                <w:szCs w:val="20"/>
                <w:color w:val="auto"/>
              </w:rPr>
            </w:pPr>
            <w:r>
              <w:rPr>
                <w:rFonts w:ascii="Arial" w:cs="Arial" w:eastAsia="Arial" w:hAnsi="Arial"/>
                <w:sz w:val="13"/>
                <w:szCs w:val="13"/>
                <w:b w:val="1"/>
                <w:bCs w:val="1"/>
                <w:color w:val="4D8ABE"/>
              </w:rPr>
              <w:t>$</w:t>
            </w:r>
          </w:p>
        </w:tc>
        <w:tc>
          <w:tcPr>
            <w:tcW w:w="920" w:type="dxa"/>
            <w:vAlign w:val="bottom"/>
            <w:tcBorders>
              <w:right w:val="single" w:sz="8" w:color="4D8ABE"/>
            </w:tcBorders>
            <w:shd w:val="clear" w:color="auto" w:fill="E6EFFF"/>
          </w:tcPr>
          <w:p>
            <w:pPr>
              <w:jc w:val="right"/>
              <w:ind w:right="172"/>
              <w:spacing w:after="0" w:line="155" w:lineRule="exact"/>
              <w:rPr>
                <w:sz w:val="20"/>
                <w:szCs w:val="20"/>
                <w:color w:val="auto"/>
              </w:rPr>
            </w:pPr>
            <w:r>
              <w:rPr>
                <w:rFonts w:ascii="Arial" w:cs="Arial" w:eastAsia="Arial" w:hAnsi="Arial"/>
                <w:sz w:val="14"/>
                <w:szCs w:val="14"/>
                <w:b w:val="1"/>
                <w:bCs w:val="1"/>
                <w:color w:val="4D8ABE"/>
              </w:rPr>
              <w:t>72</w:t>
            </w:r>
          </w:p>
        </w:tc>
        <w:tc>
          <w:tcPr>
            <w:tcW w:w="34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121</w:t>
            </w:r>
          </w:p>
        </w:tc>
        <w:tc>
          <w:tcPr>
            <w:tcW w:w="44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FFF"/>
          </w:tcPr>
          <w:p>
            <w:pPr>
              <w:jc w:val="right"/>
              <w:ind w:right="72"/>
              <w:spacing w:after="0" w:line="155" w:lineRule="exact"/>
              <w:rPr>
                <w:sz w:val="20"/>
                <w:szCs w:val="20"/>
                <w:color w:val="auto"/>
              </w:rPr>
            </w:pPr>
            <w:r>
              <w:rPr>
                <w:rFonts w:ascii="Arial" w:cs="Arial" w:eastAsia="Arial" w:hAnsi="Arial"/>
                <w:sz w:val="14"/>
                <w:szCs w:val="14"/>
                <w:color w:val="auto"/>
              </w:rPr>
              <w:t>159</w:t>
            </w:r>
          </w:p>
        </w:tc>
        <w:tc>
          <w:tcPr>
            <w:tcW w:w="420" w:type="dxa"/>
            <w:vAlign w:val="bottom"/>
            <w:shd w:val="clear" w:color="auto" w:fill="E6EFFF"/>
          </w:tcPr>
          <w:p>
            <w:pPr>
              <w:jc w:val="right"/>
              <w:ind w:right="153"/>
              <w:spacing w:after="0"/>
              <w:rPr>
                <w:sz w:val="20"/>
                <w:szCs w:val="20"/>
                <w:color w:val="auto"/>
              </w:rPr>
            </w:pPr>
            <w:r>
              <w:rPr>
                <w:rFonts w:ascii="Arial" w:cs="Arial" w:eastAsia="Arial" w:hAnsi="Arial"/>
                <w:sz w:val="13"/>
                <w:szCs w:val="13"/>
                <w:color w:val="auto"/>
              </w:rPr>
              <w:t>$</w:t>
            </w:r>
          </w:p>
        </w:tc>
        <w:tc>
          <w:tcPr>
            <w:tcW w:w="720" w:type="dxa"/>
            <w:vAlign w:val="bottom"/>
            <w:shd w:val="clear" w:color="auto" w:fill="E6EFFF"/>
          </w:tcPr>
          <w:p>
            <w:pPr>
              <w:jc w:val="right"/>
              <w:ind w:right="74"/>
              <w:spacing w:after="0" w:line="155" w:lineRule="exact"/>
              <w:rPr>
                <w:sz w:val="20"/>
                <w:szCs w:val="20"/>
                <w:color w:val="auto"/>
              </w:rPr>
            </w:pPr>
            <w:r>
              <w:rPr>
                <w:rFonts w:ascii="Arial" w:cs="Arial" w:eastAsia="Arial" w:hAnsi="Arial"/>
                <w:sz w:val="14"/>
                <w:szCs w:val="14"/>
                <w:color w:val="auto"/>
              </w:rPr>
              <w:t>99</w:t>
            </w:r>
          </w:p>
        </w:tc>
        <w:tc>
          <w:tcPr>
            <w:tcW w:w="44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shd w:val="clear" w:color="auto" w:fill="E6EFFF"/>
          </w:tcPr>
          <w:p>
            <w:pPr>
              <w:jc w:val="right"/>
              <w:ind w:right="172"/>
              <w:spacing w:after="0" w:line="155" w:lineRule="exact"/>
              <w:rPr>
                <w:sz w:val="20"/>
                <w:szCs w:val="20"/>
                <w:color w:val="auto"/>
              </w:rPr>
            </w:pPr>
            <w:r>
              <w:rPr>
                <w:rFonts w:ascii="Arial" w:cs="Arial" w:eastAsia="Arial" w:hAnsi="Arial"/>
                <w:sz w:val="14"/>
                <w:szCs w:val="14"/>
                <w:color w:val="auto"/>
              </w:rPr>
              <w:t>103</w:t>
            </w:r>
          </w:p>
        </w:tc>
        <w:tc>
          <w:tcPr>
            <w:tcW w:w="340" w:type="dxa"/>
            <w:vAlign w:val="bottom"/>
            <w:shd w:val="clear" w:color="auto" w:fill="E6EFFF"/>
          </w:tcPr>
          <w:p>
            <w:pPr>
              <w:jc w:val="right"/>
              <w:ind w:right="173"/>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FFF"/>
          </w:tcPr>
          <w:p>
            <w:pPr>
              <w:jc w:val="right"/>
              <w:ind w:right="152"/>
              <w:spacing w:after="0" w:line="155"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3"/>
                <w:szCs w:val="13"/>
                <w:color w:val="auto"/>
              </w:rPr>
            </w:pPr>
          </w:p>
        </w:tc>
      </w:tr>
      <w:tr>
        <w:trPr>
          <w:trHeight w:val="164"/>
        </w:trPr>
        <w:tc>
          <w:tcPr>
            <w:tcW w:w="2360" w:type="dxa"/>
            <w:vAlign w:val="bottom"/>
          </w:tcPr>
          <w:p>
            <w:pPr>
              <w:spacing w:after="0"/>
              <w:rPr>
                <w:sz w:val="20"/>
                <w:szCs w:val="20"/>
                <w:color w:val="auto"/>
              </w:rPr>
            </w:pPr>
            <w:r>
              <w:rPr>
                <w:rFonts w:ascii="Arial" w:cs="Arial" w:eastAsia="Arial" w:hAnsi="Arial"/>
                <w:sz w:val="14"/>
                <w:szCs w:val="14"/>
                <w:color w:val="auto"/>
              </w:rPr>
              <w:t>S&amp;P 400 Midcap Stock Index</w:t>
            </w:r>
          </w:p>
        </w:tc>
        <w:tc>
          <w:tcPr>
            <w:tcW w:w="2280" w:type="dxa"/>
            <w:vAlign w:val="bottom"/>
            <w:tcBorders>
              <w:right w:val="single" w:sz="8" w:color="4D8ABE"/>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right w:val="single" w:sz="8" w:color="4D8ABE"/>
            </w:tcBorders>
          </w:tcPr>
          <w:p>
            <w:pPr>
              <w:jc w:val="right"/>
              <w:ind w:right="172"/>
              <w:spacing w:after="0"/>
              <w:rPr>
                <w:sz w:val="20"/>
                <w:szCs w:val="20"/>
                <w:color w:val="auto"/>
              </w:rPr>
            </w:pPr>
            <w:r>
              <w:rPr>
                <w:rFonts w:ascii="Arial" w:cs="Arial" w:eastAsia="Arial" w:hAnsi="Arial"/>
                <w:sz w:val="14"/>
                <w:szCs w:val="14"/>
                <w:b w:val="1"/>
                <w:bCs w:val="1"/>
                <w:color w:val="4D8ABE"/>
              </w:rPr>
              <w:t>93</w:t>
            </w:r>
          </w:p>
        </w:tc>
        <w:tc>
          <w:tcPr>
            <w:tcW w:w="34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149</w:t>
            </w:r>
          </w:p>
        </w:tc>
        <w:tc>
          <w:tcPr>
            <w:tcW w:w="44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140</w:t>
            </w:r>
          </w:p>
        </w:tc>
        <w:tc>
          <w:tcPr>
            <w:tcW w:w="42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Arial" w:cs="Arial" w:eastAsia="Arial" w:hAnsi="Arial"/>
                <w:sz w:val="14"/>
                <w:szCs w:val="14"/>
                <w:color w:val="auto"/>
              </w:rPr>
              <w:t>128</w:t>
            </w:r>
          </w:p>
        </w:tc>
        <w:tc>
          <w:tcPr>
            <w:tcW w:w="44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color w:val="auto"/>
              </w:rPr>
              <w:t>115</w:t>
            </w:r>
          </w:p>
        </w:tc>
        <w:tc>
          <w:tcPr>
            <w:tcW w:w="34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4"/>
                <w:szCs w:val="14"/>
                <w:color w:val="auto"/>
              </w:rPr>
            </w:pPr>
          </w:p>
        </w:tc>
      </w:tr>
      <w:tr>
        <w:trPr>
          <w:trHeight w:val="164"/>
        </w:trPr>
        <w:tc>
          <w:tcPr>
            <w:tcW w:w="2360" w:type="dxa"/>
            <w:vAlign w:val="bottom"/>
            <w:shd w:val="clear" w:color="auto" w:fill="E6EFFF"/>
          </w:tcPr>
          <w:p>
            <w:pPr>
              <w:spacing w:after="0"/>
              <w:rPr>
                <w:sz w:val="20"/>
                <w:szCs w:val="20"/>
                <w:color w:val="auto"/>
              </w:rPr>
            </w:pPr>
            <w:r>
              <w:rPr>
                <w:rFonts w:ascii="Arial" w:cs="Arial" w:eastAsia="Arial" w:hAnsi="Arial"/>
                <w:sz w:val="14"/>
                <w:szCs w:val="14"/>
                <w:color w:val="auto"/>
              </w:rPr>
              <w:t>S&amp;P Supercomposite Human</w:t>
            </w:r>
          </w:p>
        </w:tc>
        <w:tc>
          <w:tcPr>
            <w:tcW w:w="2280" w:type="dxa"/>
            <w:vAlign w:val="bottom"/>
            <w:tcBorders>
              <w:right w:val="single" w:sz="8" w:color="4D8ABE"/>
            </w:tcBorders>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920" w:type="dxa"/>
            <w:vAlign w:val="bottom"/>
            <w:tcBorders>
              <w:right w:val="single" w:sz="8" w:color="4D8ABE"/>
            </w:tcBorders>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700" w:type="dxa"/>
            <w:vAlign w:val="bottom"/>
            <w:shd w:val="clear" w:color="auto" w:fill="E6EFFF"/>
          </w:tcPr>
          <w:p>
            <w:pPr>
              <w:spacing w:after="0"/>
              <w:rPr>
                <w:sz w:val="14"/>
                <w:szCs w:val="14"/>
                <w:color w:val="auto"/>
              </w:rPr>
            </w:pPr>
          </w:p>
        </w:tc>
        <w:tc>
          <w:tcPr>
            <w:tcW w:w="440" w:type="dxa"/>
            <w:vAlign w:val="bottom"/>
            <w:shd w:val="clear" w:color="auto" w:fill="E6EFFF"/>
          </w:tcPr>
          <w:p>
            <w:pPr>
              <w:spacing w:after="0"/>
              <w:rPr>
                <w:sz w:val="14"/>
                <w:szCs w:val="14"/>
                <w:color w:val="auto"/>
              </w:rPr>
            </w:pPr>
          </w:p>
        </w:tc>
        <w:tc>
          <w:tcPr>
            <w:tcW w:w="700" w:type="dxa"/>
            <w:vAlign w:val="bottom"/>
            <w:shd w:val="clear" w:color="auto" w:fill="E6EFFF"/>
          </w:tcPr>
          <w:p>
            <w:pPr>
              <w:spacing w:after="0"/>
              <w:rPr>
                <w:sz w:val="14"/>
                <w:szCs w:val="14"/>
                <w:color w:val="auto"/>
              </w:rPr>
            </w:pPr>
          </w:p>
        </w:tc>
        <w:tc>
          <w:tcPr>
            <w:tcW w:w="420" w:type="dxa"/>
            <w:vAlign w:val="bottom"/>
            <w:shd w:val="clear" w:color="auto" w:fill="E6EFFF"/>
          </w:tcPr>
          <w:p>
            <w:pPr>
              <w:spacing w:after="0"/>
              <w:rPr>
                <w:sz w:val="14"/>
                <w:szCs w:val="14"/>
                <w:color w:val="auto"/>
              </w:rPr>
            </w:pPr>
          </w:p>
        </w:tc>
        <w:tc>
          <w:tcPr>
            <w:tcW w:w="720" w:type="dxa"/>
            <w:vAlign w:val="bottom"/>
            <w:shd w:val="clear" w:color="auto" w:fill="E6EFFF"/>
          </w:tcPr>
          <w:p>
            <w:pPr>
              <w:spacing w:after="0"/>
              <w:rPr>
                <w:sz w:val="14"/>
                <w:szCs w:val="14"/>
                <w:color w:val="auto"/>
              </w:rPr>
            </w:pPr>
          </w:p>
        </w:tc>
        <w:tc>
          <w:tcPr>
            <w:tcW w:w="440" w:type="dxa"/>
            <w:vAlign w:val="bottom"/>
            <w:shd w:val="clear" w:color="auto" w:fill="E6EFFF"/>
          </w:tcPr>
          <w:p>
            <w:pPr>
              <w:spacing w:after="0"/>
              <w:rPr>
                <w:sz w:val="14"/>
                <w:szCs w:val="14"/>
                <w:color w:val="auto"/>
              </w:rPr>
            </w:pPr>
          </w:p>
        </w:tc>
        <w:tc>
          <w:tcPr>
            <w:tcW w:w="800" w:type="dxa"/>
            <w:vAlign w:val="bottom"/>
            <w:shd w:val="clear" w:color="auto" w:fill="E6EFFF"/>
          </w:tcPr>
          <w:p>
            <w:pPr>
              <w:spacing w:after="0"/>
              <w:rPr>
                <w:sz w:val="14"/>
                <w:szCs w:val="14"/>
                <w:color w:val="auto"/>
              </w:rPr>
            </w:pPr>
          </w:p>
        </w:tc>
        <w:tc>
          <w:tcPr>
            <w:tcW w:w="340" w:type="dxa"/>
            <w:vAlign w:val="bottom"/>
            <w:shd w:val="clear" w:color="auto" w:fill="E6EFFF"/>
          </w:tcPr>
          <w:p>
            <w:pPr>
              <w:spacing w:after="0"/>
              <w:rPr>
                <w:sz w:val="14"/>
                <w:szCs w:val="14"/>
                <w:color w:val="auto"/>
              </w:rPr>
            </w:pPr>
          </w:p>
        </w:tc>
        <w:tc>
          <w:tcPr>
            <w:tcW w:w="780" w:type="dxa"/>
            <w:vAlign w:val="bottom"/>
            <w:shd w:val="clear" w:color="auto" w:fill="E6EFFF"/>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360" w:type="dxa"/>
            <w:vAlign w:val="bottom"/>
          </w:tcPr>
          <w:p>
            <w:pPr>
              <w:ind w:left="120"/>
              <w:spacing w:after="0"/>
              <w:rPr>
                <w:sz w:val="20"/>
                <w:szCs w:val="20"/>
                <w:color w:val="auto"/>
              </w:rPr>
            </w:pPr>
            <w:r>
              <w:rPr>
                <w:rFonts w:ascii="Arial" w:cs="Arial" w:eastAsia="Arial" w:hAnsi="Arial"/>
                <w:sz w:val="14"/>
                <w:szCs w:val="14"/>
                <w:color w:val="auto"/>
              </w:rPr>
              <w:t>Resources and Employment</w:t>
            </w:r>
          </w:p>
        </w:tc>
        <w:tc>
          <w:tcPr>
            <w:tcW w:w="2280" w:type="dxa"/>
            <w:vAlign w:val="bottom"/>
            <w:tcBorders>
              <w:right w:val="single" w:sz="8" w:color="4D8ABE"/>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right w:val="single" w:sz="8" w:color="4D8ABE"/>
            </w:tcBorders>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5"/>
        </w:trPr>
        <w:tc>
          <w:tcPr>
            <w:tcW w:w="2360" w:type="dxa"/>
            <w:vAlign w:val="bottom"/>
            <w:tcBorders>
              <w:bottom w:val="single" w:sz="8" w:color="auto"/>
            </w:tcBorders>
            <w:shd w:val="clear" w:color="auto" w:fill="E6EFFF"/>
          </w:tcPr>
          <w:p>
            <w:pPr>
              <w:ind w:left="120"/>
              <w:spacing w:after="0"/>
              <w:rPr>
                <w:sz w:val="20"/>
                <w:szCs w:val="20"/>
                <w:color w:val="auto"/>
              </w:rPr>
            </w:pPr>
            <w:r>
              <w:rPr>
                <w:rFonts w:ascii="Arial" w:cs="Arial" w:eastAsia="Arial" w:hAnsi="Arial"/>
                <w:sz w:val="14"/>
                <w:szCs w:val="14"/>
                <w:color w:val="auto"/>
              </w:rPr>
              <w:t>Services Index</w:t>
            </w:r>
          </w:p>
        </w:tc>
        <w:tc>
          <w:tcPr>
            <w:tcW w:w="2280" w:type="dxa"/>
            <w:vAlign w:val="bottom"/>
            <w:tcBorders>
              <w:bottom w:val="single" w:sz="8" w:color="auto"/>
              <w:right w:val="single" w:sz="8" w:color="4D8ABE"/>
            </w:tcBorders>
            <w:shd w:val="clear" w:color="auto" w:fill="E6EFFF"/>
          </w:tcPr>
          <w:p>
            <w:pPr>
              <w:spacing w:after="0"/>
              <w:rPr>
                <w:sz w:val="14"/>
                <w:szCs w:val="14"/>
                <w:color w:val="auto"/>
              </w:rPr>
            </w:pPr>
          </w:p>
        </w:tc>
        <w:tc>
          <w:tcPr>
            <w:tcW w:w="220" w:type="dxa"/>
            <w:vAlign w:val="bottom"/>
            <w:tcBorders>
              <w:bottom w:val="single" w:sz="8" w:color="auto"/>
            </w:tcBorders>
            <w:shd w:val="clear" w:color="auto" w:fill="E6EFFF"/>
          </w:tcPr>
          <w:p>
            <w:pPr>
              <w:spacing w:after="0"/>
              <w:rPr>
                <w:sz w:val="14"/>
                <w:szCs w:val="14"/>
                <w:color w:val="auto"/>
              </w:rPr>
            </w:pPr>
          </w:p>
        </w:tc>
        <w:tc>
          <w:tcPr>
            <w:tcW w:w="920" w:type="dxa"/>
            <w:vAlign w:val="bottom"/>
            <w:tcBorders>
              <w:bottom w:val="single" w:sz="8" w:color="auto"/>
              <w:right w:val="single" w:sz="8" w:color="4D8ABE"/>
            </w:tcBorders>
            <w:shd w:val="clear" w:color="auto" w:fill="E6EFFF"/>
          </w:tcPr>
          <w:p>
            <w:pPr>
              <w:jc w:val="right"/>
              <w:ind w:right="172"/>
              <w:spacing w:after="0"/>
              <w:rPr>
                <w:sz w:val="20"/>
                <w:szCs w:val="20"/>
                <w:color w:val="auto"/>
              </w:rPr>
            </w:pPr>
            <w:r>
              <w:rPr>
                <w:rFonts w:ascii="Arial" w:cs="Arial" w:eastAsia="Arial" w:hAnsi="Arial"/>
                <w:sz w:val="14"/>
                <w:szCs w:val="14"/>
                <w:b w:val="1"/>
                <w:bCs w:val="1"/>
                <w:color w:val="4D8ABE"/>
              </w:rPr>
              <w:t>111</w:t>
            </w:r>
          </w:p>
        </w:tc>
        <w:tc>
          <w:tcPr>
            <w:tcW w:w="340" w:type="dxa"/>
            <w:vAlign w:val="bottom"/>
            <w:tcBorders>
              <w:bottom w:val="single" w:sz="8" w:color="auto"/>
            </w:tcBorders>
            <w:shd w:val="clear" w:color="auto" w:fill="E6EFFF"/>
          </w:tcPr>
          <w:p>
            <w:pPr>
              <w:spacing w:after="0"/>
              <w:rPr>
                <w:sz w:val="14"/>
                <w:szCs w:val="14"/>
                <w:color w:val="auto"/>
              </w:rPr>
            </w:pPr>
          </w:p>
        </w:tc>
        <w:tc>
          <w:tcPr>
            <w:tcW w:w="70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123</w:t>
            </w:r>
          </w:p>
        </w:tc>
        <w:tc>
          <w:tcPr>
            <w:tcW w:w="440" w:type="dxa"/>
            <w:vAlign w:val="bottom"/>
            <w:tcBorders>
              <w:bottom w:val="single" w:sz="8" w:color="auto"/>
            </w:tcBorders>
            <w:shd w:val="clear" w:color="auto" w:fill="E6EFFF"/>
          </w:tcPr>
          <w:p>
            <w:pPr>
              <w:spacing w:after="0"/>
              <w:rPr>
                <w:sz w:val="14"/>
                <w:szCs w:val="14"/>
                <w:color w:val="auto"/>
              </w:rPr>
            </w:pPr>
          </w:p>
        </w:tc>
        <w:tc>
          <w:tcPr>
            <w:tcW w:w="700" w:type="dxa"/>
            <w:vAlign w:val="bottom"/>
            <w:tcBorders>
              <w:bottom w:val="single" w:sz="8" w:color="auto"/>
            </w:tcBorders>
            <w:shd w:val="clear" w:color="auto" w:fill="E6EFFF"/>
          </w:tcPr>
          <w:p>
            <w:pPr>
              <w:jc w:val="right"/>
              <w:ind w:right="72"/>
              <w:spacing w:after="0"/>
              <w:rPr>
                <w:sz w:val="20"/>
                <w:szCs w:val="20"/>
                <w:color w:val="auto"/>
              </w:rPr>
            </w:pPr>
            <w:r>
              <w:rPr>
                <w:rFonts w:ascii="Arial" w:cs="Arial" w:eastAsia="Arial" w:hAnsi="Arial"/>
                <w:sz w:val="14"/>
                <w:szCs w:val="14"/>
                <w:color w:val="auto"/>
              </w:rPr>
              <w:t>163</w:t>
            </w:r>
          </w:p>
        </w:tc>
        <w:tc>
          <w:tcPr>
            <w:tcW w:w="420" w:type="dxa"/>
            <w:vAlign w:val="bottom"/>
            <w:tcBorders>
              <w:bottom w:val="single" w:sz="8" w:color="auto"/>
            </w:tcBorders>
            <w:shd w:val="clear" w:color="auto" w:fill="E6EFFF"/>
          </w:tcPr>
          <w:p>
            <w:pPr>
              <w:spacing w:after="0"/>
              <w:rPr>
                <w:sz w:val="14"/>
                <w:szCs w:val="14"/>
                <w:color w:val="auto"/>
              </w:rPr>
            </w:pPr>
          </w:p>
        </w:tc>
        <w:tc>
          <w:tcPr>
            <w:tcW w:w="720" w:type="dxa"/>
            <w:vAlign w:val="bottom"/>
            <w:tcBorders>
              <w:bottom w:val="single" w:sz="8" w:color="auto"/>
            </w:tcBorders>
            <w:shd w:val="clear" w:color="auto" w:fill="E6EFFF"/>
          </w:tcPr>
          <w:p>
            <w:pPr>
              <w:jc w:val="right"/>
              <w:ind w:right="74"/>
              <w:spacing w:after="0"/>
              <w:rPr>
                <w:sz w:val="20"/>
                <w:szCs w:val="20"/>
                <w:color w:val="auto"/>
              </w:rPr>
            </w:pPr>
            <w:r>
              <w:rPr>
                <w:rFonts w:ascii="Arial" w:cs="Arial" w:eastAsia="Arial" w:hAnsi="Arial"/>
                <w:sz w:val="14"/>
                <w:szCs w:val="14"/>
                <w:color w:val="auto"/>
              </w:rPr>
              <w:t>136</w:t>
            </w:r>
          </w:p>
        </w:tc>
        <w:tc>
          <w:tcPr>
            <w:tcW w:w="440" w:type="dxa"/>
            <w:vAlign w:val="bottom"/>
            <w:tcBorders>
              <w:bottom w:val="single" w:sz="8" w:color="auto"/>
            </w:tcBorders>
            <w:shd w:val="clear" w:color="auto" w:fill="E6EFFF"/>
          </w:tcPr>
          <w:p>
            <w:pPr>
              <w:spacing w:after="0"/>
              <w:rPr>
                <w:sz w:val="14"/>
                <w:szCs w:val="14"/>
                <w:color w:val="auto"/>
              </w:rPr>
            </w:pPr>
          </w:p>
        </w:tc>
        <w:tc>
          <w:tcPr>
            <w:tcW w:w="800" w:type="dxa"/>
            <w:vAlign w:val="bottom"/>
            <w:tcBorders>
              <w:bottom w:val="single" w:sz="8" w:color="auto"/>
            </w:tcBorders>
            <w:shd w:val="clear" w:color="auto" w:fill="E6EFFF"/>
          </w:tcPr>
          <w:p>
            <w:pPr>
              <w:jc w:val="right"/>
              <w:ind w:right="172"/>
              <w:spacing w:after="0"/>
              <w:rPr>
                <w:sz w:val="20"/>
                <w:szCs w:val="20"/>
                <w:color w:val="auto"/>
              </w:rPr>
            </w:pPr>
            <w:r>
              <w:rPr>
                <w:rFonts w:ascii="Arial" w:cs="Arial" w:eastAsia="Arial" w:hAnsi="Arial"/>
                <w:sz w:val="14"/>
                <w:szCs w:val="14"/>
                <w:color w:val="auto"/>
              </w:rPr>
              <w:t>119</w:t>
            </w:r>
          </w:p>
        </w:tc>
        <w:tc>
          <w:tcPr>
            <w:tcW w:w="340" w:type="dxa"/>
            <w:vAlign w:val="bottom"/>
            <w:tcBorders>
              <w:bottom w:val="single" w:sz="8" w:color="auto"/>
            </w:tcBorders>
            <w:shd w:val="clear" w:color="auto" w:fill="E6EFFF"/>
          </w:tcPr>
          <w:p>
            <w:pPr>
              <w:spacing w:after="0"/>
              <w:rPr>
                <w:sz w:val="14"/>
                <w:szCs w:val="14"/>
                <w:color w:val="auto"/>
              </w:rPr>
            </w:pPr>
          </w:p>
        </w:tc>
        <w:tc>
          <w:tcPr>
            <w:tcW w:w="780" w:type="dxa"/>
            <w:vAlign w:val="bottom"/>
            <w:tcBorders>
              <w:bottom w:val="single" w:sz="8" w:color="auto"/>
            </w:tcBorders>
            <w:shd w:val="clear" w:color="auto" w:fill="E6EFFF"/>
          </w:tcPr>
          <w:p>
            <w:pPr>
              <w:jc w:val="right"/>
              <w:ind w:right="152"/>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4"/>
                <w:szCs w:val="14"/>
                <w:color w:val="auto"/>
              </w:rPr>
            </w:pPr>
          </w:p>
        </w:tc>
      </w:tr>
      <w:tr>
        <w:trPr>
          <w:trHeight w:val="360"/>
        </w:trPr>
        <w:tc>
          <w:tcPr>
            <w:tcW w:w="2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2360" w:type="dxa"/>
            <w:vAlign w:val="bottom"/>
          </w:tcPr>
          <w:p>
            <w:pPr>
              <w:spacing w:after="0"/>
              <w:rPr>
                <w:sz w:val="20"/>
                <w:szCs w:val="20"/>
                <w:color w:val="auto"/>
              </w:rPr>
            </w:pPr>
            <w:r>
              <w:rPr>
                <w:rFonts w:ascii="Arial" w:cs="Arial" w:eastAsia="Arial" w:hAnsi="Arial"/>
                <w:sz w:val="12"/>
                <w:szCs w:val="12"/>
                <w:b w:val="1"/>
                <w:bCs w:val="1"/>
                <w:color w:val="auto"/>
              </w:rPr>
              <w:t>72</w:t>
            </w:r>
          </w:p>
        </w:tc>
        <w:tc>
          <w:tcPr>
            <w:tcW w:w="2280" w:type="dxa"/>
            <w:vAlign w:val="bottom"/>
          </w:tcPr>
          <w:p>
            <w:pPr>
              <w:ind w:left="500"/>
              <w:spacing w:after="0"/>
              <w:rPr>
                <w:sz w:val="20"/>
                <w:szCs w:val="20"/>
                <w:color w:val="auto"/>
              </w:rPr>
            </w:pPr>
            <w:r>
              <w:rPr>
                <w:rFonts w:ascii="Arial" w:cs="Arial" w:eastAsia="Arial" w:hAnsi="Arial"/>
                <w:sz w:val="12"/>
                <w:szCs w:val="12"/>
                <w:b w:val="1"/>
                <w:bCs w:val="1"/>
                <w:color w:val="939598"/>
              </w:rPr>
              <w:t>Selected Financial Data</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gridSpan w:val="3"/>
          </w:tcPr>
          <w:p>
            <w:pPr>
              <w:jc w:val="right"/>
              <w:spacing w:after="0"/>
              <w:rPr>
                <w:sz w:val="20"/>
                <w:szCs w:val="20"/>
                <w:color w:val="auto"/>
              </w:rPr>
            </w:pPr>
            <w:r>
              <w:rPr>
                <w:rFonts w:ascii="Arial" w:cs="Arial" w:eastAsia="Arial" w:hAnsi="Arial"/>
                <w:sz w:val="12"/>
                <w:szCs w:val="12"/>
                <w:b w:val="1"/>
                <w:bCs w:val="1"/>
                <w:color w:val="auto"/>
              </w:rPr>
              <w:t>Manpower Annual Report 2008</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7"/>
        </w:trPr>
        <w:tc>
          <w:tcPr>
            <w:tcW w:w="23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61"/>
        </w:trPr>
        <w:tc>
          <w:tcPr>
            <w:tcW w:w="2360" w:type="dxa"/>
            <w:vAlign w:val="bottom"/>
            <w:shd w:val="clear" w:color="auto" w:fill="808080"/>
          </w:tcPr>
          <w:p>
            <w:pPr>
              <w:spacing w:after="0"/>
              <w:rPr>
                <w:sz w:val="5"/>
                <w:szCs w:val="5"/>
                <w:color w:val="auto"/>
              </w:rPr>
            </w:pPr>
          </w:p>
        </w:tc>
        <w:tc>
          <w:tcPr>
            <w:tcW w:w="228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00"/>
          </w:cols>
          <w:pgMar w:left="220" w:top="114" w:right="1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939598"/>
        </w:rPr>
        <w:t>Principle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139700</wp:posOffset>
            </wp:positionV>
            <wp:extent cx="3926840" cy="1793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26840" cy="179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Argentina, Australia, Austria, Bahrain, Belgium, Belarus, Bolivia, Brazil, Bulgaria, Canada, Chile, China, Colombia, Costa Rica, Czech Republic, Denmark, Dominican Republic, Ecuador, El Salvador, Estonia, Finland, France, Germany, Greece, Guadeloupe, Guatemala, Honduras, Hong Kong, Hungary, India, Ireland, Israel, Italy, Japan, Kazakhstan, Korea, Kuwait, Latvia, Lithuania, Luxembourg, Macau, Malaysia, Martinique, Mexico, Monaco, Morocco, Netherlands, New Caledonia, New Zealand, Nicaragua, Norway, Panama, Paraguay, Peru, Philippines, Poland, Portugal, Puerto Rico, Qatar, Reunion, Romania, Russia, Saudi Arabia, Serbia, Singapore, Slovakia, Slovenia, South Africa, Spain, Sweden, Switzerland, Taiwan, Thailand, Tunisia, Turkey, Ukraine, United Arab Emirates, United Kingdom, United States, Uruguay, Venezuela and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151765</wp:posOffset>
            </wp:positionV>
            <wp:extent cx="7305040" cy="10102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05040" cy="101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 xml:space="preserve">Manpower Inc. (NYSE: MAN) is a world leader in the employment services industry; creating and delivering services that enable its clients to win in the changing world of work. The $22 billion company offers employers a range of services for the entire employment and business cycle including permanent, temporary and contract recruitment; employee assessment and selection; training; outplacement; outsourcing and consulting. Manpower’s worldwide network of over 4,400 offices in 82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t>
      </w:r>
      <w:r>
        <w:rPr>
          <w:rFonts w:ascii="Arial" w:cs="Arial" w:eastAsia="Arial" w:hAnsi="Arial"/>
          <w:sz w:val="16"/>
          <w:szCs w:val="16"/>
          <w:u w:val="single" w:color="auto"/>
          <w:color w:val="0000FF"/>
        </w:rPr>
        <w:t>www.manpower.com.</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0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Manpower Annual Report 2008</w:t>
            </w:r>
          </w:p>
        </w:tc>
        <w:tc>
          <w:tcPr>
            <w:tcW w:w="5500" w:type="dxa"/>
            <w:vAlign w:val="bottom"/>
            <w:tcBorders>
              <w:top w:val="single" w:sz="8" w:color="auto"/>
            </w:tcBorders>
          </w:tcPr>
          <w:p>
            <w:pPr>
              <w:ind w:left="580"/>
              <w:spacing w:after="0"/>
              <w:rPr>
                <w:sz w:val="20"/>
                <w:szCs w:val="20"/>
                <w:color w:val="auto"/>
              </w:rPr>
            </w:pPr>
            <w:r>
              <w:rPr>
                <w:rFonts w:ascii="Arial" w:cs="Arial" w:eastAsia="Arial" w:hAnsi="Arial"/>
                <w:sz w:val="12"/>
                <w:szCs w:val="12"/>
                <w:b w:val="1"/>
                <w:bCs w:val="1"/>
                <w:color w:val="939598"/>
              </w:rPr>
              <w:t>Principle Operating Units</w:t>
            </w:r>
          </w:p>
        </w:tc>
        <w:tc>
          <w:tcPr>
            <w:tcW w:w="36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550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300" w:type="dxa"/>
            <w:vAlign w:val="bottom"/>
            <w:shd w:val="clear" w:color="auto" w:fill="808080"/>
          </w:tcPr>
          <w:p>
            <w:pPr>
              <w:spacing w:after="0"/>
              <w:rPr>
                <w:sz w:val="5"/>
                <w:szCs w:val="5"/>
                <w:color w:val="auto"/>
              </w:rPr>
            </w:pPr>
          </w:p>
        </w:tc>
        <w:tc>
          <w:tcPr>
            <w:tcW w:w="5500" w:type="dxa"/>
            <w:vAlign w:val="bottom"/>
            <w:shd w:val="clear" w:color="auto" w:fill="808080"/>
          </w:tcPr>
          <w:p>
            <w:pPr>
              <w:spacing w:after="0"/>
              <w:rPr>
                <w:sz w:val="5"/>
                <w:szCs w:val="5"/>
                <w:color w:val="auto"/>
              </w:rPr>
            </w:pPr>
          </w:p>
        </w:tc>
        <w:tc>
          <w:tcPr>
            <w:tcW w:w="36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20" w:top="114" w:right="1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999999"/>
        </w:rPr>
        <w:t>Corporate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Directors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JEFFREY A. JOERRES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Chairman, CEO and President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Manpower Inc.</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MARC J. BOLLAND</w:t>
      </w:r>
      <w:r>
        <w:rPr>
          <w:rFonts w:ascii="Arial" w:cs="Arial" w:eastAsia="Arial" w:hAnsi="Arial"/>
          <w:sz w:val="19"/>
          <w:szCs w:val="19"/>
          <w:b w:val="1"/>
          <w:bCs w:val="1"/>
          <w:color w:val="86B6A5"/>
          <w:vertAlign w:val="superscript"/>
        </w:rPr>
        <w:t>2</w:t>
      </w:r>
    </w:p>
    <w:p>
      <w:pPr>
        <w:spacing w:after="0"/>
        <w:rPr>
          <w:sz w:val="20"/>
          <w:szCs w:val="20"/>
          <w:color w:val="auto"/>
        </w:rPr>
      </w:pPr>
      <w:r>
        <w:rPr>
          <w:rFonts w:ascii="Arial" w:cs="Arial" w:eastAsia="Arial" w:hAnsi="Arial"/>
          <w:sz w:val="14"/>
          <w:szCs w:val="14"/>
          <w:color w:val="auto"/>
        </w:rPr>
        <w:t>CEO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Wm Morrison Supermarkets PLC</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GINA BOSWELL</w:t>
      </w:r>
      <w:r>
        <w:rPr>
          <w:rFonts w:ascii="Arial" w:cs="Arial" w:eastAsia="Arial" w:hAnsi="Arial"/>
          <w:sz w:val="19"/>
          <w:szCs w:val="19"/>
          <w:b w:val="1"/>
          <w:bCs w:val="1"/>
          <w:color w:val="86B6A5"/>
          <w:vertAlign w:val="superscript"/>
        </w:rPr>
        <w:t>1</w:t>
      </w:r>
    </w:p>
    <w:p>
      <w:pPr>
        <w:spacing w:after="0"/>
        <w:rPr>
          <w:sz w:val="20"/>
          <w:szCs w:val="20"/>
          <w:color w:val="auto"/>
        </w:rPr>
      </w:pPr>
      <w:r>
        <w:rPr>
          <w:rFonts w:ascii="Arial" w:cs="Arial" w:eastAsia="Arial" w:hAnsi="Arial"/>
          <w:sz w:val="14"/>
          <w:szCs w:val="14"/>
          <w:color w:val="auto"/>
        </w:rPr>
        <w:t>President of Global Brands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Alberto-Culver Company</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J. THOMAS BOUCHARD</w:t>
      </w:r>
      <w:r>
        <w:rPr>
          <w:rFonts w:ascii="Arial" w:cs="Arial" w:eastAsia="Arial" w:hAnsi="Arial"/>
          <w:sz w:val="19"/>
          <w:szCs w:val="19"/>
          <w:b w:val="1"/>
          <w:bCs w:val="1"/>
          <w:color w:val="86B6A5"/>
          <w:vertAlign w:val="superscript"/>
        </w:rPr>
        <w:t>2*,3</w:t>
      </w:r>
    </w:p>
    <w:p>
      <w:pPr>
        <w:spacing w:after="0"/>
        <w:rPr>
          <w:sz w:val="20"/>
          <w:szCs w:val="20"/>
          <w:color w:val="auto"/>
        </w:rPr>
      </w:pPr>
      <w:r>
        <w:rPr>
          <w:rFonts w:ascii="Arial" w:cs="Arial" w:eastAsia="Arial" w:hAnsi="Arial"/>
          <w:sz w:val="11"/>
          <w:szCs w:val="11"/>
          <w:color w:val="auto"/>
        </w:rPr>
        <w:t>Retired Senior Vice President, Human Resources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IBM</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CARI M. DOMINGUEZ</w:t>
      </w:r>
      <w:r>
        <w:rPr>
          <w:rFonts w:ascii="Arial" w:cs="Arial" w:eastAsia="Arial" w:hAnsi="Arial"/>
          <w:sz w:val="19"/>
          <w:szCs w:val="19"/>
          <w:b w:val="1"/>
          <w:bCs w:val="1"/>
          <w:color w:val="86B6A5"/>
          <w:vertAlign w:val="superscript"/>
        </w:rPr>
        <w:t>2</w:t>
      </w:r>
    </w:p>
    <w:p>
      <w:pPr>
        <w:spacing w:after="0"/>
        <w:rPr>
          <w:sz w:val="20"/>
          <w:szCs w:val="20"/>
          <w:color w:val="auto"/>
        </w:rPr>
      </w:pPr>
      <w:r>
        <w:rPr>
          <w:rFonts w:ascii="Arial" w:cs="Arial" w:eastAsia="Arial" w:hAnsi="Arial"/>
          <w:sz w:val="14"/>
          <w:szCs w:val="14"/>
          <w:color w:val="auto"/>
        </w:rPr>
        <w:t>Former Chair of the Equal Employment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Opportunity Commission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JACK M. GREENBERG</w:t>
      </w:r>
      <w:r>
        <w:rPr>
          <w:rFonts w:ascii="Arial" w:cs="Arial" w:eastAsia="Arial" w:hAnsi="Arial"/>
          <w:sz w:val="19"/>
          <w:szCs w:val="19"/>
          <w:b w:val="1"/>
          <w:bCs w:val="1"/>
          <w:color w:val="86B6A5"/>
          <w:vertAlign w:val="superscript"/>
        </w:rPr>
        <w:t>2,3</w:t>
      </w:r>
    </w:p>
    <w:p>
      <w:pPr>
        <w:spacing w:after="0"/>
        <w:rPr>
          <w:sz w:val="20"/>
          <w:szCs w:val="20"/>
          <w:color w:val="auto"/>
        </w:rPr>
      </w:pPr>
      <w:r>
        <w:rPr>
          <w:rFonts w:ascii="Arial" w:cs="Arial" w:eastAsia="Arial" w:hAnsi="Arial"/>
          <w:sz w:val="14"/>
          <w:szCs w:val="14"/>
          <w:color w:val="auto"/>
        </w:rPr>
        <w:t>Retired Chairman and CEO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McDonald’s Corporation</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Non-Executive Chairman</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Western Union Company</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TERRY A. HUENEKE</w:t>
      </w:r>
      <w:r>
        <w:rPr>
          <w:rFonts w:ascii="Arial" w:cs="Arial" w:eastAsia="Arial" w:hAnsi="Arial"/>
          <w:sz w:val="19"/>
          <w:szCs w:val="19"/>
          <w:b w:val="1"/>
          <w:bCs w:val="1"/>
          <w:color w:val="86B6A5"/>
          <w:vertAlign w:val="superscript"/>
        </w:rPr>
        <w:t>1</w:t>
      </w:r>
    </w:p>
    <w:p>
      <w:pPr>
        <w:spacing w:after="0"/>
        <w:rPr>
          <w:sz w:val="20"/>
          <w:szCs w:val="20"/>
          <w:color w:val="auto"/>
        </w:rPr>
      </w:pPr>
      <w:r>
        <w:rPr>
          <w:rFonts w:ascii="Arial" w:cs="Arial" w:eastAsia="Arial" w:hAnsi="Arial"/>
          <w:sz w:val="14"/>
          <w:szCs w:val="14"/>
          <w:color w:val="auto"/>
        </w:rPr>
        <w:t>Retired 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Manpower Inc.</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ULICE PAYNE JR</w:t>
      </w:r>
      <w:r>
        <w:rPr>
          <w:rFonts w:ascii="Arial" w:cs="Arial" w:eastAsia="Arial" w:hAnsi="Arial"/>
          <w:sz w:val="19"/>
          <w:szCs w:val="19"/>
          <w:b w:val="1"/>
          <w:bCs w:val="1"/>
          <w:color w:val="86B6A5"/>
          <w:vertAlign w:val="superscript"/>
        </w:rPr>
        <w:t>1</w:t>
      </w:r>
    </w:p>
    <w:p>
      <w:pPr>
        <w:spacing w:after="0"/>
        <w:rPr>
          <w:sz w:val="20"/>
          <w:szCs w:val="20"/>
          <w:color w:val="auto"/>
        </w:rPr>
      </w:pPr>
      <w:r>
        <w:rPr>
          <w:rFonts w:ascii="Arial" w:cs="Arial" w:eastAsia="Arial" w:hAnsi="Arial"/>
          <w:sz w:val="14"/>
          <w:szCs w:val="14"/>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Addison-Clifton, LLC</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 xml:space="preserve">JOHN R. WALTER </w:t>
      </w:r>
      <w:r>
        <w:rPr>
          <w:rFonts w:ascii="Arial" w:cs="Arial" w:eastAsia="Arial" w:hAnsi="Arial"/>
          <w:sz w:val="19"/>
          <w:szCs w:val="19"/>
          <w:b w:val="1"/>
          <w:bCs w:val="1"/>
          <w:color w:val="86B6A5"/>
          <w:vertAlign w:val="superscript"/>
        </w:rPr>
        <w:t>2,3*</w:t>
      </w:r>
    </w:p>
    <w:p>
      <w:pPr>
        <w:spacing w:after="0"/>
        <w:rPr>
          <w:sz w:val="20"/>
          <w:szCs w:val="20"/>
          <w:color w:val="auto"/>
        </w:rPr>
      </w:pPr>
      <w:r>
        <w:rPr>
          <w:rFonts w:ascii="Arial" w:cs="Arial" w:eastAsia="Arial" w:hAnsi="Arial"/>
          <w:sz w:val="14"/>
          <w:szCs w:val="14"/>
          <w:color w:val="auto"/>
        </w:rPr>
        <w:t>Retired President and COO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AT&amp;T Corp.</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Former Chairman, President and CEO</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R.R. Donnelley &amp; Sons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EDWARD J. ZORE</w:t>
      </w:r>
      <w:r>
        <w:rPr>
          <w:rFonts w:ascii="Arial" w:cs="Arial" w:eastAsia="Arial" w:hAnsi="Arial"/>
          <w:sz w:val="19"/>
          <w:szCs w:val="19"/>
          <w:b w:val="1"/>
          <w:bCs w:val="1"/>
          <w:color w:val="86B6A5"/>
          <w:vertAlign w:val="superscript"/>
        </w:rPr>
        <w:t>1*,3</w:t>
      </w:r>
    </w:p>
    <w:p>
      <w:pPr>
        <w:spacing w:after="0"/>
        <w:rPr>
          <w:sz w:val="20"/>
          <w:szCs w:val="20"/>
          <w:color w:val="auto"/>
        </w:rPr>
      </w:pPr>
      <w:r>
        <w:rPr>
          <w:rFonts w:ascii="Arial" w:cs="Arial" w:eastAsia="Arial" w:hAnsi="Arial"/>
          <w:sz w:val="14"/>
          <w:szCs w:val="14"/>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Northwestern Mutual</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BOARD COMMIT TEES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86B6A5"/>
        </w:rPr>
        <w:t>1 Audit Committee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86B6A5"/>
        </w:rPr>
        <w:t>2 Executive Compensation Committee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86B6A5"/>
        </w:rPr>
        <w:t>3 Nominating and Governance Committee</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86B6A5"/>
        </w:rPr>
        <w:t>* Denotes Committee Chair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86B6A5"/>
        </w:rPr>
        <w:t>Management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JEFFREY A. JOERRES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Chairman, CEO and President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MICHAEL J. VAN HANDEL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and CFO</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BARBARA J. BECK</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President – Europe, Middle East and Africa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(Excluding France)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DARRYL GREEN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President – Asia Pacific and Middle East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FRANÇOISE GRI</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President – France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JONAS PRISING</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President – The Americas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OWEN J. SULLIVAN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CEO of Right Management and Jefferson Wells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MARA SWAN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Global Strategy and Talent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DAVID ARKLESS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President – Corporate and Government Affairs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KENNETH C. HUNT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 and Secretary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TAMMY JOHNS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Global Workforce Strategy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EMMA VAN ROOYEN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Chief Marketing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86B6A5"/>
        </w:rPr>
        <w:t>DENIS EDWARDS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Global Chief Information Officer</w:t>
      </w:r>
    </w:p>
    <w:p>
      <w:pPr>
        <w:spacing w:after="0" w:line="183" w:lineRule="exact"/>
        <w:rPr>
          <w:sz w:val="20"/>
          <w:szCs w:val="20"/>
          <w:color w:val="auto"/>
        </w:rPr>
      </w:pPr>
    </w:p>
    <w:p>
      <w:pPr>
        <w:sectPr>
          <w:pgSz w:w="11900" w:h="16838" w:orient="portrait"/>
          <w:cols w:equalWidth="0" w:num="2">
            <w:col w:w="5020" w:space="720"/>
            <w:col w:w="4560"/>
          </w:cols>
          <w:pgMar w:left="220" w:top="124" w:right="1379" w:bottom="1440" w:gutter="0" w:footer="0" w:header="0"/>
        </w:sectPr>
      </w:pPr>
    </w:p>
    <w:p>
      <w:pPr>
        <w:spacing w:after="0"/>
        <w:tabs>
          <w:tab w:leader="none" w:pos="2840" w:val="left"/>
          <w:tab w:leader="none" w:pos="8580" w:val="left"/>
        </w:tabs>
        <w:rPr>
          <w:sz w:val="20"/>
          <w:szCs w:val="20"/>
          <w:color w:val="auto"/>
        </w:rPr>
      </w:pPr>
      <w:r>
        <w:rPr>
          <w:rFonts w:ascii="Arial" w:cs="Arial" w:eastAsia="Arial" w:hAnsi="Arial"/>
          <w:sz w:val="12"/>
          <w:szCs w:val="12"/>
          <w:b w:val="1"/>
          <w:bCs w:val="1"/>
          <w:color w:val="auto"/>
        </w:rPr>
        <w:t>74</w:t>
      </w:r>
      <w:r>
        <w:rPr>
          <w:sz w:val="20"/>
          <w:szCs w:val="20"/>
          <w:color w:val="auto"/>
        </w:rPr>
        <w:tab/>
      </w:r>
      <w:r>
        <w:rPr>
          <w:rFonts w:ascii="Arial" w:cs="Arial" w:eastAsia="Arial" w:hAnsi="Arial"/>
          <w:sz w:val="12"/>
          <w:szCs w:val="12"/>
          <w:b w:val="1"/>
          <w:bCs w:val="1"/>
          <w:color w:val="939598"/>
        </w:rPr>
        <w:t>Corporate Information</w:t>
      </w:r>
      <w:r>
        <w:rPr>
          <w:sz w:val="20"/>
          <w:szCs w:val="20"/>
          <w:color w:val="auto"/>
        </w:rPr>
        <w:tab/>
      </w:r>
      <w:r>
        <w:rPr>
          <w:rFonts w:ascii="Arial" w:cs="Arial" w:eastAsia="Arial" w:hAnsi="Arial"/>
          <w:sz w:val="10"/>
          <w:szCs w:val="10"/>
          <w:b w:val="1"/>
          <w:bCs w:val="1"/>
          <w:color w:val="auto"/>
        </w:rPr>
        <w:t>Manpower Annual Report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7964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96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167640</wp:posOffset>
            </wp:positionV>
            <wp:extent cx="729869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0300"/>
          </w:cols>
          <w:pgMar w:left="220" w:top="124" w:right="137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2"/>
          <w:szCs w:val="12"/>
          <w:b w:val="1"/>
          <w:bCs w:val="1"/>
          <w:color w:val="auto"/>
        </w:rPr>
        <w:t>WORLD HEADQUARTERS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P.O. Box 2053</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100 Manpower Place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Milwaukee, WI 53212 USA</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+1.414.961.1000</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www.manpower.com</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BNY Mellon Shareowner Services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P.O. Box 358015</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Pittsburgh, PA 15252-8015</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Shareowners Toll Free: (800) 874-1547</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Foreign Shareowners: (201) 680-6578</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Web Site: www.bnymellon.com/shareowner/isd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EXCHANGE LISTING</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NYSE Symbol: MAN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FORM 10-K</w:t>
      </w:r>
    </w:p>
    <w:p>
      <w:pPr>
        <w:spacing w:after="0" w:line="22" w:lineRule="exact"/>
        <w:rPr>
          <w:sz w:val="20"/>
          <w:szCs w:val="20"/>
          <w:color w:val="auto"/>
        </w:rPr>
      </w:pPr>
    </w:p>
    <w:p>
      <w:pPr>
        <w:spacing w:after="0" w:line="344" w:lineRule="auto"/>
        <w:rPr>
          <w:sz w:val="20"/>
          <w:szCs w:val="20"/>
          <w:color w:val="auto"/>
        </w:rPr>
      </w:pPr>
      <w:r>
        <w:rPr>
          <w:rFonts w:ascii="Arial" w:cs="Arial" w:eastAsia="Arial" w:hAnsi="Arial"/>
          <w:sz w:val="11"/>
          <w:szCs w:val="11"/>
          <w:color w:val="auto"/>
        </w:rPr>
        <w:t>A copy of Form 10-K filed with the Securities and Exchange Commission for the year ended December 31, 2008 is available without charge after February 20, 2009 and can be obtained online at:</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www.investor.manpower.com</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or by writing to:</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Kenneth C. Hunt, General Counsel</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Manpower Inc.</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100 Manpower Place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Milwaukee, WI 53212</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USA</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SHAREHOLDERS</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As of February 17, 2009, Manpower Inc. common stock was held by approximately 5,200 record holders.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ANNUAL MEETING OF SHAREHOLDERS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April 28, 2009 at 10 a.m.</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Manpower World Headquarters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100 Manpower Place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Milwaukee, WI 53212</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USA</w:t>
      </w: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MANPOWERPOWER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2902585" cy="4629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9025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1720" w:val="left"/>
          <w:tab w:leader="none" w:pos="3480" w:val="left"/>
        </w:tabs>
        <w:rPr>
          <w:sz w:val="20"/>
          <w:szCs w:val="20"/>
          <w:color w:val="auto"/>
        </w:rPr>
      </w:pPr>
      <w:r>
        <w:rPr>
          <w:rFonts w:ascii="Arial" w:cs="Arial" w:eastAsia="Arial" w:hAnsi="Arial"/>
          <w:sz w:val="12"/>
          <w:szCs w:val="12"/>
          <w:color w:val="auto"/>
        </w:rPr>
        <w:t>Charles Ashworth</w:t>
      </w:r>
      <w:r>
        <w:rPr>
          <w:sz w:val="20"/>
          <w:szCs w:val="20"/>
          <w:color w:val="auto"/>
        </w:rPr>
        <w:tab/>
      </w:r>
      <w:r>
        <w:rPr>
          <w:rFonts w:ascii="Arial" w:cs="Arial" w:eastAsia="Arial" w:hAnsi="Arial"/>
          <w:sz w:val="12"/>
          <w:szCs w:val="12"/>
          <w:color w:val="auto"/>
        </w:rPr>
        <w:t>Darren Cook</w:t>
      </w:r>
      <w:r>
        <w:rPr>
          <w:sz w:val="20"/>
          <w:szCs w:val="20"/>
          <w:color w:val="auto"/>
        </w:rPr>
        <w:tab/>
      </w:r>
      <w:r>
        <w:rPr>
          <w:rFonts w:ascii="Arial" w:cs="Arial" w:eastAsia="Arial" w:hAnsi="Arial"/>
          <w:sz w:val="11"/>
          <w:szCs w:val="11"/>
          <w:color w:val="auto"/>
        </w:rPr>
        <w:t>Catherine Lo-Giacco</w:t>
      </w:r>
    </w:p>
    <w:p>
      <w:pPr>
        <w:spacing w:after="0" w:line="18" w:lineRule="exact"/>
        <w:rPr>
          <w:sz w:val="20"/>
          <w:szCs w:val="20"/>
          <w:color w:val="auto"/>
        </w:rPr>
      </w:pPr>
    </w:p>
    <w:p>
      <w:pPr>
        <w:spacing w:after="0"/>
        <w:tabs>
          <w:tab w:leader="none" w:pos="1720" w:val="left"/>
          <w:tab w:leader="none" w:pos="3480" w:val="left"/>
        </w:tabs>
        <w:rPr>
          <w:sz w:val="20"/>
          <w:szCs w:val="20"/>
          <w:color w:val="auto"/>
        </w:rPr>
      </w:pPr>
      <w:r>
        <w:rPr>
          <w:rFonts w:ascii="Arial" w:cs="Arial" w:eastAsia="Arial" w:hAnsi="Arial"/>
          <w:sz w:val="12"/>
          <w:szCs w:val="12"/>
          <w:color w:val="auto"/>
        </w:rPr>
        <w:t>UK</w:t>
      </w:r>
      <w:r>
        <w:rPr>
          <w:sz w:val="20"/>
          <w:szCs w:val="20"/>
          <w:color w:val="auto"/>
        </w:rPr>
        <w:tab/>
      </w:r>
      <w:r>
        <w:rPr>
          <w:rFonts w:ascii="Arial" w:cs="Arial" w:eastAsia="Arial" w:hAnsi="Arial"/>
          <w:sz w:val="12"/>
          <w:szCs w:val="12"/>
          <w:color w:val="auto"/>
        </w:rPr>
        <w:t>Global</w:t>
      </w:r>
      <w:r>
        <w:rPr>
          <w:sz w:val="20"/>
          <w:szCs w:val="20"/>
          <w:color w:val="auto"/>
        </w:rPr>
        <w:tab/>
      </w:r>
      <w:r>
        <w:rPr>
          <w:rFonts w:ascii="Arial" w:cs="Arial" w:eastAsia="Arial" w:hAnsi="Arial"/>
          <w:sz w:val="11"/>
          <w:szCs w:val="11"/>
          <w:color w:val="auto"/>
        </w:rPr>
        <w:t>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1800225" cy="4629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002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color w:val="auto"/>
        </w:rPr>
        <w:t>Laurence Morot</w:t>
      </w:r>
      <w:r>
        <w:rPr>
          <w:sz w:val="20"/>
          <w:szCs w:val="20"/>
          <w:color w:val="auto"/>
        </w:rPr>
        <w:tab/>
      </w:r>
      <w:r>
        <w:rPr>
          <w:rFonts w:ascii="Arial" w:cs="Arial" w:eastAsia="Arial" w:hAnsi="Arial"/>
          <w:sz w:val="10"/>
          <w:szCs w:val="10"/>
          <w:color w:val="auto"/>
        </w:rPr>
        <w:t>Jorge Perez</w:t>
      </w:r>
    </w:p>
    <w:p>
      <w:pPr>
        <w:spacing w:after="0" w:line="18" w:lineRule="exact"/>
        <w:rPr>
          <w:sz w:val="20"/>
          <w:szCs w:val="20"/>
          <w:color w:val="auto"/>
        </w:rPr>
      </w:pPr>
    </w:p>
    <w:p>
      <w:pPr>
        <w:spacing w:after="0"/>
        <w:tabs>
          <w:tab w:leader="none" w:pos="1720" w:val="left"/>
        </w:tabs>
        <w:rPr>
          <w:sz w:val="20"/>
          <w:szCs w:val="20"/>
          <w:color w:val="auto"/>
        </w:rPr>
      </w:pPr>
      <w:r>
        <w:rPr>
          <w:rFonts w:ascii="Arial" w:cs="Arial" w:eastAsia="Arial" w:hAnsi="Arial"/>
          <w:sz w:val="12"/>
          <w:szCs w:val="12"/>
          <w:color w:val="auto"/>
        </w:rPr>
        <w:t>France</w:t>
      </w:r>
      <w:r>
        <w:rPr>
          <w:sz w:val="20"/>
          <w:szCs w:val="20"/>
          <w:color w:val="auto"/>
        </w:rPr>
        <w:tab/>
      </w:r>
      <w:r>
        <w:rPr>
          <w:rFonts w:ascii="Arial" w:cs="Arial" w:eastAsia="Arial" w:hAnsi="Arial"/>
          <w:sz w:val="12"/>
          <w:szCs w:val="12"/>
          <w:color w:val="auto"/>
        </w:rPr>
        <w:t>North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INVESTOR RELATIONS WEBSITE</w:t>
      </w:r>
    </w:p>
    <w:p>
      <w:pPr>
        <w:spacing w:after="0" w:line="22" w:lineRule="exact"/>
        <w:rPr>
          <w:sz w:val="20"/>
          <w:szCs w:val="20"/>
          <w:color w:val="auto"/>
        </w:rPr>
      </w:pPr>
    </w:p>
    <w:p>
      <w:pPr>
        <w:jc w:val="both"/>
        <w:spacing w:after="0" w:line="318" w:lineRule="auto"/>
        <w:rPr>
          <w:sz w:val="20"/>
          <w:szCs w:val="20"/>
          <w:color w:val="auto"/>
        </w:rPr>
      </w:pPr>
      <w:r>
        <w:rPr>
          <w:rFonts w:ascii="Arial" w:cs="Arial" w:eastAsia="Arial" w:hAnsi="Arial"/>
          <w:sz w:val="11"/>
          <w:szCs w:val="11"/>
          <w:color w:val="auto"/>
        </w:rPr>
        <w:t>The most current corporate and investor information can be found on the Manpower Inc. corporate Web site at www.manpower.com. Interested individuals may also choose to receive Manpower press releases and other information via e-mail by subscribing to our E-mail Alert service at www.investor.manpower.com.</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GOVERNANCE</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As of January 1, 2009, the Corporate Governance Quotient indicated that Manpower outperformed 80.2% of the companies in the S&amp;P 400 and 90.9% of the companies in the Commercial Services &amp; Supplies group. The Corporate Governance Quotient index is issued by Institutional Shareholder Services, a respected authority on proxy voting and corporate governance.</w:t>
      </w:r>
    </w:p>
    <w:p>
      <w:pPr>
        <w:spacing w:after="0" w:line="132" w:lineRule="exact"/>
        <w:rPr>
          <w:sz w:val="20"/>
          <w:szCs w:val="20"/>
          <w:color w:val="auto"/>
        </w:rPr>
      </w:pPr>
    </w:p>
    <w:p>
      <w:pPr>
        <w:jc w:val="both"/>
        <w:spacing w:after="0" w:line="320" w:lineRule="auto"/>
        <w:rPr>
          <w:sz w:val="20"/>
          <w:szCs w:val="20"/>
          <w:color w:val="auto"/>
        </w:rPr>
      </w:pPr>
      <w:r>
        <w:rPr>
          <w:rFonts w:ascii="Arial" w:cs="Arial" w:eastAsia="Arial" w:hAnsi="Arial"/>
          <w:sz w:val="11"/>
          <w:szCs w:val="11"/>
          <w:color w:val="auto"/>
        </w:rPr>
        <w:t>Manpower’s governance structure is designed to ensure transparency in our operations and adherence to the regulations set forth by the U.S. Securities and Exchange Commission (SEC). Information on Manpower’s governance structure and policies can be found at www.manpower.com in the section titled “About Manpower.”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SOCIAL RESPONSIBILITY</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Manpower’s business is, in itself, socially responsible because everything we do is geared toward connecting people with jobs, which enables individuals to support themselves and their families. We strive to be socially responsible in every aspect of our business; however, we focus our resources primarily on where we can have the most impact, in creating a bridge to employment for disadvantaged individuals through various workforce development programs around the world. Additional details regarding social responsibility efforts at Manpower can be found in our most recent Social Responsibility Report, which is accessible via our corporate Web site at www.manpower.com/socialresponsibility.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320" w:lineRule="auto"/>
        <w:rPr>
          <w:sz w:val="20"/>
          <w:szCs w:val="20"/>
          <w:color w:val="auto"/>
        </w:rPr>
      </w:pPr>
      <w:r>
        <w:rPr>
          <w:rFonts w:ascii="Arial" w:cs="Arial" w:eastAsia="Arial" w:hAnsi="Arial"/>
          <w:sz w:val="11"/>
          <w:szCs w:val="11"/>
          <w:color w:val="auto"/>
        </w:rPr>
        <w:t>Since 1959, the Manpower Power Award honors operations around the world for their financial achievements and performance in positively representing the Manpower brand and culture. In addition, each year, Manpower awards a few special individuals with the Power Award for their outstanding achievements during the year.</w:t>
      </w:r>
    </w:p>
    <w:p>
      <w:pPr>
        <w:spacing w:after="0" w:line="110"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This year’s global Power Award was a team award, recognizing several key individuals that drove the development of the Branch Experience vision, facilitated the stewardship of creating the program’s global framework and ignited the passion for driving the Candidate Experience. Through the development of a fixed and flexible framework, this massive project is the epitome of global collaboration. These select individuals, while managing their everyday jobs, exercised the exemplary type of Global / Local behavior that we strive for.</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Congratulations to all of the 2008 Power Award winners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520065</wp:posOffset>
            </wp:positionV>
            <wp:extent cx="729869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2">
            <w:col w:w="5240" w:space="580"/>
            <w:col w:w="5640"/>
          </w:cols>
          <w:pgMar w:left="220" w:top="313" w:right="21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World Headquarters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Milwaukee, WI 53212 USA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www.manpower.com</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GC-24 © 2009 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9869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8690" cy="38735"/>
                    </a:xfrm>
                    <a:prstGeom prst="rect">
                      <a:avLst/>
                    </a:prstGeom>
                    <a:noFill/>
                  </pic:spPr>
                </pic:pic>
              </a:graphicData>
            </a:graphic>
          </wp:anchor>
        </w:drawing>
      </w:r>
    </w:p>
    <w:p>
      <w:pPr>
        <w:sectPr>
          <w:pgSz w:w="11900" w:h="16838" w:orient="portrait"/>
          <w:cols w:equalWidth="0" w:num="1">
            <w:col w:w="11460"/>
          </w:cols>
          <w:pgMar w:left="220" w:top="1232" w:right="2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160" w:type="dxa"/>
            <w:vAlign w:val="bottom"/>
            <w:gridSpan w:val="3"/>
          </w:tcPr>
          <w:p>
            <w:pPr>
              <w:jc w:val="center"/>
              <w:ind w:right="2860"/>
              <w:spacing w:after="0"/>
              <w:rPr>
                <w:sz w:val="20"/>
                <w:szCs w:val="20"/>
                <w:color w:val="auto"/>
              </w:rPr>
            </w:pPr>
            <w:r>
              <w:rPr>
                <w:rFonts w:ascii="Arial" w:cs="Arial" w:eastAsia="Arial" w:hAnsi="Arial"/>
                <w:sz w:val="14"/>
                <w:szCs w:val="14"/>
                <w:b w:val="1"/>
                <w:bCs w:val="1"/>
                <w:color w:val="auto"/>
                <w:w w:val="97"/>
              </w:rPr>
              <w:t>SUBSIDIARIES OF MANPOWER INC.</w:t>
            </w:r>
          </w:p>
        </w:tc>
      </w:tr>
      <w:tr>
        <w:trPr>
          <w:trHeight w:val="178"/>
        </w:trPr>
        <w:tc>
          <w:tcPr>
            <w:tcW w:w="10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6160" w:type="dxa"/>
            <w:vAlign w:val="bottom"/>
            <w:gridSpan w:val="3"/>
          </w:tcPr>
          <w:p>
            <w:pPr>
              <w:jc w:val="center"/>
              <w:ind w:right="2840"/>
              <w:spacing w:after="0"/>
              <w:rPr>
                <w:sz w:val="20"/>
                <w:szCs w:val="20"/>
                <w:color w:val="auto"/>
              </w:rPr>
            </w:pPr>
            <w:r>
              <w:rPr>
                <w:rFonts w:ascii="Arial" w:cs="Arial" w:eastAsia="Arial" w:hAnsi="Arial"/>
                <w:sz w:val="14"/>
                <w:szCs w:val="14"/>
                <w:b w:val="1"/>
                <w:bCs w:val="1"/>
                <w:color w:val="auto"/>
                <w:w w:val="87"/>
              </w:rPr>
              <w:t>As of December 31, 2008</w:t>
            </w:r>
          </w:p>
        </w:tc>
      </w:tr>
      <w:tr>
        <w:trPr>
          <w:trHeight w:val="587"/>
        </w:trPr>
        <w:tc>
          <w:tcPr>
            <w:tcW w:w="4080" w:type="dxa"/>
            <w:vAlign w:val="bottom"/>
            <w:gridSpan w:val="2"/>
          </w:tcPr>
          <w:p>
            <w:pPr>
              <w:spacing w:after="0"/>
              <w:rPr>
                <w:sz w:val="20"/>
                <w:szCs w:val="20"/>
                <w:color w:val="auto"/>
              </w:rPr>
            </w:pPr>
            <w:r>
              <w:rPr>
                <w:rFonts w:ascii="Arial" w:cs="Arial" w:eastAsia="Arial" w:hAnsi="Arial"/>
                <w:sz w:val="14"/>
                <w:szCs w:val="14"/>
                <w:color w:val="auto"/>
              </w:rPr>
              <w:t>Corporation Name</w:t>
            </w:r>
          </w:p>
        </w:tc>
        <w:tc>
          <w:tcPr>
            <w:tcW w:w="430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w w:val="89"/>
              </w:rPr>
              <w:t>Incorporated in State / Country of</w:t>
            </w:r>
          </w:p>
        </w:tc>
      </w:tr>
      <w:tr>
        <w:trPr>
          <w:trHeight w:val="144"/>
        </w:trPr>
        <w:tc>
          <w:tcPr>
            <w:tcW w:w="1020" w:type="dxa"/>
            <w:vAlign w:val="bottom"/>
            <w:tcBorders>
              <w:top w:val="single" w:sz="8" w:color="auto"/>
            </w:tcBorders>
          </w:tcPr>
          <w:p>
            <w:pPr>
              <w:spacing w:after="0" w:line="144" w:lineRule="exact"/>
              <w:rPr>
                <w:sz w:val="20"/>
                <w:szCs w:val="20"/>
                <w:color w:val="auto"/>
              </w:rPr>
            </w:pPr>
            <w:r>
              <w:rPr>
                <w:rFonts w:ascii="Arial" w:cs="Arial" w:eastAsia="Arial" w:hAnsi="Arial"/>
                <w:sz w:val="14"/>
                <w:szCs w:val="14"/>
                <w:color w:val="auto"/>
                <w:w w:val="89"/>
              </w:rPr>
              <w:t>Huntsville Service</w:t>
            </w:r>
          </w:p>
        </w:tc>
        <w:tc>
          <w:tcPr>
            <w:tcW w:w="3060" w:type="dxa"/>
            <w:vAlign w:val="bottom"/>
          </w:tcPr>
          <w:p>
            <w:pPr>
              <w:ind w:left="40"/>
              <w:spacing w:after="0" w:line="144" w:lineRule="exact"/>
              <w:rPr>
                <w:sz w:val="20"/>
                <w:szCs w:val="20"/>
                <w:color w:val="auto"/>
              </w:rPr>
            </w:pPr>
            <w:r>
              <w:rPr>
                <w:rFonts w:ascii="Arial" w:cs="Arial" w:eastAsia="Arial" w:hAnsi="Arial"/>
                <w:sz w:val="14"/>
                <w:szCs w:val="14"/>
                <w:color w:val="auto"/>
              </w:rPr>
              <w:t>Contractors, Inc.</w:t>
            </w:r>
          </w:p>
        </w:tc>
        <w:tc>
          <w:tcPr>
            <w:tcW w:w="4300" w:type="dxa"/>
            <w:vAlign w:val="bottom"/>
          </w:tcPr>
          <w:p>
            <w:pPr>
              <w:spacing w:after="0"/>
              <w:rPr>
                <w:sz w:val="12"/>
                <w:szCs w:val="12"/>
                <w:color w:val="auto"/>
              </w:rPr>
            </w:pPr>
          </w:p>
        </w:tc>
        <w:tc>
          <w:tcPr>
            <w:tcW w:w="1840" w:type="dxa"/>
            <w:vAlign w:val="bottom"/>
            <w:tcBorders>
              <w:top w:val="single" w:sz="8" w:color="auto"/>
            </w:tcBorders>
          </w:tcPr>
          <w:p>
            <w:pPr>
              <w:spacing w:after="0" w:line="144" w:lineRule="exact"/>
              <w:rPr>
                <w:sz w:val="20"/>
                <w:szCs w:val="20"/>
                <w:color w:val="auto"/>
              </w:rPr>
            </w:pPr>
            <w:r>
              <w:rPr>
                <w:rFonts w:ascii="Arial" w:cs="Arial" w:eastAsia="Arial" w:hAnsi="Arial"/>
                <w:sz w:val="14"/>
                <w:szCs w:val="14"/>
                <w:color w:val="auto"/>
              </w:rPr>
              <w:t>Alabama</w:t>
            </w:r>
          </w:p>
        </w:tc>
        <w:tc>
          <w:tcPr>
            <w:tcW w:w="20" w:type="dxa"/>
            <w:vAlign w:val="bottom"/>
          </w:tcPr>
          <w:p>
            <w:pPr>
              <w:spacing w:after="0"/>
              <w:rPr>
                <w:sz w:val="12"/>
                <w:szCs w:val="12"/>
                <w:color w:val="auto"/>
              </w:rPr>
            </w:pP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Benefits S.A.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Argentina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Cotecsud S.A.S.E.</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Argentina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SA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Argentina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Rural Power S.A.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Argentina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Salespower S.A.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Argentina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Compower Pty. Limited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Empower Research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Intellectual Capital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No. 10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No. 11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No. 12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No. 13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No. 14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No. 15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Services (Australia)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ORMS Group APS Pty Limited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Polson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from Home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Consultants Holdings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Consultants International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Consultants (NSW)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Consultants (OC)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Consultants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Consultants (QLD) Pty.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Workforce (Vic) Pty. Limited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Australia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Powerserve GmbH</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Austria GmbH</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GmbH</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Holding GmbH</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Austria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Professional Bahrain S.P.C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Bahrain</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Representative office of Manpower CIS LLC in Belarus Republic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Belarus</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Alternative International (Holdings) SA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Belgium</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Elan IT Resource S.A.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Belgium</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Business Solutions SA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Belgium</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Belgium NV</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Belgium</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S.A. Manpower (Belgium) N.V.</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Belgium</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Brasil Ltda.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Brazil</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Professional Ltda.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Brazil</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Staffing Ltda.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Brazil</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do Brasil Ltda.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Brazil</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Manpower/V-TRAC International,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British Virgin Islands</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Clarendon Parker Holdings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British Virgin Islands</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Bulgaria Team EOOD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Bulgaria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Bulgaria OOD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Bulgaria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Inc. / South California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California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Coutts Consulting Canada Inc.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Canada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Jefferson Wells International (Canada), Inc.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Canada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Services Canada Limited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Canada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Murray Axmith &amp; Associates Limited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Canada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Canada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Canada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China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China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Business Consulting (Shanghai) Co.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China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Caden (China) Co.,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China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&amp; Standard Human Resources (Shanghai) Co.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China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de Columbia Ltda.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Colombia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Professional Ltd.</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Colombia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Costa Rica, S.A.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Costa Rica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Croatia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Croatia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Elan IT Resource s.r.o</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Czech Republic</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pol. s.r.o</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Czech Republic</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CareerHarmony, Inc.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Ironwood Capital Corporation</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Jefferson Wells International, Inc.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CIS Inc.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Finances LLC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Franchises, LLC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Holdings, Inc.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International, Inc.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License Holdings, LLC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USCaden Corporation</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Delaware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Elan IT Resources A/S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Denmark</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A/S (Denmark)</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Denmark</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Europe Holdings Aps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Denmark</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Denmark A/S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Denmark</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Nordic Holding A/S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Denmark</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Republica Dominicana, S.A.</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Dominican Republic</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El Salvador, S.A. de C.V.</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El Salvador</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OÜ</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Estonia</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Elan IT Resource OY</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Finland</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Business Solutions Oy</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Finland</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Inclusive OY</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Finland</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MBS Technical Services OY</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Finland</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Finland OY AB</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Finland</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Elan Technical Services OY</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Finland</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OY</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Finland</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Alisia SARL</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Elan I.T. Resource SARL</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Jefferson Wells SAS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Business Services France</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France Holding SAS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France SAS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Placement</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Nouvelles Competences SAS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Manpower Services Aux Personnes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Right Management SAS</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54"/>
        </w:trPr>
        <w:tc>
          <w:tcPr>
            <w:tcW w:w="4080" w:type="dxa"/>
            <w:vAlign w:val="bottom"/>
            <w:gridSpan w:val="2"/>
          </w:tcPr>
          <w:p>
            <w:pPr>
              <w:spacing w:after="0" w:line="154" w:lineRule="exact"/>
              <w:rPr>
                <w:sz w:val="20"/>
                <w:szCs w:val="20"/>
                <w:color w:val="auto"/>
              </w:rPr>
            </w:pPr>
            <w:r>
              <w:rPr>
                <w:rFonts w:ascii="Arial" w:cs="Arial" w:eastAsia="Arial" w:hAnsi="Arial"/>
                <w:sz w:val="14"/>
                <w:szCs w:val="14"/>
                <w:color w:val="auto"/>
              </w:rPr>
              <w:t>Pixid S.N.C</w:t>
            </w:r>
          </w:p>
        </w:tc>
        <w:tc>
          <w:tcPr>
            <w:tcW w:w="4300" w:type="dxa"/>
            <w:vAlign w:val="bottom"/>
          </w:tcPr>
          <w:p>
            <w:pPr>
              <w:spacing w:after="0"/>
              <w:rPr>
                <w:sz w:val="13"/>
                <w:szCs w:val="13"/>
                <w:color w:val="auto"/>
              </w:rPr>
            </w:pPr>
          </w:p>
        </w:tc>
        <w:tc>
          <w:tcPr>
            <w:tcW w:w="1860" w:type="dxa"/>
            <w:vAlign w:val="bottom"/>
            <w:gridSpan w:val="2"/>
          </w:tcPr>
          <w:p>
            <w:pPr>
              <w:spacing w:after="0" w:line="154" w:lineRule="exact"/>
              <w:rPr>
                <w:sz w:val="20"/>
                <w:szCs w:val="20"/>
                <w:color w:val="auto"/>
              </w:rPr>
            </w:pPr>
            <w:r>
              <w:rPr>
                <w:rFonts w:ascii="Arial" w:cs="Arial" w:eastAsia="Arial" w:hAnsi="Arial"/>
                <w:sz w:val="14"/>
                <w:szCs w:val="14"/>
                <w:color w:val="auto"/>
              </w:rPr>
              <w:t>France</w:t>
            </w:r>
          </w:p>
        </w:tc>
      </w:tr>
      <w:tr>
        <w:trPr>
          <w:trHeight w:val="174"/>
        </w:trPr>
        <w:tc>
          <w:tcPr>
            <w:tcW w:w="4080" w:type="dxa"/>
            <w:vAlign w:val="bottom"/>
            <w:gridSpan w:val="2"/>
          </w:tcPr>
          <w:p>
            <w:pPr>
              <w:spacing w:after="0"/>
              <w:rPr>
                <w:sz w:val="20"/>
                <w:szCs w:val="20"/>
                <w:color w:val="auto"/>
              </w:rPr>
            </w:pPr>
            <w:r>
              <w:rPr>
                <w:rFonts w:ascii="Arial" w:cs="Arial" w:eastAsia="Arial" w:hAnsi="Arial"/>
                <w:sz w:val="14"/>
                <w:szCs w:val="14"/>
                <w:color w:val="auto"/>
              </w:rPr>
              <w:t>Spirit Search</w:t>
            </w:r>
          </w:p>
        </w:tc>
        <w:tc>
          <w:tcPr>
            <w:tcW w:w="430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France</w:t>
            </w:r>
          </w:p>
        </w:tc>
      </w:tr>
    </w:tbl>
    <w:p>
      <w:pPr>
        <w:sectPr>
          <w:pgSz w:w="11900" w:h="16838" w:orient="portrait"/>
          <w:cols w:equalWidth="0" w:num="1">
            <w:col w:w="11460"/>
          </w:cols>
          <w:pgMar w:left="220" w:top="279" w:right="219" w:bottom="0"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Supplay SAS</w:t>
      </w:r>
    </w:p>
    <w:p>
      <w:pPr>
        <w:spacing w:after="0" w:line="237" w:lineRule="auto"/>
        <w:rPr>
          <w:sz w:val="20"/>
          <w:szCs w:val="20"/>
          <w:color w:val="auto"/>
        </w:rPr>
      </w:pPr>
      <w:r>
        <w:rPr>
          <w:rFonts w:ascii="Arial" w:cs="Arial" w:eastAsia="Arial" w:hAnsi="Arial"/>
          <w:sz w:val="14"/>
          <w:szCs w:val="14"/>
          <w:color w:val="auto"/>
        </w:rPr>
        <w:t>Manpower Egalite des Chances</w:t>
      </w:r>
    </w:p>
    <w:p>
      <w:pPr>
        <w:spacing w:after="0"/>
        <w:rPr>
          <w:sz w:val="20"/>
          <w:szCs w:val="20"/>
          <w:color w:val="auto"/>
        </w:rPr>
      </w:pPr>
      <w:r>
        <w:rPr>
          <w:rFonts w:ascii="Arial" w:cs="Arial" w:eastAsia="Arial" w:hAnsi="Arial"/>
          <w:sz w:val="11"/>
          <w:szCs w:val="11"/>
          <w:color w:val="auto"/>
        </w:rPr>
        <w:t>Adservice Gesellschaft fur Werbung und Verkaufsforderung mbH</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AviationPower GmbH</w:t>
      </w:r>
    </w:p>
    <w:p>
      <w:pPr>
        <w:spacing w:after="0" w:line="229" w:lineRule="auto"/>
        <w:rPr>
          <w:sz w:val="20"/>
          <w:szCs w:val="20"/>
          <w:color w:val="auto"/>
        </w:rPr>
      </w:pPr>
      <w:r>
        <w:rPr>
          <w:rFonts w:ascii="Arial" w:cs="Arial" w:eastAsia="Arial" w:hAnsi="Arial"/>
          <w:sz w:val="14"/>
          <w:szCs w:val="14"/>
          <w:color w:val="auto"/>
        </w:rPr>
        <w:t>Bankpower GmbH Personaldienstleistungen</w:t>
      </w:r>
    </w:p>
    <w:p>
      <w:pPr>
        <w:spacing w:after="0" w:line="230" w:lineRule="auto"/>
        <w:rPr>
          <w:sz w:val="20"/>
          <w:szCs w:val="20"/>
          <w:color w:val="auto"/>
        </w:rPr>
      </w:pPr>
      <w:r>
        <w:rPr>
          <w:rFonts w:ascii="Arial" w:cs="Arial" w:eastAsia="Arial" w:hAnsi="Arial"/>
          <w:sz w:val="14"/>
          <w:szCs w:val="14"/>
          <w:color w:val="auto"/>
        </w:rPr>
        <w:t>Elan Computing (Deutschland) GmbH</w:t>
      </w:r>
    </w:p>
    <w:p>
      <w:pPr>
        <w:spacing w:after="0" w:line="230" w:lineRule="auto"/>
        <w:rPr>
          <w:sz w:val="20"/>
          <w:szCs w:val="20"/>
          <w:color w:val="auto"/>
        </w:rPr>
      </w:pPr>
      <w:r>
        <w:rPr>
          <w:rFonts w:ascii="Arial" w:cs="Arial" w:eastAsia="Arial" w:hAnsi="Arial"/>
          <w:sz w:val="14"/>
          <w:szCs w:val="14"/>
          <w:color w:val="auto"/>
        </w:rPr>
        <w:t>Elan IT ReSource GmbH</w:t>
      </w:r>
    </w:p>
    <w:p>
      <w:pPr>
        <w:spacing w:after="0" w:line="229" w:lineRule="auto"/>
        <w:rPr>
          <w:sz w:val="20"/>
          <w:szCs w:val="20"/>
          <w:color w:val="auto"/>
        </w:rPr>
      </w:pPr>
      <w:r>
        <w:rPr>
          <w:rFonts w:ascii="Arial" w:cs="Arial" w:eastAsia="Arial" w:hAnsi="Arial"/>
          <w:sz w:val="14"/>
          <w:szCs w:val="14"/>
          <w:color w:val="auto"/>
        </w:rPr>
        <w:t>Elan IT Services GmbH</w:t>
      </w:r>
    </w:p>
    <w:p>
      <w:pPr>
        <w:spacing w:after="0" w:line="230" w:lineRule="auto"/>
        <w:rPr>
          <w:sz w:val="20"/>
          <w:szCs w:val="20"/>
          <w:color w:val="auto"/>
        </w:rPr>
      </w:pPr>
      <w:r>
        <w:rPr>
          <w:rFonts w:ascii="Arial" w:cs="Arial" w:eastAsia="Arial" w:hAnsi="Arial"/>
          <w:sz w:val="14"/>
          <w:szCs w:val="14"/>
          <w:color w:val="auto"/>
        </w:rPr>
        <w:t>Elan Telecommunications GmbH</w:t>
      </w:r>
    </w:p>
    <w:p>
      <w:pPr>
        <w:spacing w:after="0" w:line="230" w:lineRule="auto"/>
        <w:rPr>
          <w:sz w:val="20"/>
          <w:szCs w:val="20"/>
          <w:color w:val="auto"/>
        </w:rPr>
      </w:pPr>
      <w:r>
        <w:rPr>
          <w:rFonts w:ascii="Arial" w:cs="Arial" w:eastAsia="Arial" w:hAnsi="Arial"/>
          <w:sz w:val="14"/>
          <w:szCs w:val="14"/>
          <w:color w:val="auto"/>
        </w:rPr>
        <w:t>GroundworX GmbH</w:t>
      </w:r>
    </w:p>
    <w:p>
      <w:pPr>
        <w:spacing w:after="0" w:line="229" w:lineRule="auto"/>
        <w:rPr>
          <w:sz w:val="20"/>
          <w:szCs w:val="20"/>
          <w:color w:val="auto"/>
        </w:rPr>
      </w:pPr>
      <w:r>
        <w:rPr>
          <w:rFonts w:ascii="Arial" w:cs="Arial" w:eastAsia="Arial" w:hAnsi="Arial"/>
          <w:sz w:val="14"/>
          <w:szCs w:val="14"/>
          <w:color w:val="auto"/>
        </w:rPr>
        <w:t>Jefferson Wells GmbH</w:t>
      </w:r>
    </w:p>
    <w:p>
      <w:pPr>
        <w:spacing w:after="0" w:line="230" w:lineRule="auto"/>
        <w:rPr>
          <w:sz w:val="20"/>
          <w:szCs w:val="20"/>
          <w:color w:val="auto"/>
        </w:rPr>
      </w:pPr>
      <w:r>
        <w:rPr>
          <w:rFonts w:ascii="Arial" w:cs="Arial" w:eastAsia="Arial" w:hAnsi="Arial"/>
          <w:sz w:val="14"/>
          <w:szCs w:val="14"/>
          <w:color w:val="auto"/>
        </w:rPr>
        <w:t>Manpower Beteiligungsgesellschaft mbH</w:t>
      </w:r>
    </w:p>
    <w:p>
      <w:pPr>
        <w:spacing w:after="0" w:line="230" w:lineRule="auto"/>
        <w:rPr>
          <w:sz w:val="20"/>
          <w:szCs w:val="20"/>
          <w:color w:val="auto"/>
        </w:rPr>
      </w:pPr>
      <w:r>
        <w:rPr>
          <w:rFonts w:ascii="Arial" w:cs="Arial" w:eastAsia="Arial" w:hAnsi="Arial"/>
          <w:sz w:val="14"/>
          <w:szCs w:val="14"/>
          <w:color w:val="auto"/>
        </w:rPr>
        <w:t>Manpower Business Solutions GmbH</w:t>
      </w:r>
    </w:p>
    <w:p>
      <w:pPr>
        <w:spacing w:after="0" w:line="229" w:lineRule="auto"/>
        <w:rPr>
          <w:sz w:val="20"/>
          <w:szCs w:val="20"/>
          <w:color w:val="auto"/>
        </w:rPr>
      </w:pPr>
      <w:r>
        <w:rPr>
          <w:rFonts w:ascii="Arial" w:cs="Arial" w:eastAsia="Arial" w:hAnsi="Arial"/>
          <w:sz w:val="14"/>
          <w:szCs w:val="14"/>
          <w:color w:val="auto"/>
        </w:rPr>
        <w:t>Manpower Deutschland GmbH</w:t>
      </w:r>
    </w:p>
    <w:p>
      <w:pPr>
        <w:spacing w:after="0" w:line="230" w:lineRule="auto"/>
        <w:rPr>
          <w:sz w:val="20"/>
          <w:szCs w:val="20"/>
          <w:color w:val="auto"/>
        </w:rPr>
      </w:pPr>
      <w:r>
        <w:rPr>
          <w:rFonts w:ascii="Arial" w:cs="Arial" w:eastAsia="Arial" w:hAnsi="Arial"/>
          <w:sz w:val="14"/>
          <w:szCs w:val="14"/>
          <w:color w:val="auto"/>
        </w:rPr>
        <w:t>Manpower Equal Treatment GmbH</w:t>
      </w:r>
    </w:p>
    <w:p>
      <w:pPr>
        <w:spacing w:after="0" w:line="230" w:lineRule="auto"/>
        <w:rPr>
          <w:sz w:val="20"/>
          <w:szCs w:val="20"/>
          <w:color w:val="auto"/>
        </w:rPr>
      </w:pPr>
      <w:r>
        <w:rPr>
          <w:rFonts w:ascii="Arial" w:cs="Arial" w:eastAsia="Arial" w:hAnsi="Arial"/>
          <w:sz w:val="14"/>
          <w:szCs w:val="14"/>
          <w:color w:val="auto"/>
        </w:rPr>
        <w:t>Manpower GmbH &amp; Co. KG Personaldienstleistungen</w:t>
      </w:r>
    </w:p>
    <w:p>
      <w:pPr>
        <w:spacing w:after="0" w:line="230" w:lineRule="auto"/>
        <w:rPr>
          <w:sz w:val="20"/>
          <w:szCs w:val="20"/>
          <w:color w:val="auto"/>
        </w:rPr>
      </w:pPr>
      <w:r>
        <w:rPr>
          <w:rFonts w:ascii="Arial" w:cs="Arial" w:eastAsia="Arial" w:hAnsi="Arial"/>
          <w:sz w:val="14"/>
          <w:szCs w:val="14"/>
          <w:color w:val="auto"/>
        </w:rPr>
        <w:t>Manpower Managed Structures GmbH</w:t>
      </w:r>
    </w:p>
    <w:p>
      <w:pPr>
        <w:spacing w:after="0" w:line="229" w:lineRule="auto"/>
        <w:rPr>
          <w:sz w:val="20"/>
          <w:szCs w:val="20"/>
          <w:color w:val="auto"/>
        </w:rPr>
      </w:pPr>
      <w:r>
        <w:rPr>
          <w:rFonts w:ascii="Arial" w:cs="Arial" w:eastAsia="Arial" w:hAnsi="Arial"/>
          <w:sz w:val="14"/>
          <w:szCs w:val="14"/>
          <w:color w:val="auto"/>
        </w:rPr>
        <w:t>Manpower Professional Engineering GmbH</w:t>
      </w:r>
    </w:p>
    <w:p>
      <w:pPr>
        <w:spacing w:after="0"/>
        <w:rPr>
          <w:sz w:val="20"/>
          <w:szCs w:val="20"/>
          <w:color w:val="auto"/>
        </w:rPr>
      </w:pPr>
      <w:r>
        <w:rPr>
          <w:rFonts w:ascii="Arial" w:cs="Arial" w:eastAsia="Arial" w:hAnsi="Arial"/>
          <w:sz w:val="11"/>
          <w:szCs w:val="11"/>
          <w:color w:val="auto"/>
        </w:rPr>
        <w:t>Manpower Professional Finance - Personaldienstleistungen GmbH</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Manpower Specialties GmbH</w:t>
      </w:r>
    </w:p>
    <w:p>
      <w:pPr>
        <w:spacing w:after="0" w:line="229" w:lineRule="auto"/>
        <w:rPr>
          <w:sz w:val="20"/>
          <w:szCs w:val="20"/>
          <w:color w:val="auto"/>
        </w:rPr>
      </w:pPr>
      <w:r>
        <w:rPr>
          <w:rFonts w:ascii="Arial" w:cs="Arial" w:eastAsia="Arial" w:hAnsi="Arial"/>
          <w:sz w:val="14"/>
          <w:szCs w:val="14"/>
          <w:color w:val="auto"/>
        </w:rPr>
        <w:t>Right Management GMBH</w:t>
      </w:r>
    </w:p>
    <w:p>
      <w:pPr>
        <w:spacing w:after="0" w:line="230" w:lineRule="auto"/>
        <w:rPr>
          <w:sz w:val="20"/>
          <w:szCs w:val="20"/>
          <w:color w:val="auto"/>
        </w:rPr>
      </w:pPr>
      <w:r>
        <w:rPr>
          <w:rFonts w:ascii="Arial" w:cs="Arial" w:eastAsia="Arial" w:hAnsi="Arial"/>
          <w:sz w:val="14"/>
          <w:szCs w:val="14"/>
          <w:color w:val="auto"/>
        </w:rPr>
        <w:t>Vivento Interim Services GmbH</w:t>
      </w:r>
    </w:p>
    <w:p>
      <w:pPr>
        <w:spacing w:after="0" w:line="230" w:lineRule="auto"/>
        <w:rPr>
          <w:sz w:val="20"/>
          <w:szCs w:val="20"/>
          <w:color w:val="auto"/>
        </w:rPr>
      </w:pPr>
      <w:r>
        <w:rPr>
          <w:rFonts w:ascii="Arial" w:cs="Arial" w:eastAsia="Arial" w:hAnsi="Arial"/>
          <w:sz w:val="14"/>
          <w:szCs w:val="14"/>
          <w:color w:val="auto"/>
        </w:rPr>
        <w:t>Manpower Team S.A.</w:t>
      </w:r>
    </w:p>
    <w:p>
      <w:pPr>
        <w:spacing w:after="0" w:line="229" w:lineRule="auto"/>
        <w:rPr>
          <w:sz w:val="20"/>
          <w:szCs w:val="20"/>
          <w:color w:val="auto"/>
        </w:rPr>
      </w:pPr>
      <w:r>
        <w:rPr>
          <w:rFonts w:ascii="Arial" w:cs="Arial" w:eastAsia="Arial" w:hAnsi="Arial"/>
          <w:sz w:val="14"/>
          <w:szCs w:val="14"/>
          <w:color w:val="auto"/>
        </w:rPr>
        <w:t>Project Solutions S.A.</w:t>
      </w:r>
    </w:p>
    <w:p>
      <w:pPr>
        <w:spacing w:after="0" w:line="230" w:lineRule="auto"/>
        <w:rPr>
          <w:sz w:val="20"/>
          <w:szCs w:val="20"/>
          <w:color w:val="auto"/>
        </w:rPr>
      </w:pPr>
      <w:r>
        <w:rPr>
          <w:rFonts w:ascii="Arial" w:cs="Arial" w:eastAsia="Arial" w:hAnsi="Arial"/>
          <w:sz w:val="14"/>
          <w:szCs w:val="14"/>
          <w:color w:val="auto"/>
        </w:rPr>
        <w:t>Manpower Guatemala S.A.</w:t>
      </w:r>
    </w:p>
    <w:p>
      <w:pPr>
        <w:spacing w:after="0" w:line="230" w:lineRule="auto"/>
        <w:rPr>
          <w:sz w:val="20"/>
          <w:szCs w:val="20"/>
          <w:color w:val="auto"/>
        </w:rPr>
      </w:pPr>
      <w:r>
        <w:rPr>
          <w:rFonts w:ascii="Arial" w:cs="Arial" w:eastAsia="Arial" w:hAnsi="Arial"/>
          <w:sz w:val="14"/>
          <w:szCs w:val="14"/>
          <w:color w:val="auto"/>
        </w:rPr>
        <w:t>Manpower Honduras, S.A.</w:t>
      </w:r>
    </w:p>
    <w:p>
      <w:pPr>
        <w:spacing w:after="0" w:line="229" w:lineRule="auto"/>
        <w:rPr>
          <w:sz w:val="20"/>
          <w:szCs w:val="20"/>
          <w:color w:val="auto"/>
        </w:rPr>
      </w:pPr>
      <w:r>
        <w:rPr>
          <w:rFonts w:ascii="Arial" w:cs="Arial" w:eastAsia="Arial" w:hAnsi="Arial"/>
          <w:sz w:val="14"/>
          <w:szCs w:val="14"/>
          <w:color w:val="auto"/>
        </w:rPr>
        <w:t>Elan Computing (Asia) Limited</w:t>
      </w:r>
    </w:p>
    <w:p>
      <w:pPr>
        <w:spacing w:after="0" w:line="230" w:lineRule="auto"/>
        <w:rPr>
          <w:sz w:val="20"/>
          <w:szCs w:val="20"/>
          <w:color w:val="auto"/>
        </w:rPr>
      </w:pPr>
      <w:r>
        <w:rPr>
          <w:rFonts w:ascii="Arial" w:cs="Arial" w:eastAsia="Arial" w:hAnsi="Arial"/>
          <w:sz w:val="14"/>
          <w:szCs w:val="14"/>
          <w:color w:val="auto"/>
        </w:rPr>
        <w:t>Jefferson Wells HK Limited</w:t>
      </w:r>
    </w:p>
    <w:p>
      <w:pPr>
        <w:spacing w:after="0" w:line="230" w:lineRule="auto"/>
        <w:rPr>
          <w:sz w:val="20"/>
          <w:szCs w:val="20"/>
          <w:color w:val="auto"/>
        </w:rPr>
      </w:pPr>
      <w:r>
        <w:rPr>
          <w:rFonts w:ascii="Arial" w:cs="Arial" w:eastAsia="Arial" w:hAnsi="Arial"/>
          <w:sz w:val="14"/>
          <w:szCs w:val="14"/>
          <w:color w:val="auto"/>
        </w:rPr>
        <w:t>Manpower Services (Hong Kong) Limited</w:t>
      </w:r>
    </w:p>
    <w:p>
      <w:pPr>
        <w:spacing w:after="0" w:line="229" w:lineRule="auto"/>
        <w:rPr>
          <w:sz w:val="20"/>
          <w:szCs w:val="20"/>
          <w:color w:val="auto"/>
        </w:rPr>
      </w:pPr>
      <w:r>
        <w:rPr>
          <w:rFonts w:ascii="Arial" w:cs="Arial" w:eastAsia="Arial" w:hAnsi="Arial"/>
          <w:sz w:val="14"/>
          <w:szCs w:val="14"/>
          <w:color w:val="auto"/>
        </w:rPr>
        <w:t>Right Management Consultants Ltd (Hong Kong)</w:t>
      </w:r>
    </w:p>
    <w:p>
      <w:pPr>
        <w:spacing w:after="0" w:line="230" w:lineRule="auto"/>
        <w:rPr>
          <w:sz w:val="20"/>
          <w:szCs w:val="20"/>
          <w:color w:val="auto"/>
        </w:rPr>
      </w:pPr>
      <w:r>
        <w:rPr>
          <w:rFonts w:ascii="Arial" w:cs="Arial" w:eastAsia="Arial" w:hAnsi="Arial"/>
          <w:sz w:val="14"/>
          <w:szCs w:val="14"/>
          <w:color w:val="auto"/>
        </w:rPr>
        <w:t>Right Management Hong Kong Ltd.</w:t>
      </w:r>
    </w:p>
    <w:p>
      <w:pPr>
        <w:spacing w:after="0" w:line="230" w:lineRule="auto"/>
        <w:rPr>
          <w:sz w:val="20"/>
          <w:szCs w:val="20"/>
          <w:color w:val="auto"/>
        </w:rPr>
      </w:pPr>
      <w:r>
        <w:rPr>
          <w:rFonts w:ascii="Arial" w:cs="Arial" w:eastAsia="Arial" w:hAnsi="Arial"/>
          <w:sz w:val="14"/>
          <w:szCs w:val="14"/>
          <w:color w:val="auto"/>
        </w:rPr>
        <w:t>Standard Management Consulting Limited</w:t>
      </w:r>
    </w:p>
    <w:p>
      <w:pPr>
        <w:spacing w:after="0" w:line="230" w:lineRule="auto"/>
        <w:rPr>
          <w:sz w:val="20"/>
          <w:szCs w:val="20"/>
          <w:color w:val="auto"/>
        </w:rPr>
      </w:pPr>
      <w:r>
        <w:rPr>
          <w:rFonts w:ascii="Arial" w:cs="Arial" w:eastAsia="Arial" w:hAnsi="Arial"/>
          <w:sz w:val="14"/>
          <w:szCs w:val="14"/>
          <w:color w:val="auto"/>
        </w:rPr>
        <w:t>Manpower Munkaero Szervezesi KFT</w:t>
      </w:r>
    </w:p>
    <w:p>
      <w:pPr>
        <w:spacing w:after="0" w:line="229" w:lineRule="auto"/>
        <w:rPr>
          <w:sz w:val="20"/>
          <w:szCs w:val="20"/>
          <w:color w:val="auto"/>
        </w:rPr>
      </w:pPr>
      <w:r>
        <w:rPr>
          <w:rFonts w:ascii="Arial" w:cs="Arial" w:eastAsia="Arial" w:hAnsi="Arial"/>
          <w:sz w:val="14"/>
          <w:szCs w:val="14"/>
          <w:color w:val="auto"/>
        </w:rPr>
        <w:t>Manpower Business Solutions KFT</w:t>
      </w:r>
    </w:p>
    <w:p>
      <w:pPr>
        <w:spacing w:after="0" w:line="230" w:lineRule="auto"/>
        <w:rPr>
          <w:sz w:val="20"/>
          <w:szCs w:val="20"/>
          <w:color w:val="auto"/>
        </w:rPr>
      </w:pPr>
      <w:r>
        <w:rPr>
          <w:rFonts w:ascii="Arial" w:cs="Arial" w:eastAsia="Arial" w:hAnsi="Arial"/>
          <w:sz w:val="14"/>
          <w:szCs w:val="14"/>
          <w:color w:val="auto"/>
        </w:rPr>
        <w:t>Complete Business Services of Illinois, Inc.</w:t>
      </w:r>
    </w:p>
    <w:p>
      <w:pPr>
        <w:spacing w:after="0" w:line="230" w:lineRule="auto"/>
        <w:rPr>
          <w:sz w:val="20"/>
          <w:szCs w:val="20"/>
          <w:color w:val="auto"/>
        </w:rPr>
      </w:pPr>
      <w:r>
        <w:rPr>
          <w:rFonts w:ascii="Arial" w:cs="Arial" w:eastAsia="Arial" w:hAnsi="Arial"/>
          <w:sz w:val="14"/>
          <w:szCs w:val="14"/>
          <w:color w:val="auto"/>
        </w:rPr>
        <w:t>Right Management Consultants of Illinois</w:t>
      </w:r>
    </w:p>
    <w:p>
      <w:pPr>
        <w:spacing w:after="0" w:line="229" w:lineRule="auto"/>
        <w:rPr>
          <w:sz w:val="20"/>
          <w:szCs w:val="20"/>
          <w:color w:val="auto"/>
        </w:rPr>
      </w:pPr>
      <w:r>
        <w:rPr>
          <w:rFonts w:ascii="Arial" w:cs="Arial" w:eastAsia="Arial" w:hAnsi="Arial"/>
          <w:sz w:val="14"/>
          <w:szCs w:val="14"/>
          <w:color w:val="auto"/>
        </w:rPr>
        <w:t>Transpersonnel, Inc.</w:t>
      </w:r>
    </w:p>
    <w:p>
      <w:pPr>
        <w:spacing w:after="0" w:line="230" w:lineRule="auto"/>
        <w:rPr>
          <w:sz w:val="20"/>
          <w:szCs w:val="20"/>
          <w:color w:val="auto"/>
        </w:rPr>
      </w:pPr>
      <w:r>
        <w:rPr>
          <w:rFonts w:ascii="Arial" w:cs="Arial" w:eastAsia="Arial" w:hAnsi="Arial"/>
          <w:sz w:val="14"/>
          <w:szCs w:val="14"/>
          <w:color w:val="auto"/>
        </w:rPr>
        <w:t>Manpower Services India Pvt. Ltd.</w:t>
      </w:r>
    </w:p>
    <w:p>
      <w:pPr>
        <w:spacing w:after="0" w:line="230" w:lineRule="auto"/>
        <w:rPr>
          <w:sz w:val="20"/>
          <w:szCs w:val="20"/>
          <w:color w:val="auto"/>
        </w:rPr>
      </w:pPr>
      <w:r>
        <w:rPr>
          <w:rFonts w:ascii="Arial" w:cs="Arial" w:eastAsia="Arial" w:hAnsi="Arial"/>
          <w:sz w:val="14"/>
          <w:szCs w:val="14"/>
          <w:color w:val="auto"/>
        </w:rPr>
        <w:t>SKA HR Solutions Pvt. Ltd.</w:t>
      </w:r>
    </w:p>
    <w:p>
      <w:pPr>
        <w:spacing w:after="0" w:line="229" w:lineRule="auto"/>
        <w:rPr>
          <w:sz w:val="20"/>
          <w:szCs w:val="20"/>
          <w:color w:val="auto"/>
        </w:rPr>
      </w:pPr>
      <w:r>
        <w:rPr>
          <w:rFonts w:ascii="Arial" w:cs="Arial" w:eastAsia="Arial" w:hAnsi="Arial"/>
          <w:sz w:val="14"/>
          <w:szCs w:val="14"/>
          <w:color w:val="auto"/>
        </w:rPr>
        <w:t>Right Management India Private Limited</w:t>
      </w:r>
    </w:p>
    <w:p>
      <w:pPr>
        <w:spacing w:after="0" w:line="230" w:lineRule="auto"/>
        <w:rPr>
          <w:sz w:val="20"/>
          <w:szCs w:val="20"/>
          <w:color w:val="auto"/>
        </w:rPr>
      </w:pPr>
      <w:r>
        <w:rPr>
          <w:rFonts w:ascii="Arial" w:cs="Arial" w:eastAsia="Arial" w:hAnsi="Arial"/>
          <w:sz w:val="14"/>
          <w:szCs w:val="14"/>
          <w:color w:val="auto"/>
        </w:rPr>
        <w:t>Elan Recruitment Limited</w:t>
      </w:r>
    </w:p>
    <w:p>
      <w:pPr>
        <w:spacing w:after="0" w:line="230" w:lineRule="auto"/>
        <w:rPr>
          <w:sz w:val="20"/>
          <w:szCs w:val="20"/>
          <w:color w:val="auto"/>
        </w:rPr>
      </w:pPr>
      <w:r>
        <w:rPr>
          <w:rFonts w:ascii="Arial" w:cs="Arial" w:eastAsia="Arial" w:hAnsi="Arial"/>
          <w:sz w:val="14"/>
          <w:szCs w:val="14"/>
          <w:color w:val="auto"/>
        </w:rPr>
        <w:t>Manpower (Ireland) Group Limited</w:t>
      </w:r>
    </w:p>
    <w:p>
      <w:pPr>
        <w:spacing w:after="0" w:line="229" w:lineRule="auto"/>
        <w:rPr>
          <w:sz w:val="20"/>
          <w:szCs w:val="20"/>
          <w:color w:val="auto"/>
        </w:rPr>
      </w:pPr>
      <w:r>
        <w:rPr>
          <w:rFonts w:ascii="Arial" w:cs="Arial" w:eastAsia="Arial" w:hAnsi="Arial"/>
          <w:sz w:val="14"/>
          <w:szCs w:val="14"/>
          <w:color w:val="auto"/>
        </w:rPr>
        <w:t>Manpower (Ireland) Limited</w:t>
      </w:r>
    </w:p>
    <w:p>
      <w:pPr>
        <w:spacing w:after="0" w:line="230" w:lineRule="auto"/>
        <w:rPr>
          <w:sz w:val="20"/>
          <w:szCs w:val="20"/>
          <w:color w:val="auto"/>
        </w:rPr>
      </w:pPr>
      <w:r>
        <w:rPr>
          <w:rFonts w:ascii="Arial" w:cs="Arial" w:eastAsia="Arial" w:hAnsi="Arial"/>
          <w:sz w:val="14"/>
          <w:szCs w:val="14"/>
          <w:color w:val="auto"/>
        </w:rPr>
        <w:t>PHI Transition Limited</w:t>
      </w:r>
    </w:p>
    <w:p>
      <w:pPr>
        <w:spacing w:after="0" w:line="230" w:lineRule="auto"/>
        <w:rPr>
          <w:sz w:val="20"/>
          <w:szCs w:val="20"/>
          <w:color w:val="auto"/>
        </w:rPr>
      </w:pPr>
      <w:r>
        <w:rPr>
          <w:rFonts w:ascii="Arial" w:cs="Arial" w:eastAsia="Arial" w:hAnsi="Arial"/>
          <w:sz w:val="14"/>
          <w:szCs w:val="14"/>
          <w:color w:val="auto"/>
        </w:rPr>
        <w:t>Right Transition Ltd.</w:t>
      </w:r>
    </w:p>
    <w:p>
      <w:pPr>
        <w:spacing w:after="0" w:line="230" w:lineRule="auto"/>
        <w:rPr>
          <w:sz w:val="20"/>
          <w:szCs w:val="20"/>
          <w:color w:val="auto"/>
        </w:rPr>
      </w:pPr>
      <w:r>
        <w:rPr>
          <w:rFonts w:ascii="Arial" w:cs="Arial" w:eastAsia="Arial" w:hAnsi="Arial"/>
          <w:sz w:val="14"/>
          <w:szCs w:val="14"/>
          <w:color w:val="auto"/>
        </w:rPr>
        <w:t>Adam Ltd.</w:t>
      </w:r>
    </w:p>
    <w:p>
      <w:pPr>
        <w:spacing w:after="0" w:line="229" w:lineRule="auto"/>
        <w:rPr>
          <w:sz w:val="20"/>
          <w:szCs w:val="20"/>
          <w:color w:val="auto"/>
        </w:rPr>
      </w:pPr>
      <w:r>
        <w:rPr>
          <w:rFonts w:ascii="Arial" w:cs="Arial" w:eastAsia="Arial" w:hAnsi="Arial"/>
          <w:sz w:val="14"/>
          <w:szCs w:val="14"/>
          <w:color w:val="auto"/>
        </w:rPr>
        <w:t>Adi Ltd.</w:t>
      </w:r>
    </w:p>
    <w:p>
      <w:pPr>
        <w:spacing w:after="0" w:line="230" w:lineRule="auto"/>
        <w:rPr>
          <w:sz w:val="20"/>
          <w:szCs w:val="20"/>
          <w:color w:val="auto"/>
        </w:rPr>
      </w:pPr>
      <w:r>
        <w:rPr>
          <w:rFonts w:ascii="Arial" w:cs="Arial" w:eastAsia="Arial" w:hAnsi="Arial"/>
          <w:sz w:val="14"/>
          <w:szCs w:val="14"/>
          <w:color w:val="auto"/>
        </w:rPr>
        <w:t>Career Harmony, Ltd</w:t>
      </w:r>
    </w:p>
    <w:p>
      <w:pPr>
        <w:spacing w:after="0" w:line="230" w:lineRule="auto"/>
        <w:rPr>
          <w:sz w:val="20"/>
          <w:szCs w:val="20"/>
          <w:color w:val="auto"/>
        </w:rPr>
      </w:pPr>
      <w:r>
        <w:rPr>
          <w:rFonts w:ascii="Arial" w:cs="Arial" w:eastAsia="Arial" w:hAnsi="Arial"/>
          <w:sz w:val="14"/>
          <w:szCs w:val="14"/>
          <w:color w:val="auto"/>
        </w:rPr>
        <w:t>Career Ltd.</w:t>
      </w:r>
    </w:p>
    <w:p>
      <w:pPr>
        <w:spacing w:after="0" w:line="229" w:lineRule="auto"/>
        <w:rPr>
          <w:sz w:val="20"/>
          <w:szCs w:val="20"/>
          <w:color w:val="auto"/>
        </w:rPr>
      </w:pPr>
      <w:r>
        <w:rPr>
          <w:rFonts w:ascii="Arial" w:cs="Arial" w:eastAsia="Arial" w:hAnsi="Arial"/>
          <w:sz w:val="14"/>
          <w:szCs w:val="14"/>
          <w:color w:val="auto"/>
        </w:rPr>
        <w:t>Career – Management of Housing for Elderly Ltd.</w:t>
      </w:r>
    </w:p>
    <w:p>
      <w:pPr>
        <w:spacing w:after="0" w:line="230" w:lineRule="auto"/>
        <w:rPr>
          <w:sz w:val="20"/>
          <w:szCs w:val="20"/>
          <w:color w:val="auto"/>
        </w:rPr>
      </w:pPr>
      <w:r>
        <w:rPr>
          <w:rFonts w:ascii="Arial" w:cs="Arial" w:eastAsia="Arial" w:hAnsi="Arial"/>
          <w:sz w:val="14"/>
          <w:szCs w:val="14"/>
          <w:color w:val="auto"/>
        </w:rPr>
        <w:t>Manpower Israel Holdings (1999) Limited</w:t>
      </w:r>
    </w:p>
    <w:p>
      <w:pPr>
        <w:spacing w:after="0" w:line="230" w:lineRule="auto"/>
        <w:rPr>
          <w:sz w:val="20"/>
          <w:szCs w:val="20"/>
          <w:color w:val="auto"/>
        </w:rPr>
      </w:pPr>
      <w:r>
        <w:rPr>
          <w:rFonts w:ascii="Arial" w:cs="Arial" w:eastAsia="Arial" w:hAnsi="Arial"/>
          <w:sz w:val="14"/>
          <w:szCs w:val="14"/>
          <w:color w:val="auto"/>
        </w:rPr>
        <w:t>Manpower Israel Ltd.</w:t>
      </w:r>
    </w:p>
    <w:p>
      <w:pPr>
        <w:spacing w:after="0" w:line="229" w:lineRule="auto"/>
        <w:rPr>
          <w:sz w:val="20"/>
          <w:szCs w:val="20"/>
          <w:color w:val="auto"/>
        </w:rPr>
      </w:pPr>
      <w:r>
        <w:rPr>
          <w:rFonts w:ascii="Arial" w:cs="Arial" w:eastAsia="Arial" w:hAnsi="Arial"/>
          <w:sz w:val="14"/>
          <w:szCs w:val="14"/>
          <w:color w:val="auto"/>
        </w:rPr>
        <w:t>Manpower Miluot Ltd.</w:t>
      </w:r>
    </w:p>
    <w:p>
      <w:pPr>
        <w:spacing w:after="0" w:line="230" w:lineRule="auto"/>
        <w:rPr>
          <w:sz w:val="20"/>
          <w:szCs w:val="20"/>
          <w:color w:val="auto"/>
        </w:rPr>
      </w:pPr>
      <w:r>
        <w:rPr>
          <w:rFonts w:ascii="Arial" w:cs="Arial" w:eastAsia="Arial" w:hAnsi="Arial"/>
          <w:sz w:val="14"/>
          <w:szCs w:val="14"/>
          <w:color w:val="auto"/>
        </w:rPr>
        <w:t>M.I.T. (Manpower Information Technology) Ltd.</w:t>
      </w:r>
    </w:p>
    <w:p>
      <w:pPr>
        <w:spacing w:after="0" w:line="230" w:lineRule="auto"/>
        <w:rPr>
          <w:sz w:val="20"/>
          <w:szCs w:val="20"/>
          <w:color w:val="auto"/>
        </w:rPr>
      </w:pPr>
      <w:r>
        <w:rPr>
          <w:rFonts w:ascii="Arial" w:cs="Arial" w:eastAsia="Arial" w:hAnsi="Arial"/>
          <w:sz w:val="14"/>
          <w:szCs w:val="14"/>
          <w:color w:val="auto"/>
        </w:rPr>
        <w:t>M.P.H. Holdings Ltd.</w:t>
      </w:r>
    </w:p>
    <w:p>
      <w:pPr>
        <w:spacing w:after="0" w:line="230" w:lineRule="auto"/>
        <w:rPr>
          <w:sz w:val="20"/>
          <w:szCs w:val="20"/>
          <w:color w:val="auto"/>
        </w:rPr>
      </w:pPr>
      <w:r>
        <w:rPr>
          <w:rFonts w:ascii="Arial" w:cs="Arial" w:eastAsia="Arial" w:hAnsi="Arial"/>
          <w:sz w:val="14"/>
          <w:szCs w:val="14"/>
          <w:color w:val="auto"/>
        </w:rPr>
        <w:t>Nativ 2 Ltd.</w:t>
      </w:r>
    </w:p>
    <w:p>
      <w:pPr>
        <w:spacing w:after="0" w:line="229" w:lineRule="auto"/>
        <w:rPr>
          <w:sz w:val="20"/>
          <w:szCs w:val="20"/>
          <w:color w:val="auto"/>
        </w:rPr>
      </w:pPr>
      <w:r>
        <w:rPr>
          <w:rFonts w:ascii="Arial" w:cs="Arial" w:eastAsia="Arial" w:hAnsi="Arial"/>
          <w:sz w:val="14"/>
          <w:szCs w:val="14"/>
          <w:color w:val="auto"/>
        </w:rPr>
        <w:t>Storetail</w:t>
      </w:r>
    </w:p>
    <w:p>
      <w:pPr>
        <w:spacing w:after="0" w:line="230" w:lineRule="auto"/>
        <w:rPr>
          <w:sz w:val="20"/>
          <w:szCs w:val="20"/>
          <w:color w:val="auto"/>
        </w:rPr>
      </w:pPr>
      <w:r>
        <w:rPr>
          <w:rFonts w:ascii="Arial" w:cs="Arial" w:eastAsia="Arial" w:hAnsi="Arial"/>
          <w:sz w:val="14"/>
          <w:szCs w:val="14"/>
          <w:color w:val="auto"/>
        </w:rPr>
        <w:t>Telepower Ltd.</w:t>
      </w:r>
    </w:p>
    <w:p>
      <w:pPr>
        <w:spacing w:after="0" w:line="230" w:lineRule="auto"/>
        <w:rPr>
          <w:sz w:val="20"/>
          <w:szCs w:val="20"/>
          <w:color w:val="auto"/>
        </w:rPr>
      </w:pPr>
      <w:r>
        <w:rPr>
          <w:rFonts w:ascii="Arial" w:cs="Arial" w:eastAsia="Arial" w:hAnsi="Arial"/>
          <w:sz w:val="14"/>
          <w:szCs w:val="14"/>
          <w:color w:val="auto"/>
        </w:rPr>
        <w:t>Unison Engineering Projects Ltd.</w:t>
      </w:r>
    </w:p>
    <w:p>
      <w:pPr>
        <w:spacing w:after="0" w:line="229" w:lineRule="auto"/>
        <w:rPr>
          <w:sz w:val="20"/>
          <w:szCs w:val="20"/>
          <w:color w:val="auto"/>
        </w:rPr>
      </w:pPr>
      <w:r>
        <w:rPr>
          <w:rFonts w:ascii="Arial" w:cs="Arial" w:eastAsia="Arial" w:hAnsi="Arial"/>
          <w:sz w:val="14"/>
          <w:szCs w:val="14"/>
          <w:color w:val="auto"/>
        </w:rPr>
        <w:t>M.F.S Solutions for Financial Organizations Ltd.</w:t>
      </w:r>
    </w:p>
    <w:p>
      <w:pPr>
        <w:spacing w:after="0" w:line="230" w:lineRule="auto"/>
        <w:rPr>
          <w:sz w:val="20"/>
          <w:szCs w:val="20"/>
          <w:color w:val="auto"/>
        </w:rPr>
      </w:pPr>
      <w:r>
        <w:rPr>
          <w:rFonts w:ascii="Arial" w:cs="Arial" w:eastAsia="Arial" w:hAnsi="Arial"/>
          <w:sz w:val="14"/>
          <w:szCs w:val="14"/>
          <w:color w:val="auto"/>
        </w:rPr>
        <w:t>MBS (Manpower Business Solutions) Ltd.</w:t>
      </w:r>
    </w:p>
    <w:p>
      <w:pPr>
        <w:spacing w:after="0" w:line="230" w:lineRule="auto"/>
        <w:rPr>
          <w:sz w:val="20"/>
          <w:szCs w:val="20"/>
          <w:color w:val="auto"/>
        </w:rPr>
      </w:pPr>
      <w:r>
        <w:rPr>
          <w:rFonts w:ascii="Arial" w:cs="Arial" w:eastAsia="Arial" w:hAnsi="Arial"/>
          <w:sz w:val="14"/>
          <w:szCs w:val="14"/>
          <w:color w:val="auto"/>
        </w:rPr>
        <w:t>Quality Translation Partnership</w:t>
      </w:r>
    </w:p>
    <w:p>
      <w:pPr>
        <w:spacing w:after="0" w:line="229" w:lineRule="auto"/>
        <w:rPr>
          <w:sz w:val="20"/>
          <w:szCs w:val="20"/>
          <w:color w:val="auto"/>
        </w:rPr>
      </w:pPr>
      <w:r>
        <w:rPr>
          <w:rFonts w:ascii="Arial" w:cs="Arial" w:eastAsia="Arial" w:hAnsi="Arial"/>
          <w:sz w:val="14"/>
          <w:szCs w:val="14"/>
          <w:color w:val="auto"/>
        </w:rPr>
        <w:t>Elan IT Resource (formerly Brookstreet Spa)</w:t>
      </w:r>
    </w:p>
    <w:p>
      <w:pPr>
        <w:spacing w:after="0" w:line="230" w:lineRule="auto"/>
        <w:rPr>
          <w:sz w:val="20"/>
          <w:szCs w:val="20"/>
          <w:color w:val="auto"/>
        </w:rPr>
      </w:pPr>
      <w:r>
        <w:rPr>
          <w:rFonts w:ascii="Arial" w:cs="Arial" w:eastAsia="Arial" w:hAnsi="Arial"/>
          <w:sz w:val="14"/>
          <w:szCs w:val="14"/>
          <w:color w:val="auto"/>
        </w:rPr>
        <w:t>Elan Solutions SRL</w:t>
      </w:r>
    </w:p>
    <w:p>
      <w:pPr>
        <w:spacing w:after="0" w:line="230" w:lineRule="auto"/>
        <w:rPr>
          <w:sz w:val="20"/>
          <w:szCs w:val="20"/>
          <w:color w:val="auto"/>
        </w:rPr>
      </w:pPr>
      <w:r>
        <w:rPr>
          <w:rFonts w:ascii="Arial" w:cs="Arial" w:eastAsia="Arial" w:hAnsi="Arial"/>
          <w:sz w:val="14"/>
          <w:szCs w:val="14"/>
          <w:color w:val="auto"/>
        </w:rPr>
        <w:t>Jefferson Wells Srl</w:t>
      </w:r>
    </w:p>
    <w:p>
      <w:pPr>
        <w:spacing w:after="0" w:line="229" w:lineRule="auto"/>
        <w:rPr>
          <w:sz w:val="20"/>
          <w:szCs w:val="20"/>
          <w:color w:val="auto"/>
        </w:rPr>
      </w:pPr>
      <w:r>
        <w:rPr>
          <w:rFonts w:ascii="Arial" w:cs="Arial" w:eastAsia="Arial" w:hAnsi="Arial"/>
          <w:sz w:val="14"/>
          <w:szCs w:val="14"/>
          <w:color w:val="auto"/>
        </w:rPr>
        <w:t>Manpower Business Solutions SRL</w:t>
      </w:r>
    </w:p>
    <w:p>
      <w:pPr>
        <w:spacing w:after="0" w:line="230" w:lineRule="auto"/>
        <w:rPr>
          <w:sz w:val="20"/>
          <w:szCs w:val="20"/>
          <w:color w:val="auto"/>
        </w:rPr>
      </w:pPr>
      <w:r>
        <w:rPr>
          <w:rFonts w:ascii="Arial" w:cs="Arial" w:eastAsia="Arial" w:hAnsi="Arial"/>
          <w:sz w:val="14"/>
          <w:szCs w:val="14"/>
          <w:color w:val="auto"/>
        </w:rPr>
        <w:t>Manpower Formazione Spa</w:t>
      </w:r>
    </w:p>
    <w:p>
      <w:pPr>
        <w:spacing w:after="0" w:line="230" w:lineRule="auto"/>
        <w:rPr>
          <w:sz w:val="20"/>
          <w:szCs w:val="20"/>
          <w:color w:val="auto"/>
        </w:rPr>
      </w:pPr>
      <w:r>
        <w:rPr>
          <w:rFonts w:ascii="Arial" w:cs="Arial" w:eastAsia="Arial" w:hAnsi="Arial"/>
          <w:sz w:val="14"/>
          <w:szCs w:val="14"/>
          <w:color w:val="auto"/>
        </w:rPr>
        <w:t>Manpower Italia S.r.l.</w:t>
      </w:r>
    </w:p>
    <w:p>
      <w:pPr>
        <w:spacing w:after="0" w:line="230" w:lineRule="auto"/>
        <w:rPr>
          <w:sz w:val="20"/>
          <w:szCs w:val="20"/>
          <w:color w:val="auto"/>
        </w:rPr>
      </w:pPr>
      <w:r>
        <w:rPr>
          <w:rFonts w:ascii="Arial" w:cs="Arial" w:eastAsia="Arial" w:hAnsi="Arial"/>
          <w:sz w:val="14"/>
          <w:szCs w:val="14"/>
          <w:color w:val="auto"/>
        </w:rPr>
        <w:t>Manpower S.P.A.</w:t>
      </w:r>
    </w:p>
    <w:p>
      <w:pPr>
        <w:spacing w:after="0" w:line="229" w:lineRule="auto"/>
        <w:rPr>
          <w:sz w:val="20"/>
          <w:szCs w:val="20"/>
          <w:color w:val="auto"/>
        </w:rPr>
      </w:pPr>
      <w:r>
        <w:rPr>
          <w:rFonts w:ascii="Arial" w:cs="Arial" w:eastAsia="Arial" w:hAnsi="Arial"/>
          <w:sz w:val="14"/>
          <w:szCs w:val="14"/>
          <w:color w:val="auto"/>
        </w:rPr>
        <w:t>Payroll Service S.P.A.</w:t>
      </w:r>
    </w:p>
    <w:p>
      <w:pPr>
        <w:spacing w:after="0" w:line="230" w:lineRule="auto"/>
        <w:rPr>
          <w:sz w:val="20"/>
          <w:szCs w:val="20"/>
          <w:color w:val="auto"/>
        </w:rPr>
      </w:pPr>
      <w:r>
        <w:rPr>
          <w:rFonts w:ascii="Arial" w:cs="Arial" w:eastAsia="Arial" w:hAnsi="Arial"/>
          <w:sz w:val="14"/>
          <w:szCs w:val="14"/>
          <w:color w:val="auto"/>
        </w:rPr>
        <w:t>Right Management Consultants (Italy) SRL</w:t>
      </w:r>
    </w:p>
    <w:p>
      <w:pPr>
        <w:spacing w:after="0" w:line="230" w:lineRule="auto"/>
        <w:rPr>
          <w:sz w:val="20"/>
          <w:szCs w:val="20"/>
          <w:color w:val="auto"/>
        </w:rPr>
      </w:pPr>
      <w:r>
        <w:rPr>
          <w:rFonts w:ascii="Arial" w:cs="Arial" w:eastAsia="Arial" w:hAnsi="Arial"/>
          <w:sz w:val="14"/>
          <w:szCs w:val="14"/>
          <w:color w:val="auto"/>
        </w:rPr>
        <w:t>Adgrams, Inc.</w:t>
      </w:r>
    </w:p>
    <w:p>
      <w:pPr>
        <w:spacing w:after="0" w:line="229" w:lineRule="auto"/>
        <w:rPr>
          <w:sz w:val="20"/>
          <w:szCs w:val="20"/>
          <w:color w:val="auto"/>
        </w:rPr>
      </w:pPr>
      <w:r>
        <w:rPr>
          <w:rFonts w:ascii="Arial" w:cs="Arial" w:eastAsia="Arial" w:hAnsi="Arial"/>
          <w:sz w:val="14"/>
          <w:szCs w:val="14"/>
          <w:color w:val="auto"/>
        </w:rPr>
        <w:t>JobSearchpower Co. Ltd.</w:t>
      </w:r>
    </w:p>
    <w:p>
      <w:pPr>
        <w:spacing w:after="0" w:line="230" w:lineRule="auto"/>
        <w:rPr>
          <w:sz w:val="20"/>
          <w:szCs w:val="20"/>
          <w:color w:val="auto"/>
        </w:rPr>
      </w:pPr>
      <w:r>
        <w:rPr>
          <w:rFonts w:ascii="Arial" w:cs="Arial" w:eastAsia="Arial" w:hAnsi="Arial"/>
          <w:sz w:val="14"/>
          <w:szCs w:val="14"/>
          <w:color w:val="auto"/>
        </w:rPr>
        <w:t>JobSupportpower Co. Ltd.</w:t>
      </w:r>
    </w:p>
    <w:p>
      <w:pPr>
        <w:spacing w:after="0" w:line="230" w:lineRule="auto"/>
        <w:rPr>
          <w:sz w:val="20"/>
          <w:szCs w:val="20"/>
          <w:color w:val="auto"/>
        </w:rPr>
      </w:pPr>
      <w:r>
        <w:rPr>
          <w:rFonts w:ascii="Arial" w:cs="Arial" w:eastAsia="Arial" w:hAnsi="Arial"/>
          <w:sz w:val="14"/>
          <w:szCs w:val="14"/>
          <w:color w:val="auto"/>
        </w:rPr>
        <w:t>Manpower Japan Co. Limited</w:t>
      </w:r>
    </w:p>
    <w:p>
      <w:pPr>
        <w:spacing w:after="0" w:line="229" w:lineRule="auto"/>
        <w:rPr>
          <w:sz w:val="20"/>
          <w:szCs w:val="20"/>
          <w:color w:val="auto"/>
        </w:rPr>
      </w:pPr>
      <w:r>
        <w:rPr>
          <w:rFonts w:ascii="Arial" w:cs="Arial" w:eastAsia="Arial" w:hAnsi="Arial"/>
          <w:sz w:val="14"/>
          <w:szCs w:val="14"/>
          <w:color w:val="auto"/>
        </w:rPr>
        <w:t>Mates Holdings Co. Ltd.</w:t>
      </w:r>
    </w:p>
    <w:p>
      <w:pPr>
        <w:spacing w:after="0" w:line="230" w:lineRule="auto"/>
        <w:rPr>
          <w:sz w:val="20"/>
          <w:szCs w:val="20"/>
          <w:color w:val="auto"/>
        </w:rPr>
      </w:pPr>
      <w:r>
        <w:rPr>
          <w:rFonts w:ascii="Arial" w:cs="Arial" w:eastAsia="Arial" w:hAnsi="Arial"/>
          <w:sz w:val="14"/>
          <w:szCs w:val="14"/>
          <w:color w:val="auto"/>
        </w:rPr>
        <w:t>Mitsui Life Insurance</w:t>
      </w:r>
    </w:p>
    <w:p>
      <w:pPr>
        <w:spacing w:after="0" w:line="230" w:lineRule="auto"/>
        <w:rPr>
          <w:sz w:val="20"/>
          <w:szCs w:val="20"/>
          <w:color w:val="auto"/>
        </w:rPr>
      </w:pPr>
      <w:r>
        <w:rPr>
          <w:rFonts w:ascii="Arial" w:cs="Arial" w:eastAsia="Arial" w:hAnsi="Arial"/>
          <w:sz w:val="14"/>
          <w:szCs w:val="14"/>
          <w:color w:val="auto"/>
        </w:rPr>
        <w:t>Mobile Com. Tokyo</w:t>
      </w:r>
    </w:p>
    <w:p>
      <w:pPr>
        <w:spacing w:after="0" w:line="230" w:lineRule="auto"/>
        <w:rPr>
          <w:sz w:val="20"/>
          <w:szCs w:val="20"/>
          <w:color w:val="auto"/>
        </w:rPr>
      </w:pPr>
      <w:r>
        <w:rPr>
          <w:rFonts w:ascii="Arial" w:cs="Arial" w:eastAsia="Arial" w:hAnsi="Arial"/>
          <w:sz w:val="14"/>
          <w:szCs w:val="14"/>
          <w:color w:val="auto"/>
        </w:rPr>
        <w:t>Right Management Japan Inc.</w:t>
      </w:r>
    </w:p>
    <w:p>
      <w:pPr>
        <w:spacing w:after="0" w:line="229" w:lineRule="auto"/>
        <w:rPr>
          <w:sz w:val="20"/>
          <w:szCs w:val="20"/>
          <w:color w:val="auto"/>
        </w:rPr>
      </w:pPr>
      <w:r>
        <w:rPr>
          <w:rFonts w:ascii="Arial" w:cs="Arial" w:eastAsia="Arial" w:hAnsi="Arial"/>
          <w:sz w:val="14"/>
          <w:szCs w:val="14"/>
          <w:color w:val="auto"/>
        </w:rPr>
        <w:t>Jordanian American Manpower Company, W.L.L.</w:t>
      </w:r>
    </w:p>
    <w:p>
      <w:pPr>
        <w:spacing w:after="0" w:line="230" w:lineRule="auto"/>
        <w:rPr>
          <w:sz w:val="20"/>
          <w:szCs w:val="20"/>
          <w:color w:val="auto"/>
        </w:rPr>
      </w:pPr>
      <w:r>
        <w:rPr>
          <w:rFonts w:ascii="Arial" w:cs="Arial" w:eastAsia="Arial" w:hAnsi="Arial"/>
          <w:sz w:val="14"/>
          <w:szCs w:val="14"/>
          <w:color w:val="auto"/>
        </w:rPr>
        <w:t>Topeka Services, Inc.</w:t>
      </w:r>
    </w:p>
    <w:p>
      <w:pPr>
        <w:spacing w:after="0" w:line="230" w:lineRule="auto"/>
        <w:rPr>
          <w:sz w:val="20"/>
          <w:szCs w:val="20"/>
          <w:color w:val="auto"/>
        </w:rPr>
      </w:pPr>
      <w:r>
        <w:rPr>
          <w:rFonts w:ascii="Arial" w:cs="Arial" w:eastAsia="Arial" w:hAnsi="Arial"/>
          <w:sz w:val="14"/>
          <w:szCs w:val="14"/>
          <w:color w:val="auto"/>
        </w:rPr>
        <w:t>Wichita Services, Inc.</w:t>
      </w:r>
    </w:p>
    <w:p>
      <w:pPr>
        <w:spacing w:after="0" w:line="229" w:lineRule="auto"/>
        <w:rPr>
          <w:sz w:val="20"/>
          <w:szCs w:val="20"/>
          <w:color w:val="auto"/>
        </w:rPr>
      </w:pPr>
      <w:r>
        <w:rPr>
          <w:rFonts w:ascii="Arial" w:cs="Arial" w:eastAsia="Arial" w:hAnsi="Arial"/>
          <w:sz w:val="14"/>
          <w:szCs w:val="14"/>
          <w:color w:val="auto"/>
        </w:rPr>
        <w:t>Representative office of Manpower CIS LLC in Kazakhstan</w:t>
      </w:r>
    </w:p>
    <w:p>
      <w:pPr>
        <w:spacing w:after="0" w:line="230" w:lineRule="auto"/>
        <w:rPr>
          <w:sz w:val="20"/>
          <w:szCs w:val="20"/>
          <w:color w:val="auto"/>
        </w:rPr>
      </w:pPr>
      <w:r>
        <w:rPr>
          <w:rFonts w:ascii="Arial" w:cs="Arial" w:eastAsia="Arial" w:hAnsi="Arial"/>
          <w:sz w:val="14"/>
          <w:szCs w:val="14"/>
          <w:color w:val="auto"/>
        </w:rPr>
        <w:t>Manpower Korea, Inc.</w:t>
      </w:r>
    </w:p>
    <w:p>
      <w:pPr>
        <w:spacing w:after="0" w:line="230" w:lineRule="auto"/>
        <w:rPr>
          <w:sz w:val="20"/>
          <w:szCs w:val="20"/>
          <w:color w:val="auto"/>
        </w:rPr>
      </w:pPr>
      <w:r>
        <w:rPr>
          <w:rFonts w:ascii="Arial" w:cs="Arial" w:eastAsia="Arial" w:hAnsi="Arial"/>
          <w:sz w:val="14"/>
          <w:szCs w:val="14"/>
          <w:color w:val="auto"/>
        </w:rPr>
        <w:t>Manpower Services, Inc.</w:t>
      </w:r>
    </w:p>
    <w:p>
      <w:pPr>
        <w:spacing w:after="0" w:line="229" w:lineRule="auto"/>
        <w:rPr>
          <w:sz w:val="20"/>
          <w:szCs w:val="20"/>
          <w:color w:val="auto"/>
        </w:rPr>
      </w:pPr>
      <w:r>
        <w:rPr>
          <w:rFonts w:ascii="Arial" w:cs="Arial" w:eastAsia="Arial" w:hAnsi="Arial"/>
          <w:sz w:val="14"/>
          <w:szCs w:val="14"/>
          <w:color w:val="auto"/>
        </w:rPr>
        <w:t>Right Management Korea Co. Ltd.</w:t>
      </w:r>
    </w:p>
    <w:p>
      <w:pPr>
        <w:spacing w:after="0" w:line="230" w:lineRule="auto"/>
        <w:rPr>
          <w:sz w:val="20"/>
          <w:szCs w:val="20"/>
          <w:color w:val="auto"/>
        </w:rPr>
      </w:pPr>
      <w:r>
        <w:rPr>
          <w:rFonts w:ascii="Arial" w:cs="Arial" w:eastAsia="Arial" w:hAnsi="Arial"/>
          <w:sz w:val="14"/>
          <w:szCs w:val="14"/>
          <w:color w:val="auto"/>
        </w:rPr>
        <w:t>Clarendon Parker Kuwait WLL</w:t>
      </w:r>
    </w:p>
    <w:p>
      <w:pPr>
        <w:spacing w:after="0" w:line="230" w:lineRule="auto"/>
        <w:rPr>
          <w:sz w:val="20"/>
          <w:szCs w:val="20"/>
          <w:color w:val="auto"/>
        </w:rPr>
      </w:pPr>
      <w:r>
        <w:rPr>
          <w:rFonts w:ascii="Arial" w:cs="Arial" w:eastAsia="Arial" w:hAnsi="Arial"/>
          <w:sz w:val="14"/>
          <w:szCs w:val="14"/>
          <w:color w:val="auto"/>
        </w:rPr>
        <w:t>Representative office of UAB “Manpower Lit” in Latvia</w:t>
      </w:r>
    </w:p>
    <w:p>
      <w:pPr>
        <w:spacing w:after="0" w:line="229" w:lineRule="auto"/>
        <w:rPr>
          <w:sz w:val="20"/>
          <w:szCs w:val="20"/>
          <w:color w:val="auto"/>
        </w:rPr>
      </w:pPr>
      <w:r>
        <w:rPr>
          <w:rFonts w:ascii="Arial" w:cs="Arial" w:eastAsia="Arial" w:hAnsi="Arial"/>
          <w:sz w:val="14"/>
          <w:szCs w:val="14"/>
          <w:color w:val="auto"/>
        </w:rPr>
        <w:t>Manpower Lit UAB</w:t>
      </w:r>
    </w:p>
    <w:p>
      <w:pPr>
        <w:spacing w:after="0" w:line="230" w:lineRule="auto"/>
        <w:rPr>
          <w:sz w:val="20"/>
          <w:szCs w:val="20"/>
          <w:color w:val="auto"/>
        </w:rPr>
      </w:pPr>
      <w:r>
        <w:rPr>
          <w:rFonts w:ascii="Arial" w:cs="Arial" w:eastAsia="Arial" w:hAnsi="Arial"/>
          <w:sz w:val="14"/>
          <w:szCs w:val="14"/>
          <w:color w:val="auto"/>
        </w:rPr>
        <w:t>Manpower SARL (Luxembourg)</w:t>
      </w:r>
    </w:p>
    <w:p>
      <w:pPr>
        <w:spacing w:after="0" w:line="230" w:lineRule="auto"/>
        <w:rPr>
          <w:sz w:val="20"/>
          <w:szCs w:val="20"/>
          <w:color w:val="auto"/>
        </w:rPr>
      </w:pPr>
      <w:r>
        <w:rPr>
          <w:rFonts w:ascii="Arial" w:cs="Arial" w:eastAsia="Arial" w:hAnsi="Arial"/>
          <w:sz w:val="14"/>
          <w:szCs w:val="14"/>
          <w:color w:val="auto"/>
        </w:rPr>
        <w:t>Right Management Luxembourg SA</w:t>
      </w:r>
    </w:p>
    <w:p>
      <w:pPr>
        <w:spacing w:after="0" w:line="230" w:lineRule="auto"/>
        <w:rPr>
          <w:sz w:val="20"/>
          <w:szCs w:val="20"/>
          <w:color w:val="auto"/>
        </w:rPr>
      </w:pPr>
      <w:r>
        <w:rPr>
          <w:rFonts w:ascii="Arial" w:cs="Arial" w:eastAsia="Arial" w:hAnsi="Arial"/>
          <w:sz w:val="14"/>
          <w:szCs w:val="14"/>
          <w:color w:val="auto"/>
        </w:rPr>
        <w:t>Elan IT Resource SARL</w:t>
      </w:r>
    </w:p>
    <w:p>
      <w:pPr>
        <w:spacing w:after="0" w:line="229" w:lineRule="auto"/>
        <w:rPr>
          <w:sz w:val="20"/>
          <w:szCs w:val="20"/>
          <w:color w:val="auto"/>
        </w:rPr>
      </w:pPr>
      <w:r>
        <w:rPr>
          <w:rFonts w:ascii="Arial" w:cs="Arial" w:eastAsia="Arial" w:hAnsi="Arial"/>
          <w:sz w:val="14"/>
          <w:szCs w:val="14"/>
          <w:color w:val="auto"/>
        </w:rPr>
        <w:t>Manpower Services (Macau) Limited</w:t>
      </w:r>
    </w:p>
    <w:p>
      <w:pPr>
        <w:spacing w:after="0" w:line="230" w:lineRule="auto"/>
        <w:rPr>
          <w:sz w:val="20"/>
          <w:szCs w:val="20"/>
          <w:color w:val="auto"/>
        </w:rPr>
      </w:pPr>
      <w:r>
        <w:rPr>
          <w:rFonts w:ascii="Arial" w:cs="Arial" w:eastAsia="Arial" w:hAnsi="Arial"/>
          <w:sz w:val="14"/>
          <w:szCs w:val="14"/>
          <w:color w:val="auto"/>
        </w:rPr>
        <w:t>Agensi Pekerjaan Manpower Recruitment Sdn Bhd</w:t>
      </w:r>
    </w:p>
    <w:p>
      <w:pPr>
        <w:spacing w:after="0" w:line="230" w:lineRule="auto"/>
        <w:rPr>
          <w:sz w:val="20"/>
          <w:szCs w:val="20"/>
          <w:color w:val="auto"/>
        </w:rPr>
      </w:pPr>
      <w:r>
        <w:rPr>
          <w:rFonts w:ascii="Arial" w:cs="Arial" w:eastAsia="Arial" w:hAnsi="Arial"/>
          <w:sz w:val="14"/>
          <w:szCs w:val="14"/>
          <w:color w:val="auto"/>
        </w:rPr>
        <w:t>Manpower Business Solutions (M) Sdn Bhd</w:t>
      </w:r>
    </w:p>
    <w:p>
      <w:pPr>
        <w:spacing w:after="0" w:line="229" w:lineRule="auto"/>
        <w:rPr>
          <w:sz w:val="20"/>
          <w:szCs w:val="20"/>
          <w:color w:val="auto"/>
        </w:rPr>
      </w:pPr>
      <w:r>
        <w:rPr>
          <w:rFonts w:ascii="Arial" w:cs="Arial" w:eastAsia="Arial" w:hAnsi="Arial"/>
          <w:sz w:val="14"/>
          <w:szCs w:val="14"/>
          <w:color w:val="auto"/>
        </w:rPr>
        <w:t>Manpower Staffing Services (Malaysia) Sdn Bhd</w:t>
      </w:r>
    </w:p>
    <w:p>
      <w:pPr>
        <w:spacing w:after="0" w:line="230" w:lineRule="auto"/>
        <w:rPr>
          <w:sz w:val="20"/>
          <w:szCs w:val="20"/>
          <w:color w:val="auto"/>
        </w:rPr>
      </w:pPr>
      <w:r>
        <w:rPr>
          <w:rFonts w:ascii="Arial" w:cs="Arial" w:eastAsia="Arial" w:hAnsi="Arial"/>
          <w:sz w:val="14"/>
          <w:szCs w:val="14"/>
          <w:color w:val="auto"/>
        </w:rPr>
        <w:t>Right Management Consultants International Pty. Ltd.</w:t>
      </w:r>
    </w:p>
    <w:p>
      <w:pPr>
        <w:spacing w:after="0" w:line="230" w:lineRule="auto"/>
        <w:rPr>
          <w:sz w:val="20"/>
          <w:szCs w:val="20"/>
          <w:color w:val="auto"/>
        </w:rPr>
      </w:pPr>
      <w:r>
        <w:rPr>
          <w:rFonts w:ascii="Arial" w:cs="Arial" w:eastAsia="Arial" w:hAnsi="Arial"/>
          <w:sz w:val="14"/>
          <w:szCs w:val="14"/>
          <w:color w:val="auto"/>
        </w:rPr>
        <w:t>Right Management Malaysia Sdn Bhd</w:t>
      </w:r>
    </w:p>
    <w:p>
      <w:pPr>
        <w:spacing w:after="0" w:line="229" w:lineRule="auto"/>
        <w:rPr>
          <w:sz w:val="20"/>
          <w:szCs w:val="20"/>
          <w:color w:val="auto"/>
        </w:rPr>
      </w:pPr>
      <w:r>
        <w:rPr>
          <w:rFonts w:ascii="Arial" w:cs="Arial" w:eastAsia="Arial" w:hAnsi="Arial"/>
          <w:sz w:val="14"/>
          <w:szCs w:val="14"/>
          <w:color w:val="auto"/>
        </w:rPr>
        <w:t>Techpower Consulting Sdn Bhd</w:t>
      </w:r>
    </w:p>
    <w:p>
      <w:pPr>
        <w:spacing w:after="0" w:line="230" w:lineRule="auto"/>
        <w:rPr>
          <w:sz w:val="20"/>
          <w:szCs w:val="20"/>
          <w:color w:val="auto"/>
        </w:rPr>
      </w:pPr>
      <w:r>
        <w:rPr>
          <w:rFonts w:ascii="Arial" w:cs="Arial" w:eastAsia="Arial" w:hAnsi="Arial"/>
          <w:sz w:val="14"/>
          <w:szCs w:val="14"/>
          <w:color w:val="auto"/>
        </w:rPr>
        <w:t>Manpower Antilles</w:t>
      </w:r>
    </w:p>
    <w:p>
      <w:pPr>
        <w:spacing w:after="0" w:line="230" w:lineRule="auto"/>
        <w:rPr>
          <w:sz w:val="20"/>
          <w:szCs w:val="20"/>
          <w:color w:val="auto"/>
        </w:rPr>
      </w:pPr>
      <w:r>
        <w:rPr>
          <w:rFonts w:ascii="Arial" w:cs="Arial" w:eastAsia="Arial" w:hAnsi="Arial"/>
          <w:sz w:val="14"/>
          <w:szCs w:val="14"/>
          <w:color w:val="auto"/>
        </w:rPr>
        <w:t>Agropower, S.A. de C.V.</w:t>
      </w:r>
    </w:p>
    <w:p>
      <w:pPr>
        <w:spacing w:after="0" w:line="230" w:lineRule="auto"/>
        <w:rPr>
          <w:sz w:val="20"/>
          <w:szCs w:val="20"/>
          <w:color w:val="auto"/>
        </w:rPr>
      </w:pPr>
      <w:r>
        <w:rPr>
          <w:rFonts w:ascii="Arial" w:cs="Arial" w:eastAsia="Arial" w:hAnsi="Arial"/>
          <w:sz w:val="14"/>
          <w:szCs w:val="14"/>
          <w:color w:val="auto"/>
        </w:rPr>
        <w:t>Factoria Y Manufactura S.A. de C.V.</w:t>
      </w:r>
    </w:p>
    <w:p>
      <w:pPr>
        <w:spacing w:after="0" w:line="229" w:lineRule="auto"/>
        <w:rPr>
          <w:sz w:val="20"/>
          <w:szCs w:val="20"/>
          <w:color w:val="auto"/>
        </w:rPr>
      </w:pPr>
      <w:r>
        <w:rPr>
          <w:rFonts w:ascii="Arial" w:cs="Arial" w:eastAsia="Arial" w:hAnsi="Arial"/>
          <w:sz w:val="14"/>
          <w:szCs w:val="14"/>
          <w:color w:val="auto"/>
        </w:rPr>
        <w:t>Intelecto Tecnologico, S.A. De C.V.</w:t>
      </w:r>
    </w:p>
    <w:p>
      <w:pPr>
        <w:spacing w:after="0" w:line="230" w:lineRule="auto"/>
        <w:rPr>
          <w:sz w:val="20"/>
          <w:szCs w:val="20"/>
          <w:color w:val="auto"/>
        </w:rPr>
      </w:pPr>
      <w:r>
        <w:rPr>
          <w:rFonts w:ascii="Arial" w:cs="Arial" w:eastAsia="Arial" w:hAnsi="Arial"/>
          <w:sz w:val="14"/>
          <w:szCs w:val="14"/>
          <w:color w:val="auto"/>
        </w:rPr>
        <w:t>Manpower Corporativo, S.A. de C.V.</w:t>
      </w:r>
    </w:p>
    <w:p>
      <w:pPr>
        <w:spacing w:after="0" w:line="230" w:lineRule="auto"/>
        <w:rPr>
          <w:sz w:val="20"/>
          <w:szCs w:val="20"/>
          <w:color w:val="auto"/>
        </w:rPr>
      </w:pPr>
      <w:r>
        <w:rPr>
          <w:rFonts w:ascii="Arial" w:cs="Arial" w:eastAsia="Arial" w:hAnsi="Arial"/>
          <w:sz w:val="14"/>
          <w:szCs w:val="14"/>
          <w:color w:val="auto"/>
        </w:rPr>
        <w:t>Manpower Industrial, S.A. de C.V.</w:t>
      </w:r>
    </w:p>
    <w:p>
      <w:pPr>
        <w:spacing w:after="0" w:line="229" w:lineRule="auto"/>
        <w:rPr>
          <w:sz w:val="20"/>
          <w:szCs w:val="20"/>
          <w:color w:val="auto"/>
        </w:rPr>
      </w:pPr>
      <w:r>
        <w:rPr>
          <w:rFonts w:ascii="Arial" w:cs="Arial" w:eastAsia="Arial" w:hAnsi="Arial"/>
          <w:sz w:val="14"/>
          <w:szCs w:val="14"/>
          <w:color w:val="auto"/>
        </w:rPr>
        <w:t>Manpower Mensajeria, S.A. de C.V.</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Manpower Professional, S.A.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France</w:t>
      </w:r>
    </w:p>
    <w:p>
      <w:pPr>
        <w:spacing w:after="0" w:line="237" w:lineRule="auto"/>
        <w:rPr>
          <w:sz w:val="20"/>
          <w:szCs w:val="20"/>
          <w:color w:val="auto"/>
        </w:rPr>
      </w:pPr>
      <w:r>
        <w:rPr>
          <w:rFonts w:ascii="Arial" w:cs="Arial" w:eastAsia="Arial" w:hAnsi="Arial"/>
          <w:sz w:val="14"/>
          <w:szCs w:val="14"/>
          <w:color w:val="auto"/>
        </w:rPr>
        <w:t>France</w:t>
      </w:r>
    </w:p>
    <w:p>
      <w:pPr>
        <w:spacing w:after="0" w:line="229"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29"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29"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29"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29"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29"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30" w:lineRule="auto"/>
        <w:rPr>
          <w:sz w:val="20"/>
          <w:szCs w:val="20"/>
          <w:color w:val="auto"/>
        </w:rPr>
      </w:pPr>
      <w:r>
        <w:rPr>
          <w:rFonts w:ascii="Arial" w:cs="Arial" w:eastAsia="Arial" w:hAnsi="Arial"/>
          <w:sz w:val="14"/>
          <w:szCs w:val="14"/>
          <w:color w:val="auto"/>
        </w:rPr>
        <w:t>Germany</w:t>
      </w:r>
    </w:p>
    <w:p>
      <w:pPr>
        <w:spacing w:after="0" w:line="229" w:lineRule="auto"/>
        <w:rPr>
          <w:sz w:val="20"/>
          <w:szCs w:val="20"/>
          <w:color w:val="auto"/>
        </w:rPr>
      </w:pPr>
      <w:r>
        <w:rPr>
          <w:rFonts w:ascii="Arial" w:cs="Arial" w:eastAsia="Arial" w:hAnsi="Arial"/>
          <w:sz w:val="14"/>
          <w:szCs w:val="14"/>
          <w:color w:val="auto"/>
        </w:rPr>
        <w:t>Greece</w:t>
      </w:r>
    </w:p>
    <w:p>
      <w:pPr>
        <w:spacing w:after="0" w:line="230" w:lineRule="auto"/>
        <w:rPr>
          <w:sz w:val="20"/>
          <w:szCs w:val="20"/>
          <w:color w:val="auto"/>
        </w:rPr>
      </w:pPr>
      <w:r>
        <w:rPr>
          <w:rFonts w:ascii="Arial" w:cs="Arial" w:eastAsia="Arial" w:hAnsi="Arial"/>
          <w:sz w:val="14"/>
          <w:szCs w:val="14"/>
          <w:color w:val="auto"/>
        </w:rPr>
        <w:t>Greece</w:t>
      </w:r>
    </w:p>
    <w:p>
      <w:pPr>
        <w:spacing w:after="0" w:line="230" w:lineRule="auto"/>
        <w:rPr>
          <w:sz w:val="20"/>
          <w:szCs w:val="20"/>
          <w:color w:val="auto"/>
        </w:rPr>
      </w:pPr>
      <w:r>
        <w:rPr>
          <w:rFonts w:ascii="Arial" w:cs="Arial" w:eastAsia="Arial" w:hAnsi="Arial"/>
          <w:sz w:val="14"/>
          <w:szCs w:val="14"/>
          <w:color w:val="auto"/>
        </w:rPr>
        <w:t>Guatemala</w:t>
      </w:r>
    </w:p>
    <w:p>
      <w:pPr>
        <w:spacing w:after="0" w:line="229" w:lineRule="auto"/>
        <w:rPr>
          <w:sz w:val="20"/>
          <w:szCs w:val="20"/>
          <w:color w:val="auto"/>
        </w:rPr>
      </w:pPr>
      <w:r>
        <w:rPr>
          <w:rFonts w:ascii="Arial" w:cs="Arial" w:eastAsia="Arial" w:hAnsi="Arial"/>
          <w:sz w:val="14"/>
          <w:szCs w:val="14"/>
          <w:color w:val="auto"/>
        </w:rPr>
        <w:t>Honduras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236" w:lineRule="auto"/>
        <w:rPr>
          <w:sz w:val="20"/>
          <w:szCs w:val="20"/>
          <w:color w:val="auto"/>
        </w:rPr>
      </w:pPr>
      <w:r>
        <w:rPr>
          <w:rFonts w:ascii="Arial" w:cs="Arial" w:eastAsia="Arial" w:hAnsi="Arial"/>
          <w:sz w:val="14"/>
          <w:szCs w:val="14"/>
          <w:color w:val="auto"/>
        </w:rPr>
        <w:t>Hungary</w:t>
      </w:r>
    </w:p>
    <w:p>
      <w:pPr>
        <w:spacing w:after="0" w:line="230" w:lineRule="auto"/>
        <w:rPr>
          <w:sz w:val="20"/>
          <w:szCs w:val="20"/>
          <w:color w:val="auto"/>
        </w:rPr>
      </w:pPr>
      <w:r>
        <w:rPr>
          <w:rFonts w:ascii="Arial" w:cs="Arial" w:eastAsia="Arial" w:hAnsi="Arial"/>
          <w:sz w:val="14"/>
          <w:szCs w:val="14"/>
          <w:color w:val="auto"/>
        </w:rPr>
        <w:t>Hungary</w:t>
      </w:r>
    </w:p>
    <w:p>
      <w:pPr>
        <w:spacing w:after="0" w:line="229" w:lineRule="auto"/>
        <w:rPr>
          <w:sz w:val="20"/>
          <w:szCs w:val="20"/>
          <w:color w:val="auto"/>
        </w:rPr>
      </w:pPr>
      <w:r>
        <w:rPr>
          <w:rFonts w:ascii="Arial" w:cs="Arial" w:eastAsia="Arial" w:hAnsi="Arial"/>
          <w:sz w:val="14"/>
          <w:szCs w:val="14"/>
          <w:color w:val="auto"/>
        </w:rPr>
        <w:t>Illinois</w:t>
      </w:r>
    </w:p>
    <w:p>
      <w:pPr>
        <w:spacing w:after="0" w:line="230" w:lineRule="auto"/>
        <w:rPr>
          <w:sz w:val="20"/>
          <w:szCs w:val="20"/>
          <w:color w:val="auto"/>
        </w:rPr>
      </w:pPr>
      <w:r>
        <w:rPr>
          <w:rFonts w:ascii="Arial" w:cs="Arial" w:eastAsia="Arial" w:hAnsi="Arial"/>
          <w:sz w:val="14"/>
          <w:szCs w:val="14"/>
          <w:color w:val="auto"/>
        </w:rPr>
        <w:t>Illinois</w:t>
      </w:r>
    </w:p>
    <w:p>
      <w:pPr>
        <w:spacing w:after="0" w:line="230" w:lineRule="auto"/>
        <w:rPr>
          <w:sz w:val="20"/>
          <w:szCs w:val="20"/>
          <w:color w:val="auto"/>
        </w:rPr>
      </w:pPr>
      <w:r>
        <w:rPr>
          <w:rFonts w:ascii="Arial" w:cs="Arial" w:eastAsia="Arial" w:hAnsi="Arial"/>
          <w:sz w:val="14"/>
          <w:szCs w:val="14"/>
          <w:color w:val="auto"/>
        </w:rPr>
        <w:t>Illinois</w:t>
      </w:r>
    </w:p>
    <w:p>
      <w:pPr>
        <w:spacing w:after="0" w:line="230" w:lineRule="auto"/>
        <w:rPr>
          <w:sz w:val="20"/>
          <w:szCs w:val="20"/>
          <w:color w:val="auto"/>
        </w:rPr>
      </w:pPr>
      <w:r>
        <w:rPr>
          <w:rFonts w:ascii="Arial" w:cs="Arial" w:eastAsia="Arial" w:hAnsi="Arial"/>
          <w:sz w:val="14"/>
          <w:szCs w:val="14"/>
          <w:color w:val="auto"/>
        </w:rPr>
        <w:t>India</w:t>
      </w:r>
    </w:p>
    <w:p>
      <w:pPr>
        <w:spacing w:after="0" w:line="229" w:lineRule="auto"/>
        <w:rPr>
          <w:sz w:val="20"/>
          <w:szCs w:val="20"/>
          <w:color w:val="auto"/>
        </w:rPr>
      </w:pPr>
      <w:r>
        <w:rPr>
          <w:rFonts w:ascii="Arial" w:cs="Arial" w:eastAsia="Arial" w:hAnsi="Arial"/>
          <w:sz w:val="14"/>
          <w:szCs w:val="14"/>
          <w:color w:val="auto"/>
        </w:rPr>
        <w:t>India</w:t>
      </w:r>
    </w:p>
    <w:p>
      <w:pPr>
        <w:spacing w:after="0" w:line="230" w:lineRule="auto"/>
        <w:rPr>
          <w:sz w:val="20"/>
          <w:szCs w:val="20"/>
          <w:color w:val="auto"/>
        </w:rPr>
      </w:pPr>
      <w:r>
        <w:rPr>
          <w:rFonts w:ascii="Arial" w:cs="Arial" w:eastAsia="Arial" w:hAnsi="Arial"/>
          <w:sz w:val="14"/>
          <w:szCs w:val="14"/>
          <w:color w:val="auto"/>
        </w:rPr>
        <w:t>India</w:t>
      </w:r>
    </w:p>
    <w:p>
      <w:pPr>
        <w:spacing w:after="0" w:line="230" w:lineRule="auto"/>
        <w:rPr>
          <w:sz w:val="20"/>
          <w:szCs w:val="20"/>
          <w:color w:val="auto"/>
        </w:rPr>
      </w:pPr>
      <w:r>
        <w:rPr>
          <w:rFonts w:ascii="Arial" w:cs="Arial" w:eastAsia="Arial" w:hAnsi="Arial"/>
          <w:sz w:val="14"/>
          <w:szCs w:val="14"/>
          <w:color w:val="auto"/>
        </w:rPr>
        <w:t>Ireland</w:t>
      </w:r>
    </w:p>
    <w:p>
      <w:pPr>
        <w:spacing w:after="0" w:line="229" w:lineRule="auto"/>
        <w:rPr>
          <w:sz w:val="20"/>
          <w:szCs w:val="20"/>
          <w:color w:val="auto"/>
        </w:rPr>
      </w:pPr>
      <w:r>
        <w:rPr>
          <w:rFonts w:ascii="Arial" w:cs="Arial" w:eastAsia="Arial" w:hAnsi="Arial"/>
          <w:sz w:val="14"/>
          <w:szCs w:val="14"/>
          <w:color w:val="auto"/>
        </w:rPr>
        <w:t>Ireland</w:t>
      </w:r>
    </w:p>
    <w:p>
      <w:pPr>
        <w:spacing w:after="0" w:line="230" w:lineRule="auto"/>
        <w:rPr>
          <w:sz w:val="20"/>
          <w:szCs w:val="20"/>
          <w:color w:val="auto"/>
        </w:rPr>
      </w:pPr>
      <w:r>
        <w:rPr>
          <w:rFonts w:ascii="Arial" w:cs="Arial" w:eastAsia="Arial" w:hAnsi="Arial"/>
          <w:sz w:val="14"/>
          <w:szCs w:val="14"/>
          <w:color w:val="auto"/>
        </w:rPr>
        <w:t>Ireland</w:t>
      </w:r>
    </w:p>
    <w:p>
      <w:pPr>
        <w:spacing w:after="0" w:line="230" w:lineRule="auto"/>
        <w:rPr>
          <w:sz w:val="20"/>
          <w:szCs w:val="20"/>
          <w:color w:val="auto"/>
        </w:rPr>
      </w:pPr>
      <w:r>
        <w:rPr>
          <w:rFonts w:ascii="Arial" w:cs="Arial" w:eastAsia="Arial" w:hAnsi="Arial"/>
          <w:sz w:val="14"/>
          <w:szCs w:val="14"/>
          <w:color w:val="auto"/>
        </w:rPr>
        <w:t>Ireland</w:t>
      </w:r>
    </w:p>
    <w:p>
      <w:pPr>
        <w:spacing w:after="0" w:line="229" w:lineRule="auto"/>
        <w:rPr>
          <w:sz w:val="20"/>
          <w:szCs w:val="20"/>
          <w:color w:val="auto"/>
        </w:rPr>
      </w:pPr>
      <w:r>
        <w:rPr>
          <w:rFonts w:ascii="Arial" w:cs="Arial" w:eastAsia="Arial" w:hAnsi="Arial"/>
          <w:sz w:val="14"/>
          <w:szCs w:val="14"/>
          <w:color w:val="auto"/>
        </w:rPr>
        <w:t>Ireland</w:t>
      </w:r>
    </w:p>
    <w:p>
      <w:pPr>
        <w:spacing w:after="0" w:line="230"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29"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29"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29"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29"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Israel</w:t>
      </w:r>
    </w:p>
    <w:p>
      <w:pPr>
        <w:spacing w:after="0" w:line="229" w:lineRule="auto"/>
        <w:rPr>
          <w:sz w:val="20"/>
          <w:szCs w:val="20"/>
          <w:color w:val="auto"/>
        </w:rPr>
      </w:pPr>
      <w:r>
        <w:rPr>
          <w:rFonts w:ascii="Arial" w:cs="Arial" w:eastAsia="Arial" w:hAnsi="Arial"/>
          <w:sz w:val="14"/>
          <w:szCs w:val="14"/>
          <w:color w:val="auto"/>
        </w:rPr>
        <w:t>Israel</w:t>
      </w:r>
    </w:p>
    <w:p>
      <w:pPr>
        <w:spacing w:after="0" w:line="230" w:lineRule="auto"/>
        <w:rPr>
          <w:sz w:val="20"/>
          <w:szCs w:val="20"/>
          <w:color w:val="auto"/>
        </w:rPr>
      </w:pPr>
      <w:r>
        <w:rPr>
          <w:rFonts w:ascii="Arial" w:cs="Arial" w:eastAsia="Arial" w:hAnsi="Arial"/>
          <w:sz w:val="14"/>
          <w:szCs w:val="14"/>
          <w:color w:val="auto"/>
        </w:rPr>
        <w:t>Italy</w:t>
      </w:r>
    </w:p>
    <w:p>
      <w:pPr>
        <w:spacing w:after="0" w:line="230" w:lineRule="auto"/>
        <w:rPr>
          <w:sz w:val="20"/>
          <w:szCs w:val="20"/>
          <w:color w:val="auto"/>
        </w:rPr>
      </w:pPr>
      <w:r>
        <w:rPr>
          <w:rFonts w:ascii="Arial" w:cs="Arial" w:eastAsia="Arial" w:hAnsi="Arial"/>
          <w:sz w:val="14"/>
          <w:szCs w:val="14"/>
          <w:color w:val="auto"/>
        </w:rPr>
        <w:t>Italy</w:t>
      </w:r>
    </w:p>
    <w:p>
      <w:pPr>
        <w:spacing w:after="0" w:line="229" w:lineRule="auto"/>
        <w:rPr>
          <w:sz w:val="20"/>
          <w:szCs w:val="20"/>
          <w:color w:val="auto"/>
        </w:rPr>
      </w:pPr>
      <w:r>
        <w:rPr>
          <w:rFonts w:ascii="Arial" w:cs="Arial" w:eastAsia="Arial" w:hAnsi="Arial"/>
          <w:sz w:val="14"/>
          <w:szCs w:val="14"/>
          <w:color w:val="auto"/>
        </w:rPr>
        <w:t>Italy</w:t>
      </w:r>
    </w:p>
    <w:p>
      <w:pPr>
        <w:spacing w:after="0" w:line="230" w:lineRule="auto"/>
        <w:rPr>
          <w:sz w:val="20"/>
          <w:szCs w:val="20"/>
          <w:color w:val="auto"/>
        </w:rPr>
      </w:pPr>
      <w:r>
        <w:rPr>
          <w:rFonts w:ascii="Arial" w:cs="Arial" w:eastAsia="Arial" w:hAnsi="Arial"/>
          <w:sz w:val="14"/>
          <w:szCs w:val="14"/>
          <w:color w:val="auto"/>
        </w:rPr>
        <w:t>Italy</w:t>
      </w:r>
    </w:p>
    <w:p>
      <w:pPr>
        <w:spacing w:after="0" w:line="230" w:lineRule="auto"/>
        <w:rPr>
          <w:sz w:val="20"/>
          <w:szCs w:val="20"/>
          <w:color w:val="auto"/>
        </w:rPr>
      </w:pPr>
      <w:r>
        <w:rPr>
          <w:rFonts w:ascii="Arial" w:cs="Arial" w:eastAsia="Arial" w:hAnsi="Arial"/>
          <w:sz w:val="14"/>
          <w:szCs w:val="14"/>
          <w:color w:val="auto"/>
        </w:rPr>
        <w:t>Italy</w:t>
      </w:r>
    </w:p>
    <w:p>
      <w:pPr>
        <w:spacing w:after="0" w:line="229" w:lineRule="auto"/>
        <w:rPr>
          <w:sz w:val="20"/>
          <w:szCs w:val="20"/>
          <w:color w:val="auto"/>
        </w:rPr>
      </w:pPr>
      <w:r>
        <w:rPr>
          <w:rFonts w:ascii="Arial" w:cs="Arial" w:eastAsia="Arial" w:hAnsi="Arial"/>
          <w:sz w:val="14"/>
          <w:szCs w:val="14"/>
          <w:color w:val="auto"/>
        </w:rPr>
        <w:t>Italy</w:t>
      </w:r>
    </w:p>
    <w:p>
      <w:pPr>
        <w:spacing w:after="0" w:line="230" w:lineRule="auto"/>
        <w:rPr>
          <w:sz w:val="20"/>
          <w:szCs w:val="20"/>
          <w:color w:val="auto"/>
        </w:rPr>
      </w:pPr>
      <w:r>
        <w:rPr>
          <w:rFonts w:ascii="Arial" w:cs="Arial" w:eastAsia="Arial" w:hAnsi="Arial"/>
          <w:sz w:val="14"/>
          <w:szCs w:val="14"/>
          <w:color w:val="auto"/>
        </w:rPr>
        <w:t>Italy</w:t>
      </w:r>
    </w:p>
    <w:p>
      <w:pPr>
        <w:spacing w:after="0" w:line="230" w:lineRule="auto"/>
        <w:rPr>
          <w:sz w:val="20"/>
          <w:szCs w:val="20"/>
          <w:color w:val="auto"/>
        </w:rPr>
      </w:pPr>
      <w:r>
        <w:rPr>
          <w:rFonts w:ascii="Arial" w:cs="Arial" w:eastAsia="Arial" w:hAnsi="Arial"/>
          <w:sz w:val="14"/>
          <w:szCs w:val="14"/>
          <w:color w:val="auto"/>
        </w:rPr>
        <w:t>Italy</w:t>
      </w:r>
    </w:p>
    <w:p>
      <w:pPr>
        <w:spacing w:after="0" w:line="229" w:lineRule="auto"/>
        <w:rPr>
          <w:sz w:val="20"/>
          <w:szCs w:val="20"/>
          <w:color w:val="auto"/>
        </w:rPr>
      </w:pPr>
      <w:r>
        <w:rPr>
          <w:rFonts w:ascii="Arial" w:cs="Arial" w:eastAsia="Arial" w:hAnsi="Arial"/>
          <w:sz w:val="14"/>
          <w:szCs w:val="14"/>
          <w:color w:val="auto"/>
        </w:rPr>
        <w:t>Italy</w:t>
      </w:r>
    </w:p>
    <w:p>
      <w:pPr>
        <w:spacing w:after="0" w:line="230" w:lineRule="auto"/>
        <w:rPr>
          <w:sz w:val="20"/>
          <w:szCs w:val="20"/>
          <w:color w:val="auto"/>
        </w:rPr>
      </w:pPr>
      <w:r>
        <w:rPr>
          <w:rFonts w:ascii="Arial" w:cs="Arial" w:eastAsia="Arial" w:hAnsi="Arial"/>
          <w:sz w:val="14"/>
          <w:szCs w:val="14"/>
          <w:color w:val="auto"/>
        </w:rPr>
        <w:t>Japan</w:t>
      </w:r>
    </w:p>
    <w:p>
      <w:pPr>
        <w:spacing w:after="0" w:line="230" w:lineRule="auto"/>
        <w:rPr>
          <w:sz w:val="20"/>
          <w:szCs w:val="20"/>
          <w:color w:val="auto"/>
        </w:rPr>
      </w:pPr>
      <w:r>
        <w:rPr>
          <w:rFonts w:ascii="Arial" w:cs="Arial" w:eastAsia="Arial" w:hAnsi="Arial"/>
          <w:sz w:val="14"/>
          <w:szCs w:val="14"/>
          <w:color w:val="auto"/>
        </w:rPr>
        <w:t>Japan</w:t>
      </w:r>
    </w:p>
    <w:p>
      <w:pPr>
        <w:spacing w:after="0" w:line="230" w:lineRule="auto"/>
        <w:rPr>
          <w:sz w:val="20"/>
          <w:szCs w:val="20"/>
          <w:color w:val="auto"/>
        </w:rPr>
      </w:pPr>
      <w:r>
        <w:rPr>
          <w:rFonts w:ascii="Arial" w:cs="Arial" w:eastAsia="Arial" w:hAnsi="Arial"/>
          <w:sz w:val="14"/>
          <w:szCs w:val="14"/>
          <w:color w:val="auto"/>
        </w:rPr>
        <w:t>Japan</w:t>
      </w:r>
    </w:p>
    <w:p>
      <w:pPr>
        <w:spacing w:after="0" w:line="229" w:lineRule="auto"/>
        <w:rPr>
          <w:sz w:val="20"/>
          <w:szCs w:val="20"/>
          <w:color w:val="auto"/>
        </w:rPr>
      </w:pPr>
      <w:r>
        <w:rPr>
          <w:rFonts w:ascii="Arial" w:cs="Arial" w:eastAsia="Arial" w:hAnsi="Arial"/>
          <w:sz w:val="14"/>
          <w:szCs w:val="14"/>
          <w:color w:val="auto"/>
        </w:rPr>
        <w:t>Japan</w:t>
      </w:r>
    </w:p>
    <w:p>
      <w:pPr>
        <w:spacing w:after="0" w:line="230" w:lineRule="auto"/>
        <w:rPr>
          <w:sz w:val="20"/>
          <w:szCs w:val="20"/>
          <w:color w:val="auto"/>
        </w:rPr>
      </w:pPr>
      <w:r>
        <w:rPr>
          <w:rFonts w:ascii="Arial" w:cs="Arial" w:eastAsia="Arial" w:hAnsi="Arial"/>
          <w:sz w:val="14"/>
          <w:szCs w:val="14"/>
          <w:color w:val="auto"/>
        </w:rPr>
        <w:t>Japan</w:t>
      </w:r>
    </w:p>
    <w:p>
      <w:pPr>
        <w:spacing w:after="0" w:line="230" w:lineRule="auto"/>
        <w:rPr>
          <w:sz w:val="20"/>
          <w:szCs w:val="20"/>
          <w:color w:val="auto"/>
        </w:rPr>
      </w:pPr>
      <w:r>
        <w:rPr>
          <w:rFonts w:ascii="Arial" w:cs="Arial" w:eastAsia="Arial" w:hAnsi="Arial"/>
          <w:sz w:val="14"/>
          <w:szCs w:val="14"/>
          <w:color w:val="auto"/>
        </w:rPr>
        <w:t>Japan</w:t>
      </w:r>
    </w:p>
    <w:p>
      <w:pPr>
        <w:spacing w:after="0" w:line="229" w:lineRule="auto"/>
        <w:rPr>
          <w:sz w:val="20"/>
          <w:szCs w:val="20"/>
          <w:color w:val="auto"/>
        </w:rPr>
      </w:pPr>
      <w:r>
        <w:rPr>
          <w:rFonts w:ascii="Arial" w:cs="Arial" w:eastAsia="Arial" w:hAnsi="Arial"/>
          <w:sz w:val="14"/>
          <w:szCs w:val="14"/>
          <w:color w:val="auto"/>
        </w:rPr>
        <w:t>Japan</w:t>
      </w:r>
    </w:p>
    <w:p>
      <w:pPr>
        <w:spacing w:after="0" w:line="230" w:lineRule="auto"/>
        <w:rPr>
          <w:sz w:val="20"/>
          <w:szCs w:val="20"/>
          <w:color w:val="auto"/>
        </w:rPr>
      </w:pPr>
      <w:r>
        <w:rPr>
          <w:rFonts w:ascii="Arial" w:cs="Arial" w:eastAsia="Arial" w:hAnsi="Arial"/>
          <w:sz w:val="14"/>
          <w:szCs w:val="14"/>
          <w:color w:val="auto"/>
        </w:rPr>
        <w:t>Japan</w:t>
      </w:r>
    </w:p>
    <w:p>
      <w:pPr>
        <w:spacing w:after="0" w:line="230" w:lineRule="auto"/>
        <w:rPr>
          <w:sz w:val="20"/>
          <w:szCs w:val="20"/>
          <w:color w:val="auto"/>
        </w:rPr>
      </w:pPr>
      <w:r>
        <w:rPr>
          <w:rFonts w:ascii="Arial" w:cs="Arial" w:eastAsia="Arial" w:hAnsi="Arial"/>
          <w:sz w:val="14"/>
          <w:szCs w:val="14"/>
          <w:color w:val="auto"/>
        </w:rPr>
        <w:t>Jordan</w:t>
      </w:r>
    </w:p>
    <w:p>
      <w:pPr>
        <w:spacing w:after="0" w:line="229" w:lineRule="auto"/>
        <w:rPr>
          <w:sz w:val="20"/>
          <w:szCs w:val="20"/>
          <w:color w:val="auto"/>
        </w:rPr>
      </w:pPr>
      <w:r>
        <w:rPr>
          <w:rFonts w:ascii="Arial" w:cs="Arial" w:eastAsia="Arial" w:hAnsi="Arial"/>
          <w:sz w:val="14"/>
          <w:szCs w:val="14"/>
          <w:color w:val="auto"/>
        </w:rPr>
        <w:t>Kansas</w:t>
      </w:r>
    </w:p>
    <w:p>
      <w:pPr>
        <w:spacing w:after="0" w:line="230" w:lineRule="auto"/>
        <w:rPr>
          <w:sz w:val="20"/>
          <w:szCs w:val="20"/>
          <w:color w:val="auto"/>
        </w:rPr>
      </w:pPr>
      <w:r>
        <w:rPr>
          <w:rFonts w:ascii="Arial" w:cs="Arial" w:eastAsia="Arial" w:hAnsi="Arial"/>
          <w:sz w:val="14"/>
          <w:szCs w:val="14"/>
          <w:color w:val="auto"/>
        </w:rPr>
        <w:t>Kansas</w:t>
      </w:r>
    </w:p>
    <w:p>
      <w:pPr>
        <w:spacing w:after="0"/>
        <w:rPr>
          <w:sz w:val="20"/>
          <w:szCs w:val="20"/>
          <w:color w:val="auto"/>
        </w:rPr>
      </w:pPr>
      <w:r>
        <w:rPr>
          <w:rFonts w:ascii="Arial" w:cs="Arial" w:eastAsia="Arial" w:hAnsi="Arial"/>
          <w:sz w:val="13"/>
          <w:szCs w:val="13"/>
          <w:color w:val="auto"/>
        </w:rPr>
        <w:t>Kazakhstan</w:t>
      </w:r>
    </w:p>
    <w:p>
      <w:pPr>
        <w:spacing w:after="0" w:line="236" w:lineRule="auto"/>
        <w:rPr>
          <w:sz w:val="20"/>
          <w:szCs w:val="20"/>
          <w:color w:val="auto"/>
        </w:rPr>
      </w:pPr>
      <w:r>
        <w:rPr>
          <w:rFonts w:ascii="Arial" w:cs="Arial" w:eastAsia="Arial" w:hAnsi="Arial"/>
          <w:sz w:val="14"/>
          <w:szCs w:val="14"/>
          <w:color w:val="auto"/>
        </w:rPr>
        <w:t>Korea</w:t>
      </w:r>
    </w:p>
    <w:p>
      <w:pPr>
        <w:spacing w:after="0" w:line="230" w:lineRule="auto"/>
        <w:rPr>
          <w:sz w:val="20"/>
          <w:szCs w:val="20"/>
          <w:color w:val="auto"/>
        </w:rPr>
      </w:pPr>
      <w:r>
        <w:rPr>
          <w:rFonts w:ascii="Arial" w:cs="Arial" w:eastAsia="Arial" w:hAnsi="Arial"/>
          <w:sz w:val="14"/>
          <w:szCs w:val="14"/>
          <w:color w:val="auto"/>
        </w:rPr>
        <w:t>Korea</w:t>
      </w:r>
    </w:p>
    <w:p>
      <w:pPr>
        <w:spacing w:after="0" w:line="229" w:lineRule="auto"/>
        <w:rPr>
          <w:sz w:val="20"/>
          <w:szCs w:val="20"/>
          <w:color w:val="auto"/>
        </w:rPr>
      </w:pPr>
      <w:r>
        <w:rPr>
          <w:rFonts w:ascii="Arial" w:cs="Arial" w:eastAsia="Arial" w:hAnsi="Arial"/>
          <w:sz w:val="14"/>
          <w:szCs w:val="14"/>
          <w:color w:val="auto"/>
        </w:rPr>
        <w:t>Korea</w:t>
      </w:r>
    </w:p>
    <w:p>
      <w:pPr>
        <w:spacing w:after="0" w:line="230" w:lineRule="auto"/>
        <w:rPr>
          <w:sz w:val="20"/>
          <w:szCs w:val="20"/>
          <w:color w:val="auto"/>
        </w:rPr>
      </w:pPr>
      <w:r>
        <w:rPr>
          <w:rFonts w:ascii="Arial" w:cs="Arial" w:eastAsia="Arial" w:hAnsi="Arial"/>
          <w:sz w:val="14"/>
          <w:szCs w:val="14"/>
          <w:color w:val="auto"/>
        </w:rPr>
        <w:t>Kuwait</w:t>
      </w:r>
    </w:p>
    <w:p>
      <w:pPr>
        <w:spacing w:after="0" w:line="230" w:lineRule="auto"/>
        <w:rPr>
          <w:sz w:val="20"/>
          <w:szCs w:val="20"/>
          <w:color w:val="auto"/>
        </w:rPr>
      </w:pPr>
      <w:r>
        <w:rPr>
          <w:rFonts w:ascii="Arial" w:cs="Arial" w:eastAsia="Arial" w:hAnsi="Arial"/>
          <w:sz w:val="14"/>
          <w:szCs w:val="14"/>
          <w:color w:val="auto"/>
        </w:rPr>
        <w:t>Latvia</w:t>
      </w:r>
    </w:p>
    <w:p>
      <w:pPr>
        <w:spacing w:after="0" w:line="230" w:lineRule="auto"/>
        <w:rPr>
          <w:sz w:val="20"/>
          <w:szCs w:val="20"/>
          <w:color w:val="auto"/>
        </w:rPr>
      </w:pPr>
      <w:r>
        <w:rPr>
          <w:rFonts w:ascii="Arial" w:cs="Arial" w:eastAsia="Arial" w:hAnsi="Arial"/>
          <w:sz w:val="14"/>
          <w:szCs w:val="14"/>
          <w:color w:val="auto"/>
        </w:rPr>
        <w:t>Lithuania</w:t>
      </w:r>
    </w:p>
    <w:p>
      <w:pPr>
        <w:spacing w:after="0"/>
        <w:rPr>
          <w:sz w:val="20"/>
          <w:szCs w:val="20"/>
          <w:color w:val="auto"/>
        </w:rPr>
      </w:pPr>
      <w:r>
        <w:rPr>
          <w:rFonts w:ascii="Arial" w:cs="Arial" w:eastAsia="Arial" w:hAnsi="Arial"/>
          <w:sz w:val="11"/>
          <w:szCs w:val="11"/>
          <w:color w:val="auto"/>
        </w:rPr>
        <w:t>Luxembourg</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Luxembourg</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Luxembourg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Macau</w:t>
      </w:r>
    </w:p>
    <w:p>
      <w:pPr>
        <w:spacing w:after="0" w:line="229" w:lineRule="auto"/>
        <w:rPr>
          <w:sz w:val="20"/>
          <w:szCs w:val="20"/>
          <w:color w:val="auto"/>
        </w:rPr>
      </w:pPr>
      <w:r>
        <w:rPr>
          <w:rFonts w:ascii="Arial" w:cs="Arial" w:eastAsia="Arial" w:hAnsi="Arial"/>
          <w:sz w:val="14"/>
          <w:szCs w:val="14"/>
          <w:color w:val="auto"/>
        </w:rPr>
        <w:t>Malaysia</w:t>
      </w:r>
    </w:p>
    <w:p>
      <w:pPr>
        <w:spacing w:after="0" w:line="230" w:lineRule="auto"/>
        <w:rPr>
          <w:sz w:val="20"/>
          <w:szCs w:val="20"/>
          <w:color w:val="auto"/>
        </w:rPr>
      </w:pPr>
      <w:r>
        <w:rPr>
          <w:rFonts w:ascii="Arial" w:cs="Arial" w:eastAsia="Arial" w:hAnsi="Arial"/>
          <w:sz w:val="14"/>
          <w:szCs w:val="14"/>
          <w:color w:val="auto"/>
        </w:rPr>
        <w:t>Malaysia</w:t>
      </w:r>
    </w:p>
    <w:p>
      <w:pPr>
        <w:spacing w:after="0" w:line="230" w:lineRule="auto"/>
        <w:rPr>
          <w:sz w:val="20"/>
          <w:szCs w:val="20"/>
          <w:color w:val="auto"/>
        </w:rPr>
      </w:pPr>
      <w:r>
        <w:rPr>
          <w:rFonts w:ascii="Arial" w:cs="Arial" w:eastAsia="Arial" w:hAnsi="Arial"/>
          <w:sz w:val="14"/>
          <w:szCs w:val="14"/>
          <w:color w:val="auto"/>
        </w:rPr>
        <w:t>Malaysia</w:t>
      </w:r>
    </w:p>
    <w:p>
      <w:pPr>
        <w:spacing w:after="0" w:line="229" w:lineRule="auto"/>
        <w:rPr>
          <w:sz w:val="20"/>
          <w:szCs w:val="20"/>
          <w:color w:val="auto"/>
        </w:rPr>
      </w:pPr>
      <w:r>
        <w:rPr>
          <w:rFonts w:ascii="Arial" w:cs="Arial" w:eastAsia="Arial" w:hAnsi="Arial"/>
          <w:sz w:val="14"/>
          <w:szCs w:val="14"/>
          <w:color w:val="auto"/>
        </w:rPr>
        <w:t>Malaysia</w:t>
      </w:r>
    </w:p>
    <w:p>
      <w:pPr>
        <w:spacing w:after="0" w:line="230" w:lineRule="auto"/>
        <w:rPr>
          <w:sz w:val="20"/>
          <w:szCs w:val="20"/>
          <w:color w:val="auto"/>
        </w:rPr>
      </w:pPr>
      <w:r>
        <w:rPr>
          <w:rFonts w:ascii="Arial" w:cs="Arial" w:eastAsia="Arial" w:hAnsi="Arial"/>
          <w:sz w:val="14"/>
          <w:szCs w:val="14"/>
          <w:color w:val="auto"/>
        </w:rPr>
        <w:t>Malaysia</w:t>
      </w:r>
    </w:p>
    <w:p>
      <w:pPr>
        <w:spacing w:after="0" w:line="230" w:lineRule="auto"/>
        <w:rPr>
          <w:sz w:val="20"/>
          <w:szCs w:val="20"/>
          <w:color w:val="auto"/>
        </w:rPr>
      </w:pPr>
      <w:r>
        <w:rPr>
          <w:rFonts w:ascii="Arial" w:cs="Arial" w:eastAsia="Arial" w:hAnsi="Arial"/>
          <w:sz w:val="14"/>
          <w:szCs w:val="14"/>
          <w:color w:val="auto"/>
        </w:rPr>
        <w:t>Malaysia</w:t>
      </w:r>
    </w:p>
    <w:p>
      <w:pPr>
        <w:spacing w:after="0" w:line="229" w:lineRule="auto"/>
        <w:rPr>
          <w:sz w:val="20"/>
          <w:szCs w:val="20"/>
          <w:color w:val="auto"/>
        </w:rPr>
      </w:pPr>
      <w:r>
        <w:rPr>
          <w:rFonts w:ascii="Arial" w:cs="Arial" w:eastAsia="Arial" w:hAnsi="Arial"/>
          <w:sz w:val="14"/>
          <w:szCs w:val="14"/>
          <w:color w:val="auto"/>
        </w:rPr>
        <w:t>Martinique</w:t>
      </w:r>
    </w:p>
    <w:p>
      <w:pPr>
        <w:spacing w:after="0" w:line="230" w:lineRule="auto"/>
        <w:rPr>
          <w:sz w:val="20"/>
          <w:szCs w:val="20"/>
          <w:color w:val="auto"/>
        </w:rPr>
      </w:pPr>
      <w:r>
        <w:rPr>
          <w:rFonts w:ascii="Arial" w:cs="Arial" w:eastAsia="Arial" w:hAnsi="Arial"/>
          <w:sz w:val="14"/>
          <w:szCs w:val="14"/>
          <w:color w:val="auto"/>
        </w:rPr>
        <w:t>Mexico</w:t>
      </w:r>
    </w:p>
    <w:p>
      <w:pPr>
        <w:spacing w:after="0" w:line="230" w:lineRule="auto"/>
        <w:rPr>
          <w:sz w:val="20"/>
          <w:szCs w:val="20"/>
          <w:color w:val="auto"/>
        </w:rPr>
      </w:pPr>
      <w:r>
        <w:rPr>
          <w:rFonts w:ascii="Arial" w:cs="Arial" w:eastAsia="Arial" w:hAnsi="Arial"/>
          <w:sz w:val="14"/>
          <w:szCs w:val="14"/>
          <w:color w:val="auto"/>
        </w:rPr>
        <w:t>Mexico</w:t>
      </w:r>
    </w:p>
    <w:p>
      <w:pPr>
        <w:spacing w:after="0" w:line="229" w:lineRule="auto"/>
        <w:rPr>
          <w:sz w:val="20"/>
          <w:szCs w:val="20"/>
          <w:color w:val="auto"/>
        </w:rPr>
      </w:pPr>
      <w:r>
        <w:rPr>
          <w:rFonts w:ascii="Arial" w:cs="Arial" w:eastAsia="Arial" w:hAnsi="Arial"/>
          <w:sz w:val="14"/>
          <w:szCs w:val="14"/>
          <w:color w:val="auto"/>
        </w:rPr>
        <w:t>Mexico</w:t>
      </w:r>
    </w:p>
    <w:p>
      <w:pPr>
        <w:spacing w:after="0" w:line="230" w:lineRule="auto"/>
        <w:rPr>
          <w:sz w:val="20"/>
          <w:szCs w:val="20"/>
          <w:color w:val="auto"/>
        </w:rPr>
      </w:pPr>
      <w:r>
        <w:rPr>
          <w:rFonts w:ascii="Arial" w:cs="Arial" w:eastAsia="Arial" w:hAnsi="Arial"/>
          <w:sz w:val="14"/>
          <w:szCs w:val="14"/>
          <w:color w:val="auto"/>
        </w:rPr>
        <w:t>Mexico</w:t>
      </w:r>
    </w:p>
    <w:p>
      <w:pPr>
        <w:spacing w:after="0" w:line="230" w:lineRule="auto"/>
        <w:rPr>
          <w:sz w:val="20"/>
          <w:szCs w:val="20"/>
          <w:color w:val="auto"/>
        </w:rPr>
      </w:pPr>
      <w:r>
        <w:rPr>
          <w:rFonts w:ascii="Arial" w:cs="Arial" w:eastAsia="Arial" w:hAnsi="Arial"/>
          <w:sz w:val="14"/>
          <w:szCs w:val="14"/>
          <w:color w:val="auto"/>
        </w:rPr>
        <w:t>Mexico</w:t>
      </w:r>
    </w:p>
    <w:p>
      <w:pPr>
        <w:spacing w:after="0" w:line="230" w:lineRule="auto"/>
        <w:rPr>
          <w:sz w:val="20"/>
          <w:szCs w:val="20"/>
          <w:color w:val="auto"/>
        </w:rPr>
      </w:pPr>
      <w:r>
        <w:rPr>
          <w:rFonts w:ascii="Arial" w:cs="Arial" w:eastAsia="Arial" w:hAnsi="Arial"/>
          <w:sz w:val="14"/>
          <w:szCs w:val="14"/>
          <w:color w:val="auto"/>
        </w:rPr>
        <w:t>Mexico</w:t>
      </w:r>
    </w:p>
    <w:p>
      <w:pPr>
        <w:spacing w:after="0"/>
        <w:rPr>
          <w:sz w:val="20"/>
          <w:szCs w:val="20"/>
          <w:color w:val="auto"/>
        </w:rPr>
      </w:pPr>
      <w:r>
        <w:rPr>
          <w:rFonts w:ascii="Arial" w:cs="Arial" w:eastAsia="Arial" w:hAnsi="Arial"/>
          <w:sz w:val="14"/>
          <w:szCs w:val="14"/>
          <w:color w:val="auto"/>
        </w:rPr>
        <w:t>Mexico</w:t>
      </w:r>
    </w:p>
    <w:p>
      <w:pPr>
        <w:sectPr>
          <w:pgSz w:w="11900" w:h="16838" w:orient="portrait"/>
          <w:cols w:equalWidth="0" w:num="2">
            <w:col w:w="7660" w:space="720"/>
            <w:col w:w="1859"/>
          </w:cols>
          <w:pgMar w:left="220" w:top="129" w:right="1440" w:bottom="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Manpower S.A. de C.V.</w:t>
      </w:r>
    </w:p>
    <w:p>
      <w:pPr>
        <w:spacing w:after="0" w:line="237" w:lineRule="auto"/>
        <w:rPr>
          <w:sz w:val="20"/>
          <w:szCs w:val="20"/>
          <w:color w:val="auto"/>
        </w:rPr>
      </w:pPr>
      <w:r>
        <w:rPr>
          <w:rFonts w:ascii="Arial" w:cs="Arial" w:eastAsia="Arial" w:hAnsi="Arial"/>
          <w:sz w:val="14"/>
          <w:szCs w:val="14"/>
          <w:color w:val="auto"/>
        </w:rPr>
        <w:t>Nurse Co. de Mexico, S.A. de C.V.</w:t>
      </w:r>
    </w:p>
    <w:p>
      <w:pPr>
        <w:spacing w:after="0" w:line="229" w:lineRule="auto"/>
        <w:rPr>
          <w:sz w:val="20"/>
          <w:szCs w:val="20"/>
          <w:color w:val="auto"/>
        </w:rPr>
      </w:pPr>
      <w:r>
        <w:rPr>
          <w:rFonts w:ascii="Arial" w:cs="Arial" w:eastAsia="Arial" w:hAnsi="Arial"/>
          <w:sz w:val="14"/>
          <w:szCs w:val="14"/>
          <w:color w:val="auto"/>
        </w:rPr>
        <w:t>Payment Services S.A. de C.V.</w:t>
      </w:r>
    </w:p>
    <w:p>
      <w:pPr>
        <w:spacing w:after="0" w:line="230" w:lineRule="auto"/>
        <w:rPr>
          <w:sz w:val="20"/>
          <w:szCs w:val="20"/>
          <w:color w:val="auto"/>
        </w:rPr>
      </w:pPr>
      <w:r>
        <w:rPr>
          <w:rFonts w:ascii="Arial" w:cs="Arial" w:eastAsia="Arial" w:hAnsi="Arial"/>
          <w:sz w:val="14"/>
          <w:szCs w:val="14"/>
          <w:color w:val="auto"/>
        </w:rPr>
        <w:t>Right Management Mexico, S.A. de C.V.</w:t>
      </w:r>
    </w:p>
    <w:p>
      <w:pPr>
        <w:spacing w:after="0" w:line="230" w:lineRule="auto"/>
        <w:rPr>
          <w:sz w:val="20"/>
          <w:szCs w:val="20"/>
          <w:color w:val="auto"/>
        </w:rPr>
      </w:pPr>
      <w:r>
        <w:rPr>
          <w:rFonts w:ascii="Arial" w:cs="Arial" w:eastAsia="Arial" w:hAnsi="Arial"/>
          <w:sz w:val="14"/>
          <w:szCs w:val="14"/>
          <w:color w:val="auto"/>
        </w:rPr>
        <w:t>Tecnologia Y Manufactura, S.A. de C.V.</w:t>
      </w:r>
    </w:p>
    <w:p>
      <w:pPr>
        <w:spacing w:after="0" w:line="230" w:lineRule="auto"/>
        <w:rPr>
          <w:sz w:val="20"/>
          <w:szCs w:val="20"/>
          <w:color w:val="auto"/>
        </w:rPr>
      </w:pPr>
      <w:r>
        <w:rPr>
          <w:rFonts w:ascii="Arial" w:cs="Arial" w:eastAsia="Arial" w:hAnsi="Arial"/>
          <w:sz w:val="14"/>
          <w:szCs w:val="14"/>
          <w:color w:val="auto"/>
        </w:rPr>
        <w:t>Manpower Monaco SAM</w:t>
      </w:r>
    </w:p>
    <w:p>
      <w:pPr>
        <w:spacing w:after="0" w:line="229" w:lineRule="auto"/>
        <w:rPr>
          <w:sz w:val="20"/>
          <w:szCs w:val="20"/>
          <w:color w:val="auto"/>
        </w:rPr>
      </w:pPr>
      <w:r>
        <w:rPr>
          <w:rFonts w:ascii="Arial" w:cs="Arial" w:eastAsia="Arial" w:hAnsi="Arial"/>
          <w:sz w:val="14"/>
          <w:szCs w:val="14"/>
          <w:color w:val="auto"/>
        </w:rPr>
        <w:t>Societe Marocaine De Travail Temporaire</w:t>
      </w:r>
    </w:p>
    <w:p>
      <w:pPr>
        <w:spacing w:after="0" w:line="230" w:lineRule="auto"/>
        <w:rPr>
          <w:sz w:val="20"/>
          <w:szCs w:val="20"/>
          <w:color w:val="auto"/>
        </w:rPr>
      </w:pPr>
      <w:r>
        <w:rPr>
          <w:rFonts w:ascii="Arial" w:cs="Arial" w:eastAsia="Arial" w:hAnsi="Arial"/>
          <w:sz w:val="14"/>
          <w:szCs w:val="14"/>
          <w:color w:val="auto"/>
        </w:rPr>
        <w:t>Manpower Business Services Maroc</w:t>
      </w:r>
    </w:p>
    <w:p>
      <w:pPr>
        <w:spacing w:after="0" w:line="230" w:lineRule="auto"/>
        <w:rPr>
          <w:sz w:val="20"/>
          <w:szCs w:val="20"/>
          <w:color w:val="auto"/>
        </w:rPr>
      </w:pPr>
      <w:r>
        <w:rPr>
          <w:rFonts w:ascii="Arial" w:cs="Arial" w:eastAsia="Arial" w:hAnsi="Arial"/>
          <w:sz w:val="14"/>
          <w:szCs w:val="14"/>
          <w:color w:val="auto"/>
        </w:rPr>
        <w:t>Elan Computing (Netherlands) B.V.</w:t>
      </w:r>
    </w:p>
    <w:p>
      <w:pPr>
        <w:spacing w:after="0" w:line="229" w:lineRule="auto"/>
        <w:rPr>
          <w:sz w:val="20"/>
          <w:szCs w:val="20"/>
          <w:color w:val="auto"/>
        </w:rPr>
      </w:pPr>
      <w:r>
        <w:rPr>
          <w:rFonts w:ascii="Arial" w:cs="Arial" w:eastAsia="Arial" w:hAnsi="Arial"/>
          <w:sz w:val="14"/>
          <w:szCs w:val="14"/>
          <w:color w:val="auto"/>
        </w:rPr>
        <w:t>Jefferson Wells, B.V.</w:t>
      </w:r>
    </w:p>
    <w:p>
      <w:pPr>
        <w:spacing w:after="0" w:line="230" w:lineRule="auto"/>
        <w:rPr>
          <w:sz w:val="20"/>
          <w:szCs w:val="20"/>
          <w:color w:val="auto"/>
        </w:rPr>
      </w:pPr>
      <w:r>
        <w:rPr>
          <w:rFonts w:ascii="Arial" w:cs="Arial" w:eastAsia="Arial" w:hAnsi="Arial"/>
          <w:sz w:val="14"/>
          <w:szCs w:val="14"/>
          <w:color w:val="auto"/>
        </w:rPr>
        <w:t>Manpower B.V.</w:t>
      </w:r>
    </w:p>
    <w:p>
      <w:pPr>
        <w:spacing w:after="0" w:line="230" w:lineRule="auto"/>
        <w:rPr>
          <w:sz w:val="20"/>
          <w:szCs w:val="20"/>
          <w:color w:val="auto"/>
        </w:rPr>
      </w:pPr>
      <w:r>
        <w:rPr>
          <w:rFonts w:ascii="Arial" w:cs="Arial" w:eastAsia="Arial" w:hAnsi="Arial"/>
          <w:sz w:val="14"/>
          <w:szCs w:val="14"/>
          <w:color w:val="auto"/>
        </w:rPr>
        <w:t>Manpower Direkt B.V.</w:t>
      </w:r>
    </w:p>
    <w:p>
      <w:pPr>
        <w:spacing w:after="0" w:line="229" w:lineRule="auto"/>
        <w:rPr>
          <w:sz w:val="20"/>
          <w:szCs w:val="20"/>
          <w:color w:val="auto"/>
        </w:rPr>
      </w:pPr>
      <w:r>
        <w:rPr>
          <w:rFonts w:ascii="Arial" w:cs="Arial" w:eastAsia="Arial" w:hAnsi="Arial"/>
          <w:sz w:val="14"/>
          <w:szCs w:val="14"/>
          <w:color w:val="auto"/>
        </w:rPr>
        <w:t>Manpower Management B.V.</w:t>
      </w:r>
    </w:p>
    <w:p>
      <w:pPr>
        <w:spacing w:after="0" w:line="230" w:lineRule="auto"/>
        <w:rPr>
          <w:sz w:val="20"/>
          <w:szCs w:val="20"/>
          <w:color w:val="auto"/>
        </w:rPr>
      </w:pPr>
      <w:r>
        <w:rPr>
          <w:rFonts w:ascii="Arial" w:cs="Arial" w:eastAsia="Arial" w:hAnsi="Arial"/>
          <w:sz w:val="14"/>
          <w:szCs w:val="14"/>
          <w:color w:val="auto"/>
        </w:rPr>
        <w:t>Manpower Nederland B.V.</w:t>
      </w:r>
    </w:p>
    <w:p>
      <w:pPr>
        <w:spacing w:after="0" w:line="230" w:lineRule="auto"/>
        <w:rPr>
          <w:sz w:val="20"/>
          <w:szCs w:val="20"/>
          <w:color w:val="auto"/>
        </w:rPr>
      </w:pPr>
      <w:r>
        <w:rPr>
          <w:rFonts w:ascii="Arial" w:cs="Arial" w:eastAsia="Arial" w:hAnsi="Arial"/>
          <w:sz w:val="14"/>
          <w:szCs w:val="14"/>
          <w:color w:val="auto"/>
        </w:rPr>
        <w:t>Vitae Beheer B.V</w:t>
      </w:r>
    </w:p>
    <w:p>
      <w:pPr>
        <w:spacing w:after="0" w:line="230" w:lineRule="auto"/>
        <w:rPr>
          <w:sz w:val="20"/>
          <w:szCs w:val="20"/>
          <w:color w:val="auto"/>
        </w:rPr>
      </w:pPr>
      <w:r>
        <w:rPr>
          <w:rFonts w:ascii="Arial" w:cs="Arial" w:eastAsia="Arial" w:hAnsi="Arial"/>
          <w:sz w:val="14"/>
          <w:szCs w:val="14"/>
          <w:color w:val="auto"/>
        </w:rPr>
        <w:t>Vitae Groep B.V</w:t>
      </w:r>
    </w:p>
    <w:p>
      <w:pPr>
        <w:spacing w:after="0" w:line="229" w:lineRule="auto"/>
        <w:rPr>
          <w:sz w:val="20"/>
          <w:szCs w:val="20"/>
          <w:color w:val="auto"/>
        </w:rPr>
      </w:pPr>
      <w:r>
        <w:rPr>
          <w:rFonts w:ascii="Arial" w:cs="Arial" w:eastAsia="Arial" w:hAnsi="Arial"/>
          <w:sz w:val="14"/>
          <w:szCs w:val="14"/>
          <w:color w:val="auto"/>
        </w:rPr>
        <w:t>Vitae Human Development Beheer B.V</w:t>
      </w:r>
    </w:p>
    <w:p>
      <w:pPr>
        <w:spacing w:after="0" w:line="230" w:lineRule="auto"/>
        <w:rPr>
          <w:sz w:val="20"/>
          <w:szCs w:val="20"/>
          <w:color w:val="auto"/>
        </w:rPr>
      </w:pPr>
      <w:r>
        <w:rPr>
          <w:rFonts w:ascii="Arial" w:cs="Arial" w:eastAsia="Arial" w:hAnsi="Arial"/>
          <w:sz w:val="14"/>
          <w:szCs w:val="14"/>
          <w:color w:val="auto"/>
        </w:rPr>
        <w:t>Vitae Nederland B.V</w:t>
      </w:r>
    </w:p>
    <w:p>
      <w:pPr>
        <w:spacing w:after="0" w:line="230" w:lineRule="auto"/>
        <w:rPr>
          <w:sz w:val="20"/>
          <w:szCs w:val="20"/>
          <w:color w:val="auto"/>
        </w:rPr>
      </w:pPr>
      <w:r>
        <w:rPr>
          <w:rFonts w:ascii="Arial" w:cs="Arial" w:eastAsia="Arial" w:hAnsi="Arial"/>
          <w:sz w:val="14"/>
          <w:szCs w:val="14"/>
          <w:color w:val="auto"/>
        </w:rPr>
        <w:t>Vitae International B.V</w:t>
      </w:r>
    </w:p>
    <w:p>
      <w:pPr>
        <w:spacing w:after="0" w:line="229" w:lineRule="auto"/>
        <w:rPr>
          <w:sz w:val="20"/>
          <w:szCs w:val="20"/>
          <w:color w:val="auto"/>
        </w:rPr>
      </w:pPr>
      <w:r>
        <w:rPr>
          <w:rFonts w:ascii="Arial" w:cs="Arial" w:eastAsia="Arial" w:hAnsi="Arial"/>
          <w:sz w:val="14"/>
          <w:szCs w:val="14"/>
          <w:color w:val="auto"/>
        </w:rPr>
        <w:t>Vitae Human Development B.V</w:t>
      </w:r>
    </w:p>
    <w:p>
      <w:pPr>
        <w:spacing w:after="0" w:line="230" w:lineRule="auto"/>
        <w:rPr>
          <w:sz w:val="20"/>
          <w:szCs w:val="20"/>
          <w:color w:val="auto"/>
        </w:rPr>
      </w:pPr>
      <w:r>
        <w:rPr>
          <w:rFonts w:ascii="Arial" w:cs="Arial" w:eastAsia="Arial" w:hAnsi="Arial"/>
          <w:sz w:val="14"/>
          <w:szCs w:val="14"/>
          <w:color w:val="auto"/>
        </w:rPr>
        <w:t>Flexservice Solutions B.V</w:t>
      </w:r>
    </w:p>
    <w:p>
      <w:pPr>
        <w:spacing w:after="0" w:line="230" w:lineRule="auto"/>
        <w:rPr>
          <w:sz w:val="20"/>
          <w:szCs w:val="20"/>
          <w:color w:val="auto"/>
        </w:rPr>
      </w:pPr>
      <w:r>
        <w:rPr>
          <w:rFonts w:ascii="Arial" w:cs="Arial" w:eastAsia="Arial" w:hAnsi="Arial"/>
          <w:sz w:val="14"/>
          <w:szCs w:val="14"/>
          <w:color w:val="auto"/>
        </w:rPr>
        <w:t>Manpower Services B.V.</w:t>
      </w:r>
    </w:p>
    <w:p>
      <w:pPr>
        <w:spacing w:after="0" w:line="229" w:lineRule="auto"/>
        <w:rPr>
          <w:sz w:val="20"/>
          <w:szCs w:val="20"/>
          <w:color w:val="auto"/>
        </w:rPr>
      </w:pPr>
      <w:r>
        <w:rPr>
          <w:rFonts w:ascii="Arial" w:cs="Arial" w:eastAsia="Arial" w:hAnsi="Arial"/>
          <w:sz w:val="14"/>
          <w:szCs w:val="14"/>
          <w:color w:val="auto"/>
        </w:rPr>
        <w:t>Manpower Solutions B.V.</w:t>
      </w:r>
    </w:p>
    <w:p>
      <w:pPr>
        <w:spacing w:after="0" w:line="230" w:lineRule="auto"/>
        <w:rPr>
          <w:sz w:val="20"/>
          <w:szCs w:val="20"/>
          <w:color w:val="auto"/>
        </w:rPr>
      </w:pPr>
      <w:r>
        <w:rPr>
          <w:rFonts w:ascii="Arial" w:cs="Arial" w:eastAsia="Arial" w:hAnsi="Arial"/>
          <w:sz w:val="14"/>
          <w:szCs w:val="14"/>
          <w:color w:val="auto"/>
        </w:rPr>
        <w:t>Manpower Special Staffing B.V.</w:t>
      </w:r>
    </w:p>
    <w:p>
      <w:pPr>
        <w:spacing w:after="0" w:line="230" w:lineRule="auto"/>
        <w:rPr>
          <w:sz w:val="20"/>
          <w:szCs w:val="20"/>
          <w:color w:val="auto"/>
        </w:rPr>
      </w:pPr>
      <w:r>
        <w:rPr>
          <w:rFonts w:ascii="Arial" w:cs="Arial" w:eastAsia="Arial" w:hAnsi="Arial"/>
          <w:sz w:val="14"/>
          <w:szCs w:val="14"/>
          <w:color w:val="auto"/>
        </w:rPr>
        <w:t>Performance Improvement Network BV</w:t>
      </w:r>
    </w:p>
    <w:p>
      <w:pPr>
        <w:spacing w:after="0" w:line="229" w:lineRule="auto"/>
        <w:rPr>
          <w:sz w:val="20"/>
          <w:szCs w:val="20"/>
          <w:color w:val="auto"/>
        </w:rPr>
      </w:pPr>
      <w:r>
        <w:rPr>
          <w:rFonts w:ascii="Arial" w:cs="Arial" w:eastAsia="Arial" w:hAnsi="Arial"/>
          <w:sz w:val="14"/>
          <w:szCs w:val="14"/>
          <w:color w:val="auto"/>
        </w:rPr>
        <w:t>Right Management Nederland B.V.</w:t>
      </w:r>
    </w:p>
    <w:p>
      <w:pPr>
        <w:spacing w:after="0" w:line="230" w:lineRule="auto"/>
        <w:rPr>
          <w:sz w:val="20"/>
          <w:szCs w:val="20"/>
          <w:color w:val="auto"/>
        </w:rPr>
      </w:pPr>
      <w:r>
        <w:rPr>
          <w:rFonts w:ascii="Arial" w:cs="Arial" w:eastAsia="Arial" w:hAnsi="Arial"/>
          <w:sz w:val="14"/>
          <w:szCs w:val="14"/>
          <w:color w:val="auto"/>
        </w:rPr>
        <w:t>Ultraflex B.V.</w:t>
      </w:r>
    </w:p>
    <w:p>
      <w:pPr>
        <w:spacing w:after="0" w:line="230" w:lineRule="auto"/>
        <w:rPr>
          <w:sz w:val="20"/>
          <w:szCs w:val="20"/>
          <w:color w:val="auto"/>
        </w:rPr>
      </w:pPr>
      <w:r>
        <w:rPr>
          <w:rFonts w:ascii="Arial" w:cs="Arial" w:eastAsia="Arial" w:hAnsi="Arial"/>
          <w:sz w:val="14"/>
          <w:szCs w:val="14"/>
          <w:color w:val="auto"/>
        </w:rPr>
        <w:t>Ultrasearch B.V.</w:t>
      </w:r>
    </w:p>
    <w:p>
      <w:pPr>
        <w:spacing w:after="0" w:line="230" w:lineRule="auto"/>
        <w:rPr>
          <w:sz w:val="20"/>
          <w:szCs w:val="20"/>
          <w:color w:val="auto"/>
        </w:rPr>
      </w:pPr>
      <w:r>
        <w:rPr>
          <w:rFonts w:ascii="Arial" w:cs="Arial" w:eastAsia="Arial" w:hAnsi="Arial"/>
          <w:sz w:val="14"/>
          <w:szCs w:val="14"/>
          <w:color w:val="auto"/>
        </w:rPr>
        <w:t>Manpower Nouvelle Caledonie</w:t>
      </w:r>
    </w:p>
    <w:p>
      <w:pPr>
        <w:spacing w:after="0" w:line="229" w:lineRule="auto"/>
        <w:rPr>
          <w:sz w:val="20"/>
          <w:szCs w:val="20"/>
          <w:color w:val="auto"/>
        </w:rPr>
      </w:pPr>
      <w:r>
        <w:rPr>
          <w:rFonts w:ascii="Arial" w:cs="Arial" w:eastAsia="Arial" w:hAnsi="Arial"/>
          <w:sz w:val="14"/>
          <w:szCs w:val="14"/>
          <w:color w:val="auto"/>
        </w:rPr>
        <w:t>Manpower Incorporated of New York</w:t>
      </w:r>
    </w:p>
    <w:p>
      <w:pPr>
        <w:spacing w:after="0" w:line="230" w:lineRule="auto"/>
        <w:rPr>
          <w:sz w:val="20"/>
          <w:szCs w:val="20"/>
          <w:color w:val="auto"/>
        </w:rPr>
      </w:pPr>
      <w:r>
        <w:rPr>
          <w:rFonts w:ascii="Arial" w:cs="Arial" w:eastAsia="Arial" w:hAnsi="Arial"/>
          <w:sz w:val="14"/>
          <w:szCs w:val="14"/>
          <w:color w:val="auto"/>
        </w:rPr>
        <w:t>Manpower Services (New Zealand) Ltd.</w:t>
      </w:r>
    </w:p>
    <w:p>
      <w:pPr>
        <w:spacing w:after="0" w:line="230" w:lineRule="auto"/>
        <w:rPr>
          <w:sz w:val="20"/>
          <w:szCs w:val="20"/>
          <w:color w:val="auto"/>
        </w:rPr>
      </w:pPr>
      <w:r>
        <w:rPr>
          <w:rFonts w:ascii="Arial" w:cs="Arial" w:eastAsia="Arial" w:hAnsi="Arial"/>
          <w:sz w:val="14"/>
          <w:szCs w:val="14"/>
          <w:color w:val="auto"/>
        </w:rPr>
        <w:t>Right Management Consultants Ltd. (New Zealand)</w:t>
      </w:r>
    </w:p>
    <w:p>
      <w:pPr>
        <w:spacing w:after="0" w:line="229" w:lineRule="auto"/>
        <w:rPr>
          <w:sz w:val="20"/>
          <w:szCs w:val="20"/>
          <w:color w:val="auto"/>
        </w:rPr>
      </w:pPr>
      <w:r>
        <w:rPr>
          <w:rFonts w:ascii="Arial" w:cs="Arial" w:eastAsia="Arial" w:hAnsi="Arial"/>
          <w:sz w:val="14"/>
          <w:szCs w:val="14"/>
          <w:color w:val="auto"/>
        </w:rPr>
        <w:t>Manpower Nicaruagua S.A.</w:t>
      </w:r>
    </w:p>
    <w:p>
      <w:pPr>
        <w:spacing w:after="0" w:line="230" w:lineRule="auto"/>
        <w:rPr>
          <w:sz w:val="20"/>
          <w:szCs w:val="20"/>
          <w:color w:val="auto"/>
        </w:rPr>
      </w:pPr>
      <w:r>
        <w:rPr>
          <w:rFonts w:ascii="Arial" w:cs="Arial" w:eastAsia="Arial" w:hAnsi="Arial"/>
          <w:sz w:val="14"/>
          <w:szCs w:val="14"/>
          <w:color w:val="auto"/>
        </w:rPr>
        <w:t>Alubar A/S</w:t>
      </w:r>
    </w:p>
    <w:p>
      <w:pPr>
        <w:spacing w:after="0" w:line="230" w:lineRule="auto"/>
        <w:rPr>
          <w:sz w:val="20"/>
          <w:szCs w:val="20"/>
          <w:color w:val="auto"/>
        </w:rPr>
      </w:pPr>
      <w:r>
        <w:rPr>
          <w:rFonts w:ascii="Arial" w:cs="Arial" w:eastAsia="Arial" w:hAnsi="Arial"/>
          <w:sz w:val="14"/>
          <w:szCs w:val="14"/>
          <w:color w:val="auto"/>
        </w:rPr>
        <w:t>Elan IT Resource A/S</w:t>
      </w:r>
    </w:p>
    <w:p>
      <w:pPr>
        <w:spacing w:after="0" w:line="229" w:lineRule="auto"/>
        <w:rPr>
          <w:sz w:val="20"/>
          <w:szCs w:val="20"/>
          <w:color w:val="auto"/>
        </w:rPr>
      </w:pPr>
      <w:r>
        <w:rPr>
          <w:rFonts w:ascii="Arial" w:cs="Arial" w:eastAsia="Arial" w:hAnsi="Arial"/>
          <w:sz w:val="14"/>
          <w:szCs w:val="14"/>
          <w:color w:val="auto"/>
        </w:rPr>
        <w:t>Elan Staffing Services AS</w:t>
      </w:r>
    </w:p>
    <w:p>
      <w:pPr>
        <w:spacing w:after="0" w:line="230" w:lineRule="auto"/>
        <w:rPr>
          <w:sz w:val="20"/>
          <w:szCs w:val="20"/>
          <w:color w:val="auto"/>
        </w:rPr>
      </w:pPr>
      <w:r>
        <w:rPr>
          <w:rFonts w:ascii="Arial" w:cs="Arial" w:eastAsia="Arial" w:hAnsi="Arial"/>
          <w:sz w:val="14"/>
          <w:szCs w:val="14"/>
          <w:color w:val="auto"/>
        </w:rPr>
        <w:t>Framnaes Installajon A/S</w:t>
      </w:r>
    </w:p>
    <w:p>
      <w:pPr>
        <w:spacing w:after="0" w:line="230" w:lineRule="auto"/>
        <w:rPr>
          <w:sz w:val="20"/>
          <w:szCs w:val="20"/>
          <w:color w:val="auto"/>
        </w:rPr>
      </w:pPr>
      <w:r>
        <w:rPr>
          <w:rFonts w:ascii="Arial" w:cs="Arial" w:eastAsia="Arial" w:hAnsi="Arial"/>
          <w:sz w:val="14"/>
          <w:szCs w:val="14"/>
          <w:color w:val="auto"/>
        </w:rPr>
        <w:t>Manpower A/S</w:t>
      </w:r>
    </w:p>
    <w:p>
      <w:pPr>
        <w:spacing w:after="0" w:line="230" w:lineRule="auto"/>
        <w:rPr>
          <w:sz w:val="20"/>
          <w:szCs w:val="20"/>
          <w:color w:val="auto"/>
        </w:rPr>
      </w:pPr>
      <w:r>
        <w:rPr>
          <w:rFonts w:ascii="Arial" w:cs="Arial" w:eastAsia="Arial" w:hAnsi="Arial"/>
          <w:sz w:val="14"/>
          <w:szCs w:val="14"/>
          <w:color w:val="auto"/>
        </w:rPr>
        <w:t>Manpower Business Solutions –Retail AS</w:t>
      </w:r>
    </w:p>
    <w:p>
      <w:pPr>
        <w:spacing w:after="0" w:line="229" w:lineRule="auto"/>
        <w:rPr>
          <w:sz w:val="20"/>
          <w:szCs w:val="20"/>
          <w:color w:val="auto"/>
        </w:rPr>
      </w:pPr>
      <w:r>
        <w:rPr>
          <w:rFonts w:ascii="Arial" w:cs="Arial" w:eastAsia="Arial" w:hAnsi="Arial"/>
          <w:sz w:val="14"/>
          <w:szCs w:val="14"/>
          <w:color w:val="auto"/>
        </w:rPr>
        <w:t>Manpower Norway Holdings AS</w:t>
      </w:r>
    </w:p>
    <w:p>
      <w:pPr>
        <w:spacing w:after="0" w:line="230" w:lineRule="auto"/>
        <w:rPr>
          <w:sz w:val="20"/>
          <w:szCs w:val="20"/>
          <w:color w:val="auto"/>
        </w:rPr>
      </w:pPr>
      <w:r>
        <w:rPr>
          <w:rFonts w:ascii="Arial" w:cs="Arial" w:eastAsia="Arial" w:hAnsi="Arial"/>
          <w:sz w:val="14"/>
          <w:szCs w:val="14"/>
          <w:color w:val="auto"/>
        </w:rPr>
        <w:t>Manpower Professional Engineering AS</w:t>
      </w:r>
    </w:p>
    <w:p>
      <w:pPr>
        <w:spacing w:after="0" w:line="230" w:lineRule="auto"/>
        <w:rPr>
          <w:sz w:val="20"/>
          <w:szCs w:val="20"/>
          <w:color w:val="auto"/>
        </w:rPr>
      </w:pPr>
      <w:r>
        <w:rPr>
          <w:rFonts w:ascii="Arial" w:cs="Arial" w:eastAsia="Arial" w:hAnsi="Arial"/>
          <w:sz w:val="14"/>
          <w:szCs w:val="14"/>
          <w:color w:val="auto"/>
        </w:rPr>
        <w:t>Manpower Professional Executive AS</w:t>
      </w:r>
    </w:p>
    <w:p>
      <w:pPr>
        <w:spacing w:after="0" w:line="229" w:lineRule="auto"/>
        <w:rPr>
          <w:sz w:val="20"/>
          <w:szCs w:val="20"/>
          <w:color w:val="auto"/>
        </w:rPr>
      </w:pPr>
      <w:r>
        <w:rPr>
          <w:rFonts w:ascii="Arial" w:cs="Arial" w:eastAsia="Arial" w:hAnsi="Arial"/>
          <w:sz w:val="14"/>
          <w:szCs w:val="14"/>
          <w:color w:val="auto"/>
        </w:rPr>
        <w:t>Manpower Staffing Services AS</w:t>
      </w:r>
    </w:p>
    <w:p>
      <w:pPr>
        <w:spacing w:after="0" w:line="230" w:lineRule="auto"/>
        <w:rPr>
          <w:sz w:val="20"/>
          <w:szCs w:val="20"/>
          <w:color w:val="auto"/>
        </w:rPr>
      </w:pPr>
      <w:r>
        <w:rPr>
          <w:rFonts w:ascii="Arial" w:cs="Arial" w:eastAsia="Arial" w:hAnsi="Arial"/>
          <w:sz w:val="14"/>
          <w:szCs w:val="14"/>
          <w:color w:val="auto"/>
        </w:rPr>
        <w:t>Quality People A/S</w:t>
      </w:r>
    </w:p>
    <w:p>
      <w:pPr>
        <w:spacing w:after="0" w:line="230" w:lineRule="auto"/>
        <w:rPr>
          <w:sz w:val="20"/>
          <w:szCs w:val="20"/>
          <w:color w:val="auto"/>
        </w:rPr>
      </w:pPr>
      <w:r>
        <w:rPr>
          <w:rFonts w:ascii="Arial" w:cs="Arial" w:eastAsia="Arial" w:hAnsi="Arial"/>
          <w:sz w:val="14"/>
          <w:szCs w:val="14"/>
          <w:color w:val="auto"/>
        </w:rPr>
        <w:t>Right Management Norway A/S</w:t>
      </w:r>
    </w:p>
    <w:p>
      <w:pPr>
        <w:spacing w:after="0" w:line="229" w:lineRule="auto"/>
        <w:rPr>
          <w:sz w:val="20"/>
          <w:szCs w:val="20"/>
          <w:color w:val="auto"/>
        </w:rPr>
      </w:pPr>
      <w:r>
        <w:rPr>
          <w:rFonts w:ascii="Arial" w:cs="Arial" w:eastAsia="Arial" w:hAnsi="Arial"/>
          <w:sz w:val="14"/>
          <w:szCs w:val="14"/>
          <w:color w:val="auto"/>
        </w:rPr>
        <w:t>Manpower Business Solutions A/S</w:t>
      </w:r>
    </w:p>
    <w:p>
      <w:pPr>
        <w:spacing w:after="0" w:line="230" w:lineRule="auto"/>
        <w:rPr>
          <w:sz w:val="20"/>
          <w:szCs w:val="20"/>
          <w:color w:val="auto"/>
        </w:rPr>
      </w:pPr>
      <w:r>
        <w:rPr>
          <w:rFonts w:ascii="Arial" w:cs="Arial" w:eastAsia="Arial" w:hAnsi="Arial"/>
          <w:sz w:val="14"/>
          <w:szCs w:val="14"/>
          <w:color w:val="auto"/>
        </w:rPr>
        <w:t>Tri County Business Services, Inc.</w:t>
      </w:r>
    </w:p>
    <w:p>
      <w:pPr>
        <w:spacing w:after="0" w:line="230" w:lineRule="auto"/>
        <w:rPr>
          <w:sz w:val="20"/>
          <w:szCs w:val="20"/>
          <w:color w:val="auto"/>
        </w:rPr>
      </w:pPr>
      <w:r>
        <w:rPr>
          <w:rFonts w:ascii="Arial" w:cs="Arial" w:eastAsia="Arial" w:hAnsi="Arial"/>
          <w:sz w:val="14"/>
          <w:szCs w:val="14"/>
          <w:color w:val="auto"/>
        </w:rPr>
        <w:t>Manpower Panama, S.A.</w:t>
      </w:r>
    </w:p>
    <w:p>
      <w:pPr>
        <w:spacing w:after="0" w:line="229" w:lineRule="auto"/>
        <w:rPr>
          <w:sz w:val="20"/>
          <w:szCs w:val="20"/>
          <w:color w:val="auto"/>
        </w:rPr>
      </w:pPr>
      <w:r>
        <w:rPr>
          <w:rFonts w:ascii="Arial" w:cs="Arial" w:eastAsia="Arial" w:hAnsi="Arial"/>
          <w:sz w:val="14"/>
          <w:szCs w:val="14"/>
          <w:color w:val="auto"/>
        </w:rPr>
        <w:t>Temporales Panama, S.A.</w:t>
      </w:r>
    </w:p>
    <w:p>
      <w:pPr>
        <w:spacing w:after="0" w:line="230" w:lineRule="auto"/>
        <w:rPr>
          <w:sz w:val="20"/>
          <w:szCs w:val="20"/>
          <w:color w:val="auto"/>
        </w:rPr>
      </w:pPr>
      <w:r>
        <w:rPr>
          <w:rFonts w:ascii="Arial" w:cs="Arial" w:eastAsia="Arial" w:hAnsi="Arial"/>
          <w:sz w:val="14"/>
          <w:szCs w:val="14"/>
          <w:color w:val="auto"/>
        </w:rPr>
        <w:t>Manpower Paraguay S.R.L.</w:t>
      </w:r>
    </w:p>
    <w:p>
      <w:pPr>
        <w:spacing w:after="0" w:line="230" w:lineRule="auto"/>
        <w:rPr>
          <w:sz w:val="20"/>
          <w:szCs w:val="20"/>
          <w:color w:val="auto"/>
        </w:rPr>
      </w:pPr>
      <w:r>
        <w:rPr>
          <w:rFonts w:ascii="Arial" w:cs="Arial" w:eastAsia="Arial" w:hAnsi="Arial"/>
          <w:sz w:val="14"/>
          <w:szCs w:val="14"/>
          <w:color w:val="auto"/>
        </w:rPr>
        <w:t>Manpower Peru S.A.</w:t>
      </w:r>
    </w:p>
    <w:p>
      <w:pPr>
        <w:spacing w:after="0" w:line="230" w:lineRule="auto"/>
        <w:rPr>
          <w:sz w:val="20"/>
          <w:szCs w:val="20"/>
          <w:color w:val="auto"/>
        </w:rPr>
      </w:pPr>
      <w:r>
        <w:rPr>
          <w:rFonts w:ascii="Arial" w:cs="Arial" w:eastAsia="Arial" w:hAnsi="Arial"/>
          <w:sz w:val="14"/>
          <w:szCs w:val="14"/>
          <w:color w:val="auto"/>
        </w:rPr>
        <w:t>Manpower Professional Services S.A.</w:t>
      </w:r>
    </w:p>
    <w:p>
      <w:pPr>
        <w:spacing w:after="0" w:line="229" w:lineRule="auto"/>
        <w:rPr>
          <w:sz w:val="20"/>
          <w:szCs w:val="20"/>
          <w:color w:val="auto"/>
        </w:rPr>
      </w:pPr>
      <w:r>
        <w:rPr>
          <w:rFonts w:ascii="Arial" w:cs="Arial" w:eastAsia="Arial" w:hAnsi="Arial"/>
          <w:sz w:val="14"/>
          <w:szCs w:val="14"/>
          <w:color w:val="auto"/>
        </w:rPr>
        <w:t>Right Management Inc.</w:t>
      </w:r>
    </w:p>
    <w:p>
      <w:pPr>
        <w:spacing w:after="0" w:line="230" w:lineRule="auto"/>
        <w:rPr>
          <w:sz w:val="20"/>
          <w:szCs w:val="20"/>
          <w:color w:val="auto"/>
        </w:rPr>
      </w:pPr>
      <w:r>
        <w:rPr>
          <w:rFonts w:ascii="Arial" w:cs="Arial" w:eastAsia="Arial" w:hAnsi="Arial"/>
          <w:sz w:val="14"/>
          <w:szCs w:val="14"/>
          <w:color w:val="auto"/>
        </w:rPr>
        <w:t>Manpower Outsourcing Services Inc.</w:t>
      </w:r>
    </w:p>
    <w:p>
      <w:pPr>
        <w:spacing w:after="0" w:line="230" w:lineRule="auto"/>
        <w:rPr>
          <w:sz w:val="20"/>
          <w:szCs w:val="20"/>
          <w:color w:val="auto"/>
        </w:rPr>
      </w:pPr>
      <w:r>
        <w:rPr>
          <w:rFonts w:ascii="Arial" w:cs="Arial" w:eastAsia="Arial" w:hAnsi="Arial"/>
          <w:sz w:val="14"/>
          <w:szCs w:val="14"/>
          <w:color w:val="auto"/>
        </w:rPr>
        <w:t>Prime Manpower Resources Development, Inc.</w:t>
      </w:r>
    </w:p>
    <w:p>
      <w:pPr>
        <w:spacing w:after="0" w:line="229" w:lineRule="auto"/>
        <w:rPr>
          <w:sz w:val="20"/>
          <w:szCs w:val="20"/>
          <w:color w:val="auto"/>
        </w:rPr>
      </w:pPr>
      <w:r>
        <w:rPr>
          <w:rFonts w:ascii="Arial" w:cs="Arial" w:eastAsia="Arial" w:hAnsi="Arial"/>
          <w:sz w:val="14"/>
          <w:szCs w:val="14"/>
          <w:color w:val="auto"/>
        </w:rPr>
        <w:t>Clarendon Parker Qatar LLC</w:t>
      </w:r>
    </w:p>
    <w:p>
      <w:pPr>
        <w:spacing w:after="0" w:line="230" w:lineRule="auto"/>
        <w:rPr>
          <w:sz w:val="20"/>
          <w:szCs w:val="20"/>
          <w:color w:val="auto"/>
        </w:rPr>
      </w:pPr>
      <w:r>
        <w:rPr>
          <w:rFonts w:ascii="Arial" w:cs="Arial" w:eastAsia="Arial" w:hAnsi="Arial"/>
          <w:sz w:val="14"/>
          <w:szCs w:val="14"/>
          <w:color w:val="auto"/>
        </w:rPr>
        <w:t>Manpower, Qatar LLC</w:t>
      </w:r>
    </w:p>
    <w:p>
      <w:pPr>
        <w:spacing w:after="0" w:line="230" w:lineRule="auto"/>
        <w:rPr>
          <w:sz w:val="20"/>
          <w:szCs w:val="20"/>
          <w:color w:val="auto"/>
        </w:rPr>
      </w:pPr>
      <w:r>
        <w:rPr>
          <w:rFonts w:ascii="Arial" w:cs="Arial" w:eastAsia="Arial" w:hAnsi="Arial"/>
          <w:sz w:val="14"/>
          <w:szCs w:val="14"/>
          <w:color w:val="auto"/>
        </w:rPr>
        <w:t>Manpower CIS Ltd.</w:t>
      </w:r>
    </w:p>
    <w:p>
      <w:pPr>
        <w:spacing w:after="0" w:line="229" w:lineRule="auto"/>
        <w:rPr>
          <w:sz w:val="20"/>
          <w:szCs w:val="20"/>
          <w:color w:val="auto"/>
        </w:rPr>
      </w:pPr>
      <w:r>
        <w:rPr>
          <w:rFonts w:ascii="Arial" w:cs="Arial" w:eastAsia="Arial" w:hAnsi="Arial"/>
          <w:sz w:val="14"/>
          <w:szCs w:val="14"/>
          <w:color w:val="auto"/>
        </w:rPr>
        <w:t>Elan IT Resource Sp. ZO.O</w:t>
      </w:r>
    </w:p>
    <w:p>
      <w:pPr>
        <w:spacing w:after="0" w:line="230" w:lineRule="auto"/>
        <w:rPr>
          <w:sz w:val="20"/>
          <w:szCs w:val="20"/>
          <w:color w:val="auto"/>
        </w:rPr>
      </w:pPr>
      <w:r>
        <w:rPr>
          <w:rFonts w:ascii="Arial" w:cs="Arial" w:eastAsia="Arial" w:hAnsi="Arial"/>
          <w:sz w:val="14"/>
          <w:szCs w:val="14"/>
          <w:color w:val="auto"/>
        </w:rPr>
        <w:t>Manpower Polska SP. ZO.O</w:t>
      </w:r>
    </w:p>
    <w:p>
      <w:pPr>
        <w:spacing w:after="0"/>
        <w:rPr>
          <w:sz w:val="20"/>
          <w:szCs w:val="20"/>
          <w:color w:val="auto"/>
        </w:rPr>
      </w:pPr>
      <w:r>
        <w:rPr>
          <w:rFonts w:ascii="Arial" w:cs="Arial" w:eastAsia="Arial" w:hAnsi="Arial"/>
          <w:sz w:val="11"/>
          <w:szCs w:val="11"/>
          <w:color w:val="auto"/>
        </w:rPr>
        <w:t>Manpower Portuguesa- Servicios de Recursos Humanos, SA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Manpower Portuguesa 2- Servicios, LDA</w:t>
      </w:r>
    </w:p>
    <w:p>
      <w:pPr>
        <w:spacing w:after="0" w:line="229" w:lineRule="auto"/>
        <w:rPr>
          <w:sz w:val="20"/>
          <w:szCs w:val="20"/>
          <w:color w:val="auto"/>
        </w:rPr>
      </w:pPr>
      <w:r>
        <w:rPr>
          <w:rFonts w:ascii="Arial" w:cs="Arial" w:eastAsia="Arial" w:hAnsi="Arial"/>
          <w:sz w:val="14"/>
          <w:szCs w:val="14"/>
          <w:color w:val="auto"/>
        </w:rPr>
        <w:t>Manpower Ocean Indien</w:t>
      </w:r>
    </w:p>
    <w:p>
      <w:pPr>
        <w:spacing w:after="0" w:line="230" w:lineRule="auto"/>
        <w:rPr>
          <w:sz w:val="20"/>
          <w:szCs w:val="20"/>
          <w:color w:val="auto"/>
        </w:rPr>
      </w:pPr>
      <w:r>
        <w:rPr>
          <w:rFonts w:ascii="Arial" w:cs="Arial" w:eastAsia="Arial" w:hAnsi="Arial"/>
          <w:sz w:val="14"/>
          <w:szCs w:val="14"/>
          <w:color w:val="auto"/>
        </w:rPr>
        <w:t>FMI Resources</w:t>
      </w:r>
    </w:p>
    <w:p>
      <w:pPr>
        <w:spacing w:after="0" w:line="230" w:lineRule="auto"/>
        <w:rPr>
          <w:sz w:val="20"/>
          <w:szCs w:val="20"/>
          <w:color w:val="auto"/>
        </w:rPr>
      </w:pPr>
      <w:r>
        <w:rPr>
          <w:rFonts w:ascii="Arial" w:cs="Arial" w:eastAsia="Arial" w:hAnsi="Arial"/>
          <w:sz w:val="14"/>
          <w:szCs w:val="14"/>
          <w:color w:val="auto"/>
        </w:rPr>
        <w:t>Manpower Romania SRL</w:t>
      </w:r>
    </w:p>
    <w:p>
      <w:pPr>
        <w:spacing w:after="0" w:line="229" w:lineRule="auto"/>
        <w:rPr>
          <w:sz w:val="20"/>
          <w:szCs w:val="20"/>
          <w:color w:val="auto"/>
        </w:rPr>
      </w:pPr>
      <w:r>
        <w:rPr>
          <w:rFonts w:ascii="Arial" w:cs="Arial" w:eastAsia="Arial" w:hAnsi="Arial"/>
          <w:sz w:val="14"/>
          <w:szCs w:val="14"/>
          <w:color w:val="auto"/>
        </w:rPr>
        <w:t>Clarendon Parker Arabia</w:t>
      </w:r>
    </w:p>
    <w:p>
      <w:pPr>
        <w:spacing w:after="0" w:line="230" w:lineRule="auto"/>
        <w:rPr>
          <w:sz w:val="20"/>
          <w:szCs w:val="20"/>
          <w:color w:val="auto"/>
        </w:rPr>
      </w:pPr>
      <w:r>
        <w:rPr>
          <w:rFonts w:ascii="Arial" w:cs="Arial" w:eastAsia="Arial" w:hAnsi="Arial"/>
          <w:sz w:val="14"/>
          <w:szCs w:val="14"/>
          <w:color w:val="auto"/>
        </w:rPr>
        <w:t>Manpower LLC Belgrade</w:t>
      </w:r>
    </w:p>
    <w:p>
      <w:pPr>
        <w:spacing w:after="0" w:line="230" w:lineRule="auto"/>
        <w:rPr>
          <w:sz w:val="20"/>
          <w:szCs w:val="20"/>
          <w:color w:val="auto"/>
        </w:rPr>
      </w:pPr>
      <w:r>
        <w:rPr>
          <w:rFonts w:ascii="Arial" w:cs="Arial" w:eastAsia="Arial" w:hAnsi="Arial"/>
          <w:sz w:val="14"/>
          <w:szCs w:val="14"/>
          <w:color w:val="auto"/>
        </w:rPr>
        <w:t>Manpower Staffing Services (Singapore) Pte. Ltd.</w:t>
      </w:r>
    </w:p>
    <w:p>
      <w:pPr>
        <w:spacing w:after="0"/>
        <w:rPr>
          <w:sz w:val="20"/>
          <w:szCs w:val="20"/>
          <w:color w:val="auto"/>
        </w:rPr>
      </w:pPr>
      <w:r>
        <w:rPr>
          <w:rFonts w:ascii="Arial" w:cs="Arial" w:eastAsia="Arial" w:hAnsi="Arial"/>
          <w:sz w:val="13"/>
          <w:szCs w:val="13"/>
          <w:color w:val="auto"/>
        </w:rPr>
        <w:t>Right Management Consultants International Pty. Ltd.</w:t>
      </w:r>
    </w:p>
    <w:p>
      <w:pPr>
        <w:spacing w:after="0" w:line="236" w:lineRule="auto"/>
        <w:rPr>
          <w:sz w:val="20"/>
          <w:szCs w:val="20"/>
          <w:color w:val="auto"/>
        </w:rPr>
      </w:pPr>
      <w:r>
        <w:rPr>
          <w:rFonts w:ascii="Arial" w:cs="Arial" w:eastAsia="Arial" w:hAnsi="Arial"/>
          <w:sz w:val="14"/>
          <w:szCs w:val="14"/>
          <w:color w:val="auto"/>
        </w:rPr>
        <w:t>Right Management Singapore Pte. Ltd.</w:t>
      </w:r>
    </w:p>
    <w:p>
      <w:pPr>
        <w:spacing w:after="0" w:line="230" w:lineRule="auto"/>
        <w:rPr>
          <w:sz w:val="20"/>
          <w:szCs w:val="20"/>
          <w:color w:val="auto"/>
        </w:rPr>
      </w:pPr>
      <w:r>
        <w:rPr>
          <w:rFonts w:ascii="Arial" w:cs="Arial" w:eastAsia="Arial" w:hAnsi="Arial"/>
          <w:sz w:val="14"/>
          <w:szCs w:val="14"/>
          <w:color w:val="auto"/>
        </w:rPr>
        <w:t>The Empower Group (Asia) Ltd.</w:t>
      </w:r>
    </w:p>
    <w:p>
      <w:pPr>
        <w:spacing w:after="0" w:line="229" w:lineRule="auto"/>
        <w:rPr>
          <w:sz w:val="20"/>
          <w:szCs w:val="20"/>
          <w:color w:val="auto"/>
        </w:rPr>
      </w:pPr>
      <w:r>
        <w:rPr>
          <w:rFonts w:ascii="Arial" w:cs="Arial" w:eastAsia="Arial" w:hAnsi="Arial"/>
          <w:sz w:val="14"/>
          <w:szCs w:val="14"/>
          <w:color w:val="auto"/>
        </w:rPr>
        <w:t>Manpower Slovakia SRO</w:t>
      </w:r>
    </w:p>
    <w:p>
      <w:pPr>
        <w:spacing w:after="0" w:line="230" w:lineRule="auto"/>
        <w:rPr>
          <w:sz w:val="20"/>
          <w:szCs w:val="20"/>
          <w:color w:val="auto"/>
        </w:rPr>
      </w:pPr>
      <w:r>
        <w:rPr>
          <w:rFonts w:ascii="Arial" w:cs="Arial" w:eastAsia="Arial" w:hAnsi="Arial"/>
          <w:sz w:val="14"/>
          <w:szCs w:val="14"/>
          <w:color w:val="auto"/>
        </w:rPr>
        <w:t>Manpower d.o.o.</w:t>
      </w:r>
    </w:p>
    <w:p>
      <w:pPr>
        <w:spacing w:after="0" w:line="230" w:lineRule="auto"/>
        <w:rPr>
          <w:sz w:val="20"/>
          <w:szCs w:val="20"/>
          <w:color w:val="auto"/>
        </w:rPr>
      </w:pPr>
      <w:r>
        <w:rPr>
          <w:rFonts w:ascii="Arial" w:cs="Arial" w:eastAsia="Arial" w:hAnsi="Arial"/>
          <w:sz w:val="14"/>
          <w:szCs w:val="14"/>
          <w:color w:val="auto"/>
        </w:rPr>
        <w:t>Jefferson Wells SA (Proprietary) Limited</w:t>
      </w:r>
    </w:p>
    <w:p>
      <w:pPr>
        <w:spacing w:after="0" w:line="230" w:lineRule="auto"/>
        <w:rPr>
          <w:sz w:val="20"/>
          <w:szCs w:val="20"/>
          <w:color w:val="auto"/>
        </w:rPr>
      </w:pPr>
      <w:r>
        <w:rPr>
          <w:rFonts w:ascii="Arial" w:cs="Arial" w:eastAsia="Arial" w:hAnsi="Arial"/>
          <w:sz w:val="14"/>
          <w:szCs w:val="14"/>
          <w:color w:val="auto"/>
        </w:rPr>
        <w:t>Manpower Intoto (Pty) Ltd.</w:t>
      </w:r>
    </w:p>
    <w:p>
      <w:pPr>
        <w:spacing w:after="0" w:line="229" w:lineRule="auto"/>
        <w:rPr>
          <w:sz w:val="20"/>
          <w:szCs w:val="20"/>
          <w:color w:val="auto"/>
        </w:rPr>
      </w:pPr>
      <w:r>
        <w:rPr>
          <w:rFonts w:ascii="Arial" w:cs="Arial" w:eastAsia="Arial" w:hAnsi="Arial"/>
          <w:sz w:val="14"/>
          <w:szCs w:val="14"/>
          <w:color w:val="auto"/>
        </w:rPr>
        <w:t>Manpower S.A. (Pty) Ltd.</w:t>
      </w:r>
    </w:p>
    <w:p>
      <w:pPr>
        <w:spacing w:after="0" w:line="230" w:lineRule="auto"/>
        <w:rPr>
          <w:sz w:val="20"/>
          <w:szCs w:val="20"/>
          <w:color w:val="auto"/>
        </w:rPr>
      </w:pPr>
      <w:r>
        <w:rPr>
          <w:rFonts w:ascii="Arial" w:cs="Arial" w:eastAsia="Arial" w:hAnsi="Arial"/>
          <w:sz w:val="14"/>
          <w:szCs w:val="14"/>
          <w:color w:val="auto"/>
        </w:rPr>
        <w:t>Vuya Manpower (Pty) Ltd.</w:t>
      </w:r>
    </w:p>
    <w:p>
      <w:pPr>
        <w:spacing w:after="0" w:line="230" w:lineRule="auto"/>
        <w:rPr>
          <w:sz w:val="20"/>
          <w:szCs w:val="20"/>
          <w:color w:val="auto"/>
        </w:rPr>
      </w:pPr>
      <w:r>
        <w:rPr>
          <w:rFonts w:ascii="Arial" w:cs="Arial" w:eastAsia="Arial" w:hAnsi="Arial"/>
          <w:sz w:val="14"/>
          <w:szCs w:val="14"/>
          <w:color w:val="auto"/>
        </w:rPr>
        <w:t>By Manpower S.L.</w:t>
      </w:r>
    </w:p>
    <w:p>
      <w:pPr>
        <w:spacing w:after="0" w:line="229" w:lineRule="auto"/>
        <w:rPr>
          <w:sz w:val="20"/>
          <w:szCs w:val="20"/>
          <w:color w:val="auto"/>
        </w:rPr>
      </w:pPr>
      <w:r>
        <w:rPr>
          <w:rFonts w:ascii="Arial" w:cs="Arial" w:eastAsia="Arial" w:hAnsi="Arial"/>
          <w:sz w:val="14"/>
          <w:szCs w:val="14"/>
          <w:color w:val="auto"/>
        </w:rPr>
        <w:t>Elan IT Resource Computing S.L.</w:t>
      </w:r>
    </w:p>
    <w:p>
      <w:pPr>
        <w:spacing w:after="0" w:line="230" w:lineRule="auto"/>
        <w:rPr>
          <w:sz w:val="20"/>
          <w:szCs w:val="20"/>
          <w:color w:val="auto"/>
        </w:rPr>
      </w:pPr>
      <w:r>
        <w:rPr>
          <w:rFonts w:ascii="Arial" w:cs="Arial" w:eastAsia="Arial" w:hAnsi="Arial"/>
          <w:sz w:val="14"/>
          <w:szCs w:val="14"/>
          <w:color w:val="auto"/>
        </w:rPr>
        <w:t>Manpower Business Solutions, S.L.U.</w:t>
      </w:r>
    </w:p>
    <w:p>
      <w:pPr>
        <w:spacing w:after="0" w:line="230" w:lineRule="auto"/>
        <w:rPr>
          <w:sz w:val="20"/>
          <w:szCs w:val="20"/>
          <w:color w:val="auto"/>
        </w:rPr>
      </w:pPr>
      <w:r>
        <w:rPr>
          <w:rFonts w:ascii="Arial" w:cs="Arial" w:eastAsia="Arial" w:hAnsi="Arial"/>
          <w:sz w:val="14"/>
          <w:szCs w:val="14"/>
          <w:color w:val="auto"/>
        </w:rPr>
        <w:t>Manpower Team E.T.T., S.A.U.</w:t>
      </w:r>
    </w:p>
    <w:p>
      <w:pPr>
        <w:spacing w:after="0" w:line="229" w:lineRule="auto"/>
        <w:rPr>
          <w:sz w:val="20"/>
          <w:szCs w:val="20"/>
          <w:color w:val="auto"/>
        </w:rPr>
      </w:pPr>
      <w:r>
        <w:rPr>
          <w:rFonts w:ascii="Arial" w:cs="Arial" w:eastAsia="Arial" w:hAnsi="Arial"/>
          <w:sz w:val="14"/>
          <w:szCs w:val="14"/>
          <w:color w:val="auto"/>
        </w:rPr>
        <w:t>Right Management Spain, S.L.U.</w:t>
      </w:r>
    </w:p>
    <w:p>
      <w:pPr>
        <w:spacing w:after="0" w:line="230" w:lineRule="auto"/>
        <w:rPr>
          <w:sz w:val="20"/>
          <w:szCs w:val="20"/>
          <w:color w:val="auto"/>
        </w:rPr>
      </w:pPr>
      <w:r>
        <w:rPr>
          <w:rFonts w:ascii="Arial" w:cs="Arial" w:eastAsia="Arial" w:hAnsi="Arial"/>
          <w:sz w:val="14"/>
          <w:szCs w:val="14"/>
          <w:color w:val="auto"/>
        </w:rPr>
        <w:t>Manpower Student AB</w:t>
      </w:r>
    </w:p>
    <w:p>
      <w:pPr>
        <w:spacing w:after="0" w:line="230" w:lineRule="auto"/>
        <w:rPr>
          <w:sz w:val="20"/>
          <w:szCs w:val="20"/>
          <w:color w:val="auto"/>
        </w:rPr>
      </w:pPr>
      <w:r>
        <w:rPr>
          <w:rFonts w:ascii="Arial" w:cs="Arial" w:eastAsia="Arial" w:hAnsi="Arial"/>
          <w:sz w:val="14"/>
          <w:szCs w:val="14"/>
          <w:color w:val="auto"/>
        </w:rPr>
        <w:t>Manpower Business Solutions Service Center AB</w:t>
      </w:r>
    </w:p>
    <w:p>
      <w:pPr>
        <w:spacing w:after="0" w:line="229" w:lineRule="auto"/>
        <w:rPr>
          <w:sz w:val="20"/>
          <w:szCs w:val="20"/>
          <w:color w:val="auto"/>
        </w:rPr>
      </w:pPr>
      <w:r>
        <w:rPr>
          <w:rFonts w:ascii="Arial" w:cs="Arial" w:eastAsia="Arial" w:hAnsi="Arial"/>
          <w:sz w:val="14"/>
          <w:szCs w:val="14"/>
          <w:color w:val="auto"/>
        </w:rPr>
        <w:t>Elan IT Resources AB</w:t>
      </w:r>
    </w:p>
    <w:p>
      <w:pPr>
        <w:spacing w:after="0" w:line="230" w:lineRule="auto"/>
        <w:rPr>
          <w:sz w:val="20"/>
          <w:szCs w:val="20"/>
          <w:color w:val="auto"/>
        </w:rPr>
      </w:pPr>
      <w:r>
        <w:rPr>
          <w:rFonts w:ascii="Arial" w:cs="Arial" w:eastAsia="Arial" w:hAnsi="Arial"/>
          <w:sz w:val="14"/>
          <w:szCs w:val="14"/>
          <w:color w:val="auto"/>
        </w:rPr>
        <w:t>Manpower AB</w:t>
      </w:r>
    </w:p>
    <w:p>
      <w:pPr>
        <w:spacing w:after="0" w:line="230" w:lineRule="auto"/>
        <w:rPr>
          <w:sz w:val="20"/>
          <w:szCs w:val="20"/>
          <w:color w:val="auto"/>
        </w:rPr>
      </w:pPr>
      <w:r>
        <w:rPr>
          <w:rFonts w:ascii="Arial" w:cs="Arial" w:eastAsia="Arial" w:hAnsi="Arial"/>
          <w:sz w:val="14"/>
          <w:szCs w:val="14"/>
          <w:color w:val="auto"/>
        </w:rPr>
        <w:t>Manpower Business Solutions Production AB</w:t>
      </w:r>
    </w:p>
    <w:p>
      <w:pPr>
        <w:spacing w:after="0" w:line="230" w:lineRule="auto"/>
        <w:rPr>
          <w:sz w:val="20"/>
          <w:szCs w:val="20"/>
          <w:color w:val="auto"/>
        </w:rPr>
      </w:pPr>
      <w:r>
        <w:rPr>
          <w:rFonts w:ascii="Arial" w:cs="Arial" w:eastAsia="Arial" w:hAnsi="Arial"/>
          <w:sz w:val="14"/>
          <w:szCs w:val="14"/>
          <w:color w:val="auto"/>
        </w:rPr>
        <w:t>Manpower Business Solutions Technical Services AB</w:t>
      </w:r>
    </w:p>
    <w:p>
      <w:pPr>
        <w:spacing w:after="0" w:line="229" w:lineRule="auto"/>
        <w:rPr>
          <w:sz w:val="20"/>
          <w:szCs w:val="20"/>
          <w:color w:val="auto"/>
        </w:rPr>
      </w:pPr>
      <w:r>
        <w:rPr>
          <w:rFonts w:ascii="Arial" w:cs="Arial" w:eastAsia="Arial" w:hAnsi="Arial"/>
          <w:sz w:val="14"/>
          <w:szCs w:val="14"/>
          <w:color w:val="auto"/>
        </w:rPr>
        <w:t>Manpower Contage AB</w:t>
      </w:r>
    </w:p>
    <w:p>
      <w:pPr>
        <w:spacing w:after="0" w:line="230" w:lineRule="auto"/>
        <w:rPr>
          <w:sz w:val="20"/>
          <w:szCs w:val="20"/>
          <w:color w:val="auto"/>
        </w:rPr>
      </w:pPr>
      <w:r>
        <w:rPr>
          <w:rFonts w:ascii="Arial" w:cs="Arial" w:eastAsia="Arial" w:hAnsi="Arial"/>
          <w:sz w:val="14"/>
          <w:szCs w:val="14"/>
          <w:color w:val="auto"/>
        </w:rPr>
        <w:t>Manpower EL &amp; Tele AB</w:t>
      </w:r>
    </w:p>
    <w:p>
      <w:pPr>
        <w:spacing w:after="0" w:line="230" w:lineRule="auto"/>
        <w:rPr>
          <w:sz w:val="20"/>
          <w:szCs w:val="20"/>
          <w:color w:val="auto"/>
        </w:rPr>
      </w:pPr>
      <w:r>
        <w:rPr>
          <w:rFonts w:ascii="Arial" w:cs="Arial" w:eastAsia="Arial" w:hAnsi="Arial"/>
          <w:sz w:val="14"/>
          <w:szCs w:val="14"/>
          <w:color w:val="auto"/>
        </w:rPr>
        <w:t>Manpower HalsoPartner AB</w:t>
      </w:r>
    </w:p>
    <w:p>
      <w:pPr>
        <w:spacing w:after="0" w:line="229" w:lineRule="auto"/>
        <w:rPr>
          <w:sz w:val="20"/>
          <w:szCs w:val="20"/>
          <w:color w:val="auto"/>
        </w:rPr>
      </w:pPr>
      <w:r>
        <w:rPr>
          <w:rFonts w:ascii="Arial" w:cs="Arial" w:eastAsia="Arial" w:hAnsi="Arial"/>
          <w:sz w:val="14"/>
          <w:szCs w:val="14"/>
          <w:color w:val="auto"/>
        </w:rPr>
        <w:t>Manpower Sverige AB</w:t>
      </w:r>
    </w:p>
    <w:p>
      <w:pPr>
        <w:spacing w:after="0" w:line="230" w:lineRule="auto"/>
        <w:rPr>
          <w:sz w:val="20"/>
          <w:szCs w:val="20"/>
          <w:color w:val="auto"/>
        </w:rPr>
      </w:pPr>
      <w:r>
        <w:rPr>
          <w:rFonts w:ascii="Arial" w:cs="Arial" w:eastAsia="Arial" w:hAnsi="Arial"/>
          <w:sz w:val="14"/>
          <w:szCs w:val="14"/>
          <w:color w:val="auto"/>
        </w:rPr>
        <w:t>Nordea Bemanning AB</w:t>
      </w:r>
    </w:p>
    <w:p>
      <w:pPr>
        <w:spacing w:after="0" w:line="230" w:lineRule="auto"/>
        <w:rPr>
          <w:sz w:val="20"/>
          <w:szCs w:val="20"/>
          <w:color w:val="auto"/>
        </w:rPr>
      </w:pPr>
      <w:r>
        <w:rPr>
          <w:rFonts w:ascii="Arial" w:cs="Arial" w:eastAsia="Arial" w:hAnsi="Arial"/>
          <w:sz w:val="14"/>
          <w:szCs w:val="14"/>
          <w:color w:val="auto"/>
        </w:rPr>
        <w:t>Ostgotahalsan AB</w:t>
      </w:r>
    </w:p>
    <w:p>
      <w:pPr>
        <w:spacing w:after="0" w:line="229" w:lineRule="auto"/>
        <w:rPr>
          <w:sz w:val="20"/>
          <w:szCs w:val="20"/>
          <w:color w:val="auto"/>
        </w:rPr>
      </w:pPr>
      <w:r>
        <w:rPr>
          <w:rFonts w:ascii="Arial" w:cs="Arial" w:eastAsia="Arial" w:hAnsi="Arial"/>
          <w:sz w:val="14"/>
          <w:szCs w:val="14"/>
          <w:color w:val="auto"/>
        </w:rPr>
        <w:t>Right Management Sweden AB</w:t>
      </w:r>
    </w:p>
    <w:p>
      <w:pPr>
        <w:spacing w:after="0" w:line="230" w:lineRule="auto"/>
        <w:rPr>
          <w:sz w:val="20"/>
          <w:szCs w:val="20"/>
          <w:color w:val="auto"/>
        </w:rPr>
      </w:pPr>
      <w:r>
        <w:rPr>
          <w:rFonts w:ascii="Arial" w:cs="Arial" w:eastAsia="Arial" w:hAnsi="Arial"/>
          <w:sz w:val="14"/>
          <w:szCs w:val="14"/>
          <w:color w:val="auto"/>
        </w:rPr>
        <w:t>Right Sinova AB</w:t>
      </w:r>
    </w:p>
    <w:p>
      <w:pPr>
        <w:spacing w:after="0" w:line="230" w:lineRule="auto"/>
        <w:rPr>
          <w:sz w:val="20"/>
          <w:szCs w:val="20"/>
          <w:color w:val="auto"/>
        </w:rPr>
      </w:pPr>
      <w:r>
        <w:rPr>
          <w:rFonts w:ascii="Arial" w:cs="Arial" w:eastAsia="Arial" w:hAnsi="Arial"/>
          <w:sz w:val="14"/>
          <w:szCs w:val="14"/>
          <w:color w:val="auto"/>
        </w:rPr>
        <w:t>Right Sinova Sweden AB</w:t>
      </w:r>
    </w:p>
    <w:p>
      <w:pPr>
        <w:spacing w:after="0" w:line="230" w:lineRule="auto"/>
        <w:rPr>
          <w:sz w:val="20"/>
          <w:szCs w:val="20"/>
          <w:color w:val="auto"/>
        </w:rPr>
      </w:pPr>
      <w:r>
        <w:rPr>
          <w:rFonts w:ascii="Arial" w:cs="Arial" w:eastAsia="Arial" w:hAnsi="Arial"/>
          <w:sz w:val="14"/>
          <w:szCs w:val="14"/>
          <w:color w:val="auto"/>
        </w:rPr>
        <w:t>Sveriges Akademikerformedling AB</w:t>
      </w:r>
    </w:p>
    <w:p>
      <w:pPr>
        <w:spacing w:after="0" w:line="229" w:lineRule="auto"/>
        <w:rPr>
          <w:sz w:val="20"/>
          <w:szCs w:val="20"/>
          <w:color w:val="auto"/>
        </w:rPr>
      </w:pPr>
      <w:r>
        <w:rPr>
          <w:rFonts w:ascii="Arial" w:cs="Arial" w:eastAsia="Arial" w:hAnsi="Arial"/>
          <w:sz w:val="14"/>
          <w:szCs w:val="14"/>
          <w:color w:val="auto"/>
        </w:rPr>
        <w:t>Allegra Finanz AG</w:t>
      </w:r>
    </w:p>
    <w:p>
      <w:pPr>
        <w:spacing w:after="0" w:line="230" w:lineRule="auto"/>
        <w:rPr>
          <w:sz w:val="20"/>
          <w:szCs w:val="20"/>
          <w:color w:val="auto"/>
        </w:rPr>
      </w:pPr>
      <w:r>
        <w:rPr>
          <w:rFonts w:ascii="Arial" w:cs="Arial" w:eastAsia="Arial" w:hAnsi="Arial"/>
          <w:sz w:val="14"/>
          <w:szCs w:val="14"/>
          <w:color w:val="auto"/>
        </w:rPr>
        <w:t>Elan Computing (Schweiz) AG, Zurich</w:t>
      </w:r>
    </w:p>
    <w:p>
      <w:pPr>
        <w:spacing w:after="0" w:line="230" w:lineRule="auto"/>
        <w:rPr>
          <w:sz w:val="20"/>
          <w:szCs w:val="20"/>
          <w:color w:val="auto"/>
        </w:rPr>
      </w:pPr>
      <w:r>
        <w:rPr>
          <w:rFonts w:ascii="Arial" w:cs="Arial" w:eastAsia="Arial" w:hAnsi="Arial"/>
          <w:sz w:val="14"/>
          <w:szCs w:val="14"/>
          <w:color w:val="auto"/>
        </w:rPr>
        <w:t>Elan Telecommunications GmbH</w:t>
      </w:r>
    </w:p>
    <w:p>
      <w:pPr>
        <w:spacing w:after="0" w:line="229" w:lineRule="auto"/>
        <w:rPr>
          <w:sz w:val="20"/>
          <w:szCs w:val="20"/>
          <w:color w:val="auto"/>
        </w:rPr>
      </w:pPr>
      <w:r>
        <w:rPr>
          <w:rFonts w:ascii="Arial" w:cs="Arial" w:eastAsia="Arial" w:hAnsi="Arial"/>
          <w:sz w:val="14"/>
          <w:szCs w:val="14"/>
          <w:color w:val="auto"/>
        </w:rPr>
        <w:t>Manpower AG</w:t>
      </w:r>
    </w:p>
    <w:p>
      <w:pPr>
        <w:spacing w:after="0" w:line="230" w:lineRule="auto"/>
        <w:rPr>
          <w:sz w:val="20"/>
          <w:szCs w:val="20"/>
          <w:color w:val="auto"/>
        </w:rPr>
      </w:pPr>
      <w:r>
        <w:rPr>
          <w:rFonts w:ascii="Arial" w:cs="Arial" w:eastAsia="Arial" w:hAnsi="Arial"/>
          <w:sz w:val="14"/>
          <w:szCs w:val="14"/>
          <w:color w:val="auto"/>
        </w:rPr>
        <w:t>Manpower Holding AG</w:t>
      </w:r>
    </w:p>
    <w:p>
      <w:pPr>
        <w:spacing w:after="0" w:line="230" w:lineRule="auto"/>
        <w:rPr>
          <w:sz w:val="20"/>
          <w:szCs w:val="20"/>
          <w:color w:val="auto"/>
        </w:rPr>
      </w:pPr>
      <w:r>
        <w:rPr>
          <w:rFonts w:ascii="Arial" w:cs="Arial" w:eastAsia="Arial" w:hAnsi="Arial"/>
          <w:sz w:val="14"/>
          <w:szCs w:val="14"/>
          <w:color w:val="auto"/>
        </w:rPr>
        <w:t>Manpower HR Management S.A.</w:t>
      </w:r>
    </w:p>
    <w:p>
      <w:pPr>
        <w:spacing w:after="0" w:line="229" w:lineRule="auto"/>
        <w:rPr>
          <w:sz w:val="20"/>
          <w:szCs w:val="20"/>
          <w:color w:val="auto"/>
        </w:rPr>
      </w:pPr>
      <w:r>
        <w:rPr>
          <w:rFonts w:ascii="Arial" w:cs="Arial" w:eastAsia="Arial" w:hAnsi="Arial"/>
          <w:sz w:val="14"/>
          <w:szCs w:val="14"/>
          <w:color w:val="auto"/>
        </w:rPr>
        <w:t>MRC Consulting AG</w:t>
      </w:r>
    </w:p>
    <w:p>
      <w:pPr>
        <w:spacing w:after="0" w:line="230" w:lineRule="auto"/>
        <w:rPr>
          <w:sz w:val="20"/>
          <w:szCs w:val="20"/>
          <w:color w:val="auto"/>
        </w:rPr>
      </w:pPr>
      <w:r>
        <w:rPr>
          <w:rFonts w:ascii="Arial" w:cs="Arial" w:eastAsia="Arial" w:hAnsi="Arial"/>
          <w:sz w:val="14"/>
          <w:szCs w:val="14"/>
          <w:color w:val="auto"/>
        </w:rPr>
        <w:t>M.S.A.</w:t>
      </w:r>
    </w:p>
    <w:p>
      <w:pPr>
        <w:spacing w:after="0"/>
        <w:rPr>
          <w:sz w:val="20"/>
          <w:szCs w:val="20"/>
          <w:color w:val="auto"/>
        </w:rPr>
      </w:pPr>
      <w:r>
        <w:rPr>
          <w:rFonts w:ascii="Arial" w:cs="Arial" w:eastAsia="Arial" w:hAnsi="Arial"/>
          <w:sz w:val="14"/>
          <w:szCs w:val="14"/>
          <w:color w:val="auto"/>
        </w:rPr>
        <w:t>Right Management Switzerland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Mexico</w:t>
      </w:r>
    </w:p>
    <w:p>
      <w:pPr>
        <w:spacing w:after="0" w:line="237" w:lineRule="auto"/>
        <w:rPr>
          <w:sz w:val="20"/>
          <w:szCs w:val="20"/>
          <w:color w:val="auto"/>
        </w:rPr>
      </w:pPr>
      <w:r>
        <w:rPr>
          <w:rFonts w:ascii="Arial" w:cs="Arial" w:eastAsia="Arial" w:hAnsi="Arial"/>
          <w:sz w:val="14"/>
          <w:szCs w:val="14"/>
          <w:color w:val="auto"/>
        </w:rPr>
        <w:t>Mexico</w:t>
      </w:r>
    </w:p>
    <w:p>
      <w:pPr>
        <w:spacing w:after="0" w:line="229" w:lineRule="auto"/>
        <w:rPr>
          <w:sz w:val="20"/>
          <w:szCs w:val="20"/>
          <w:color w:val="auto"/>
        </w:rPr>
      </w:pPr>
      <w:r>
        <w:rPr>
          <w:rFonts w:ascii="Arial" w:cs="Arial" w:eastAsia="Arial" w:hAnsi="Arial"/>
          <w:sz w:val="14"/>
          <w:szCs w:val="14"/>
          <w:color w:val="auto"/>
        </w:rPr>
        <w:t>Mexico</w:t>
      </w:r>
    </w:p>
    <w:p>
      <w:pPr>
        <w:spacing w:after="0" w:line="230" w:lineRule="auto"/>
        <w:rPr>
          <w:sz w:val="20"/>
          <w:szCs w:val="20"/>
          <w:color w:val="auto"/>
        </w:rPr>
      </w:pPr>
      <w:r>
        <w:rPr>
          <w:rFonts w:ascii="Arial" w:cs="Arial" w:eastAsia="Arial" w:hAnsi="Arial"/>
          <w:sz w:val="14"/>
          <w:szCs w:val="14"/>
          <w:color w:val="auto"/>
        </w:rPr>
        <w:t>Mexico</w:t>
      </w:r>
    </w:p>
    <w:p>
      <w:pPr>
        <w:spacing w:after="0" w:line="230" w:lineRule="auto"/>
        <w:rPr>
          <w:sz w:val="20"/>
          <w:szCs w:val="20"/>
          <w:color w:val="auto"/>
        </w:rPr>
      </w:pPr>
      <w:r>
        <w:rPr>
          <w:rFonts w:ascii="Arial" w:cs="Arial" w:eastAsia="Arial" w:hAnsi="Arial"/>
          <w:sz w:val="14"/>
          <w:szCs w:val="14"/>
          <w:color w:val="auto"/>
        </w:rPr>
        <w:t>Mexico</w:t>
      </w:r>
    </w:p>
    <w:p>
      <w:pPr>
        <w:spacing w:after="0" w:line="230" w:lineRule="auto"/>
        <w:rPr>
          <w:sz w:val="20"/>
          <w:szCs w:val="20"/>
          <w:color w:val="auto"/>
        </w:rPr>
      </w:pPr>
      <w:r>
        <w:rPr>
          <w:rFonts w:ascii="Arial" w:cs="Arial" w:eastAsia="Arial" w:hAnsi="Arial"/>
          <w:sz w:val="14"/>
          <w:szCs w:val="14"/>
          <w:color w:val="auto"/>
        </w:rPr>
        <w:t>Monaco</w:t>
      </w:r>
    </w:p>
    <w:p>
      <w:pPr>
        <w:spacing w:after="0" w:line="229" w:lineRule="auto"/>
        <w:rPr>
          <w:sz w:val="20"/>
          <w:szCs w:val="20"/>
          <w:color w:val="auto"/>
        </w:rPr>
      </w:pPr>
      <w:r>
        <w:rPr>
          <w:rFonts w:ascii="Arial" w:cs="Arial" w:eastAsia="Arial" w:hAnsi="Arial"/>
          <w:sz w:val="14"/>
          <w:szCs w:val="14"/>
          <w:color w:val="auto"/>
        </w:rPr>
        <w:t>Morocco</w:t>
      </w:r>
    </w:p>
    <w:p>
      <w:pPr>
        <w:spacing w:after="0" w:line="230" w:lineRule="auto"/>
        <w:rPr>
          <w:sz w:val="20"/>
          <w:szCs w:val="20"/>
          <w:color w:val="auto"/>
        </w:rPr>
      </w:pPr>
      <w:r>
        <w:rPr>
          <w:rFonts w:ascii="Arial" w:cs="Arial" w:eastAsia="Arial" w:hAnsi="Arial"/>
          <w:sz w:val="14"/>
          <w:szCs w:val="14"/>
          <w:color w:val="auto"/>
        </w:rPr>
        <w:t>Morocco</w:t>
      </w:r>
    </w:p>
    <w:p>
      <w:pPr>
        <w:spacing w:after="0" w:line="230" w:lineRule="auto"/>
        <w:rPr>
          <w:sz w:val="20"/>
          <w:szCs w:val="20"/>
          <w:color w:val="auto"/>
        </w:rPr>
      </w:pPr>
      <w:r>
        <w:rPr>
          <w:rFonts w:ascii="Arial" w:cs="Arial" w:eastAsia="Arial" w:hAnsi="Arial"/>
          <w:sz w:val="14"/>
          <w:szCs w:val="14"/>
          <w:color w:val="auto"/>
        </w:rPr>
        <w:t>Netherlands</w:t>
      </w:r>
    </w:p>
    <w:p>
      <w:pPr>
        <w:spacing w:after="0" w:line="229"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29"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29"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29"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29"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29"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line="230" w:lineRule="auto"/>
        <w:rPr>
          <w:sz w:val="20"/>
          <w:szCs w:val="20"/>
          <w:color w:val="auto"/>
        </w:rPr>
      </w:pPr>
      <w:r>
        <w:rPr>
          <w:rFonts w:ascii="Arial" w:cs="Arial" w:eastAsia="Arial" w:hAnsi="Arial"/>
          <w:sz w:val="14"/>
          <w:szCs w:val="14"/>
          <w:color w:val="auto"/>
        </w:rPr>
        <w:t>Netherlands</w:t>
      </w:r>
    </w:p>
    <w:p>
      <w:pPr>
        <w:spacing w:after="0"/>
        <w:rPr>
          <w:sz w:val="20"/>
          <w:szCs w:val="20"/>
          <w:color w:val="auto"/>
        </w:rPr>
      </w:pPr>
      <w:r>
        <w:rPr>
          <w:rFonts w:ascii="Arial" w:cs="Arial" w:eastAsia="Arial" w:hAnsi="Arial"/>
          <w:sz w:val="11"/>
          <w:szCs w:val="11"/>
          <w:color w:val="auto"/>
        </w:rPr>
        <w:t>New Caledonia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New York</w:t>
      </w:r>
    </w:p>
    <w:p>
      <w:pPr>
        <w:spacing w:after="0" w:line="229" w:lineRule="auto"/>
        <w:rPr>
          <w:sz w:val="20"/>
          <w:szCs w:val="20"/>
          <w:color w:val="auto"/>
        </w:rPr>
      </w:pPr>
      <w:r>
        <w:rPr>
          <w:rFonts w:ascii="Arial" w:cs="Arial" w:eastAsia="Arial" w:hAnsi="Arial"/>
          <w:sz w:val="14"/>
          <w:szCs w:val="14"/>
          <w:color w:val="auto"/>
        </w:rPr>
        <w:t>New Zealand</w:t>
      </w:r>
    </w:p>
    <w:p>
      <w:pPr>
        <w:spacing w:after="0" w:line="230" w:lineRule="auto"/>
        <w:rPr>
          <w:sz w:val="20"/>
          <w:szCs w:val="20"/>
          <w:color w:val="auto"/>
        </w:rPr>
      </w:pPr>
      <w:r>
        <w:rPr>
          <w:rFonts w:ascii="Arial" w:cs="Arial" w:eastAsia="Arial" w:hAnsi="Arial"/>
          <w:sz w:val="14"/>
          <w:szCs w:val="14"/>
          <w:color w:val="auto"/>
        </w:rPr>
        <w:t>New Zealand</w:t>
      </w:r>
    </w:p>
    <w:p>
      <w:pPr>
        <w:spacing w:after="0" w:line="230" w:lineRule="auto"/>
        <w:rPr>
          <w:sz w:val="20"/>
          <w:szCs w:val="20"/>
          <w:color w:val="auto"/>
        </w:rPr>
      </w:pPr>
      <w:r>
        <w:rPr>
          <w:rFonts w:ascii="Arial" w:cs="Arial" w:eastAsia="Arial" w:hAnsi="Arial"/>
          <w:sz w:val="14"/>
          <w:szCs w:val="14"/>
          <w:color w:val="auto"/>
        </w:rPr>
        <w:t>Nicaragua</w:t>
      </w:r>
    </w:p>
    <w:p>
      <w:pPr>
        <w:spacing w:after="0" w:line="229" w:lineRule="auto"/>
        <w:rPr>
          <w:sz w:val="20"/>
          <w:szCs w:val="20"/>
          <w:color w:val="auto"/>
        </w:rPr>
      </w:pPr>
      <w:r>
        <w:rPr>
          <w:rFonts w:ascii="Arial" w:cs="Arial" w:eastAsia="Arial" w:hAnsi="Arial"/>
          <w:sz w:val="14"/>
          <w:szCs w:val="14"/>
          <w:color w:val="auto"/>
        </w:rPr>
        <w:t>Norway</w:t>
      </w:r>
    </w:p>
    <w:p>
      <w:pPr>
        <w:spacing w:after="0" w:line="230" w:lineRule="auto"/>
        <w:rPr>
          <w:sz w:val="20"/>
          <w:szCs w:val="20"/>
          <w:color w:val="auto"/>
        </w:rPr>
      </w:pPr>
      <w:r>
        <w:rPr>
          <w:rFonts w:ascii="Arial" w:cs="Arial" w:eastAsia="Arial" w:hAnsi="Arial"/>
          <w:sz w:val="14"/>
          <w:szCs w:val="14"/>
          <w:color w:val="auto"/>
        </w:rPr>
        <w:t>Norway</w:t>
      </w:r>
    </w:p>
    <w:p>
      <w:pPr>
        <w:spacing w:after="0" w:line="230" w:lineRule="auto"/>
        <w:rPr>
          <w:sz w:val="20"/>
          <w:szCs w:val="20"/>
          <w:color w:val="auto"/>
        </w:rPr>
      </w:pPr>
      <w:r>
        <w:rPr>
          <w:rFonts w:ascii="Arial" w:cs="Arial" w:eastAsia="Arial" w:hAnsi="Arial"/>
          <w:sz w:val="14"/>
          <w:szCs w:val="14"/>
          <w:color w:val="auto"/>
        </w:rPr>
        <w:t>Norway</w:t>
      </w:r>
    </w:p>
    <w:p>
      <w:pPr>
        <w:spacing w:after="0" w:line="229" w:lineRule="auto"/>
        <w:rPr>
          <w:sz w:val="20"/>
          <w:szCs w:val="20"/>
          <w:color w:val="auto"/>
        </w:rPr>
      </w:pPr>
      <w:r>
        <w:rPr>
          <w:rFonts w:ascii="Arial" w:cs="Arial" w:eastAsia="Arial" w:hAnsi="Arial"/>
          <w:sz w:val="14"/>
          <w:szCs w:val="14"/>
          <w:color w:val="auto"/>
        </w:rPr>
        <w:t>Norway</w:t>
      </w:r>
    </w:p>
    <w:p>
      <w:pPr>
        <w:spacing w:after="0" w:line="230" w:lineRule="auto"/>
        <w:rPr>
          <w:sz w:val="20"/>
          <w:szCs w:val="20"/>
          <w:color w:val="auto"/>
        </w:rPr>
      </w:pPr>
      <w:r>
        <w:rPr>
          <w:rFonts w:ascii="Arial" w:cs="Arial" w:eastAsia="Arial" w:hAnsi="Arial"/>
          <w:sz w:val="14"/>
          <w:szCs w:val="14"/>
          <w:color w:val="auto"/>
        </w:rPr>
        <w:t>Norway</w:t>
      </w:r>
    </w:p>
    <w:p>
      <w:pPr>
        <w:spacing w:after="0" w:line="230" w:lineRule="auto"/>
        <w:rPr>
          <w:sz w:val="20"/>
          <w:szCs w:val="20"/>
          <w:color w:val="auto"/>
        </w:rPr>
      </w:pPr>
      <w:r>
        <w:rPr>
          <w:rFonts w:ascii="Arial" w:cs="Arial" w:eastAsia="Arial" w:hAnsi="Arial"/>
          <w:sz w:val="14"/>
          <w:szCs w:val="14"/>
          <w:color w:val="auto"/>
        </w:rPr>
        <w:t>Norway</w:t>
      </w:r>
    </w:p>
    <w:p>
      <w:pPr>
        <w:spacing w:after="0" w:line="229" w:lineRule="auto"/>
        <w:rPr>
          <w:sz w:val="20"/>
          <w:szCs w:val="20"/>
          <w:color w:val="auto"/>
        </w:rPr>
      </w:pPr>
      <w:r>
        <w:rPr>
          <w:rFonts w:ascii="Arial" w:cs="Arial" w:eastAsia="Arial" w:hAnsi="Arial"/>
          <w:sz w:val="14"/>
          <w:szCs w:val="14"/>
          <w:color w:val="auto"/>
        </w:rPr>
        <w:t>Norway</w:t>
      </w:r>
    </w:p>
    <w:p>
      <w:pPr>
        <w:spacing w:after="0" w:line="230" w:lineRule="auto"/>
        <w:rPr>
          <w:sz w:val="20"/>
          <w:szCs w:val="20"/>
          <w:color w:val="auto"/>
        </w:rPr>
      </w:pPr>
      <w:r>
        <w:rPr>
          <w:rFonts w:ascii="Arial" w:cs="Arial" w:eastAsia="Arial" w:hAnsi="Arial"/>
          <w:sz w:val="14"/>
          <w:szCs w:val="14"/>
          <w:color w:val="auto"/>
        </w:rPr>
        <w:t>Norway</w:t>
      </w:r>
    </w:p>
    <w:p>
      <w:pPr>
        <w:spacing w:after="0" w:line="230" w:lineRule="auto"/>
        <w:rPr>
          <w:sz w:val="20"/>
          <w:szCs w:val="20"/>
          <w:color w:val="auto"/>
        </w:rPr>
      </w:pPr>
      <w:r>
        <w:rPr>
          <w:rFonts w:ascii="Arial" w:cs="Arial" w:eastAsia="Arial" w:hAnsi="Arial"/>
          <w:sz w:val="14"/>
          <w:szCs w:val="14"/>
          <w:color w:val="auto"/>
        </w:rPr>
        <w:t>Norway</w:t>
      </w:r>
    </w:p>
    <w:p>
      <w:pPr>
        <w:spacing w:after="0" w:line="230" w:lineRule="auto"/>
        <w:rPr>
          <w:sz w:val="20"/>
          <w:szCs w:val="20"/>
          <w:color w:val="auto"/>
        </w:rPr>
      </w:pPr>
      <w:r>
        <w:rPr>
          <w:rFonts w:ascii="Arial" w:cs="Arial" w:eastAsia="Arial" w:hAnsi="Arial"/>
          <w:sz w:val="14"/>
          <w:szCs w:val="14"/>
          <w:color w:val="auto"/>
        </w:rPr>
        <w:t>Norway</w:t>
      </w:r>
    </w:p>
    <w:p>
      <w:pPr>
        <w:spacing w:after="0" w:line="229" w:lineRule="auto"/>
        <w:rPr>
          <w:sz w:val="20"/>
          <w:szCs w:val="20"/>
          <w:color w:val="auto"/>
        </w:rPr>
      </w:pPr>
      <w:r>
        <w:rPr>
          <w:rFonts w:ascii="Arial" w:cs="Arial" w:eastAsia="Arial" w:hAnsi="Arial"/>
          <w:sz w:val="14"/>
          <w:szCs w:val="14"/>
          <w:color w:val="auto"/>
        </w:rPr>
        <w:t>Norway</w:t>
      </w:r>
    </w:p>
    <w:p>
      <w:pPr>
        <w:spacing w:after="0" w:line="230" w:lineRule="auto"/>
        <w:rPr>
          <w:sz w:val="20"/>
          <w:szCs w:val="20"/>
          <w:color w:val="auto"/>
        </w:rPr>
      </w:pPr>
      <w:r>
        <w:rPr>
          <w:rFonts w:ascii="Arial" w:cs="Arial" w:eastAsia="Arial" w:hAnsi="Arial"/>
          <w:sz w:val="14"/>
          <w:szCs w:val="14"/>
          <w:color w:val="auto"/>
        </w:rPr>
        <w:t>Norway</w:t>
      </w:r>
    </w:p>
    <w:p>
      <w:pPr>
        <w:spacing w:after="0" w:line="230" w:lineRule="auto"/>
        <w:rPr>
          <w:sz w:val="20"/>
          <w:szCs w:val="20"/>
          <w:color w:val="auto"/>
        </w:rPr>
      </w:pPr>
      <w:r>
        <w:rPr>
          <w:rFonts w:ascii="Arial" w:cs="Arial" w:eastAsia="Arial" w:hAnsi="Arial"/>
          <w:sz w:val="14"/>
          <w:szCs w:val="14"/>
          <w:color w:val="auto"/>
        </w:rPr>
        <w:t>Norway</w:t>
      </w:r>
    </w:p>
    <w:p>
      <w:pPr>
        <w:spacing w:after="0" w:line="229" w:lineRule="auto"/>
        <w:rPr>
          <w:sz w:val="20"/>
          <w:szCs w:val="20"/>
          <w:color w:val="auto"/>
        </w:rPr>
      </w:pPr>
      <w:r>
        <w:rPr>
          <w:rFonts w:ascii="Arial" w:cs="Arial" w:eastAsia="Arial" w:hAnsi="Arial"/>
          <w:sz w:val="14"/>
          <w:szCs w:val="14"/>
          <w:color w:val="auto"/>
        </w:rPr>
        <w:t>Ohio</w:t>
      </w:r>
    </w:p>
    <w:p>
      <w:pPr>
        <w:spacing w:after="0" w:line="230" w:lineRule="auto"/>
        <w:rPr>
          <w:sz w:val="20"/>
          <w:szCs w:val="20"/>
          <w:color w:val="auto"/>
        </w:rPr>
      </w:pPr>
      <w:r>
        <w:rPr>
          <w:rFonts w:ascii="Arial" w:cs="Arial" w:eastAsia="Arial" w:hAnsi="Arial"/>
          <w:sz w:val="14"/>
          <w:szCs w:val="14"/>
          <w:color w:val="auto"/>
        </w:rPr>
        <w:t>Panama</w:t>
      </w:r>
    </w:p>
    <w:p>
      <w:pPr>
        <w:spacing w:after="0" w:line="230" w:lineRule="auto"/>
        <w:rPr>
          <w:sz w:val="20"/>
          <w:szCs w:val="20"/>
          <w:color w:val="auto"/>
        </w:rPr>
      </w:pPr>
      <w:r>
        <w:rPr>
          <w:rFonts w:ascii="Arial" w:cs="Arial" w:eastAsia="Arial" w:hAnsi="Arial"/>
          <w:sz w:val="14"/>
          <w:szCs w:val="14"/>
          <w:color w:val="auto"/>
        </w:rPr>
        <w:t>Panama</w:t>
      </w:r>
    </w:p>
    <w:p>
      <w:pPr>
        <w:spacing w:after="0" w:line="229" w:lineRule="auto"/>
        <w:rPr>
          <w:sz w:val="20"/>
          <w:szCs w:val="20"/>
          <w:color w:val="auto"/>
        </w:rPr>
      </w:pPr>
      <w:r>
        <w:rPr>
          <w:rFonts w:ascii="Arial" w:cs="Arial" w:eastAsia="Arial" w:hAnsi="Arial"/>
          <w:sz w:val="14"/>
          <w:szCs w:val="14"/>
          <w:color w:val="auto"/>
        </w:rPr>
        <w:t>Paraguay</w:t>
      </w:r>
    </w:p>
    <w:p>
      <w:pPr>
        <w:spacing w:after="0" w:line="230" w:lineRule="auto"/>
        <w:rPr>
          <w:sz w:val="20"/>
          <w:szCs w:val="20"/>
          <w:color w:val="auto"/>
        </w:rPr>
      </w:pPr>
      <w:r>
        <w:rPr>
          <w:rFonts w:ascii="Arial" w:cs="Arial" w:eastAsia="Arial" w:hAnsi="Arial"/>
          <w:sz w:val="14"/>
          <w:szCs w:val="14"/>
          <w:color w:val="auto"/>
        </w:rPr>
        <w:t>Peru</w:t>
      </w:r>
    </w:p>
    <w:p>
      <w:pPr>
        <w:spacing w:after="0" w:line="230" w:lineRule="auto"/>
        <w:rPr>
          <w:sz w:val="20"/>
          <w:szCs w:val="20"/>
          <w:color w:val="auto"/>
        </w:rPr>
      </w:pPr>
      <w:r>
        <w:rPr>
          <w:rFonts w:ascii="Arial" w:cs="Arial" w:eastAsia="Arial" w:hAnsi="Arial"/>
          <w:sz w:val="14"/>
          <w:szCs w:val="14"/>
          <w:color w:val="auto"/>
        </w:rPr>
        <w:t>Peru</w:t>
      </w:r>
    </w:p>
    <w:p>
      <w:pPr>
        <w:spacing w:after="0" w:line="229" w:lineRule="auto"/>
        <w:rPr>
          <w:sz w:val="20"/>
          <w:szCs w:val="20"/>
          <w:color w:val="auto"/>
        </w:rPr>
      </w:pPr>
      <w:r>
        <w:rPr>
          <w:rFonts w:ascii="Arial" w:cs="Arial" w:eastAsia="Arial" w:hAnsi="Arial"/>
          <w:sz w:val="14"/>
          <w:szCs w:val="14"/>
          <w:color w:val="auto"/>
        </w:rPr>
        <w:t>Pennsylvania</w:t>
      </w:r>
    </w:p>
    <w:p>
      <w:pPr>
        <w:spacing w:after="0" w:line="230" w:lineRule="auto"/>
        <w:rPr>
          <w:sz w:val="20"/>
          <w:szCs w:val="20"/>
          <w:color w:val="auto"/>
        </w:rPr>
      </w:pPr>
      <w:r>
        <w:rPr>
          <w:rFonts w:ascii="Arial" w:cs="Arial" w:eastAsia="Arial" w:hAnsi="Arial"/>
          <w:sz w:val="14"/>
          <w:szCs w:val="14"/>
          <w:color w:val="auto"/>
        </w:rPr>
        <w:t>Philippines</w:t>
      </w:r>
    </w:p>
    <w:p>
      <w:pPr>
        <w:spacing w:after="0" w:line="230" w:lineRule="auto"/>
        <w:rPr>
          <w:sz w:val="20"/>
          <w:szCs w:val="20"/>
          <w:color w:val="auto"/>
        </w:rPr>
      </w:pPr>
      <w:r>
        <w:rPr>
          <w:rFonts w:ascii="Arial" w:cs="Arial" w:eastAsia="Arial" w:hAnsi="Arial"/>
          <w:sz w:val="14"/>
          <w:szCs w:val="14"/>
          <w:color w:val="auto"/>
        </w:rPr>
        <w:t>Philippines</w:t>
      </w:r>
    </w:p>
    <w:p>
      <w:pPr>
        <w:spacing w:after="0" w:line="230" w:lineRule="auto"/>
        <w:rPr>
          <w:sz w:val="20"/>
          <w:szCs w:val="20"/>
          <w:color w:val="auto"/>
        </w:rPr>
      </w:pPr>
      <w:r>
        <w:rPr>
          <w:rFonts w:ascii="Arial" w:cs="Arial" w:eastAsia="Arial" w:hAnsi="Arial"/>
          <w:sz w:val="14"/>
          <w:szCs w:val="14"/>
          <w:color w:val="auto"/>
        </w:rPr>
        <w:t>Qatar</w:t>
      </w:r>
    </w:p>
    <w:p>
      <w:pPr>
        <w:spacing w:after="0" w:line="229" w:lineRule="auto"/>
        <w:rPr>
          <w:sz w:val="20"/>
          <w:szCs w:val="20"/>
          <w:color w:val="auto"/>
        </w:rPr>
      </w:pPr>
      <w:r>
        <w:rPr>
          <w:rFonts w:ascii="Arial" w:cs="Arial" w:eastAsia="Arial" w:hAnsi="Arial"/>
          <w:sz w:val="14"/>
          <w:szCs w:val="14"/>
          <w:color w:val="auto"/>
        </w:rPr>
        <w:t>Qatar</w:t>
      </w:r>
    </w:p>
    <w:p>
      <w:pPr>
        <w:spacing w:after="0" w:line="230" w:lineRule="auto"/>
        <w:rPr>
          <w:sz w:val="20"/>
          <w:szCs w:val="20"/>
          <w:color w:val="auto"/>
        </w:rPr>
      </w:pPr>
      <w:r>
        <w:rPr>
          <w:rFonts w:ascii="Arial" w:cs="Arial" w:eastAsia="Arial" w:hAnsi="Arial"/>
          <w:sz w:val="14"/>
          <w:szCs w:val="14"/>
          <w:color w:val="auto"/>
        </w:rPr>
        <w:t>Russia</w:t>
      </w:r>
    </w:p>
    <w:p>
      <w:pPr>
        <w:spacing w:after="0" w:line="230" w:lineRule="auto"/>
        <w:rPr>
          <w:sz w:val="20"/>
          <w:szCs w:val="20"/>
          <w:color w:val="auto"/>
        </w:rPr>
      </w:pPr>
      <w:r>
        <w:rPr>
          <w:rFonts w:ascii="Arial" w:cs="Arial" w:eastAsia="Arial" w:hAnsi="Arial"/>
          <w:sz w:val="14"/>
          <w:szCs w:val="14"/>
          <w:color w:val="auto"/>
        </w:rPr>
        <w:t>Poland</w:t>
      </w:r>
    </w:p>
    <w:p>
      <w:pPr>
        <w:spacing w:after="0" w:line="229" w:lineRule="auto"/>
        <w:rPr>
          <w:sz w:val="20"/>
          <w:szCs w:val="20"/>
          <w:color w:val="auto"/>
        </w:rPr>
      </w:pPr>
      <w:r>
        <w:rPr>
          <w:rFonts w:ascii="Arial" w:cs="Arial" w:eastAsia="Arial" w:hAnsi="Arial"/>
          <w:sz w:val="14"/>
          <w:szCs w:val="14"/>
          <w:color w:val="auto"/>
        </w:rPr>
        <w:t>Poland</w:t>
      </w:r>
    </w:p>
    <w:p>
      <w:pPr>
        <w:spacing w:after="0" w:line="230" w:lineRule="auto"/>
        <w:rPr>
          <w:sz w:val="20"/>
          <w:szCs w:val="20"/>
          <w:color w:val="auto"/>
        </w:rPr>
      </w:pPr>
      <w:r>
        <w:rPr>
          <w:rFonts w:ascii="Arial" w:cs="Arial" w:eastAsia="Arial" w:hAnsi="Arial"/>
          <w:sz w:val="14"/>
          <w:szCs w:val="14"/>
          <w:color w:val="auto"/>
        </w:rPr>
        <w:t>Portugal</w:t>
      </w:r>
    </w:p>
    <w:p>
      <w:pPr>
        <w:spacing w:after="0" w:line="230" w:lineRule="auto"/>
        <w:rPr>
          <w:sz w:val="20"/>
          <w:szCs w:val="20"/>
          <w:color w:val="auto"/>
        </w:rPr>
      </w:pPr>
      <w:r>
        <w:rPr>
          <w:rFonts w:ascii="Arial" w:cs="Arial" w:eastAsia="Arial" w:hAnsi="Arial"/>
          <w:sz w:val="14"/>
          <w:szCs w:val="14"/>
          <w:color w:val="auto"/>
        </w:rPr>
        <w:t>Portugal</w:t>
      </w:r>
    </w:p>
    <w:p>
      <w:pPr>
        <w:spacing w:after="0" w:line="229" w:lineRule="auto"/>
        <w:rPr>
          <w:sz w:val="20"/>
          <w:szCs w:val="20"/>
          <w:color w:val="auto"/>
        </w:rPr>
      </w:pPr>
      <w:r>
        <w:rPr>
          <w:rFonts w:ascii="Arial" w:cs="Arial" w:eastAsia="Arial" w:hAnsi="Arial"/>
          <w:sz w:val="14"/>
          <w:szCs w:val="14"/>
          <w:color w:val="auto"/>
        </w:rPr>
        <w:t>Reunion</w:t>
      </w:r>
    </w:p>
    <w:p>
      <w:pPr>
        <w:spacing w:after="0" w:line="230" w:lineRule="auto"/>
        <w:rPr>
          <w:sz w:val="20"/>
          <w:szCs w:val="20"/>
          <w:color w:val="auto"/>
        </w:rPr>
      </w:pPr>
      <w:r>
        <w:rPr>
          <w:rFonts w:ascii="Arial" w:cs="Arial" w:eastAsia="Arial" w:hAnsi="Arial"/>
          <w:sz w:val="14"/>
          <w:szCs w:val="14"/>
          <w:color w:val="auto"/>
        </w:rPr>
        <w:t>Reunion</w:t>
      </w:r>
    </w:p>
    <w:p>
      <w:pPr>
        <w:spacing w:after="0" w:line="230" w:lineRule="auto"/>
        <w:rPr>
          <w:sz w:val="20"/>
          <w:szCs w:val="20"/>
          <w:color w:val="auto"/>
        </w:rPr>
      </w:pPr>
      <w:r>
        <w:rPr>
          <w:rFonts w:ascii="Arial" w:cs="Arial" w:eastAsia="Arial" w:hAnsi="Arial"/>
          <w:sz w:val="14"/>
          <w:szCs w:val="14"/>
          <w:color w:val="auto"/>
        </w:rPr>
        <w:t>Romania</w:t>
      </w:r>
    </w:p>
    <w:p>
      <w:pPr>
        <w:spacing w:after="0" w:line="230" w:lineRule="auto"/>
        <w:rPr>
          <w:sz w:val="20"/>
          <w:szCs w:val="20"/>
          <w:color w:val="auto"/>
        </w:rPr>
      </w:pPr>
      <w:r>
        <w:rPr>
          <w:rFonts w:ascii="Arial" w:cs="Arial" w:eastAsia="Arial" w:hAnsi="Arial"/>
          <w:sz w:val="14"/>
          <w:szCs w:val="14"/>
          <w:color w:val="auto"/>
        </w:rPr>
        <w:t>Saudi Arabia</w:t>
      </w:r>
    </w:p>
    <w:p>
      <w:pPr>
        <w:spacing w:after="0" w:line="229" w:lineRule="auto"/>
        <w:rPr>
          <w:sz w:val="20"/>
          <w:szCs w:val="20"/>
          <w:color w:val="auto"/>
        </w:rPr>
      </w:pPr>
      <w:r>
        <w:rPr>
          <w:rFonts w:ascii="Arial" w:cs="Arial" w:eastAsia="Arial" w:hAnsi="Arial"/>
          <w:sz w:val="14"/>
          <w:szCs w:val="14"/>
          <w:color w:val="auto"/>
        </w:rPr>
        <w:t>Serbia</w:t>
      </w:r>
    </w:p>
    <w:p>
      <w:pPr>
        <w:spacing w:after="0" w:line="230" w:lineRule="auto"/>
        <w:rPr>
          <w:sz w:val="20"/>
          <w:szCs w:val="20"/>
          <w:color w:val="auto"/>
        </w:rPr>
      </w:pPr>
      <w:r>
        <w:rPr>
          <w:rFonts w:ascii="Arial" w:cs="Arial" w:eastAsia="Arial" w:hAnsi="Arial"/>
          <w:sz w:val="14"/>
          <w:szCs w:val="14"/>
          <w:color w:val="auto"/>
        </w:rPr>
        <w:t>Singapore</w:t>
      </w:r>
    </w:p>
    <w:p>
      <w:pPr>
        <w:spacing w:after="0" w:line="230" w:lineRule="auto"/>
        <w:rPr>
          <w:sz w:val="20"/>
          <w:szCs w:val="20"/>
          <w:color w:val="auto"/>
        </w:rPr>
      </w:pPr>
      <w:r>
        <w:rPr>
          <w:rFonts w:ascii="Arial" w:cs="Arial" w:eastAsia="Arial" w:hAnsi="Arial"/>
          <w:sz w:val="14"/>
          <w:szCs w:val="14"/>
          <w:color w:val="auto"/>
        </w:rPr>
        <w:t>Singapore</w:t>
      </w:r>
    </w:p>
    <w:p>
      <w:pPr>
        <w:spacing w:after="0" w:line="229" w:lineRule="auto"/>
        <w:rPr>
          <w:sz w:val="20"/>
          <w:szCs w:val="20"/>
          <w:color w:val="auto"/>
        </w:rPr>
      </w:pPr>
      <w:r>
        <w:rPr>
          <w:rFonts w:ascii="Arial" w:cs="Arial" w:eastAsia="Arial" w:hAnsi="Arial"/>
          <w:sz w:val="14"/>
          <w:szCs w:val="14"/>
          <w:color w:val="auto"/>
        </w:rPr>
        <w:t>Singapore</w:t>
      </w:r>
    </w:p>
    <w:p>
      <w:pPr>
        <w:spacing w:after="0" w:line="230" w:lineRule="auto"/>
        <w:rPr>
          <w:sz w:val="20"/>
          <w:szCs w:val="20"/>
          <w:color w:val="auto"/>
        </w:rPr>
      </w:pPr>
      <w:r>
        <w:rPr>
          <w:rFonts w:ascii="Arial" w:cs="Arial" w:eastAsia="Arial" w:hAnsi="Arial"/>
          <w:sz w:val="14"/>
          <w:szCs w:val="14"/>
          <w:color w:val="auto"/>
        </w:rPr>
        <w:t>Singapore</w:t>
      </w:r>
    </w:p>
    <w:p>
      <w:pPr>
        <w:spacing w:after="0" w:line="230" w:lineRule="auto"/>
        <w:rPr>
          <w:sz w:val="20"/>
          <w:szCs w:val="20"/>
          <w:color w:val="auto"/>
        </w:rPr>
      </w:pPr>
      <w:r>
        <w:rPr>
          <w:rFonts w:ascii="Arial" w:cs="Arial" w:eastAsia="Arial" w:hAnsi="Arial"/>
          <w:sz w:val="14"/>
          <w:szCs w:val="14"/>
          <w:color w:val="auto"/>
        </w:rPr>
        <w:t>Slovakia</w:t>
      </w:r>
    </w:p>
    <w:p>
      <w:pPr>
        <w:spacing w:after="0" w:line="229" w:lineRule="auto"/>
        <w:rPr>
          <w:sz w:val="20"/>
          <w:szCs w:val="20"/>
          <w:color w:val="auto"/>
        </w:rPr>
      </w:pPr>
      <w:r>
        <w:rPr>
          <w:rFonts w:ascii="Arial" w:cs="Arial" w:eastAsia="Arial" w:hAnsi="Arial"/>
          <w:sz w:val="14"/>
          <w:szCs w:val="14"/>
          <w:color w:val="auto"/>
        </w:rPr>
        <w:t>Slovenia</w:t>
      </w:r>
    </w:p>
    <w:p>
      <w:pPr>
        <w:spacing w:after="0" w:line="230" w:lineRule="auto"/>
        <w:rPr>
          <w:sz w:val="20"/>
          <w:szCs w:val="20"/>
          <w:color w:val="auto"/>
        </w:rPr>
      </w:pPr>
      <w:r>
        <w:rPr>
          <w:rFonts w:ascii="Arial" w:cs="Arial" w:eastAsia="Arial" w:hAnsi="Arial"/>
          <w:sz w:val="14"/>
          <w:szCs w:val="14"/>
          <w:color w:val="auto"/>
        </w:rPr>
        <w:t>South Africa</w:t>
      </w:r>
    </w:p>
    <w:p>
      <w:pPr>
        <w:spacing w:after="0" w:line="230" w:lineRule="auto"/>
        <w:rPr>
          <w:sz w:val="20"/>
          <w:szCs w:val="20"/>
          <w:color w:val="auto"/>
        </w:rPr>
      </w:pPr>
      <w:r>
        <w:rPr>
          <w:rFonts w:ascii="Arial" w:cs="Arial" w:eastAsia="Arial" w:hAnsi="Arial"/>
          <w:sz w:val="14"/>
          <w:szCs w:val="14"/>
          <w:color w:val="auto"/>
        </w:rPr>
        <w:t>South Africa</w:t>
      </w:r>
    </w:p>
    <w:p>
      <w:pPr>
        <w:spacing w:after="0" w:line="230" w:lineRule="auto"/>
        <w:rPr>
          <w:sz w:val="20"/>
          <w:szCs w:val="20"/>
          <w:color w:val="auto"/>
        </w:rPr>
      </w:pPr>
      <w:r>
        <w:rPr>
          <w:rFonts w:ascii="Arial" w:cs="Arial" w:eastAsia="Arial" w:hAnsi="Arial"/>
          <w:sz w:val="14"/>
          <w:szCs w:val="14"/>
          <w:color w:val="auto"/>
        </w:rPr>
        <w:t>South Africa</w:t>
      </w:r>
    </w:p>
    <w:p>
      <w:pPr>
        <w:spacing w:after="0" w:line="229" w:lineRule="auto"/>
        <w:rPr>
          <w:sz w:val="20"/>
          <w:szCs w:val="20"/>
          <w:color w:val="auto"/>
        </w:rPr>
      </w:pPr>
      <w:r>
        <w:rPr>
          <w:rFonts w:ascii="Arial" w:cs="Arial" w:eastAsia="Arial" w:hAnsi="Arial"/>
          <w:sz w:val="14"/>
          <w:szCs w:val="14"/>
          <w:color w:val="auto"/>
        </w:rPr>
        <w:t>South Africa</w:t>
      </w:r>
    </w:p>
    <w:p>
      <w:pPr>
        <w:spacing w:after="0" w:line="230" w:lineRule="auto"/>
        <w:rPr>
          <w:sz w:val="20"/>
          <w:szCs w:val="20"/>
          <w:color w:val="auto"/>
        </w:rPr>
      </w:pPr>
      <w:r>
        <w:rPr>
          <w:rFonts w:ascii="Arial" w:cs="Arial" w:eastAsia="Arial" w:hAnsi="Arial"/>
          <w:sz w:val="14"/>
          <w:szCs w:val="14"/>
          <w:color w:val="auto"/>
        </w:rPr>
        <w:t>Spain</w:t>
      </w:r>
    </w:p>
    <w:p>
      <w:pPr>
        <w:spacing w:after="0" w:line="230" w:lineRule="auto"/>
        <w:rPr>
          <w:sz w:val="20"/>
          <w:szCs w:val="20"/>
          <w:color w:val="auto"/>
        </w:rPr>
      </w:pPr>
      <w:r>
        <w:rPr>
          <w:rFonts w:ascii="Arial" w:cs="Arial" w:eastAsia="Arial" w:hAnsi="Arial"/>
          <w:sz w:val="14"/>
          <w:szCs w:val="14"/>
          <w:color w:val="auto"/>
        </w:rPr>
        <w:t>Spain</w:t>
      </w:r>
    </w:p>
    <w:p>
      <w:pPr>
        <w:spacing w:after="0" w:line="229" w:lineRule="auto"/>
        <w:rPr>
          <w:sz w:val="20"/>
          <w:szCs w:val="20"/>
          <w:color w:val="auto"/>
        </w:rPr>
      </w:pPr>
      <w:r>
        <w:rPr>
          <w:rFonts w:ascii="Arial" w:cs="Arial" w:eastAsia="Arial" w:hAnsi="Arial"/>
          <w:sz w:val="14"/>
          <w:szCs w:val="14"/>
          <w:color w:val="auto"/>
        </w:rPr>
        <w:t>Spain</w:t>
      </w:r>
    </w:p>
    <w:p>
      <w:pPr>
        <w:spacing w:after="0" w:line="230" w:lineRule="auto"/>
        <w:rPr>
          <w:sz w:val="20"/>
          <w:szCs w:val="20"/>
          <w:color w:val="auto"/>
        </w:rPr>
      </w:pPr>
      <w:r>
        <w:rPr>
          <w:rFonts w:ascii="Arial" w:cs="Arial" w:eastAsia="Arial" w:hAnsi="Arial"/>
          <w:sz w:val="14"/>
          <w:szCs w:val="14"/>
          <w:color w:val="auto"/>
        </w:rPr>
        <w:t>Spain</w:t>
      </w:r>
    </w:p>
    <w:p>
      <w:pPr>
        <w:spacing w:after="0" w:line="230" w:lineRule="auto"/>
        <w:rPr>
          <w:sz w:val="20"/>
          <w:szCs w:val="20"/>
          <w:color w:val="auto"/>
        </w:rPr>
      </w:pPr>
      <w:r>
        <w:rPr>
          <w:rFonts w:ascii="Arial" w:cs="Arial" w:eastAsia="Arial" w:hAnsi="Arial"/>
          <w:sz w:val="14"/>
          <w:szCs w:val="14"/>
          <w:color w:val="auto"/>
        </w:rPr>
        <w:t>Spain</w:t>
      </w:r>
    </w:p>
    <w:p>
      <w:pPr>
        <w:spacing w:after="0" w:line="229"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29"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29"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29"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29"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30" w:lineRule="auto"/>
        <w:rPr>
          <w:sz w:val="20"/>
          <w:szCs w:val="20"/>
          <w:color w:val="auto"/>
        </w:rPr>
      </w:pPr>
      <w:r>
        <w:rPr>
          <w:rFonts w:ascii="Arial" w:cs="Arial" w:eastAsia="Arial" w:hAnsi="Arial"/>
          <w:sz w:val="14"/>
          <w:szCs w:val="14"/>
          <w:color w:val="auto"/>
        </w:rPr>
        <w:t>Sweden</w:t>
      </w:r>
    </w:p>
    <w:p>
      <w:pPr>
        <w:spacing w:after="0" w:line="229" w:lineRule="auto"/>
        <w:rPr>
          <w:sz w:val="20"/>
          <w:szCs w:val="20"/>
          <w:color w:val="auto"/>
        </w:rPr>
      </w:pPr>
      <w:r>
        <w:rPr>
          <w:rFonts w:ascii="Arial" w:cs="Arial" w:eastAsia="Arial" w:hAnsi="Arial"/>
          <w:sz w:val="14"/>
          <w:szCs w:val="14"/>
          <w:color w:val="auto"/>
        </w:rPr>
        <w:t>Switzerland</w:t>
      </w:r>
    </w:p>
    <w:p>
      <w:pPr>
        <w:spacing w:after="0" w:line="230" w:lineRule="auto"/>
        <w:rPr>
          <w:sz w:val="20"/>
          <w:szCs w:val="20"/>
          <w:color w:val="auto"/>
        </w:rPr>
      </w:pPr>
      <w:r>
        <w:rPr>
          <w:rFonts w:ascii="Arial" w:cs="Arial" w:eastAsia="Arial" w:hAnsi="Arial"/>
          <w:sz w:val="14"/>
          <w:szCs w:val="14"/>
          <w:color w:val="auto"/>
        </w:rPr>
        <w:t>Switzerland</w:t>
      </w:r>
    </w:p>
    <w:p>
      <w:pPr>
        <w:spacing w:after="0" w:line="230" w:lineRule="auto"/>
        <w:rPr>
          <w:sz w:val="20"/>
          <w:szCs w:val="20"/>
          <w:color w:val="auto"/>
        </w:rPr>
      </w:pPr>
      <w:r>
        <w:rPr>
          <w:rFonts w:ascii="Arial" w:cs="Arial" w:eastAsia="Arial" w:hAnsi="Arial"/>
          <w:sz w:val="14"/>
          <w:szCs w:val="14"/>
          <w:color w:val="auto"/>
        </w:rPr>
        <w:t>Switzerland</w:t>
      </w:r>
    </w:p>
    <w:p>
      <w:pPr>
        <w:spacing w:after="0" w:line="230" w:lineRule="auto"/>
        <w:rPr>
          <w:sz w:val="20"/>
          <w:szCs w:val="20"/>
          <w:color w:val="auto"/>
        </w:rPr>
      </w:pPr>
      <w:r>
        <w:rPr>
          <w:rFonts w:ascii="Arial" w:cs="Arial" w:eastAsia="Arial" w:hAnsi="Arial"/>
          <w:sz w:val="14"/>
          <w:szCs w:val="14"/>
          <w:color w:val="auto"/>
        </w:rPr>
        <w:t>Switzerland</w:t>
      </w:r>
    </w:p>
    <w:p>
      <w:pPr>
        <w:spacing w:after="0" w:line="229" w:lineRule="auto"/>
        <w:rPr>
          <w:sz w:val="20"/>
          <w:szCs w:val="20"/>
          <w:color w:val="auto"/>
        </w:rPr>
      </w:pPr>
      <w:r>
        <w:rPr>
          <w:rFonts w:ascii="Arial" w:cs="Arial" w:eastAsia="Arial" w:hAnsi="Arial"/>
          <w:sz w:val="14"/>
          <w:szCs w:val="14"/>
          <w:color w:val="auto"/>
        </w:rPr>
        <w:t>Switzerland</w:t>
      </w:r>
    </w:p>
    <w:p>
      <w:pPr>
        <w:spacing w:after="0" w:line="230" w:lineRule="auto"/>
        <w:rPr>
          <w:sz w:val="20"/>
          <w:szCs w:val="20"/>
          <w:color w:val="auto"/>
        </w:rPr>
      </w:pPr>
      <w:r>
        <w:rPr>
          <w:rFonts w:ascii="Arial" w:cs="Arial" w:eastAsia="Arial" w:hAnsi="Arial"/>
          <w:sz w:val="14"/>
          <w:szCs w:val="14"/>
          <w:color w:val="auto"/>
        </w:rPr>
        <w:t>Switzerland</w:t>
      </w:r>
    </w:p>
    <w:p>
      <w:pPr>
        <w:spacing w:after="0" w:line="230" w:lineRule="auto"/>
        <w:rPr>
          <w:sz w:val="20"/>
          <w:szCs w:val="20"/>
          <w:color w:val="auto"/>
        </w:rPr>
      </w:pPr>
      <w:r>
        <w:rPr>
          <w:rFonts w:ascii="Arial" w:cs="Arial" w:eastAsia="Arial" w:hAnsi="Arial"/>
          <w:sz w:val="14"/>
          <w:szCs w:val="14"/>
          <w:color w:val="auto"/>
        </w:rPr>
        <w:t>Switzerland</w:t>
      </w:r>
    </w:p>
    <w:p>
      <w:pPr>
        <w:spacing w:after="0" w:line="229" w:lineRule="auto"/>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ectPr>
          <w:pgSz w:w="11900" w:h="16838" w:orient="portrait"/>
          <w:cols w:equalWidth="0" w:num="2">
            <w:col w:w="7660" w:space="720"/>
            <w:col w:w="1859"/>
          </w:cols>
          <w:pgMar w:left="220" w:top="129" w:right="1440" w:bottom="0" w:gutter="0" w:footer="0" w:header="0"/>
        </w:sectPr>
      </w:pPr>
    </w:p>
    <w:bookmarkStart w:id="137" w:name="page138"/>
    <w:bookmarkEnd w:id="137"/>
    <w:p>
      <w:pPr>
        <w:spacing w:after="0"/>
        <w:rPr>
          <w:sz w:val="20"/>
          <w:szCs w:val="20"/>
          <w:color w:val="auto"/>
        </w:rPr>
      </w:pPr>
      <w:r>
        <w:rPr>
          <w:rFonts w:ascii="Arial" w:cs="Arial" w:eastAsia="Arial" w:hAnsi="Arial"/>
          <w:sz w:val="14"/>
          <w:szCs w:val="14"/>
          <w:color w:val="auto"/>
        </w:rPr>
        <w:t>Worklink AG</w:t>
      </w:r>
    </w:p>
    <w:p>
      <w:pPr>
        <w:spacing w:after="0" w:line="237" w:lineRule="auto"/>
        <w:rPr>
          <w:sz w:val="20"/>
          <w:szCs w:val="20"/>
          <w:color w:val="auto"/>
        </w:rPr>
      </w:pPr>
      <w:r>
        <w:rPr>
          <w:rFonts w:ascii="Arial" w:cs="Arial" w:eastAsia="Arial" w:hAnsi="Arial"/>
          <w:sz w:val="14"/>
          <w:szCs w:val="14"/>
          <w:color w:val="auto"/>
        </w:rPr>
        <w:t>Manpower Services (Taiwan) Co., Ltd.</w:t>
      </w:r>
    </w:p>
    <w:p>
      <w:pPr>
        <w:spacing w:after="0" w:line="229" w:lineRule="auto"/>
        <w:rPr>
          <w:sz w:val="20"/>
          <w:szCs w:val="20"/>
          <w:color w:val="auto"/>
        </w:rPr>
      </w:pPr>
      <w:r>
        <w:rPr>
          <w:rFonts w:ascii="Arial" w:cs="Arial" w:eastAsia="Arial" w:hAnsi="Arial"/>
          <w:sz w:val="14"/>
          <w:szCs w:val="14"/>
          <w:color w:val="auto"/>
        </w:rPr>
        <w:t>Right Management Taiwan Co., Ltd.</w:t>
      </w:r>
    </w:p>
    <w:p>
      <w:pPr>
        <w:spacing w:after="0" w:line="230" w:lineRule="auto"/>
        <w:rPr>
          <w:sz w:val="20"/>
          <w:szCs w:val="20"/>
          <w:color w:val="auto"/>
        </w:rPr>
      </w:pPr>
      <w:r>
        <w:rPr>
          <w:rFonts w:ascii="Arial" w:cs="Arial" w:eastAsia="Arial" w:hAnsi="Arial"/>
          <w:sz w:val="14"/>
          <w:szCs w:val="14"/>
          <w:color w:val="auto"/>
        </w:rPr>
        <w:t>HR Staffing LLC</w:t>
      </w:r>
    </w:p>
    <w:p>
      <w:pPr>
        <w:spacing w:after="0" w:line="230" w:lineRule="auto"/>
        <w:rPr>
          <w:sz w:val="20"/>
          <w:szCs w:val="20"/>
          <w:color w:val="auto"/>
        </w:rPr>
      </w:pPr>
      <w:r>
        <w:rPr>
          <w:rFonts w:ascii="Arial" w:cs="Arial" w:eastAsia="Arial" w:hAnsi="Arial"/>
          <w:sz w:val="14"/>
          <w:szCs w:val="14"/>
          <w:color w:val="auto"/>
        </w:rPr>
        <w:t>Manpower Recruitment Solutions Co., Ltd.</w:t>
      </w:r>
    </w:p>
    <w:p>
      <w:pPr>
        <w:spacing w:after="0" w:line="230" w:lineRule="auto"/>
        <w:rPr>
          <w:sz w:val="20"/>
          <w:szCs w:val="20"/>
          <w:color w:val="auto"/>
        </w:rPr>
      </w:pPr>
      <w:r>
        <w:rPr>
          <w:rFonts w:ascii="Arial" w:cs="Arial" w:eastAsia="Arial" w:hAnsi="Arial"/>
          <w:sz w:val="14"/>
          <w:szCs w:val="14"/>
          <w:color w:val="auto"/>
        </w:rPr>
        <w:t>Skillpower Services (Thailand) Co. Ltd.</w:t>
      </w:r>
    </w:p>
    <w:p>
      <w:pPr>
        <w:spacing w:after="0"/>
        <w:rPr>
          <w:sz w:val="20"/>
          <w:szCs w:val="20"/>
          <w:color w:val="auto"/>
        </w:rPr>
      </w:pPr>
      <w:r>
        <w:rPr>
          <w:rFonts w:ascii="Arial" w:cs="Arial" w:eastAsia="Arial" w:hAnsi="Arial"/>
          <w:sz w:val="11"/>
          <w:szCs w:val="11"/>
          <w:color w:val="auto"/>
        </w:rPr>
        <w:t>Manpower Professional and Executive Recruitment Co., Ltd.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Manpower Tunisie</w:t>
      </w:r>
    </w:p>
    <w:p>
      <w:pPr>
        <w:spacing w:after="0" w:line="229" w:lineRule="auto"/>
        <w:rPr>
          <w:sz w:val="20"/>
          <w:szCs w:val="20"/>
          <w:color w:val="auto"/>
        </w:rPr>
      </w:pPr>
      <w:r>
        <w:rPr>
          <w:rFonts w:ascii="Arial" w:cs="Arial" w:eastAsia="Arial" w:hAnsi="Arial"/>
          <w:sz w:val="14"/>
          <w:szCs w:val="14"/>
          <w:color w:val="auto"/>
        </w:rPr>
        <w:t>Manpower Tunisie International, SARL</w:t>
      </w:r>
    </w:p>
    <w:p>
      <w:pPr>
        <w:spacing w:after="0" w:line="230" w:lineRule="auto"/>
        <w:rPr>
          <w:sz w:val="20"/>
          <w:szCs w:val="20"/>
          <w:color w:val="auto"/>
        </w:rPr>
      </w:pPr>
      <w:r>
        <w:rPr>
          <w:rFonts w:ascii="Arial" w:cs="Arial" w:eastAsia="Arial" w:hAnsi="Arial"/>
          <w:sz w:val="14"/>
          <w:szCs w:val="14"/>
          <w:color w:val="auto"/>
        </w:rPr>
        <w:t>Manpower Insan Kaynaklari Limited Sirketi</w:t>
      </w:r>
    </w:p>
    <w:p>
      <w:pPr>
        <w:spacing w:after="0"/>
        <w:rPr>
          <w:sz w:val="20"/>
          <w:szCs w:val="20"/>
          <w:color w:val="auto"/>
        </w:rPr>
      </w:pPr>
      <w:r>
        <w:rPr>
          <w:rFonts w:ascii="Arial" w:cs="Arial" w:eastAsia="Arial" w:hAnsi="Arial"/>
          <w:sz w:val="11"/>
          <w:szCs w:val="11"/>
          <w:color w:val="auto"/>
        </w:rPr>
        <w:t>Manpower Secme ve Yerlestirme Hizmetleri Limited Sirketi</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Manpower, Middle East LLC</w:t>
      </w:r>
    </w:p>
    <w:p>
      <w:pPr>
        <w:spacing w:after="0" w:line="229" w:lineRule="auto"/>
        <w:rPr>
          <w:sz w:val="20"/>
          <w:szCs w:val="20"/>
          <w:color w:val="auto"/>
        </w:rPr>
      </w:pPr>
      <w:r>
        <w:rPr>
          <w:rFonts w:ascii="Arial" w:cs="Arial" w:eastAsia="Arial" w:hAnsi="Arial"/>
          <w:sz w:val="14"/>
          <w:szCs w:val="14"/>
          <w:color w:val="auto"/>
        </w:rPr>
        <w:t>Clarendon Parker Middle East FZ LLC</w:t>
      </w:r>
    </w:p>
    <w:p>
      <w:pPr>
        <w:spacing w:after="0" w:line="230" w:lineRule="auto"/>
        <w:rPr>
          <w:sz w:val="20"/>
          <w:szCs w:val="20"/>
          <w:color w:val="auto"/>
        </w:rPr>
      </w:pPr>
      <w:r>
        <w:rPr>
          <w:rFonts w:ascii="Arial" w:cs="Arial" w:eastAsia="Arial" w:hAnsi="Arial"/>
          <w:sz w:val="14"/>
          <w:szCs w:val="14"/>
          <w:color w:val="auto"/>
        </w:rPr>
        <w:t>Dubai Airport Free Zone</w:t>
      </w:r>
    </w:p>
    <w:p>
      <w:pPr>
        <w:spacing w:after="0"/>
        <w:rPr>
          <w:sz w:val="20"/>
          <w:szCs w:val="20"/>
          <w:color w:val="auto"/>
        </w:rPr>
      </w:pPr>
      <w:r>
        <w:rPr>
          <w:rFonts w:ascii="Arial" w:cs="Arial" w:eastAsia="Arial" w:hAnsi="Arial"/>
          <w:sz w:val="13"/>
          <w:szCs w:val="13"/>
          <w:color w:val="auto"/>
        </w:rPr>
        <w:t>Representative office of Manpower CIS LLC in Ukraine</w:t>
      </w:r>
    </w:p>
    <w:p>
      <w:pPr>
        <w:spacing w:after="0" w:line="236" w:lineRule="auto"/>
        <w:rPr>
          <w:sz w:val="20"/>
          <w:szCs w:val="20"/>
          <w:color w:val="auto"/>
        </w:rPr>
      </w:pPr>
      <w:r>
        <w:rPr>
          <w:rFonts w:ascii="Arial" w:cs="Arial" w:eastAsia="Arial" w:hAnsi="Arial"/>
          <w:sz w:val="14"/>
          <w:szCs w:val="14"/>
          <w:color w:val="auto"/>
        </w:rPr>
        <w:t>Bafin Holdings</w:t>
      </w:r>
    </w:p>
    <w:p>
      <w:pPr>
        <w:spacing w:after="0" w:line="230" w:lineRule="auto"/>
        <w:rPr>
          <w:sz w:val="20"/>
          <w:szCs w:val="20"/>
          <w:color w:val="auto"/>
        </w:rPr>
      </w:pPr>
      <w:r>
        <w:rPr>
          <w:rFonts w:ascii="Arial" w:cs="Arial" w:eastAsia="Arial" w:hAnsi="Arial"/>
          <w:sz w:val="14"/>
          <w:szCs w:val="14"/>
          <w:color w:val="auto"/>
        </w:rPr>
        <w:t>Bafin Services Limited</w:t>
      </w:r>
    </w:p>
    <w:p>
      <w:pPr>
        <w:spacing w:after="0" w:line="229" w:lineRule="auto"/>
        <w:rPr>
          <w:sz w:val="20"/>
          <w:szCs w:val="20"/>
          <w:color w:val="auto"/>
        </w:rPr>
      </w:pPr>
      <w:r>
        <w:rPr>
          <w:rFonts w:ascii="Arial" w:cs="Arial" w:eastAsia="Arial" w:hAnsi="Arial"/>
          <w:sz w:val="14"/>
          <w:szCs w:val="14"/>
          <w:color w:val="auto"/>
        </w:rPr>
        <w:t>Bafin (UK) Limited</w:t>
      </w:r>
    </w:p>
    <w:p>
      <w:pPr>
        <w:spacing w:after="0" w:line="230" w:lineRule="auto"/>
        <w:rPr>
          <w:sz w:val="20"/>
          <w:szCs w:val="20"/>
          <w:color w:val="auto"/>
        </w:rPr>
      </w:pPr>
      <w:r>
        <w:rPr>
          <w:rFonts w:ascii="Arial" w:cs="Arial" w:eastAsia="Arial" w:hAnsi="Arial"/>
          <w:sz w:val="14"/>
          <w:szCs w:val="14"/>
          <w:color w:val="auto"/>
        </w:rPr>
        <w:t>Brook Street Bureau PLC</w:t>
      </w:r>
    </w:p>
    <w:p>
      <w:pPr>
        <w:spacing w:after="0" w:line="230" w:lineRule="auto"/>
        <w:rPr>
          <w:sz w:val="20"/>
          <w:szCs w:val="20"/>
          <w:color w:val="auto"/>
        </w:rPr>
      </w:pPr>
      <w:r>
        <w:rPr>
          <w:rFonts w:ascii="Arial" w:cs="Arial" w:eastAsia="Arial" w:hAnsi="Arial"/>
          <w:sz w:val="14"/>
          <w:szCs w:val="14"/>
          <w:color w:val="auto"/>
        </w:rPr>
        <w:t>Brook Street (UK) Limited</w:t>
      </w:r>
    </w:p>
    <w:p>
      <w:pPr>
        <w:spacing w:after="0" w:line="230" w:lineRule="auto"/>
        <w:rPr>
          <w:sz w:val="20"/>
          <w:szCs w:val="20"/>
          <w:color w:val="auto"/>
        </w:rPr>
      </w:pPr>
      <w:r>
        <w:rPr>
          <w:rFonts w:ascii="Arial" w:cs="Arial" w:eastAsia="Arial" w:hAnsi="Arial"/>
          <w:sz w:val="14"/>
          <w:szCs w:val="14"/>
          <w:color w:val="auto"/>
        </w:rPr>
        <w:t>BS Project Services Limited</w:t>
      </w:r>
    </w:p>
    <w:p>
      <w:pPr>
        <w:spacing w:after="0" w:line="229" w:lineRule="auto"/>
        <w:rPr>
          <w:sz w:val="20"/>
          <w:szCs w:val="20"/>
          <w:color w:val="auto"/>
        </w:rPr>
      </w:pPr>
      <w:r>
        <w:rPr>
          <w:rFonts w:ascii="Arial" w:cs="Arial" w:eastAsia="Arial" w:hAnsi="Arial"/>
          <w:sz w:val="14"/>
          <w:szCs w:val="14"/>
          <w:color w:val="auto"/>
        </w:rPr>
        <w:t>Challoners Limited</w:t>
      </w:r>
    </w:p>
    <w:p>
      <w:pPr>
        <w:spacing w:after="0" w:line="230" w:lineRule="auto"/>
        <w:rPr>
          <w:sz w:val="20"/>
          <w:szCs w:val="20"/>
          <w:color w:val="auto"/>
        </w:rPr>
      </w:pPr>
      <w:r>
        <w:rPr>
          <w:rFonts w:ascii="Arial" w:cs="Arial" w:eastAsia="Arial" w:hAnsi="Arial"/>
          <w:sz w:val="14"/>
          <w:szCs w:val="14"/>
          <w:color w:val="auto"/>
        </w:rPr>
        <w:t>DP Support Services Limited</w:t>
      </w:r>
    </w:p>
    <w:p>
      <w:pPr>
        <w:spacing w:after="0" w:line="230" w:lineRule="auto"/>
        <w:rPr>
          <w:sz w:val="20"/>
          <w:szCs w:val="20"/>
          <w:color w:val="auto"/>
        </w:rPr>
      </w:pPr>
      <w:r>
        <w:rPr>
          <w:rFonts w:ascii="Arial" w:cs="Arial" w:eastAsia="Arial" w:hAnsi="Arial"/>
          <w:sz w:val="14"/>
          <w:szCs w:val="14"/>
          <w:color w:val="auto"/>
        </w:rPr>
        <w:t>Elan Computing Limited</w:t>
      </w:r>
    </w:p>
    <w:p>
      <w:pPr>
        <w:spacing w:after="0" w:line="229" w:lineRule="auto"/>
        <w:rPr>
          <w:sz w:val="20"/>
          <w:szCs w:val="20"/>
          <w:color w:val="auto"/>
        </w:rPr>
      </w:pPr>
      <w:r>
        <w:rPr>
          <w:rFonts w:ascii="Arial" w:cs="Arial" w:eastAsia="Arial" w:hAnsi="Arial"/>
          <w:sz w:val="14"/>
          <w:szCs w:val="14"/>
          <w:color w:val="auto"/>
        </w:rPr>
        <w:t>Elan Group Limited</w:t>
      </w:r>
    </w:p>
    <w:p>
      <w:pPr>
        <w:spacing w:after="0" w:line="230" w:lineRule="auto"/>
        <w:rPr>
          <w:sz w:val="20"/>
          <w:szCs w:val="20"/>
          <w:color w:val="auto"/>
        </w:rPr>
      </w:pPr>
      <w:r>
        <w:rPr>
          <w:rFonts w:ascii="Arial" w:cs="Arial" w:eastAsia="Arial" w:hAnsi="Arial"/>
          <w:sz w:val="14"/>
          <w:szCs w:val="14"/>
          <w:color w:val="auto"/>
        </w:rPr>
        <w:t>Elan Resource Support Services Limited</w:t>
      </w:r>
    </w:p>
    <w:p>
      <w:pPr>
        <w:spacing w:after="0" w:line="230" w:lineRule="auto"/>
        <w:rPr>
          <w:sz w:val="20"/>
          <w:szCs w:val="20"/>
          <w:color w:val="auto"/>
        </w:rPr>
      </w:pPr>
      <w:r>
        <w:rPr>
          <w:rFonts w:ascii="Arial" w:cs="Arial" w:eastAsia="Arial" w:hAnsi="Arial"/>
          <w:sz w:val="14"/>
          <w:szCs w:val="14"/>
          <w:color w:val="auto"/>
        </w:rPr>
        <w:t>Elan Telecommunications Group Ltd.</w:t>
      </w:r>
    </w:p>
    <w:p>
      <w:pPr>
        <w:spacing w:after="0" w:line="229" w:lineRule="auto"/>
        <w:rPr>
          <w:sz w:val="20"/>
          <w:szCs w:val="20"/>
          <w:color w:val="auto"/>
        </w:rPr>
      </w:pPr>
      <w:r>
        <w:rPr>
          <w:rFonts w:ascii="Arial" w:cs="Arial" w:eastAsia="Arial" w:hAnsi="Arial"/>
          <w:sz w:val="14"/>
          <w:szCs w:val="14"/>
          <w:color w:val="auto"/>
        </w:rPr>
        <w:t>Elan Telecommunications Ltd.</w:t>
      </w:r>
    </w:p>
    <w:p>
      <w:pPr>
        <w:spacing w:after="0" w:line="230" w:lineRule="auto"/>
        <w:rPr>
          <w:sz w:val="20"/>
          <w:szCs w:val="20"/>
          <w:color w:val="auto"/>
        </w:rPr>
      </w:pPr>
      <w:r>
        <w:rPr>
          <w:rFonts w:ascii="Arial" w:cs="Arial" w:eastAsia="Arial" w:hAnsi="Arial"/>
          <w:sz w:val="14"/>
          <w:szCs w:val="14"/>
          <w:color w:val="auto"/>
        </w:rPr>
        <w:t>Ferribush Limited</w:t>
      </w:r>
    </w:p>
    <w:p>
      <w:pPr>
        <w:spacing w:after="0" w:line="230" w:lineRule="auto"/>
        <w:rPr>
          <w:sz w:val="20"/>
          <w:szCs w:val="20"/>
          <w:color w:val="auto"/>
        </w:rPr>
      </w:pPr>
      <w:r>
        <w:rPr>
          <w:rFonts w:ascii="Arial" w:cs="Arial" w:eastAsia="Arial" w:hAnsi="Arial"/>
          <w:sz w:val="14"/>
          <w:szCs w:val="14"/>
          <w:color w:val="auto"/>
        </w:rPr>
        <w:t>Girlpower Limited</w:t>
      </w:r>
    </w:p>
    <w:p>
      <w:pPr>
        <w:spacing w:after="0" w:line="229" w:lineRule="auto"/>
        <w:rPr>
          <w:sz w:val="20"/>
          <w:szCs w:val="20"/>
          <w:color w:val="auto"/>
        </w:rPr>
      </w:pPr>
      <w:r>
        <w:rPr>
          <w:rFonts w:ascii="Arial" w:cs="Arial" w:eastAsia="Arial" w:hAnsi="Arial"/>
          <w:sz w:val="14"/>
          <w:szCs w:val="14"/>
          <w:color w:val="auto"/>
        </w:rPr>
        <w:t>Jefferson Wells, Ltd</w:t>
      </w:r>
    </w:p>
    <w:p>
      <w:pPr>
        <w:spacing w:after="0" w:line="230" w:lineRule="auto"/>
        <w:rPr>
          <w:sz w:val="20"/>
          <w:szCs w:val="20"/>
          <w:color w:val="auto"/>
        </w:rPr>
      </w:pPr>
      <w:r>
        <w:rPr>
          <w:rFonts w:ascii="Arial" w:cs="Arial" w:eastAsia="Arial" w:hAnsi="Arial"/>
          <w:sz w:val="14"/>
          <w:szCs w:val="14"/>
          <w:color w:val="auto"/>
        </w:rPr>
        <w:t>Manpower Contract Services Limited</w:t>
      </w:r>
    </w:p>
    <w:p>
      <w:pPr>
        <w:spacing w:after="0" w:line="230" w:lineRule="auto"/>
        <w:rPr>
          <w:sz w:val="20"/>
          <w:szCs w:val="20"/>
          <w:color w:val="auto"/>
        </w:rPr>
      </w:pPr>
      <w:r>
        <w:rPr>
          <w:rFonts w:ascii="Arial" w:cs="Arial" w:eastAsia="Arial" w:hAnsi="Arial"/>
          <w:sz w:val="14"/>
          <w:szCs w:val="14"/>
          <w:color w:val="auto"/>
        </w:rPr>
        <w:t>Manpower Holdings Limited</w:t>
      </w:r>
    </w:p>
    <w:p>
      <w:pPr>
        <w:spacing w:after="0" w:line="230" w:lineRule="auto"/>
        <w:rPr>
          <w:sz w:val="20"/>
          <w:szCs w:val="20"/>
          <w:color w:val="auto"/>
        </w:rPr>
      </w:pPr>
      <w:r>
        <w:rPr>
          <w:rFonts w:ascii="Arial" w:cs="Arial" w:eastAsia="Arial" w:hAnsi="Arial"/>
          <w:sz w:val="14"/>
          <w:szCs w:val="14"/>
          <w:color w:val="auto"/>
        </w:rPr>
        <w:t>Manpower IT Services Limited</w:t>
      </w:r>
    </w:p>
    <w:p>
      <w:pPr>
        <w:spacing w:after="0" w:line="229" w:lineRule="auto"/>
        <w:rPr>
          <w:sz w:val="20"/>
          <w:szCs w:val="20"/>
          <w:color w:val="auto"/>
        </w:rPr>
      </w:pPr>
      <w:r>
        <w:rPr>
          <w:rFonts w:ascii="Arial" w:cs="Arial" w:eastAsia="Arial" w:hAnsi="Arial"/>
          <w:sz w:val="14"/>
          <w:szCs w:val="14"/>
          <w:color w:val="auto"/>
        </w:rPr>
        <w:t>Manpower Nominees Limited</w:t>
      </w:r>
    </w:p>
    <w:p>
      <w:pPr>
        <w:spacing w:after="0" w:line="230" w:lineRule="auto"/>
        <w:rPr>
          <w:sz w:val="20"/>
          <w:szCs w:val="20"/>
          <w:color w:val="auto"/>
        </w:rPr>
      </w:pPr>
      <w:r>
        <w:rPr>
          <w:rFonts w:ascii="Arial" w:cs="Arial" w:eastAsia="Arial" w:hAnsi="Arial"/>
          <w:sz w:val="14"/>
          <w:szCs w:val="14"/>
          <w:color w:val="auto"/>
        </w:rPr>
        <w:t>Manpower Public Limited Company</w:t>
      </w:r>
    </w:p>
    <w:p>
      <w:pPr>
        <w:spacing w:after="0" w:line="230" w:lineRule="auto"/>
        <w:rPr>
          <w:sz w:val="20"/>
          <w:szCs w:val="20"/>
          <w:color w:val="auto"/>
        </w:rPr>
      </w:pPr>
      <w:r>
        <w:rPr>
          <w:rFonts w:ascii="Arial" w:cs="Arial" w:eastAsia="Arial" w:hAnsi="Arial"/>
          <w:sz w:val="14"/>
          <w:szCs w:val="14"/>
          <w:color w:val="auto"/>
        </w:rPr>
        <w:t>Manpower Services Ltd.</w:t>
      </w:r>
    </w:p>
    <w:p>
      <w:pPr>
        <w:spacing w:after="0" w:line="229" w:lineRule="auto"/>
        <w:rPr>
          <w:sz w:val="20"/>
          <w:szCs w:val="20"/>
          <w:color w:val="auto"/>
        </w:rPr>
      </w:pPr>
      <w:r>
        <w:rPr>
          <w:rFonts w:ascii="Arial" w:cs="Arial" w:eastAsia="Arial" w:hAnsi="Arial"/>
          <w:sz w:val="14"/>
          <w:szCs w:val="14"/>
          <w:color w:val="auto"/>
        </w:rPr>
        <w:t>Manpower UK Limited</w:t>
      </w:r>
    </w:p>
    <w:p>
      <w:pPr>
        <w:spacing w:after="0" w:line="230" w:lineRule="auto"/>
        <w:rPr>
          <w:sz w:val="20"/>
          <w:szCs w:val="20"/>
          <w:color w:val="auto"/>
        </w:rPr>
      </w:pPr>
      <w:r>
        <w:rPr>
          <w:rFonts w:ascii="Arial" w:cs="Arial" w:eastAsia="Arial" w:hAnsi="Arial"/>
          <w:sz w:val="14"/>
          <w:szCs w:val="14"/>
          <w:color w:val="auto"/>
        </w:rPr>
        <w:t>Nicholas Andrews Limited</w:t>
      </w:r>
    </w:p>
    <w:p>
      <w:pPr>
        <w:spacing w:after="0" w:line="230" w:lineRule="auto"/>
        <w:rPr>
          <w:sz w:val="20"/>
          <w:szCs w:val="20"/>
          <w:color w:val="auto"/>
        </w:rPr>
      </w:pPr>
      <w:r>
        <w:rPr>
          <w:rFonts w:ascii="Arial" w:cs="Arial" w:eastAsia="Arial" w:hAnsi="Arial"/>
          <w:sz w:val="14"/>
          <w:szCs w:val="14"/>
          <w:color w:val="auto"/>
        </w:rPr>
        <w:t>Overdrive Limited</w:t>
      </w:r>
    </w:p>
    <w:p>
      <w:pPr>
        <w:spacing w:after="0" w:line="229" w:lineRule="auto"/>
        <w:rPr>
          <w:sz w:val="20"/>
          <w:szCs w:val="20"/>
          <w:color w:val="auto"/>
        </w:rPr>
      </w:pPr>
      <w:r>
        <w:rPr>
          <w:rFonts w:ascii="Arial" w:cs="Arial" w:eastAsia="Arial" w:hAnsi="Arial"/>
          <w:sz w:val="14"/>
          <w:szCs w:val="14"/>
          <w:color w:val="auto"/>
        </w:rPr>
        <w:t>Psyconsult International Limited</w:t>
      </w:r>
    </w:p>
    <w:p>
      <w:pPr>
        <w:spacing w:after="0" w:line="230" w:lineRule="auto"/>
        <w:rPr>
          <w:sz w:val="20"/>
          <w:szCs w:val="20"/>
          <w:color w:val="auto"/>
        </w:rPr>
      </w:pPr>
      <w:r>
        <w:rPr>
          <w:rFonts w:ascii="Arial" w:cs="Arial" w:eastAsia="Arial" w:hAnsi="Arial"/>
          <w:sz w:val="14"/>
          <w:szCs w:val="14"/>
          <w:color w:val="auto"/>
        </w:rPr>
        <w:t>Right Corecare Limited</w:t>
      </w:r>
    </w:p>
    <w:p>
      <w:pPr>
        <w:spacing w:after="0" w:line="230" w:lineRule="auto"/>
        <w:rPr>
          <w:sz w:val="20"/>
          <w:szCs w:val="20"/>
          <w:color w:val="auto"/>
        </w:rPr>
      </w:pPr>
      <w:r>
        <w:rPr>
          <w:rFonts w:ascii="Arial" w:cs="Arial" w:eastAsia="Arial" w:hAnsi="Arial"/>
          <w:sz w:val="14"/>
          <w:szCs w:val="14"/>
          <w:color w:val="auto"/>
        </w:rPr>
        <w:t>Right Management Consultants Limited</w:t>
      </w:r>
    </w:p>
    <w:p>
      <w:pPr>
        <w:spacing w:after="0" w:line="230" w:lineRule="auto"/>
        <w:rPr>
          <w:sz w:val="20"/>
          <w:szCs w:val="20"/>
          <w:color w:val="auto"/>
        </w:rPr>
      </w:pPr>
      <w:r>
        <w:rPr>
          <w:rFonts w:ascii="Arial" w:cs="Arial" w:eastAsia="Arial" w:hAnsi="Arial"/>
          <w:sz w:val="14"/>
          <w:szCs w:val="14"/>
          <w:color w:val="auto"/>
        </w:rPr>
        <w:t>Right Management Limited</w:t>
      </w:r>
    </w:p>
    <w:p>
      <w:pPr>
        <w:spacing w:after="0" w:line="229" w:lineRule="auto"/>
        <w:rPr>
          <w:sz w:val="20"/>
          <w:szCs w:val="20"/>
          <w:color w:val="auto"/>
        </w:rPr>
      </w:pPr>
      <w:r>
        <w:rPr>
          <w:rFonts w:ascii="Arial" w:cs="Arial" w:eastAsia="Arial" w:hAnsi="Arial"/>
          <w:sz w:val="14"/>
          <w:szCs w:val="14"/>
          <w:color w:val="auto"/>
        </w:rPr>
        <w:t>Salespower Limited</w:t>
      </w:r>
    </w:p>
    <w:p>
      <w:pPr>
        <w:spacing w:after="0" w:line="230" w:lineRule="auto"/>
        <w:rPr>
          <w:sz w:val="20"/>
          <w:szCs w:val="20"/>
          <w:color w:val="auto"/>
        </w:rPr>
      </w:pPr>
      <w:r>
        <w:rPr>
          <w:rFonts w:ascii="Arial" w:cs="Arial" w:eastAsia="Arial" w:hAnsi="Arial"/>
          <w:sz w:val="14"/>
          <w:szCs w:val="14"/>
          <w:color w:val="auto"/>
        </w:rPr>
        <w:t>Temp Finance &amp; Accounting Service Limited</w:t>
      </w:r>
    </w:p>
    <w:p>
      <w:pPr>
        <w:spacing w:after="0" w:line="230" w:lineRule="auto"/>
        <w:rPr>
          <w:sz w:val="20"/>
          <w:szCs w:val="20"/>
          <w:color w:val="auto"/>
        </w:rPr>
      </w:pPr>
      <w:r>
        <w:rPr>
          <w:rFonts w:ascii="Arial" w:cs="Arial" w:eastAsia="Arial" w:hAnsi="Arial"/>
          <w:sz w:val="14"/>
          <w:szCs w:val="14"/>
          <w:color w:val="auto"/>
        </w:rPr>
        <w:t>The Empower Group Ltd.</w:t>
      </w:r>
    </w:p>
    <w:p>
      <w:pPr>
        <w:spacing w:after="0" w:line="229" w:lineRule="auto"/>
        <w:rPr>
          <w:sz w:val="20"/>
          <w:szCs w:val="20"/>
          <w:color w:val="auto"/>
        </w:rPr>
      </w:pPr>
      <w:r>
        <w:rPr>
          <w:rFonts w:ascii="Arial" w:cs="Arial" w:eastAsia="Arial" w:hAnsi="Arial"/>
          <w:sz w:val="14"/>
          <w:szCs w:val="14"/>
          <w:color w:val="auto"/>
        </w:rPr>
        <w:t>Working Links Ltd.</w:t>
      </w:r>
    </w:p>
    <w:p>
      <w:pPr>
        <w:spacing w:after="0" w:line="230" w:lineRule="auto"/>
        <w:rPr>
          <w:sz w:val="20"/>
          <w:szCs w:val="20"/>
          <w:color w:val="auto"/>
        </w:rPr>
      </w:pPr>
      <w:r>
        <w:rPr>
          <w:rFonts w:ascii="Arial" w:cs="Arial" w:eastAsia="Arial" w:hAnsi="Arial"/>
          <w:sz w:val="14"/>
          <w:szCs w:val="14"/>
          <w:color w:val="auto"/>
        </w:rPr>
        <w:t>Aris Sociedad Anonima</w:t>
      </w:r>
    </w:p>
    <w:p>
      <w:pPr>
        <w:spacing w:after="0" w:line="230" w:lineRule="auto"/>
        <w:rPr>
          <w:sz w:val="20"/>
          <w:szCs w:val="20"/>
          <w:color w:val="auto"/>
        </w:rPr>
      </w:pPr>
      <w:r>
        <w:rPr>
          <w:rFonts w:ascii="Arial" w:cs="Arial" w:eastAsia="Arial" w:hAnsi="Arial"/>
          <w:sz w:val="14"/>
          <w:szCs w:val="14"/>
          <w:color w:val="auto"/>
        </w:rPr>
        <w:t>Manpower de Venezuela C.A.</w:t>
      </w:r>
    </w:p>
    <w:p>
      <w:pPr>
        <w:spacing w:after="0" w:line="229" w:lineRule="auto"/>
        <w:rPr>
          <w:sz w:val="20"/>
          <w:szCs w:val="20"/>
          <w:color w:val="auto"/>
        </w:rPr>
      </w:pPr>
      <w:r>
        <w:rPr>
          <w:rFonts w:ascii="Arial" w:cs="Arial" w:eastAsia="Arial" w:hAnsi="Arial"/>
          <w:sz w:val="14"/>
          <w:szCs w:val="14"/>
          <w:color w:val="auto"/>
        </w:rPr>
        <w:t>Manpower Empresa de Trabajo Temporal, C.A.</w:t>
      </w:r>
    </w:p>
    <w:p>
      <w:pPr>
        <w:spacing w:after="0" w:line="230" w:lineRule="auto"/>
        <w:rPr>
          <w:sz w:val="20"/>
          <w:szCs w:val="20"/>
          <w:color w:val="auto"/>
        </w:rPr>
      </w:pPr>
      <w:r>
        <w:rPr>
          <w:rFonts w:ascii="Arial" w:cs="Arial" w:eastAsia="Arial" w:hAnsi="Arial"/>
          <w:sz w:val="14"/>
          <w:szCs w:val="14"/>
          <w:color w:val="auto"/>
        </w:rPr>
        <w:t>Servicios Alleray, C.A.</w:t>
      </w:r>
    </w:p>
    <w:p>
      <w:pPr>
        <w:spacing w:after="0" w:line="230" w:lineRule="auto"/>
        <w:rPr>
          <w:sz w:val="20"/>
          <w:szCs w:val="20"/>
          <w:color w:val="auto"/>
        </w:rPr>
      </w:pPr>
      <w:r>
        <w:rPr>
          <w:rFonts w:ascii="Arial" w:cs="Arial" w:eastAsia="Arial" w:hAnsi="Arial"/>
          <w:sz w:val="14"/>
          <w:szCs w:val="14"/>
          <w:color w:val="auto"/>
        </w:rPr>
        <w:t>Manpower Vietnam Company Ltd.</w:t>
      </w:r>
    </w:p>
    <w:p>
      <w:pPr>
        <w:spacing w:after="0" w:line="229" w:lineRule="auto"/>
        <w:rPr>
          <w:sz w:val="20"/>
          <w:szCs w:val="20"/>
          <w:color w:val="auto"/>
        </w:rPr>
      </w:pPr>
      <w:r>
        <w:rPr>
          <w:rFonts w:ascii="Arial" w:cs="Arial" w:eastAsia="Arial" w:hAnsi="Arial"/>
          <w:sz w:val="14"/>
          <w:szCs w:val="14"/>
          <w:color w:val="auto"/>
        </w:rPr>
        <w:t>Right Associates Government Services, Inc.</w:t>
      </w:r>
    </w:p>
    <w:p>
      <w:pPr>
        <w:spacing w:after="0" w:line="230" w:lineRule="auto"/>
        <w:rPr>
          <w:sz w:val="20"/>
          <w:szCs w:val="20"/>
          <w:color w:val="auto"/>
        </w:rPr>
      </w:pPr>
      <w:r>
        <w:rPr>
          <w:rFonts w:ascii="Arial" w:cs="Arial" w:eastAsia="Arial" w:hAnsi="Arial"/>
          <w:sz w:val="14"/>
          <w:szCs w:val="14"/>
          <w:color w:val="auto"/>
        </w:rPr>
        <w:t>Manpower Inc.</w:t>
      </w:r>
    </w:p>
    <w:p>
      <w:pPr>
        <w:spacing w:after="0" w:line="230" w:lineRule="auto"/>
        <w:rPr>
          <w:sz w:val="20"/>
          <w:szCs w:val="20"/>
          <w:color w:val="auto"/>
        </w:rPr>
      </w:pPr>
      <w:r>
        <w:rPr>
          <w:rFonts w:ascii="Arial" w:cs="Arial" w:eastAsia="Arial" w:hAnsi="Arial"/>
          <w:sz w:val="14"/>
          <w:szCs w:val="14"/>
          <w:color w:val="auto"/>
        </w:rPr>
        <w:t>Manpower Nominees Inc.</w:t>
      </w:r>
    </w:p>
    <w:p>
      <w:pPr>
        <w:spacing w:after="0" w:line="230" w:lineRule="auto"/>
        <w:rPr>
          <w:sz w:val="20"/>
          <w:szCs w:val="20"/>
          <w:color w:val="auto"/>
        </w:rPr>
      </w:pPr>
      <w:r>
        <w:rPr>
          <w:rFonts w:ascii="Arial" w:cs="Arial" w:eastAsia="Arial" w:hAnsi="Arial"/>
          <w:sz w:val="14"/>
          <w:szCs w:val="14"/>
          <w:color w:val="auto"/>
        </w:rPr>
        <w:t>Manpower of Indiana Limited Partnership</w:t>
      </w:r>
    </w:p>
    <w:p>
      <w:pPr>
        <w:spacing w:after="0" w:line="229" w:lineRule="auto"/>
        <w:rPr>
          <w:sz w:val="20"/>
          <w:szCs w:val="20"/>
          <w:color w:val="auto"/>
        </w:rPr>
      </w:pPr>
      <w:r>
        <w:rPr>
          <w:rFonts w:ascii="Arial" w:cs="Arial" w:eastAsia="Arial" w:hAnsi="Arial"/>
          <w:sz w:val="14"/>
          <w:szCs w:val="14"/>
          <w:color w:val="auto"/>
        </w:rPr>
        <w:t>Manpower of Texas Limited Partnership</w:t>
      </w:r>
    </w:p>
    <w:p>
      <w:pPr>
        <w:spacing w:after="0" w:line="230" w:lineRule="auto"/>
        <w:rPr>
          <w:sz w:val="20"/>
          <w:szCs w:val="20"/>
          <w:color w:val="auto"/>
        </w:rPr>
      </w:pPr>
      <w:r>
        <w:rPr>
          <w:rFonts w:ascii="Arial" w:cs="Arial" w:eastAsia="Arial" w:hAnsi="Arial"/>
          <w:sz w:val="14"/>
          <w:szCs w:val="14"/>
          <w:color w:val="auto"/>
        </w:rPr>
        <w:t>Manpower Professional Services, Inc.</w:t>
      </w:r>
    </w:p>
    <w:p>
      <w:pPr>
        <w:spacing w:after="0" w:line="230" w:lineRule="auto"/>
        <w:rPr>
          <w:sz w:val="20"/>
          <w:szCs w:val="20"/>
          <w:color w:val="auto"/>
        </w:rPr>
      </w:pPr>
      <w:r>
        <w:rPr>
          <w:rFonts w:ascii="Arial" w:cs="Arial" w:eastAsia="Arial" w:hAnsi="Arial"/>
          <w:sz w:val="14"/>
          <w:szCs w:val="14"/>
          <w:color w:val="auto"/>
        </w:rPr>
        <w:t>Manpower Texas Holdings LLC</w:t>
      </w:r>
    </w:p>
    <w:p>
      <w:pPr>
        <w:spacing w:after="0" w:line="229" w:lineRule="auto"/>
        <w:rPr>
          <w:sz w:val="20"/>
          <w:szCs w:val="20"/>
          <w:color w:val="auto"/>
        </w:rPr>
      </w:pPr>
      <w:r>
        <w:rPr>
          <w:rFonts w:ascii="Arial" w:cs="Arial" w:eastAsia="Arial" w:hAnsi="Arial"/>
          <w:sz w:val="14"/>
          <w:szCs w:val="14"/>
          <w:color w:val="auto"/>
        </w:rPr>
        <w:t>Resource Consulting Group,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Signature Graphics of Milwaukee,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Switzerland</w:t>
      </w:r>
    </w:p>
    <w:p>
      <w:pPr>
        <w:spacing w:after="0" w:line="237" w:lineRule="auto"/>
        <w:rPr>
          <w:sz w:val="20"/>
          <w:szCs w:val="20"/>
          <w:color w:val="auto"/>
        </w:rPr>
      </w:pPr>
      <w:r>
        <w:rPr>
          <w:rFonts w:ascii="Arial" w:cs="Arial" w:eastAsia="Arial" w:hAnsi="Arial"/>
          <w:sz w:val="14"/>
          <w:szCs w:val="14"/>
          <w:color w:val="auto"/>
        </w:rPr>
        <w:t>Taiwan</w:t>
      </w:r>
    </w:p>
    <w:p>
      <w:pPr>
        <w:spacing w:after="0" w:line="229" w:lineRule="auto"/>
        <w:rPr>
          <w:sz w:val="20"/>
          <w:szCs w:val="20"/>
          <w:color w:val="auto"/>
        </w:rPr>
      </w:pPr>
      <w:r>
        <w:rPr>
          <w:rFonts w:ascii="Arial" w:cs="Arial" w:eastAsia="Arial" w:hAnsi="Arial"/>
          <w:sz w:val="14"/>
          <w:szCs w:val="14"/>
          <w:color w:val="auto"/>
        </w:rPr>
        <w:t>Taiwan</w:t>
      </w:r>
    </w:p>
    <w:p>
      <w:pPr>
        <w:spacing w:after="0" w:line="230" w:lineRule="auto"/>
        <w:rPr>
          <w:sz w:val="20"/>
          <w:szCs w:val="20"/>
          <w:color w:val="auto"/>
        </w:rPr>
      </w:pPr>
      <w:r>
        <w:rPr>
          <w:rFonts w:ascii="Arial" w:cs="Arial" w:eastAsia="Arial" w:hAnsi="Arial"/>
          <w:sz w:val="14"/>
          <w:szCs w:val="14"/>
          <w:color w:val="auto"/>
        </w:rPr>
        <w:t>Texas</w:t>
      </w:r>
    </w:p>
    <w:p>
      <w:pPr>
        <w:spacing w:after="0" w:line="230" w:lineRule="auto"/>
        <w:rPr>
          <w:sz w:val="20"/>
          <w:szCs w:val="20"/>
          <w:color w:val="auto"/>
        </w:rPr>
      </w:pPr>
      <w:r>
        <w:rPr>
          <w:rFonts w:ascii="Arial" w:cs="Arial" w:eastAsia="Arial" w:hAnsi="Arial"/>
          <w:sz w:val="14"/>
          <w:szCs w:val="14"/>
          <w:color w:val="auto"/>
        </w:rPr>
        <w:t>Thailand</w:t>
      </w:r>
    </w:p>
    <w:p>
      <w:pPr>
        <w:spacing w:after="0" w:line="230" w:lineRule="auto"/>
        <w:rPr>
          <w:sz w:val="20"/>
          <w:szCs w:val="20"/>
          <w:color w:val="auto"/>
        </w:rPr>
      </w:pPr>
      <w:r>
        <w:rPr>
          <w:rFonts w:ascii="Arial" w:cs="Arial" w:eastAsia="Arial" w:hAnsi="Arial"/>
          <w:sz w:val="14"/>
          <w:szCs w:val="14"/>
          <w:color w:val="auto"/>
        </w:rPr>
        <w:t>Thailand</w:t>
      </w:r>
    </w:p>
    <w:p>
      <w:pPr>
        <w:spacing w:after="0" w:line="229" w:lineRule="auto"/>
        <w:rPr>
          <w:sz w:val="20"/>
          <w:szCs w:val="20"/>
          <w:color w:val="auto"/>
        </w:rPr>
      </w:pPr>
      <w:r>
        <w:rPr>
          <w:rFonts w:ascii="Arial" w:cs="Arial" w:eastAsia="Arial" w:hAnsi="Arial"/>
          <w:sz w:val="14"/>
          <w:szCs w:val="14"/>
          <w:color w:val="auto"/>
        </w:rPr>
        <w:t>Thailand</w:t>
      </w:r>
    </w:p>
    <w:p>
      <w:pPr>
        <w:spacing w:after="0" w:line="230" w:lineRule="auto"/>
        <w:rPr>
          <w:sz w:val="20"/>
          <w:szCs w:val="20"/>
          <w:color w:val="auto"/>
        </w:rPr>
      </w:pPr>
      <w:r>
        <w:rPr>
          <w:rFonts w:ascii="Arial" w:cs="Arial" w:eastAsia="Arial" w:hAnsi="Arial"/>
          <w:sz w:val="14"/>
          <w:szCs w:val="14"/>
          <w:color w:val="auto"/>
        </w:rPr>
        <w:t>Tunisia</w:t>
      </w:r>
    </w:p>
    <w:p>
      <w:pPr>
        <w:spacing w:after="0" w:line="230" w:lineRule="auto"/>
        <w:rPr>
          <w:sz w:val="20"/>
          <w:szCs w:val="20"/>
          <w:color w:val="auto"/>
        </w:rPr>
      </w:pPr>
      <w:r>
        <w:rPr>
          <w:rFonts w:ascii="Arial" w:cs="Arial" w:eastAsia="Arial" w:hAnsi="Arial"/>
          <w:sz w:val="14"/>
          <w:szCs w:val="14"/>
          <w:color w:val="auto"/>
        </w:rPr>
        <w:t>Tunisia</w:t>
      </w:r>
    </w:p>
    <w:p>
      <w:pPr>
        <w:spacing w:after="0" w:line="229" w:lineRule="auto"/>
        <w:rPr>
          <w:sz w:val="20"/>
          <w:szCs w:val="20"/>
          <w:color w:val="auto"/>
        </w:rPr>
      </w:pPr>
      <w:r>
        <w:rPr>
          <w:rFonts w:ascii="Arial" w:cs="Arial" w:eastAsia="Arial" w:hAnsi="Arial"/>
          <w:sz w:val="14"/>
          <w:szCs w:val="14"/>
          <w:color w:val="auto"/>
        </w:rPr>
        <w:t>Turkey</w:t>
      </w:r>
    </w:p>
    <w:p>
      <w:pPr>
        <w:spacing w:after="0" w:line="230" w:lineRule="auto"/>
        <w:rPr>
          <w:sz w:val="20"/>
          <w:szCs w:val="20"/>
          <w:color w:val="auto"/>
        </w:rPr>
      </w:pPr>
      <w:r>
        <w:rPr>
          <w:rFonts w:ascii="Arial" w:cs="Arial" w:eastAsia="Arial" w:hAnsi="Arial"/>
          <w:sz w:val="14"/>
          <w:szCs w:val="14"/>
          <w:color w:val="auto"/>
        </w:rPr>
        <w:t>Turkey</w:t>
      </w:r>
    </w:p>
    <w:p>
      <w:pPr>
        <w:spacing w:after="0" w:line="230" w:lineRule="auto"/>
        <w:rPr>
          <w:sz w:val="20"/>
          <w:szCs w:val="20"/>
          <w:color w:val="auto"/>
        </w:rPr>
      </w:pPr>
      <w:r>
        <w:rPr>
          <w:rFonts w:ascii="Arial" w:cs="Arial" w:eastAsia="Arial" w:hAnsi="Arial"/>
          <w:sz w:val="14"/>
          <w:szCs w:val="14"/>
          <w:color w:val="auto"/>
        </w:rPr>
        <w:t>UAE</w:t>
      </w:r>
    </w:p>
    <w:p>
      <w:pPr>
        <w:spacing w:after="0" w:line="229" w:lineRule="auto"/>
        <w:rPr>
          <w:sz w:val="20"/>
          <w:szCs w:val="20"/>
          <w:color w:val="auto"/>
        </w:rPr>
      </w:pPr>
      <w:r>
        <w:rPr>
          <w:rFonts w:ascii="Arial" w:cs="Arial" w:eastAsia="Arial" w:hAnsi="Arial"/>
          <w:sz w:val="14"/>
          <w:szCs w:val="14"/>
          <w:color w:val="auto"/>
        </w:rPr>
        <w:t>UAE</w:t>
      </w:r>
    </w:p>
    <w:p>
      <w:pPr>
        <w:spacing w:after="0" w:line="230" w:lineRule="auto"/>
        <w:rPr>
          <w:sz w:val="20"/>
          <w:szCs w:val="20"/>
          <w:color w:val="auto"/>
        </w:rPr>
      </w:pPr>
      <w:r>
        <w:rPr>
          <w:rFonts w:ascii="Arial" w:cs="Arial" w:eastAsia="Arial" w:hAnsi="Arial"/>
          <w:sz w:val="14"/>
          <w:szCs w:val="14"/>
          <w:color w:val="auto"/>
        </w:rPr>
        <w:t>UAE</w:t>
      </w:r>
    </w:p>
    <w:p>
      <w:pPr>
        <w:spacing w:after="0" w:line="230" w:lineRule="auto"/>
        <w:rPr>
          <w:sz w:val="20"/>
          <w:szCs w:val="20"/>
          <w:color w:val="auto"/>
        </w:rPr>
      </w:pPr>
      <w:r>
        <w:rPr>
          <w:rFonts w:ascii="Arial" w:cs="Arial" w:eastAsia="Arial" w:hAnsi="Arial"/>
          <w:sz w:val="14"/>
          <w:szCs w:val="14"/>
          <w:color w:val="auto"/>
        </w:rPr>
        <w:t>Ukraine</w:t>
      </w: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Uruguay</w:t>
      </w:r>
    </w:p>
    <w:p>
      <w:pPr>
        <w:spacing w:after="0" w:line="229" w:lineRule="auto"/>
        <w:rPr>
          <w:sz w:val="20"/>
          <w:szCs w:val="20"/>
          <w:color w:val="auto"/>
        </w:rPr>
      </w:pPr>
      <w:r>
        <w:rPr>
          <w:rFonts w:ascii="Arial" w:cs="Arial" w:eastAsia="Arial" w:hAnsi="Arial"/>
          <w:sz w:val="14"/>
          <w:szCs w:val="14"/>
          <w:color w:val="auto"/>
        </w:rPr>
        <w:t>Venezuela</w:t>
      </w:r>
    </w:p>
    <w:p>
      <w:pPr>
        <w:spacing w:after="0" w:line="230" w:lineRule="auto"/>
        <w:rPr>
          <w:sz w:val="20"/>
          <w:szCs w:val="20"/>
          <w:color w:val="auto"/>
        </w:rPr>
      </w:pPr>
      <w:r>
        <w:rPr>
          <w:rFonts w:ascii="Arial" w:cs="Arial" w:eastAsia="Arial" w:hAnsi="Arial"/>
          <w:sz w:val="14"/>
          <w:szCs w:val="14"/>
          <w:color w:val="auto"/>
        </w:rPr>
        <w:t>Venezuela</w:t>
      </w:r>
    </w:p>
    <w:p>
      <w:pPr>
        <w:spacing w:after="0" w:line="230" w:lineRule="auto"/>
        <w:rPr>
          <w:sz w:val="20"/>
          <w:szCs w:val="20"/>
          <w:color w:val="auto"/>
        </w:rPr>
      </w:pPr>
      <w:r>
        <w:rPr>
          <w:rFonts w:ascii="Arial" w:cs="Arial" w:eastAsia="Arial" w:hAnsi="Arial"/>
          <w:sz w:val="14"/>
          <w:szCs w:val="14"/>
          <w:color w:val="auto"/>
        </w:rPr>
        <w:t>Venezuela</w:t>
      </w:r>
    </w:p>
    <w:p>
      <w:pPr>
        <w:spacing w:after="0" w:line="229" w:lineRule="auto"/>
        <w:rPr>
          <w:sz w:val="20"/>
          <w:szCs w:val="20"/>
          <w:color w:val="auto"/>
        </w:rPr>
      </w:pPr>
      <w:r>
        <w:rPr>
          <w:rFonts w:ascii="Arial" w:cs="Arial" w:eastAsia="Arial" w:hAnsi="Arial"/>
          <w:sz w:val="14"/>
          <w:szCs w:val="14"/>
          <w:color w:val="auto"/>
        </w:rPr>
        <w:t>Vietnam</w:t>
      </w:r>
    </w:p>
    <w:p>
      <w:pPr>
        <w:spacing w:after="0" w:line="230" w:lineRule="auto"/>
        <w:rPr>
          <w:sz w:val="20"/>
          <w:szCs w:val="20"/>
          <w:color w:val="auto"/>
        </w:rPr>
      </w:pPr>
      <w:r>
        <w:rPr>
          <w:rFonts w:ascii="Arial" w:cs="Arial" w:eastAsia="Arial" w:hAnsi="Arial"/>
          <w:sz w:val="14"/>
          <w:szCs w:val="14"/>
          <w:color w:val="auto"/>
        </w:rPr>
        <w:t>Virginia</w:t>
      </w:r>
    </w:p>
    <w:p>
      <w:pPr>
        <w:spacing w:after="0" w:line="230" w:lineRule="auto"/>
        <w:rPr>
          <w:sz w:val="20"/>
          <w:szCs w:val="20"/>
          <w:color w:val="auto"/>
        </w:rPr>
      </w:pPr>
      <w:r>
        <w:rPr>
          <w:rFonts w:ascii="Arial" w:cs="Arial" w:eastAsia="Arial" w:hAnsi="Arial"/>
          <w:sz w:val="14"/>
          <w:szCs w:val="14"/>
          <w:color w:val="auto"/>
        </w:rPr>
        <w:t>Wisconsin</w:t>
      </w:r>
    </w:p>
    <w:p>
      <w:pPr>
        <w:spacing w:after="0" w:line="229" w:lineRule="auto"/>
        <w:rPr>
          <w:sz w:val="20"/>
          <w:szCs w:val="20"/>
          <w:color w:val="auto"/>
        </w:rPr>
      </w:pPr>
      <w:r>
        <w:rPr>
          <w:rFonts w:ascii="Arial" w:cs="Arial" w:eastAsia="Arial" w:hAnsi="Arial"/>
          <w:sz w:val="14"/>
          <w:szCs w:val="14"/>
          <w:color w:val="auto"/>
        </w:rPr>
        <w:t>Wisconsin</w:t>
      </w:r>
    </w:p>
    <w:p>
      <w:pPr>
        <w:spacing w:after="0" w:line="230" w:lineRule="auto"/>
        <w:rPr>
          <w:sz w:val="20"/>
          <w:szCs w:val="20"/>
          <w:color w:val="auto"/>
        </w:rPr>
      </w:pPr>
      <w:r>
        <w:rPr>
          <w:rFonts w:ascii="Arial" w:cs="Arial" w:eastAsia="Arial" w:hAnsi="Arial"/>
          <w:sz w:val="14"/>
          <w:szCs w:val="14"/>
          <w:color w:val="auto"/>
        </w:rPr>
        <w:t>Wisconsin</w:t>
      </w:r>
    </w:p>
    <w:p>
      <w:pPr>
        <w:spacing w:after="0" w:line="230" w:lineRule="auto"/>
        <w:rPr>
          <w:sz w:val="20"/>
          <w:szCs w:val="20"/>
          <w:color w:val="auto"/>
        </w:rPr>
      </w:pPr>
      <w:r>
        <w:rPr>
          <w:rFonts w:ascii="Arial" w:cs="Arial" w:eastAsia="Arial" w:hAnsi="Arial"/>
          <w:sz w:val="14"/>
          <w:szCs w:val="14"/>
          <w:color w:val="auto"/>
        </w:rPr>
        <w:t>Wisconsin</w:t>
      </w:r>
    </w:p>
    <w:p>
      <w:pPr>
        <w:spacing w:after="0" w:line="229" w:lineRule="auto"/>
        <w:rPr>
          <w:sz w:val="20"/>
          <w:szCs w:val="20"/>
          <w:color w:val="auto"/>
        </w:rPr>
      </w:pPr>
      <w:r>
        <w:rPr>
          <w:rFonts w:ascii="Arial" w:cs="Arial" w:eastAsia="Arial" w:hAnsi="Arial"/>
          <w:sz w:val="14"/>
          <w:szCs w:val="14"/>
          <w:color w:val="auto"/>
        </w:rPr>
        <w:t>Wisconsin</w:t>
      </w:r>
    </w:p>
    <w:p>
      <w:pPr>
        <w:spacing w:after="0" w:line="230" w:lineRule="auto"/>
        <w:rPr>
          <w:sz w:val="20"/>
          <w:szCs w:val="20"/>
          <w:color w:val="auto"/>
        </w:rPr>
      </w:pPr>
      <w:r>
        <w:rPr>
          <w:rFonts w:ascii="Arial" w:cs="Arial" w:eastAsia="Arial" w:hAnsi="Arial"/>
          <w:sz w:val="14"/>
          <w:szCs w:val="14"/>
          <w:color w:val="auto"/>
        </w:rPr>
        <w:t>Wisconsin</w:t>
      </w:r>
    </w:p>
    <w:p>
      <w:pPr>
        <w:spacing w:after="0" w:line="230" w:lineRule="auto"/>
        <w:rPr>
          <w:sz w:val="20"/>
          <w:szCs w:val="20"/>
          <w:color w:val="auto"/>
        </w:rPr>
      </w:pPr>
      <w:r>
        <w:rPr>
          <w:rFonts w:ascii="Arial" w:cs="Arial" w:eastAsia="Arial" w:hAnsi="Arial"/>
          <w:sz w:val="14"/>
          <w:szCs w:val="14"/>
          <w:color w:val="auto"/>
        </w:rPr>
        <w:t>Wisconsin</w:t>
      </w:r>
    </w:p>
    <w:p>
      <w:pPr>
        <w:spacing w:after="0"/>
        <w:rPr>
          <w:sz w:val="20"/>
          <w:szCs w:val="20"/>
          <w:color w:val="auto"/>
        </w:rPr>
      </w:pPr>
      <w:r>
        <w:rPr>
          <w:rFonts w:ascii="Arial" w:cs="Arial" w:eastAsia="Arial" w:hAnsi="Arial"/>
          <w:sz w:val="14"/>
          <w:szCs w:val="14"/>
          <w:color w:val="auto"/>
        </w:rPr>
        <w:t>Wisconsin</w:t>
      </w:r>
    </w:p>
    <w:p>
      <w:pPr>
        <w:sectPr>
          <w:pgSz w:w="11900" w:h="16838" w:orient="portrait"/>
          <w:cols w:equalWidth="0" w:num="2">
            <w:col w:w="7660" w:space="720"/>
            <w:col w:w="1859"/>
          </w:cols>
          <w:pgMar w:left="220" w:top="129"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326" w:lineRule="exact"/>
        <w:rPr>
          <w:sz w:val="20"/>
          <w:szCs w:val="20"/>
          <w:color w:val="auto"/>
        </w:rPr>
      </w:pPr>
    </w:p>
    <w:p>
      <w:pPr>
        <w:ind w:right="100" w:firstLine="493"/>
        <w:spacing w:after="0" w:line="225" w:lineRule="auto"/>
        <w:rPr>
          <w:sz w:val="20"/>
          <w:szCs w:val="20"/>
          <w:color w:val="auto"/>
        </w:rPr>
      </w:pPr>
      <w:r>
        <w:rPr>
          <w:rFonts w:ascii="Arial" w:cs="Arial" w:eastAsia="Arial" w:hAnsi="Arial"/>
          <w:sz w:val="14"/>
          <w:szCs w:val="14"/>
          <w:color w:val="auto"/>
        </w:rPr>
        <w:t>We consent to the incorporation by reference in Registration Statement No. 33-40441, 33-55264, 33-84736, 333-1040, 333-31021, 333-82459, 333-66656, 333-105205, 333-112164, 333-126703 and 333-135000 on Form S-8 and 333-650, 33-95896 and 333-87554 on Form S-4 of our reports dated February 18, 2009, relating to the consolidated financial statements and consolidated financial statement schedule of Manpower Inc. and its subsidiaries and management’s report on the effectiveness of internal control over financial reporting, appearing in and incorporated by reference in this Annual Report on Form 10-K of Manpower Inc. for the year ended December 31, 2008.</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Deloitte &amp; Touche LLP</w:t>
      </w:r>
    </w:p>
    <w:p>
      <w:pPr>
        <w:spacing w:after="0" w:line="237" w:lineRule="auto"/>
        <w:rPr>
          <w:sz w:val="20"/>
          <w:szCs w:val="20"/>
          <w:color w:val="auto"/>
        </w:rPr>
      </w:pPr>
      <w:r>
        <w:rPr>
          <w:rFonts w:ascii="Arial" w:cs="Arial" w:eastAsia="Arial" w:hAnsi="Arial"/>
          <w:sz w:val="14"/>
          <w:szCs w:val="14"/>
          <w:color w:val="auto"/>
        </w:rPr>
        <w:t>Milwaukee, Wisconsin</w:t>
      </w:r>
    </w:p>
    <w:p>
      <w:pPr>
        <w:spacing w:after="0"/>
        <w:rPr>
          <w:sz w:val="20"/>
          <w:szCs w:val="20"/>
          <w:color w:val="auto"/>
        </w:rPr>
      </w:pPr>
      <w:r>
        <w:rPr>
          <w:rFonts w:ascii="Arial" w:cs="Arial" w:eastAsia="Arial" w:hAnsi="Arial"/>
          <w:sz w:val="14"/>
          <w:szCs w:val="14"/>
          <w:color w:val="auto"/>
        </w:rPr>
        <w:t>February 18, 2009</w:t>
      </w:r>
    </w:p>
    <w:p>
      <w:pPr>
        <w:sectPr>
          <w:pgSz w:w="11900" w:h="16838" w:orient="portrait"/>
          <w:cols w:equalWidth="0" w:num="1">
            <w:col w:w="11460"/>
          </w:cols>
          <w:pgMar w:left="220" w:top="310" w:right="2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4"/>
          <w:szCs w:val="14"/>
          <w:b w:val="1"/>
          <w:bCs w:val="1"/>
          <w:color w:val="auto"/>
        </w:rPr>
        <w:t>Exhibit 24</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 FOR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firstLine="493"/>
        <w:spacing w:after="0" w:line="310" w:lineRule="auto"/>
        <w:rPr>
          <w:sz w:val="20"/>
          <w:szCs w:val="20"/>
          <w:color w:val="auto"/>
        </w:rPr>
      </w:pPr>
      <w:r>
        <w:rPr>
          <w:rFonts w:ascii="Arial" w:cs="Arial" w:eastAsia="Arial" w:hAnsi="Arial"/>
          <w:sz w:val="11"/>
          <w:szCs w:val="11"/>
          <w:color w:val="auto"/>
        </w:rPr>
        <w:t>Each of the undersigned directors of Manpower Inc. (the “Company”) hereby constitutes and appoints Jeffrey A. Joerres, Michael J. Van Handel and Kenneth C. Hunt,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2008,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30" w:lineRule="exact"/>
        <w:rPr>
          <w:sz w:val="20"/>
          <w:szCs w:val="20"/>
          <w:color w:val="auto"/>
        </w:rPr>
      </w:pPr>
    </w:p>
    <w:p>
      <w:pPr>
        <w:ind w:right="220" w:firstLine="493"/>
        <w:spacing w:after="0" w:line="217" w:lineRule="auto"/>
        <w:rPr>
          <w:sz w:val="20"/>
          <w:szCs w:val="20"/>
          <w:color w:val="auto"/>
        </w:rPr>
      </w:pPr>
      <w:r>
        <w:rPr>
          <w:rFonts w:ascii="Arial" w:cs="Arial" w:eastAsia="Arial" w:hAnsi="Arial"/>
          <w:sz w:val="16"/>
          <w:szCs w:val="16"/>
          <w:color w:val="auto"/>
        </w:rPr>
        <w:t>IN WITNESS WHEREOF, the undersigned have each executed this Power of Attorney for Annual Report on Form 10-K, on one or more counterparts, as of the 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of February, 2009.</w:t>
      </w:r>
    </w:p>
    <w:p>
      <w:pPr>
        <w:sectPr>
          <w:pgSz w:w="11900" w:h="16838" w:orient="portrait"/>
          <w:cols w:equalWidth="0" w:num="1">
            <w:col w:w="11460"/>
          </w:cols>
          <w:pgMar w:left="220" w:top="1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300"/>
        <w:spacing w:after="0"/>
        <w:rPr>
          <w:sz w:val="20"/>
          <w:szCs w:val="20"/>
          <w:color w:val="auto"/>
        </w:rPr>
      </w:pPr>
      <w:r>
        <w:rPr>
          <w:rFonts w:ascii="Arial" w:cs="Arial" w:eastAsia="Arial" w:hAnsi="Arial"/>
          <w:sz w:val="11"/>
          <w:szCs w:val="11"/>
          <w:color w:val="auto"/>
        </w:rPr>
        <w:t>/s/ J. Thomas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24130</wp:posOffset>
            </wp:positionV>
            <wp:extent cx="1454785" cy="13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spacing w:after="0" w:line="28"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J. Thomas Bouchard</w:t>
      </w:r>
    </w:p>
    <w:p>
      <w:pPr>
        <w:spacing w:after="0" w:line="200" w:lineRule="exact"/>
        <w:rPr>
          <w:sz w:val="20"/>
          <w:szCs w:val="20"/>
          <w:color w:val="auto"/>
        </w:rPr>
      </w:pPr>
    </w:p>
    <w:p>
      <w:pPr>
        <w:spacing w:after="0" w:line="308"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2540</wp:posOffset>
            </wp:positionV>
            <wp:extent cx="1454785" cy="13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color w:val="auto"/>
        </w:rPr>
        <w:t>Marc J. Bolland</w:t>
      </w:r>
    </w:p>
    <w:p>
      <w:pPr>
        <w:spacing w:after="0" w:line="200" w:lineRule="exact"/>
        <w:rPr>
          <w:sz w:val="20"/>
          <w:szCs w:val="20"/>
          <w:color w:val="auto"/>
        </w:rPr>
      </w:pPr>
    </w:p>
    <w:p>
      <w:pPr>
        <w:spacing w:after="0" w:line="296"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/s/ 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9525</wp:posOffset>
            </wp:positionV>
            <wp:extent cx="1454785" cy="133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Jack M. Greenberg</w:t>
      </w:r>
    </w:p>
    <w:p>
      <w:pPr>
        <w:spacing w:after="0" w:line="200" w:lineRule="exact"/>
        <w:rPr>
          <w:sz w:val="20"/>
          <w:szCs w:val="20"/>
          <w:color w:val="auto"/>
        </w:rPr>
      </w:pPr>
    </w:p>
    <w:p>
      <w:pPr>
        <w:spacing w:after="0" w:line="296"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2540</wp:posOffset>
            </wp:positionV>
            <wp:extent cx="1454785" cy="133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color w:val="auto"/>
        </w:rPr>
        <w:t>Ulice Payne, Jr.</w:t>
      </w:r>
    </w:p>
    <w:p>
      <w:pPr>
        <w:spacing w:after="0" w:line="200" w:lineRule="exact"/>
        <w:rPr>
          <w:sz w:val="20"/>
          <w:szCs w:val="20"/>
          <w:color w:val="auto"/>
        </w:rPr>
      </w:pPr>
    </w:p>
    <w:p>
      <w:pPr>
        <w:spacing w:after="0" w:line="296"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 Gina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2540</wp:posOffset>
            </wp:positionV>
            <wp:extent cx="1454785" cy="13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color w:val="auto"/>
        </w:rPr>
        <w:t>Gina Boswell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1454785" cy="133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Jeffrey A. Joerres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1454785" cy="133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Terry A. Hueneke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1454785" cy="13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John R. Walter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1454785"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Edward J. Zore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/s/ Cari Dominquez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454785" cy="133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54785" cy="1333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Cari Dominquez</w:t>
      </w:r>
    </w:p>
    <w:p>
      <w:pPr>
        <w:sectPr>
          <w:pgSz w:w="11900" w:h="16838" w:orient="portrait"/>
          <w:cols w:equalWidth="0" w:num="2">
            <w:col w:w="6160" w:space="720"/>
            <w:col w:w="4580"/>
          </w:cols>
          <w:pgMar w:left="220" w:top="125" w:right="21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4"/>
          <w:szCs w:val="14"/>
          <w:b w:val="1"/>
          <w:bCs w:val="1"/>
          <w:color w:val="auto"/>
        </w:rPr>
        <w:t>Exhibit 31.1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Jeffrey A. Joerres, Chairman and Chief Executive Officer of Manpower Inc., certify that:</w:t>
      </w:r>
    </w:p>
    <w:p>
      <w:pPr>
        <w:spacing w:after="0" w:line="147" w:lineRule="exact"/>
        <w:rPr>
          <w:sz w:val="20"/>
          <w:szCs w:val="20"/>
          <w:color w:val="auto"/>
        </w:rPr>
      </w:pPr>
    </w:p>
    <w:p>
      <w:pPr>
        <w:ind w:left="700" w:hanging="369"/>
        <w:spacing w:after="0"/>
        <w:tabs>
          <w:tab w:leader="none" w:pos="7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Manpower Inc.;</w:t>
      </w:r>
    </w:p>
    <w:p>
      <w:pPr>
        <w:spacing w:after="0" w:line="147" w:lineRule="exact"/>
        <w:rPr>
          <w:rFonts w:ascii="Arial" w:cs="Arial" w:eastAsia="Arial" w:hAnsi="Arial"/>
          <w:sz w:val="14"/>
          <w:szCs w:val="14"/>
          <w:color w:val="auto"/>
        </w:rPr>
      </w:pPr>
    </w:p>
    <w:p>
      <w:pPr>
        <w:ind w:left="700" w:right="240" w:hanging="369"/>
        <w:spacing w:after="0" w:line="249" w:lineRule="auto"/>
        <w:tabs>
          <w:tab w:leader="none" w:pos="7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ind w:left="700" w:right="20" w:hanging="369"/>
        <w:spacing w:after="0" w:line="249" w:lineRule="auto"/>
        <w:tabs>
          <w:tab w:leader="none" w:pos="7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4"/>
          <w:szCs w:val="14"/>
          <w:color w:val="auto"/>
        </w:rPr>
      </w:pPr>
    </w:p>
    <w:p>
      <w:pPr>
        <w:ind w:left="700" w:hanging="369"/>
        <w:spacing w:after="0" w:line="249" w:lineRule="auto"/>
        <w:tabs>
          <w:tab w:leader="none" w:pos="7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4"/>
          <w:szCs w:val="14"/>
          <w:color w:val="auto"/>
        </w:rPr>
      </w:pPr>
    </w:p>
    <w:p>
      <w:pPr>
        <w:jc w:val="both"/>
        <w:ind w:left="1460" w:right="420" w:hanging="369"/>
        <w:spacing w:after="0" w:line="239" w:lineRule="auto"/>
        <w:tabs>
          <w:tab w:leader="none" w:pos="1460" w:val="left"/>
        </w:tabs>
        <w:numPr>
          <w:ilvl w:val="1"/>
          <w:numId w:val="6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4"/>
          <w:szCs w:val="14"/>
          <w:color w:val="auto"/>
        </w:rPr>
      </w:pPr>
    </w:p>
    <w:p>
      <w:pPr>
        <w:ind w:left="1460" w:right="60" w:hanging="369"/>
        <w:spacing w:after="0" w:line="382" w:lineRule="auto"/>
        <w:tabs>
          <w:tab w:leader="none" w:pos="1460" w:val="left"/>
        </w:tabs>
        <w:numPr>
          <w:ilvl w:val="1"/>
          <w:numId w:val="6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1"/>
          <w:szCs w:val="11"/>
          <w:color w:val="auto"/>
        </w:rPr>
      </w:pPr>
    </w:p>
    <w:p>
      <w:pPr>
        <w:ind w:left="1460" w:right="220" w:hanging="369"/>
        <w:spacing w:after="0" w:line="249" w:lineRule="auto"/>
        <w:tabs>
          <w:tab w:leader="none" w:pos="1460" w:val="left"/>
        </w:tabs>
        <w:numPr>
          <w:ilvl w:val="1"/>
          <w:numId w:val="6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4"/>
          <w:szCs w:val="14"/>
          <w:color w:val="auto"/>
        </w:rPr>
      </w:pPr>
    </w:p>
    <w:p>
      <w:pPr>
        <w:ind w:left="1460" w:right="220" w:hanging="369"/>
        <w:spacing w:after="0" w:line="382" w:lineRule="auto"/>
        <w:tabs>
          <w:tab w:leader="none" w:pos="1460" w:val="left"/>
        </w:tabs>
        <w:numPr>
          <w:ilvl w:val="1"/>
          <w:numId w:val="60"/>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1"/>
          <w:szCs w:val="11"/>
          <w:color w:val="auto"/>
        </w:rPr>
      </w:pPr>
    </w:p>
    <w:p>
      <w:pPr>
        <w:ind w:left="700" w:right="100" w:hanging="369"/>
        <w:spacing w:after="0" w:line="249" w:lineRule="auto"/>
        <w:tabs>
          <w:tab w:leader="none" w:pos="7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4"/>
          <w:szCs w:val="14"/>
          <w:color w:val="auto"/>
        </w:rPr>
      </w:pPr>
    </w:p>
    <w:p>
      <w:pPr>
        <w:ind w:left="1460" w:right="560" w:hanging="369"/>
        <w:spacing w:after="0" w:line="249" w:lineRule="auto"/>
        <w:tabs>
          <w:tab w:leader="none" w:pos="1460" w:val="left"/>
        </w:tabs>
        <w:numPr>
          <w:ilvl w:val="1"/>
          <w:numId w:val="6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460" w:hanging="369"/>
        <w:spacing w:after="0"/>
        <w:tabs>
          <w:tab w:leader="none" w:pos="146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20, 2009</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256790" cy="133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56790" cy="133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Jeffrey A. Joerres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Chairman, Chief Executive Officer</w:t>
      </w:r>
    </w:p>
    <w:p>
      <w:pPr>
        <w:sectPr>
          <w:pgSz w:w="11900" w:h="16838" w:orient="portrait"/>
          <w:cols w:equalWidth="0" w:num="1">
            <w:col w:w="11460"/>
          </w:cols>
          <w:pgMar w:left="220" w:top="125" w:right="2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4"/>
          <w:szCs w:val="14"/>
          <w:b w:val="1"/>
          <w:bCs w:val="1"/>
          <w:color w:val="auto"/>
        </w:rPr>
        <w:t>Exhibit 31.2</w:t>
      </w:r>
    </w:p>
    <w:p>
      <w:pPr>
        <w:spacing w:after="0" w:line="147"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Michael J. Van Handel, Executive Vice President and Chief Financial Officer of Manpower Inc., certify that:</w:t>
      </w:r>
    </w:p>
    <w:p>
      <w:pPr>
        <w:spacing w:after="0" w:line="147" w:lineRule="exact"/>
        <w:rPr>
          <w:sz w:val="20"/>
          <w:szCs w:val="20"/>
          <w:color w:val="auto"/>
        </w:rPr>
      </w:pPr>
    </w:p>
    <w:p>
      <w:pPr>
        <w:ind w:left="700" w:hanging="369"/>
        <w:spacing w:after="0"/>
        <w:tabs>
          <w:tab w:leader="none" w:pos="7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Manpower Inc.;</w:t>
      </w:r>
    </w:p>
    <w:p>
      <w:pPr>
        <w:spacing w:after="0" w:line="147" w:lineRule="exact"/>
        <w:rPr>
          <w:rFonts w:ascii="Arial" w:cs="Arial" w:eastAsia="Arial" w:hAnsi="Arial"/>
          <w:sz w:val="14"/>
          <w:szCs w:val="14"/>
          <w:color w:val="auto"/>
        </w:rPr>
      </w:pPr>
    </w:p>
    <w:p>
      <w:pPr>
        <w:ind w:left="700" w:right="240" w:hanging="369"/>
        <w:spacing w:after="0" w:line="249" w:lineRule="auto"/>
        <w:tabs>
          <w:tab w:leader="none" w:pos="7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ind w:left="700" w:right="20" w:hanging="369"/>
        <w:spacing w:after="0" w:line="249" w:lineRule="auto"/>
        <w:tabs>
          <w:tab w:leader="none" w:pos="7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4"/>
          <w:szCs w:val="14"/>
          <w:color w:val="auto"/>
        </w:rPr>
      </w:pPr>
    </w:p>
    <w:p>
      <w:pPr>
        <w:ind w:left="700" w:hanging="369"/>
        <w:spacing w:after="0" w:line="249" w:lineRule="auto"/>
        <w:tabs>
          <w:tab w:leader="none" w:pos="7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4"/>
          <w:szCs w:val="14"/>
          <w:color w:val="auto"/>
        </w:rPr>
      </w:pPr>
    </w:p>
    <w:p>
      <w:pPr>
        <w:jc w:val="both"/>
        <w:ind w:left="1460" w:right="420" w:hanging="369"/>
        <w:spacing w:after="0" w:line="239" w:lineRule="auto"/>
        <w:tabs>
          <w:tab w:leader="none" w:pos="14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4"/>
          <w:szCs w:val="14"/>
          <w:color w:val="auto"/>
        </w:rPr>
      </w:pPr>
    </w:p>
    <w:p>
      <w:pPr>
        <w:ind w:left="1460" w:right="60" w:hanging="369"/>
        <w:spacing w:after="0" w:line="382" w:lineRule="auto"/>
        <w:tabs>
          <w:tab w:leader="none" w:pos="1460" w:val="left"/>
        </w:tabs>
        <w:numPr>
          <w:ilvl w:val="1"/>
          <w:numId w:val="6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1"/>
          <w:szCs w:val="11"/>
          <w:color w:val="auto"/>
        </w:rPr>
      </w:pPr>
    </w:p>
    <w:p>
      <w:pPr>
        <w:ind w:left="1460" w:right="220" w:hanging="369"/>
        <w:spacing w:after="0" w:line="249" w:lineRule="auto"/>
        <w:tabs>
          <w:tab w:leader="none" w:pos="14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4"/>
          <w:szCs w:val="14"/>
          <w:color w:val="auto"/>
        </w:rPr>
      </w:pPr>
    </w:p>
    <w:p>
      <w:pPr>
        <w:ind w:left="1460" w:right="220" w:hanging="369"/>
        <w:spacing w:after="0" w:line="382" w:lineRule="auto"/>
        <w:tabs>
          <w:tab w:leader="none" w:pos="1460" w:val="left"/>
        </w:tabs>
        <w:numPr>
          <w:ilvl w:val="1"/>
          <w:numId w:val="61"/>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1"/>
          <w:szCs w:val="11"/>
          <w:color w:val="auto"/>
        </w:rPr>
      </w:pPr>
    </w:p>
    <w:p>
      <w:pPr>
        <w:ind w:left="700" w:right="100" w:hanging="369"/>
        <w:spacing w:after="0" w:line="249" w:lineRule="auto"/>
        <w:tabs>
          <w:tab w:leader="none" w:pos="7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4"/>
          <w:szCs w:val="14"/>
          <w:color w:val="auto"/>
        </w:rPr>
      </w:pPr>
    </w:p>
    <w:p>
      <w:pPr>
        <w:ind w:left="1460" w:right="560" w:hanging="369"/>
        <w:spacing w:after="0" w:line="249" w:lineRule="auto"/>
        <w:tabs>
          <w:tab w:leader="none" w:pos="14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460" w:hanging="369"/>
        <w:spacing w:after="0"/>
        <w:tabs>
          <w:tab w:leader="none" w:pos="1460" w:val="left"/>
        </w:tabs>
        <w:numPr>
          <w:ilvl w:val="1"/>
          <w:numId w:val="6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20, 2009</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1969770" cy="13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69770" cy="133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Michael J. Van Handel</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Chief Financial Officer</w:t>
      </w:r>
    </w:p>
    <w:p>
      <w:pPr>
        <w:sectPr>
          <w:pgSz w:w="11900" w:h="16838" w:orient="portrait"/>
          <w:cols w:equalWidth="0" w:num="1">
            <w:col w:w="11460"/>
          </w:cols>
          <w:pgMar w:left="220" w:top="125" w:right="2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b w:val="1"/>
          <w:bCs w:val="1"/>
          <w:color w:val="auto"/>
        </w:rPr>
        <w:t>Exhibit 32.1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Pursuant to ss. 906 of the Sarbanes-Oxley Act of 2002, 18 U.S.C. ss. 1350, the undersigned officer of Manpower Inc. (the “Company”), hereby certifies that to his knowledge:</w:t>
      </w:r>
    </w:p>
    <w:p>
      <w:pPr>
        <w:spacing w:after="0" w:line="147" w:lineRule="exact"/>
        <w:rPr>
          <w:sz w:val="20"/>
          <w:szCs w:val="20"/>
          <w:color w:val="auto"/>
        </w:rPr>
      </w:pPr>
    </w:p>
    <w:p>
      <w:pPr>
        <w:ind w:left="700" w:hanging="369"/>
        <w:spacing w:after="0" w:line="249" w:lineRule="auto"/>
        <w:tabs>
          <w:tab w:leader="none" w:pos="7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Company’s Annual Report on Form 10-K for the year ended December 31, 2008 fully complies with the requirements of Section 13(a) or 15(d), as applicable, of the Securities Exchange Act of 1934, and</w:t>
      </w:r>
    </w:p>
    <w:p>
      <w:pPr>
        <w:spacing w:after="0" w:line="128" w:lineRule="exact"/>
        <w:rPr>
          <w:rFonts w:ascii="Arial" w:cs="Arial" w:eastAsia="Arial" w:hAnsi="Arial"/>
          <w:sz w:val="14"/>
          <w:szCs w:val="14"/>
          <w:color w:val="auto"/>
        </w:rPr>
      </w:pPr>
    </w:p>
    <w:p>
      <w:pPr>
        <w:ind w:left="700" w:hanging="369"/>
        <w:spacing w:after="0"/>
        <w:tabs>
          <w:tab w:leader="none" w:pos="7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MANPOWER INC.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20, 2009</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041525" cy="13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41525" cy="133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Jeffrey A. Joerres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Chairman, Chief Executive Officer</w:t>
      </w:r>
    </w:p>
    <w:p>
      <w:pPr>
        <w:spacing w:after="0" w:line="148" w:lineRule="exact"/>
        <w:rPr>
          <w:sz w:val="20"/>
          <w:szCs w:val="20"/>
          <w:color w:val="auto"/>
        </w:rPr>
      </w:pPr>
    </w:p>
    <w:p>
      <w:pPr>
        <w:ind w:right="420"/>
        <w:spacing w:after="0" w:line="249" w:lineRule="auto"/>
        <w:rPr>
          <w:sz w:val="20"/>
          <w:szCs w:val="20"/>
          <w:color w:val="auto"/>
        </w:rPr>
      </w:pPr>
      <w:r>
        <w:rPr>
          <w:rFonts w:ascii="Arial" w:cs="Arial" w:eastAsia="Arial" w:hAnsi="Arial"/>
          <w:sz w:val="14"/>
          <w:szCs w:val="14"/>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60"/>
          </w:cols>
          <w:pgMar w:left="220" w:top="125" w:right="2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b w:val="1"/>
          <w:bCs w:val="1"/>
          <w:color w:val="auto"/>
        </w:rPr>
        <w:t>Exhibit 32.2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Pursuant to ss. 906 of the Sarbanes-Oxley Act of 2002, 18 U.S.C. ss. 1350, the undersigned officer of Manpower Inc. (the “Company”), hereby certifies that to his knowledge:</w:t>
      </w:r>
    </w:p>
    <w:p>
      <w:pPr>
        <w:spacing w:after="0" w:line="147" w:lineRule="exact"/>
        <w:rPr>
          <w:sz w:val="20"/>
          <w:szCs w:val="20"/>
          <w:color w:val="auto"/>
        </w:rPr>
      </w:pPr>
    </w:p>
    <w:p>
      <w:pPr>
        <w:ind w:left="700" w:hanging="369"/>
        <w:spacing w:after="0" w:line="249" w:lineRule="auto"/>
        <w:tabs>
          <w:tab w:leader="none" w:pos="7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Company’s Annual Report on Form 10-K for the year ended December 31, 2008 fully complies with the requirements of Section 13(a) or 15(d), as applicable, of the Securities Exchange Act of 1934, and</w:t>
      </w:r>
    </w:p>
    <w:p>
      <w:pPr>
        <w:spacing w:after="0" w:line="128" w:lineRule="exact"/>
        <w:rPr>
          <w:rFonts w:ascii="Arial" w:cs="Arial" w:eastAsia="Arial" w:hAnsi="Arial"/>
          <w:sz w:val="14"/>
          <w:szCs w:val="14"/>
          <w:color w:val="auto"/>
        </w:rPr>
      </w:pPr>
    </w:p>
    <w:p>
      <w:pPr>
        <w:ind w:left="700" w:hanging="369"/>
        <w:spacing w:after="0"/>
        <w:tabs>
          <w:tab w:leader="none" w:pos="7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MANPOWER INC.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20, 2009</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185035"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85035" cy="133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Michael J. Van Handel</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Chief Financial Officer</w:t>
      </w:r>
    </w:p>
    <w:p>
      <w:pPr>
        <w:spacing w:after="0" w:line="148" w:lineRule="exact"/>
        <w:rPr>
          <w:sz w:val="20"/>
          <w:szCs w:val="20"/>
          <w:color w:val="auto"/>
        </w:rPr>
      </w:pPr>
    </w:p>
    <w:p>
      <w:pPr>
        <w:ind w:right="420"/>
        <w:spacing w:after="0" w:line="249" w:lineRule="auto"/>
        <w:rPr>
          <w:sz w:val="20"/>
          <w:szCs w:val="20"/>
          <w:color w:val="auto"/>
        </w:rPr>
      </w:pPr>
      <w:r>
        <w:rPr>
          <w:rFonts w:ascii="Arial" w:cs="Arial" w:eastAsia="Arial" w:hAnsi="Arial"/>
          <w:sz w:val="14"/>
          <w:szCs w:val="14"/>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60"/>
      </w:cols>
      <w:pgMar w:left="22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decimal"/>
      <w:start w:val="13"/>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8">
    <w:nsid w:val="153EA438"/>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lvl w:ilvl="3">
      <w:lvlJc w:val="left"/>
      <w:lvlText w:val="%4."/>
      <w:numFmt w:val="decimal"/>
      <w:start w:val="3"/>
    </w:lvl>
  </w:abstractNum>
  <w:abstractNum w:abstractNumId="19">
    <w:nsid w:val="3855585C"/>
    <w:multiLevelType w:val="hybridMultilevel"/>
    <w:lvl w:ilvl="0">
      <w:lvlJc w:val="left"/>
      <w:lvlText w:val="%1."/>
      <w:numFmt w:val="decimal"/>
      <w:start w:val="5"/>
    </w:lvl>
  </w:abstractNum>
  <w:abstractNum w:abstractNumId="20">
    <w:nsid w:val="70A64E2A"/>
    <w:multiLevelType w:val="hybridMultilevel"/>
    <w:lvl w:ilvl="0">
      <w:lvlJc w:val="left"/>
      <w:lvlText w:val="%1."/>
      <w:numFmt w:val="decimal"/>
      <w:start w:val="6"/>
    </w:lvl>
  </w:abstractNum>
  <w:abstractNum w:abstractNumId="21">
    <w:nsid w:val="6A2342EC"/>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abstractNum>
  <w:abstractNum w:abstractNumId="22">
    <w:nsid w:val="2A487CB0"/>
    <w:multiLevelType w:val="hybridMultilevel"/>
    <w:lvl w:ilvl="0">
      <w:lvlJc w:val="left"/>
      <w:lvlText w:val="%1."/>
      <w:numFmt w:val="decimal"/>
      <w:start w:val="9"/>
    </w:lvl>
    <w:lvl w:ilvl="1">
      <w:lvlJc w:val="left"/>
      <w:lvlText w:val="%2"/>
      <w:numFmt w:val="decimal"/>
      <w:start w:val="1"/>
    </w:lvl>
    <w:lvl w:ilvl="2">
      <w:lvlJc w:val="left"/>
      <w:lvlText w:val="%3."/>
      <w:numFmt w:val="decimal"/>
      <w:start w:val="10"/>
    </w:lvl>
  </w:abstractNum>
  <w:abstractNum w:abstractNumId="23">
    <w:nsid w:val="1D4ED43B"/>
    <w:multiLevelType w:val="hybridMultilevel"/>
    <w:lvl w:ilvl="0">
      <w:lvlJc w:val="left"/>
      <w:lvlText w:val="%1."/>
      <w:numFmt w:val="decimal"/>
      <w:start w:val="1"/>
    </w:lvl>
    <w:lvl w:ilvl="1">
      <w:lvlJc w:val="left"/>
      <w:lvlText w:val="(%2)"/>
      <w:numFmt w:val="lowerLetter"/>
      <w:start w:val="1"/>
    </w:lvl>
  </w:abstractNum>
  <w:abstractNum w:abstractNumId="24">
    <w:nsid w:val="725A06FB"/>
    <w:multiLevelType w:val="hybridMultilevel"/>
    <w:lvl w:ilvl="0">
      <w:lvlJc w:val="left"/>
      <w:lvlText w:val="(%1)"/>
      <w:numFmt w:val="lowerLetter"/>
      <w:start w:val="2"/>
    </w:lvl>
  </w:abstractNum>
  <w:abstractNum w:abstractNumId="25">
    <w:nsid w:val="2CD89A32"/>
    <w:multiLevelType w:val="hybridMultilevel"/>
    <w:lvl w:ilvl="0">
      <w:lvlJc w:val="left"/>
      <w:lvlText w:val="(%1)"/>
      <w:numFmt w:val="lowerRoman"/>
      <w:start w:val="1"/>
    </w:lvl>
  </w:abstractNum>
  <w:abstractNum w:abstractNumId="26">
    <w:nsid w:val="57E4CCAF"/>
    <w:multiLevelType w:val="hybridMultilevel"/>
    <w:lvl w:ilvl="0">
      <w:lvlJc w:val="left"/>
      <w:lvlText w:val="(%1)"/>
      <w:numFmt w:val="lowerRoman"/>
      <w:start w:val="2"/>
    </w:lvl>
  </w:abstractNum>
  <w:abstractNum w:abstractNumId="27">
    <w:nsid w:val="7A6D8D3C"/>
    <w:multiLevelType w:val="hybridMultilevel"/>
    <w:lvl w:ilvl="0">
      <w:lvlJc w:val="left"/>
      <w:lvlText w:val="(%1)"/>
      <w:numFmt w:val="lowerLetter"/>
      <w:start w:val="4"/>
    </w:lvl>
    <w:lvl w:ilvl="1">
      <w:lvlJc w:val="left"/>
      <w:lvlText w:val="(%2)"/>
      <w:numFmt w:val="lowerRoman"/>
      <w:start w:val="1"/>
    </w:lvl>
  </w:abstractNum>
  <w:abstractNum w:abstractNumId="28">
    <w:nsid w:val="4B588F54"/>
    <w:multiLevelType w:val="hybridMultilevel"/>
    <w:lvl w:ilvl="0">
      <w:lvlJc w:val="left"/>
      <w:lvlText w:val="(%1)"/>
      <w:numFmt w:val="decimal"/>
      <w:start w:val="30"/>
    </w:lvl>
  </w:abstractNum>
  <w:abstractNum w:abstractNumId="29">
    <w:nsid w:val="542289EC"/>
    <w:multiLevelType w:val="hybridMultilevel"/>
    <w:lvl w:ilvl="0">
      <w:lvlJc w:val="left"/>
      <w:lvlText w:val="(%1)"/>
      <w:numFmt w:val="lowerLetter"/>
      <w:start w:val="5"/>
    </w:lvl>
    <w:lvl w:ilvl="1">
      <w:lvlJc w:val="left"/>
      <w:lvlText w:val="(%2)"/>
      <w:numFmt w:val="lowerRoman"/>
      <w:start w:val="1"/>
    </w:lvl>
  </w:abstractNum>
  <w:abstractNum w:abstractNumId="30">
    <w:nsid w:val="6DE91B18"/>
    <w:multiLevelType w:val="hybridMultilevel"/>
    <w:lvl w:ilvl="0">
      <w:lvlJc w:val="left"/>
      <w:lvlText w:val="%1."/>
      <w:numFmt w:val="decimal"/>
      <w:start w:val="2"/>
    </w:lvl>
    <w:lvl w:ilvl="1">
      <w:lvlJc w:val="left"/>
      <w:lvlText w:val="(%2)"/>
      <w:numFmt w:val="lowerLetter"/>
      <w:start w:val="1"/>
    </w:lvl>
  </w:abstractNum>
  <w:abstractNum w:abstractNumId="31">
    <w:nsid w:val="38437FD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2">
    <w:nsid w:val="7644A45C"/>
    <w:multiLevelType w:val="hybridMultilevel"/>
    <w:lvl w:ilvl="0">
      <w:lvlJc w:val="left"/>
      <w:lvlText w:val="(%1)"/>
      <w:numFmt w:val="upperLetter"/>
      <w:start w:val="5"/>
    </w:lvl>
  </w:abstractNum>
  <w:abstractNum w:abstractNumId="33">
    <w:nsid w:val="32FFF902"/>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6"/>
    </w:lvl>
  </w:abstractNum>
  <w:abstractNum w:abstractNumId="34">
    <w:nsid w:val="684A481A"/>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35">
    <w:nsid w:val="579478FE"/>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
    </w:lvl>
  </w:abstractNum>
  <w:abstractNum w:abstractNumId="36">
    <w:nsid w:val="749ABB43"/>
    <w:multiLevelType w:val="hybridMultilevel"/>
    <w:lvl w:ilvl="0">
      <w:lvlJc w:val="left"/>
      <w:lvlText w:val="(%1)"/>
      <w:numFmt w:val="upperLetter"/>
      <w:start w:val="5"/>
    </w:lvl>
  </w:abstractNum>
  <w:abstractNum w:abstractNumId="37">
    <w:nsid w:val="3DC240FB"/>
    <w:multiLevelType w:val="hybridMultilevel"/>
    <w:lvl w:ilvl="0">
      <w:lvlJc w:val="left"/>
      <w:lvlText w:val="(%1)"/>
      <w:numFmt w:val="upperLetter"/>
      <w:start w:val="6"/>
    </w:lvl>
  </w:abstractNum>
  <w:abstractNum w:abstractNumId="38">
    <w:nsid w:val="1BA026FA"/>
    <w:multiLevelType w:val="hybridMultilevel"/>
    <w:lvl w:ilvl="0">
      <w:lvlJc w:val="left"/>
      <w:lvlText w:val="(%1)"/>
      <w:numFmt w:val="lowerLetter"/>
      <w:start w:val="4"/>
    </w:lvl>
  </w:abstractNum>
  <w:abstractNum w:abstractNumId="39">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40">
    <w:nsid w:val="75C6C3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1">
    <w:nsid w:val="12E685FB"/>
    <w:multiLevelType w:val="hybridMultilevel"/>
    <w:lvl w:ilvl="0">
      <w:lvlJc w:val="left"/>
      <w:lvlText w:val="%1."/>
      <w:numFmt w:val="decimal"/>
      <w:start w:val="4"/>
    </w:lvl>
    <w:lvl w:ilvl="1">
      <w:lvlJc w:val="left"/>
      <w:lvlText w:val="(%2)"/>
      <w:numFmt w:val="lowerLetter"/>
      <w:start w:val="1"/>
    </w:lvl>
  </w:abstractNum>
  <w:abstractNum w:abstractNumId="42">
    <w:nsid w:val="70C6A529"/>
    <w:multiLevelType w:val="hybridMultilevel"/>
    <w:lvl w:ilvl="0">
      <w:lvlJc w:val="left"/>
      <w:lvlText w:val="%1."/>
      <w:numFmt w:val="decimal"/>
      <w:start w:val="7"/>
    </w:lvl>
    <w:lvl w:ilvl="1">
      <w:lvlJc w:val="left"/>
      <w:lvlText w:val="(%2)"/>
      <w:numFmt w:val="lowerLetter"/>
      <w:start w:val="1"/>
    </w:lvl>
  </w:abstractNum>
  <w:abstractNum w:abstractNumId="43">
    <w:nsid w:val="520EEDD1"/>
    <w:multiLevelType w:val="hybridMultilevel"/>
    <w:lvl w:ilvl="0">
      <w:lvlJc w:val="left"/>
      <w:lvlText w:val="%1."/>
      <w:numFmt w:val="decimal"/>
      <w:start w:val="10"/>
    </w:lvl>
  </w:abstractNum>
  <w:abstractNum w:abstractNumId="44">
    <w:nsid w:val="374A3FE6"/>
    <w:multiLevelType w:val="hybridMultilevel"/>
    <w:lvl w:ilvl="0">
      <w:lvlJc w:val="left"/>
      <w:lvlText w:val="%1."/>
      <w:numFmt w:val="decimal"/>
      <w:start w:val="17"/>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decimal"/>
      <w:start w:val="1"/>
    </w:lvl>
    <w:lvl w:ilvl="1">
      <w:lvlJc w:val="left"/>
      <w:lvlText w:val="(%2)"/>
      <w:numFmt w:val="lowerLetter"/>
      <w:start w:val="2"/>
    </w:lvl>
  </w:abstractNum>
  <w:abstractNum w:abstractNumId="47">
    <w:nsid w:val="649BB77C"/>
    <w:multiLevelType w:val="hybridMultilevel"/>
    <w:lvl w:ilvl="0">
      <w:lvlJc w:val="left"/>
      <w:lvlText w:val="%1."/>
      <w:numFmt w:val="decimal"/>
      <w:start w:val="19"/>
    </w:lvl>
    <w:lvl w:ilvl="1">
      <w:lvlJc w:val="left"/>
      <w:lvlText w:val="%2"/>
      <w:numFmt w:val="lowerLetter"/>
      <w:start w:val="1"/>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decimal"/>
      <w:start w:val="17"/>
    </w:lvl>
  </w:abstractNum>
  <w:abstractNum w:abstractNumId="50">
    <w:nsid w:val="1CF10FD8"/>
    <w:multiLevelType w:val="hybridMultilevel"/>
    <w:lvl w:ilvl="0">
      <w:lvlJc w:val="left"/>
      <w:lvlText w:val="%1"/>
      <w:numFmt w:val="decimal"/>
      <w:start w:val="39"/>
    </w:lvl>
  </w:abstractNum>
  <w:abstractNum w:abstractNumId="51">
    <w:nsid w:val="180115BE"/>
    <w:multiLevelType w:val="hybridMultilevel"/>
    <w:lvl w:ilvl="0">
      <w:lvlJc w:val="left"/>
      <w:lvlText w:val="%1"/>
      <w:numFmt w:val="decimal"/>
      <w:start w:val="42"/>
    </w:lvl>
  </w:abstractNum>
  <w:abstractNum w:abstractNumId="52">
    <w:nsid w:val="235BA861"/>
    <w:multiLevelType w:val="hybridMultilevel"/>
    <w:lvl w:ilvl="0">
      <w:lvlJc w:val="left"/>
      <w:lvlText w:val="%1"/>
      <w:numFmt w:val="decimal"/>
      <w:start w:val="72"/>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2"/>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2019-12-10T09:56:26Z</dcterms:created>
  <dcterms:modified xsi:type="dcterms:W3CDTF">2019-12-10T09:56:26Z</dcterms:modified>
</cp:coreProperties>
</file>