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4"/>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1-10686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1984"/>
        <w:spacing w:after="0"/>
        <w:rPr>
          <w:sz w:val="20"/>
          <w:szCs w:val="20"/>
          <w:color w:val="auto"/>
        </w:rPr>
      </w:pPr>
      <w:r>
        <w:rPr>
          <w:rFonts w:ascii="Arial" w:cs="Arial" w:eastAsia="Arial" w:hAnsi="Arial"/>
          <w:sz w:val="16"/>
          <w:szCs w:val="16"/>
          <w:b w:val="1"/>
          <w:bCs w:val="1"/>
          <w:color w:val="auto"/>
        </w:rPr>
        <w:t>100 Manpower Place</w:t>
      </w:r>
    </w:p>
    <w:p>
      <w:pPr>
        <w:spacing w:after="0" w:line="50" w:lineRule="exact"/>
        <w:rPr>
          <w:sz w:val="24"/>
          <w:szCs w:val="24"/>
          <w:color w:val="auto"/>
        </w:rPr>
      </w:pPr>
    </w:p>
    <w:p>
      <w:pPr>
        <w:ind w:left="1924"/>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MAN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u w:val="single" w:color="auto"/>
          <w:color w:val="auto"/>
        </w:rPr>
        <w:t>Entry into a Material Definitive Agreement</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On May 27, 2022, ManpowerGroup Inc. (the “Company”) entered into a Credit Agreement (the “Credit Agreement”) with a syndicate of lenders and JPMorgan Chase Bank, N.A., as Administrative Agent. This Credit Agreement replaces the Company’s previous $600 million revolving credit facility.</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Credit Agreement provides for a $600 million five-year revolving credit facility and includes terms generally consistent with the Company’s previous revolving credit facility. The Company may request an increase in revolving credit commitments under the facility of up to $300 million in certain circumstances.</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and a fixed charge coverage ratio.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7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foregoing description of the Credit Agreement does not purport to be complete and is qualified in its entirety by reference to the agreement filed herewith as exhibit 10.1, which is incorporated by reference into this Item 1.01.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u w:val="single" w:color="auto"/>
          <w:color w:val="auto"/>
        </w:rPr>
        <w:t>Termination of a Material Definitive Agreement</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In connection with its entry into the Credit Agreement, the Amended and Restated Five Year Credit Agreement dated as of June 22, 2018 among the Company, a syndicate of lenders and Citibank, N.A., as administrative agent, was terminated as of May 27, 2022. The Company incurred no early termination penalties in connection with the termination of this agreement.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6"/>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20"/>
        </w:trPr>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60" w:type="dxa"/>
            <w:vAlign w:val="bottom"/>
            <w:tcBorders>
              <w:top w:val="single" w:sz="8" w:color="auto"/>
            </w:tcBorders>
            <w:gridSpan w:val="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Credit Agreement dated as of May 27, 2022 among the Company, a syndicate of lenders and JPMorgan Chase Bank, N.A., as</w:t>
              </w:r>
            </w:hyperlink>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Administrative Agent.</w:t>
              </w:r>
            </w:hyperlink>
          </w:p>
        </w:tc>
        <w:tc>
          <w:tcPr>
            <w:tcW w:w="5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3560" w:val="left"/>
          <w:tab w:leader="none" w:pos="4140" w:val="left"/>
        </w:tabs>
        <w:rPr>
          <w:sz w:val="20"/>
          <w:szCs w:val="20"/>
          <w:color w:val="auto"/>
        </w:rPr>
      </w:pPr>
      <w:r>
        <w:rPr>
          <w:rFonts w:ascii="Arial" w:cs="Arial" w:eastAsia="Arial" w:hAnsi="Arial"/>
          <w:sz w:val="18"/>
          <w:szCs w:val="18"/>
          <w:color w:val="auto"/>
        </w:rPr>
        <w:t>Dated: May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4354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Name: Richard Buchband</w:t>
      </w:r>
    </w:p>
    <w:p>
      <w:pPr>
        <w:spacing w:after="0" w:line="23" w:lineRule="exact"/>
        <w:rPr>
          <w:sz w:val="20"/>
          <w:szCs w:val="20"/>
          <w:color w:val="auto"/>
        </w:rPr>
      </w:pPr>
    </w:p>
    <w:p>
      <w:pPr>
        <w:ind w:left="3580"/>
        <w:spacing w:after="0"/>
        <w:tabs>
          <w:tab w:leader="none" w:pos="4140" w:val="left"/>
        </w:tabs>
        <w:rPr>
          <w:sz w:val="20"/>
          <w:szCs w:val="20"/>
          <w:color w:val="auto"/>
        </w:rPr>
      </w:pPr>
      <w:r>
        <w:rPr>
          <w:rFonts w:ascii="Arial" w:cs="Arial" w:eastAsia="Arial" w:hAnsi="Arial"/>
          <w:sz w:val="18"/>
          <w:szCs w:val="18"/>
          <w:color w:val="auto"/>
        </w:rPr>
        <w:t>Title:</w:t>
        <w:tab/>
        <w:t>Senior Vice President,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411480</wp:posOffset>
            </wp:positionV>
            <wp:extent cx="164592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May 27,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BNP PARIBAS and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ING BANK N.V., DUBLIN BRANCH,</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SOCIÉTÉ GÉNÉRALE,</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UNICREDIT BANK AG, NEW YORK BRANCH and</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as Sustainability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BNP PARIBAS SECURITIES CORP. 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9400" w:type="dxa"/>
            <w:vAlign w:val="bottom"/>
          </w:tcPr>
          <w:p>
            <w:pPr>
              <w:ind w:left="33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940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1.02.   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9400" w:type="dxa"/>
            <w:vAlign w:val="bottom"/>
          </w:tcPr>
          <w:p>
            <w:pPr>
              <w:ind w:left="120"/>
              <w:spacing w:after="0"/>
              <w:rPr>
                <w:sz w:val="20"/>
                <w:szCs w:val="20"/>
                <w:color w:val="auto"/>
              </w:rPr>
            </w:pPr>
            <w:r>
              <w:rPr>
                <w:rFonts w:ascii="Arial" w:cs="Arial" w:eastAsia="Arial" w:hAnsi="Arial"/>
                <w:sz w:val="18"/>
                <w:szCs w:val="18"/>
                <w:color w:val="auto"/>
              </w:rPr>
              <w:t>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1.04.   Accounting Terms; GAAP; Pro Forma Calculations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1.05.   Interest Rates; Benchmark Notification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1.06.   Status of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1.07.   Letter of Credit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1.08.</w:t>
            </w:r>
          </w:p>
        </w:tc>
        <w:tc>
          <w:tcPr>
            <w:tcW w:w="9400" w:type="dxa"/>
            <w:vAlign w:val="bottom"/>
          </w:tcPr>
          <w:p>
            <w:pPr>
              <w:ind w:left="120"/>
              <w:spacing w:after="0"/>
              <w:rPr>
                <w:sz w:val="20"/>
                <w:szCs w:val="20"/>
                <w:color w:val="auto"/>
              </w:rPr>
            </w:pPr>
            <w:r>
              <w:rPr>
                <w:rFonts w:ascii="Arial" w:cs="Arial" w:eastAsia="Arial" w:hAnsi="Arial"/>
                <w:sz w:val="18"/>
                <w:szCs w:val="18"/>
                <w:color w:val="auto"/>
              </w:rPr>
              <w:t>Divisions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1.09.   Exchange Rates; Currency Equivalents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2.01.</w:t>
            </w:r>
          </w:p>
        </w:tc>
        <w:tc>
          <w:tcPr>
            <w:tcW w:w="9400" w:type="dxa"/>
            <w:vAlign w:val="bottom"/>
          </w:tcPr>
          <w:p>
            <w:pPr>
              <w:ind w:left="120"/>
              <w:spacing w:after="0"/>
              <w:rPr>
                <w:sz w:val="20"/>
                <w:szCs w:val="20"/>
                <w:color w:val="auto"/>
              </w:rPr>
            </w:pPr>
            <w:r>
              <w:rPr>
                <w:rFonts w:ascii="Arial" w:cs="Arial" w:eastAsia="Arial" w:hAnsi="Arial"/>
                <w:sz w:val="18"/>
                <w:szCs w:val="18"/>
                <w:color w:val="auto"/>
              </w:rPr>
              <w:t>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2.02.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2.03.   Requests for Revolving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2.04.   Determination of Dollar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2.05.</w:t>
            </w:r>
          </w:p>
        </w:tc>
        <w:tc>
          <w:tcPr>
            <w:tcW w:w="940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2.06.</w:t>
            </w:r>
          </w:p>
        </w:tc>
        <w:tc>
          <w:tcPr>
            <w:tcW w:w="940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2.07.   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2.08.</w:t>
            </w:r>
          </w:p>
        </w:tc>
        <w:tc>
          <w:tcPr>
            <w:tcW w:w="9400" w:type="dxa"/>
            <w:vAlign w:val="bottom"/>
          </w:tcPr>
          <w:p>
            <w:pPr>
              <w:ind w:left="120"/>
              <w:spacing w:after="0"/>
              <w:rPr>
                <w:sz w:val="20"/>
                <w:szCs w:val="20"/>
                <w:color w:val="auto"/>
              </w:rPr>
            </w:pPr>
            <w:r>
              <w:rPr>
                <w:rFonts w:ascii="Arial" w:cs="Arial" w:eastAsia="Arial" w:hAnsi="Arial"/>
                <w:sz w:val="18"/>
                <w:szCs w:val="18"/>
                <w:color w:val="auto"/>
              </w:rPr>
              <w:t>Interest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2.09.   Termination and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2.10.   Repayment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2.11.   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2.12.</w:t>
            </w:r>
          </w:p>
        </w:tc>
        <w:tc>
          <w:tcPr>
            <w:tcW w:w="9400" w:type="dxa"/>
            <w:vAlign w:val="bottom"/>
          </w:tcPr>
          <w:p>
            <w:pPr>
              <w:ind w:left="12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2.13.</w:t>
            </w:r>
          </w:p>
        </w:tc>
        <w:tc>
          <w:tcPr>
            <w:tcW w:w="9400" w:type="dxa"/>
            <w:vAlign w:val="bottom"/>
          </w:tcPr>
          <w:p>
            <w:pPr>
              <w:ind w:left="12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2.14.   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2.15.</w:t>
            </w:r>
          </w:p>
        </w:tc>
        <w:tc>
          <w:tcPr>
            <w:tcW w:w="940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2.16.   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2.17.</w:t>
            </w:r>
          </w:p>
        </w:tc>
        <w:tc>
          <w:tcPr>
            <w:tcW w:w="9400" w:type="dxa"/>
            <w:vAlign w:val="bottom"/>
          </w:tcPr>
          <w:p>
            <w:pPr>
              <w:ind w:left="12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2.18.   Payments Generally; Pro Rata Treatment; Sharing of Setoffs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2.19.   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2.20.</w:t>
            </w:r>
          </w:p>
        </w:tc>
        <w:tc>
          <w:tcPr>
            <w:tcW w:w="9400" w:type="dxa"/>
            <w:vAlign w:val="bottom"/>
          </w:tcPr>
          <w:p>
            <w:pPr>
              <w:ind w:left="120"/>
              <w:spacing w:after="0"/>
              <w:rPr>
                <w:sz w:val="20"/>
                <w:szCs w:val="20"/>
                <w:color w:val="auto"/>
              </w:rPr>
            </w:pPr>
            <w:r>
              <w:rPr>
                <w:rFonts w:ascii="Arial" w:cs="Arial" w:eastAsia="Arial" w:hAnsi="Arial"/>
                <w:sz w:val="18"/>
                <w:szCs w:val="18"/>
                <w:color w:val="auto"/>
              </w:rPr>
              <w:t>Expansion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2.21.</w:t>
            </w:r>
          </w:p>
        </w:tc>
        <w:tc>
          <w:tcPr>
            <w:tcW w:w="940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2.22.</w:t>
            </w:r>
          </w:p>
        </w:tc>
        <w:tc>
          <w:tcPr>
            <w:tcW w:w="940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2.23.   Extension of Maturity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2.24.</w:t>
            </w:r>
          </w:p>
        </w:tc>
        <w:tc>
          <w:tcPr>
            <w:tcW w:w="9400" w:type="dxa"/>
            <w:vAlign w:val="bottom"/>
          </w:tcPr>
          <w:p>
            <w:pPr>
              <w:ind w:left="120"/>
              <w:spacing w:after="0"/>
              <w:rPr>
                <w:sz w:val="20"/>
                <w:szCs w:val="20"/>
                <w:color w:val="auto"/>
              </w:rPr>
            </w:pPr>
            <w:r>
              <w:rPr>
                <w:rFonts w:ascii="Arial" w:cs="Arial" w:eastAsia="Arial" w:hAnsi="Arial"/>
                <w:sz w:val="18"/>
                <w:szCs w:val="18"/>
                <w:color w:val="auto"/>
              </w:rPr>
              <w:t>ESG Amendment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3.01.</w:t>
            </w:r>
          </w:p>
        </w:tc>
        <w:tc>
          <w:tcPr>
            <w:tcW w:w="940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3.02.   Authorization; Powers; No Conflicts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3.03.</w:t>
            </w:r>
          </w:p>
        </w:tc>
        <w:tc>
          <w:tcPr>
            <w:tcW w:w="9400" w:type="dxa"/>
            <w:vAlign w:val="bottom"/>
          </w:tcPr>
          <w:p>
            <w:pPr>
              <w:ind w:left="120"/>
              <w:spacing w:after="0"/>
              <w:rPr>
                <w:sz w:val="20"/>
                <w:szCs w:val="20"/>
                <w:color w:val="auto"/>
              </w:rPr>
            </w:pPr>
            <w:r>
              <w:rPr>
                <w:rFonts w:ascii="Arial" w:cs="Arial" w:eastAsia="Arial" w:hAnsi="Arial"/>
                <w:sz w:val="18"/>
                <w:szCs w:val="18"/>
                <w:color w:val="auto"/>
              </w:rPr>
              <w:t>Approvals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3.04.</w:t>
            </w:r>
          </w:p>
        </w:tc>
        <w:tc>
          <w:tcPr>
            <w:tcW w:w="9400" w:type="dxa"/>
            <w:vAlign w:val="bottom"/>
          </w:tcPr>
          <w:p>
            <w:pPr>
              <w:ind w:left="120"/>
              <w:spacing w:after="0"/>
              <w:rPr>
                <w:sz w:val="20"/>
                <w:szCs w:val="20"/>
                <w:color w:val="auto"/>
              </w:rPr>
            </w:pPr>
            <w:r>
              <w:rPr>
                <w:rFonts w:ascii="Arial" w:cs="Arial" w:eastAsia="Arial" w:hAnsi="Arial"/>
                <w:sz w:val="18"/>
                <w:szCs w:val="18"/>
                <w:color w:val="auto"/>
              </w:rPr>
              <w:t>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3.05.   Financial Condition; No Material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3.06.   Litigation, Environmental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80" w:type="dxa"/>
            <w:vAlign w:val="bottom"/>
            <w:vMerge w:val="restart"/>
          </w:tcPr>
          <w:p>
            <w:pPr>
              <w:spacing w:after="0"/>
              <w:rPr>
                <w:sz w:val="20"/>
                <w:szCs w:val="20"/>
                <w:color w:val="auto"/>
              </w:rPr>
            </w:pPr>
            <w:r>
              <w:rPr>
                <w:rFonts w:ascii="Arial" w:cs="Arial" w:eastAsia="Arial" w:hAnsi="Arial"/>
                <w:sz w:val="18"/>
                <w:szCs w:val="18"/>
                <w:color w:val="auto"/>
              </w:rPr>
              <w:t>SECTION 3.07.</w:t>
            </w:r>
          </w:p>
        </w:tc>
        <w:tc>
          <w:tcPr>
            <w:tcW w:w="9400" w:type="dxa"/>
            <w:vAlign w:val="bottom"/>
            <w:vMerge w:val="restart"/>
          </w:tcPr>
          <w:p>
            <w:pPr>
              <w:ind w:left="12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940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3.08.   Securities Exchange Act of 1934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3.09.</w:t>
            </w:r>
          </w:p>
        </w:tc>
        <w:tc>
          <w:tcPr>
            <w:tcW w:w="9400" w:type="dxa"/>
            <w:vAlign w:val="bottom"/>
          </w:tcPr>
          <w:p>
            <w:pPr>
              <w:ind w:left="120"/>
              <w:spacing w:after="0"/>
              <w:rPr>
                <w:sz w:val="20"/>
                <w:szCs w:val="20"/>
                <w:color w:val="auto"/>
              </w:rPr>
            </w:pPr>
            <w:r>
              <w:rPr>
                <w:rFonts w:ascii="Arial" w:cs="Arial" w:eastAsia="Arial" w:hAnsi="Arial"/>
                <w:sz w:val="18"/>
                <w:szCs w:val="18"/>
                <w:color w:val="auto"/>
              </w:rPr>
              <w:t>Margin Regulations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3.10.   ERISA, Environmental, Health and Safety Requirements of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3.11.   Investment Company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3.12.</w:t>
            </w:r>
          </w:p>
        </w:tc>
        <w:tc>
          <w:tcPr>
            <w:tcW w:w="940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3.13.   Anti-Corruption Laws and Sanctions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3.14.   Affected Financial Institutions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4.01.</w:t>
            </w:r>
          </w:p>
        </w:tc>
        <w:tc>
          <w:tcPr>
            <w:tcW w:w="940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4.02.</w:t>
            </w:r>
          </w:p>
        </w:tc>
        <w:tc>
          <w:tcPr>
            <w:tcW w:w="9400" w:type="dxa"/>
            <w:vAlign w:val="bottom"/>
          </w:tcPr>
          <w:p>
            <w:pPr>
              <w:ind w:left="120"/>
              <w:spacing w:after="0"/>
              <w:rPr>
                <w:sz w:val="20"/>
                <w:szCs w:val="20"/>
                <w:color w:val="auto"/>
              </w:rPr>
            </w:pPr>
            <w:r>
              <w:rPr>
                <w:rFonts w:ascii="Arial" w:cs="Arial" w:eastAsia="Arial" w:hAnsi="Arial"/>
                <w:sz w:val="18"/>
                <w:szCs w:val="18"/>
                <w:color w:val="auto"/>
              </w:rPr>
              <w:t>Each Credit Event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5.01.   Compliance with Laws,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5.02.   Payment of Taxes,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5.03.   Maintenance of 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5.04.   Preservation of Corporate Existence,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5.05.</w:t>
            </w:r>
          </w:p>
        </w:tc>
        <w:tc>
          <w:tcPr>
            <w:tcW w:w="9400" w:type="dxa"/>
            <w:vAlign w:val="bottom"/>
          </w:tcPr>
          <w:p>
            <w:pPr>
              <w:ind w:left="120"/>
              <w:spacing w:after="0"/>
              <w:rPr>
                <w:sz w:val="20"/>
                <w:szCs w:val="20"/>
                <w:color w:val="auto"/>
              </w:rPr>
            </w:pPr>
            <w:r>
              <w:rPr>
                <w:rFonts w:ascii="Arial" w:cs="Arial" w:eastAsia="Arial" w:hAnsi="Arial"/>
                <w:sz w:val="18"/>
                <w:szCs w:val="18"/>
                <w:color w:val="auto"/>
              </w:rPr>
              <w:t>Visitation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5.06.</w:t>
            </w:r>
          </w:p>
        </w:tc>
        <w:tc>
          <w:tcPr>
            <w:tcW w:w="9400" w:type="dxa"/>
            <w:vAlign w:val="bottom"/>
          </w:tcPr>
          <w:p>
            <w:pPr>
              <w:ind w:left="120"/>
              <w:spacing w:after="0"/>
              <w:rPr>
                <w:sz w:val="20"/>
                <w:szCs w:val="20"/>
                <w:color w:val="auto"/>
              </w:rPr>
            </w:pPr>
            <w:r>
              <w:rPr>
                <w:rFonts w:ascii="Arial" w:cs="Arial" w:eastAsia="Arial" w:hAnsi="Arial"/>
                <w:sz w:val="18"/>
                <w:szCs w:val="18"/>
                <w:color w:val="auto"/>
              </w:rPr>
              <w:t>Keeping of Books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5.07.   Maintenance of Properties,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5.08.</w:t>
            </w:r>
          </w:p>
        </w:tc>
        <w:tc>
          <w:tcPr>
            <w:tcW w:w="94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5.09.</w:t>
            </w:r>
          </w:p>
        </w:tc>
        <w:tc>
          <w:tcPr>
            <w:tcW w:w="9400" w:type="dxa"/>
            <w:vAlign w:val="bottom"/>
          </w:tcPr>
          <w:p>
            <w:pPr>
              <w:ind w:left="120"/>
              <w:spacing w:after="0"/>
              <w:rPr>
                <w:sz w:val="20"/>
                <w:szCs w:val="20"/>
                <w:color w:val="auto"/>
              </w:rPr>
            </w:pPr>
            <w:r>
              <w:rPr>
                <w:rFonts w:ascii="Arial" w:cs="Arial" w:eastAsia="Arial" w:hAnsi="Arial"/>
                <w:sz w:val="18"/>
                <w:szCs w:val="18"/>
                <w:color w:val="auto"/>
              </w:rPr>
              <w:t>Reporting Requirements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6.01.</w:t>
            </w:r>
          </w:p>
        </w:tc>
        <w:tc>
          <w:tcPr>
            <w:tcW w:w="9400" w:type="dxa"/>
            <w:vAlign w:val="bottom"/>
          </w:tcPr>
          <w:p>
            <w:pPr>
              <w:ind w:left="120"/>
              <w:spacing w:after="0"/>
              <w:rPr>
                <w:sz w:val="20"/>
                <w:szCs w:val="20"/>
                <w:color w:val="auto"/>
              </w:rPr>
            </w:pPr>
            <w:r>
              <w:rPr>
                <w:rFonts w:ascii="Arial" w:cs="Arial" w:eastAsia="Arial" w:hAnsi="Arial"/>
                <w:sz w:val="18"/>
                <w:szCs w:val="18"/>
                <w:color w:val="auto"/>
              </w:rPr>
              <w:t>Liens,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6.02.</w:t>
            </w:r>
          </w:p>
        </w:tc>
        <w:tc>
          <w:tcPr>
            <w:tcW w:w="9400" w:type="dxa"/>
            <w:vAlign w:val="bottom"/>
          </w:tcPr>
          <w:p>
            <w:pPr>
              <w:ind w:left="120"/>
              <w:spacing w:after="0"/>
              <w:rPr>
                <w:sz w:val="20"/>
                <w:szCs w:val="20"/>
                <w:color w:val="auto"/>
              </w:rPr>
            </w:pPr>
            <w:r>
              <w:rPr>
                <w:rFonts w:ascii="Arial" w:cs="Arial" w:eastAsia="Arial" w:hAnsi="Arial"/>
                <w:sz w:val="18"/>
                <w:szCs w:val="18"/>
                <w:color w:val="auto"/>
              </w:rPr>
              <w:t>Mergers,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6.03.   Sales, Etc. of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6.04.</w:t>
            </w:r>
          </w:p>
        </w:tc>
        <w:tc>
          <w:tcPr>
            <w:tcW w:w="9400" w:type="dxa"/>
            <w:vAlign w:val="bottom"/>
          </w:tcPr>
          <w:p>
            <w:pPr>
              <w:ind w:left="120"/>
              <w:spacing w:after="0"/>
              <w:rPr>
                <w:sz w:val="20"/>
                <w:szCs w:val="20"/>
                <w:color w:val="auto"/>
              </w:rPr>
            </w:pPr>
            <w:r>
              <w:rPr>
                <w:rFonts w:ascii="Arial" w:cs="Arial" w:eastAsia="Arial" w:hAnsi="Arial"/>
                <w:sz w:val="18"/>
                <w:szCs w:val="18"/>
                <w:color w:val="auto"/>
              </w:rPr>
              <w:t>Securitization Facilities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6.05.</w:t>
            </w:r>
          </w:p>
        </w:tc>
        <w:tc>
          <w:tcPr>
            <w:tcW w:w="9400" w:type="dxa"/>
            <w:vAlign w:val="bottom"/>
          </w:tcPr>
          <w:p>
            <w:pPr>
              <w:ind w:left="120"/>
              <w:spacing w:after="0"/>
              <w:rPr>
                <w:sz w:val="20"/>
                <w:szCs w:val="20"/>
                <w:color w:val="auto"/>
              </w:rPr>
            </w:pPr>
            <w:r>
              <w:rPr>
                <w:rFonts w:ascii="Arial" w:cs="Arial" w:eastAsia="Arial" w:hAnsi="Arial"/>
                <w:sz w:val="18"/>
                <w:szCs w:val="18"/>
                <w:color w:val="auto"/>
              </w:rPr>
              <w:t>Accounting Changes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6.06.</w:t>
            </w:r>
          </w:p>
        </w:tc>
        <w:tc>
          <w:tcPr>
            <w:tcW w:w="9400" w:type="dxa"/>
            <w:vAlign w:val="bottom"/>
          </w:tcPr>
          <w:p>
            <w:pPr>
              <w:ind w:left="120"/>
              <w:spacing w:after="0"/>
              <w:rPr>
                <w:sz w:val="20"/>
                <w:szCs w:val="20"/>
                <w:color w:val="auto"/>
              </w:rPr>
            </w:pPr>
            <w:r>
              <w:rPr>
                <w:rFonts w:ascii="Arial" w:cs="Arial" w:eastAsia="Arial" w:hAnsi="Arial"/>
                <w:sz w:val="18"/>
                <w:szCs w:val="18"/>
                <w:color w:val="auto"/>
              </w:rPr>
              <w:t>Subsidiary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SECTION 6.07.   Change in Nature of 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6.08.</w:t>
            </w:r>
          </w:p>
        </w:tc>
        <w:tc>
          <w:tcPr>
            <w:tcW w:w="9400" w:type="dxa"/>
            <w:vAlign w:val="bottom"/>
          </w:tcPr>
          <w:p>
            <w:pPr>
              <w:ind w:left="120"/>
              <w:spacing w:after="0"/>
              <w:rPr>
                <w:sz w:val="20"/>
                <w:szCs w:val="20"/>
                <w:color w:val="auto"/>
              </w:rPr>
            </w:pPr>
            <w:r>
              <w:rPr>
                <w:rFonts w:ascii="Arial" w:cs="Arial" w:eastAsia="Arial" w:hAnsi="Arial"/>
                <w:sz w:val="18"/>
                <w:szCs w:val="18"/>
                <w:color w:val="auto"/>
              </w:rPr>
              <w:t>Financial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7.01.</w:t>
            </w:r>
          </w:p>
        </w:tc>
        <w:tc>
          <w:tcPr>
            <w:tcW w:w="940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7.02.   Remedies Upon an Event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8.01.   Authorization and Action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10680" w:type="dxa"/>
            <w:vAlign w:val="bottom"/>
            <w:gridSpan w:val="2"/>
          </w:tcPr>
          <w:p>
            <w:pPr>
              <w:spacing w:after="0"/>
              <w:rPr>
                <w:sz w:val="20"/>
                <w:szCs w:val="20"/>
                <w:color w:val="auto"/>
              </w:rPr>
            </w:pPr>
            <w:r>
              <w:rPr>
                <w:rFonts w:ascii="Arial" w:cs="Arial" w:eastAsia="Arial" w:hAnsi="Arial"/>
                <w:sz w:val="18"/>
                <w:szCs w:val="18"/>
                <w:color w:val="auto"/>
              </w:rPr>
              <w:t>SECTION 8.02.   Administrative Agent’s Reliance, Limitation of Liability,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40" w:type="dxa"/>
            <w:vAlign w:val="bottom"/>
            <w:gridSpan w:val="2"/>
            <w:vMerge w:val="restart"/>
          </w:tcPr>
          <w:p>
            <w:pPr>
              <w:spacing w:after="0"/>
              <w:rPr>
                <w:sz w:val="20"/>
                <w:szCs w:val="20"/>
                <w:color w:val="auto"/>
              </w:rPr>
            </w:pPr>
            <w:r>
              <w:rPr>
                <w:rFonts w:ascii="Arial" w:cs="Arial" w:eastAsia="Arial" w:hAnsi="Arial"/>
                <w:sz w:val="18"/>
                <w:szCs w:val="18"/>
                <w:color w:val="auto"/>
              </w:rPr>
              <w:t>SECTION 8.03.   Posting of Communications</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95"/>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8.04.   The Administrative Agent Individually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8.05.   Successor Administrative Agent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8.06.   Acknowledgements of Lenders and Issuing Banks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sz w:val="20"/>
                <w:szCs w:val="20"/>
                <w:color w:val="auto"/>
              </w:rPr>
            </w:pPr>
            <w:r>
              <w:rPr>
                <w:rFonts w:ascii="Arial" w:cs="Arial" w:eastAsia="Arial" w:hAnsi="Arial"/>
                <w:sz w:val="18"/>
                <w:szCs w:val="18"/>
                <w:color w:val="auto"/>
              </w:rPr>
              <w:t>SECTION 8.07.   Certain ERISA Matters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9.01.</w:t>
            </w:r>
          </w:p>
        </w:tc>
        <w:tc>
          <w:tcPr>
            <w:tcW w:w="9360" w:type="dxa"/>
            <w:vAlign w:val="bottom"/>
          </w:tcPr>
          <w:p>
            <w:pPr>
              <w:ind w:left="120"/>
              <w:spacing w:after="0"/>
              <w:rPr>
                <w:sz w:val="20"/>
                <w:szCs w:val="20"/>
                <w:color w:val="auto"/>
              </w:rPr>
            </w:pPr>
            <w:r>
              <w:rPr>
                <w:rFonts w:ascii="Arial" w:cs="Arial" w:eastAsia="Arial" w:hAnsi="Arial"/>
                <w:sz w:val="18"/>
                <w:szCs w:val="18"/>
                <w:color w:val="auto"/>
              </w:rPr>
              <w:t>Notices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9.02.</w:t>
            </w:r>
          </w:p>
        </w:tc>
        <w:tc>
          <w:tcPr>
            <w:tcW w:w="9360" w:type="dxa"/>
            <w:vAlign w:val="bottom"/>
          </w:tcPr>
          <w:p>
            <w:pPr>
              <w:ind w:left="120"/>
              <w:spacing w:after="0"/>
              <w:rPr>
                <w:sz w:val="20"/>
                <w:szCs w:val="20"/>
                <w:color w:val="auto"/>
              </w:rPr>
            </w:pPr>
            <w:r>
              <w:rPr>
                <w:rFonts w:ascii="Arial" w:cs="Arial" w:eastAsia="Arial" w:hAnsi="Arial"/>
                <w:sz w:val="18"/>
                <w:szCs w:val="18"/>
                <w:color w:val="auto"/>
              </w:rPr>
              <w:t>Waivers; Amendments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9.03.   Expenses; Limitation of Liability; Indemnity, Etc.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9.04.   Successors and Assigns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9.05.</w:t>
            </w:r>
          </w:p>
        </w:tc>
        <w:tc>
          <w:tcPr>
            <w:tcW w:w="93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9.07.</w:t>
            </w:r>
          </w:p>
        </w:tc>
        <w:tc>
          <w:tcPr>
            <w:tcW w:w="93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9.08.</w:t>
            </w:r>
          </w:p>
        </w:tc>
        <w:tc>
          <w:tcPr>
            <w:tcW w:w="9360" w:type="dxa"/>
            <w:vAlign w:val="bottom"/>
          </w:tcPr>
          <w:p>
            <w:pPr>
              <w:ind w:left="120"/>
              <w:spacing w:after="0"/>
              <w:rPr>
                <w:sz w:val="20"/>
                <w:szCs w:val="20"/>
                <w:color w:val="auto"/>
              </w:rPr>
            </w:pPr>
            <w:r>
              <w:rPr>
                <w:rFonts w:ascii="Arial" w:cs="Arial" w:eastAsia="Arial" w:hAnsi="Arial"/>
                <w:sz w:val="18"/>
                <w:szCs w:val="18"/>
                <w:color w:val="auto"/>
              </w:rPr>
              <w:t>Right of Setoff</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9.09.   Governing Law; Jurisdiction; Consent to Service of Process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9.10.   WAIVER OF JURY TRIAL</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9.11.</w:t>
            </w:r>
          </w:p>
        </w:tc>
        <w:tc>
          <w:tcPr>
            <w:tcW w:w="9360" w:type="dxa"/>
            <w:vAlign w:val="bottom"/>
          </w:tcPr>
          <w:p>
            <w:pPr>
              <w:ind w:left="120"/>
              <w:spacing w:after="0"/>
              <w:rPr>
                <w:sz w:val="20"/>
                <w:szCs w:val="20"/>
                <w:color w:val="auto"/>
              </w:rPr>
            </w:pPr>
            <w:r>
              <w:rPr>
                <w:rFonts w:ascii="Arial" w:cs="Arial" w:eastAsia="Arial" w:hAnsi="Arial"/>
                <w:sz w:val="18"/>
                <w:szCs w:val="18"/>
                <w:color w:val="auto"/>
              </w:rPr>
              <w:t>Headings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9.12.</w:t>
            </w:r>
          </w:p>
        </w:tc>
        <w:tc>
          <w:tcPr>
            <w:tcW w:w="93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9.13.   USA PATRIOT Act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9.14.   Interest Rate Limitation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9.15.   No Fiduciary Duty, etc.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9.16.   Acknowledgement and Consent to Bail-In of Affected Financial Institutions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sz w:val="20"/>
                <w:szCs w:val="20"/>
                <w:color w:val="auto"/>
              </w:rPr>
            </w:pPr>
            <w:r>
              <w:rPr>
                <w:rFonts w:ascii="Arial" w:cs="Arial" w:eastAsia="Arial" w:hAnsi="Arial"/>
                <w:sz w:val="18"/>
                <w:szCs w:val="18"/>
                <w:color w:val="auto"/>
              </w:rPr>
              <w:t>SECTION 9.17.   Acknowledgement Regarding Any Supported QFCs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7" w:name="page8"/>
    <w:bookmarkEnd w:id="7"/>
    <w:p>
      <w:pPr>
        <w:ind w:left="4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117" w:lineRule="exact"/>
        <w:rPr>
          <w:sz w:val="20"/>
          <w:szCs w:val="20"/>
          <w:color w:val="auto"/>
        </w:rPr>
      </w:pPr>
    </w:p>
    <w:p>
      <w:pPr>
        <w:ind w:right="4539"/>
        <w:spacing w:after="0" w:line="258" w:lineRule="auto"/>
        <w:rPr>
          <w:sz w:val="20"/>
          <w:szCs w:val="20"/>
          <w:color w:val="auto"/>
        </w:rPr>
      </w:pPr>
      <w:r>
        <w:rPr>
          <w:rFonts w:ascii="Arial" w:cs="Arial" w:eastAsia="Arial" w:hAnsi="Arial"/>
          <w:sz w:val="18"/>
          <w:szCs w:val="18"/>
          <w:color w:val="auto"/>
        </w:rPr>
        <w:t>Schedule 1.01 – Sustainability Table and Sustainability Pricing Adjustments Schedule 2.01A – Commitments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Schedule 2.01B – Letter of Credit Base 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2.06 – 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6.01 – Existing Liens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Opinion of Borrower’s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Increasing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Augmenting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List of Closing Documents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F-1 – Form of U.S. Tax Certificate (Foreign Lenders That Are Not Partnerships)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F-2 – Form of U.S. Tax Certificate (Foreign Participants That Are Not Partnerships)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Exhibit F-3 – Form of U.S. Tax Certificate (Foreign Participants That Are Partnerships)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F-4 – Form of U.S. Tax Certificate (Foreign Lenders That Are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G-1 – Form of Borrowing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G-2 – Form of Interest Election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 Form of Note</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sectPr>
      </w:pPr>
    </w:p>
    <w:bookmarkStart w:id="8" w:name="page9"/>
    <w:bookmarkEnd w:id="8"/>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27, 2022 among MANPOWERGROUP INC., the LENDERS from time to time party hereto and JPMORGAN CHASE BANK, N.A., as Administrative Agent.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assigned to such term in Section 2.23(d).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Covenant Period</w:t>
      </w:r>
      <w:r>
        <w:rPr>
          <w:rFonts w:ascii="Arial" w:cs="Arial" w:eastAsia="Arial" w:hAnsi="Arial"/>
          <w:sz w:val="18"/>
          <w:szCs w:val="18"/>
          <w:color w:val="auto"/>
        </w:rPr>
        <w:t>” has the meaning assigned to such term in Section 6.08(a).</w:t>
      </w:r>
    </w:p>
    <w:p>
      <w:pPr>
        <w:spacing w:after="0" w:line="22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Daily Simple RFR</w:t>
      </w:r>
      <w:r>
        <w:rPr>
          <w:rFonts w:ascii="Arial" w:cs="Arial" w:eastAsia="Arial" w:hAnsi="Arial"/>
          <w:sz w:val="17"/>
          <w:szCs w:val="17"/>
          <w:color w:val="auto"/>
        </w:rPr>
        <w:t xml:space="preserve">” 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and (iii) with respect to any RFR Borrowing denominated in Dollars, an interest rate per annum equal to (a) the Daily Simple RFR for Dollars,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0.10%;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Adjusted Daily Simple RFR as so determined would be less than the Floor, such rate shall be deemed to be equal to the Floor for the purposes of this Agreement.</w:t>
      </w:r>
    </w:p>
    <w:p>
      <w:pPr>
        <w:spacing w:after="0" w:line="176"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EURIBO Rate</w:t>
      </w:r>
      <w:r>
        <w:rPr>
          <w:rFonts w:ascii="Arial" w:cs="Arial" w:eastAsia="Arial" w:hAnsi="Arial"/>
          <w:sz w:val="16"/>
          <w:szCs w:val="16"/>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EURIBO Rate as so determined would be less than the Floor, such rate shall be deemed to be equal to the Floor for the purposes of this Agreement.</w:t>
      </w:r>
    </w:p>
    <w:p>
      <w:pPr>
        <w:spacing w:after="0" w:line="149" w:lineRule="exact"/>
        <w:rPr>
          <w:sz w:val="20"/>
          <w:szCs w:val="20"/>
          <w:color w:val="auto"/>
        </w:rPr>
      </w:pPr>
    </w:p>
    <w:p>
      <w:pPr>
        <w:jc w:val="both"/>
        <w:ind w:right="1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Term SOFR Rate</w:t>
      </w:r>
      <w:r>
        <w:rPr>
          <w:rFonts w:ascii="Arial" w:cs="Arial" w:eastAsia="Arial" w:hAnsi="Arial"/>
          <w:sz w:val="16"/>
          <w:szCs w:val="16"/>
          <w:color w:val="auto"/>
        </w:rPr>
        <w:t xml:space="preserve">” means, with respect to any Term Benchmark Borrowing denominated in Dollars for any Interest Period, an interest rate per annum equal to (a) the Term SOFR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0.10%;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Term SOFR Rate as so determined would be less than the Floor, such rate shall be deemed to be equal to the Floor for the purposes of this Agreement.</w:t>
      </w:r>
    </w:p>
    <w:p>
      <w:pPr>
        <w:spacing w:after="0" w:line="149" w:lineRule="exact"/>
        <w:rPr>
          <w:sz w:val="20"/>
          <w:szCs w:val="20"/>
          <w:color w:val="auto"/>
        </w:rPr>
      </w:pPr>
    </w:p>
    <w:p>
      <w:pPr>
        <w:jc w:val="both"/>
        <w:ind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TIBO Rate</w:t>
      </w:r>
      <w:r>
        <w:rPr>
          <w:rFonts w:ascii="Arial" w:cs="Arial" w:eastAsia="Arial" w:hAnsi="Arial"/>
          <w:sz w:val="16"/>
          <w:szCs w:val="16"/>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TIBO Rate as so determined would be less than the Floor, such rate shall be deemed to be equal to the Floor for the purposes of this Agreement.</w:t>
      </w:r>
    </w:p>
    <w:p>
      <w:pPr>
        <w:spacing w:after="0" w:line="149"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(or any of its designated branch offices or affiliates), in its capacity as administrative agent for the Lenders hereunder.</w:t>
      </w:r>
    </w:p>
    <w:p>
      <w:pPr>
        <w:sectPr>
          <w:pgSz w:w="11900" w:h="16838" w:orient="portrait"/>
          <w:cols w:equalWidth="0" w:num="1">
            <w:col w:w="10980"/>
          </w:cols>
          <w:pgMar w:left="440" w:top="274" w:right="479" w:bottom="1440" w:gutter="0" w:footer="0" w:header="0"/>
        </w:sectPr>
      </w:pPr>
    </w:p>
    <w:bookmarkStart w:id="9" w:name="page10"/>
    <w:bookmarkEnd w:id="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(whether or not existing as at the date hereof)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has the meaning assigned to such term in Section 9.03(d).</w:t>
      </w:r>
    </w:p>
    <w:p>
      <w:pPr>
        <w:spacing w:after="0" w:line="225" w:lineRule="exact"/>
        <w:rPr>
          <w:sz w:val="20"/>
          <w:szCs w:val="20"/>
          <w:color w:val="auto"/>
        </w:rPr>
      </w:pPr>
    </w:p>
    <w:p>
      <w:pPr>
        <w:ind w:left="4" w:right="4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w:t>
      </w:r>
      <w:r>
        <w:rPr>
          <w:rFonts w:ascii="Arial" w:cs="Arial" w:eastAsia="Arial" w:hAnsi="Arial"/>
          <w:sz w:val="17"/>
          <w:szCs w:val="17"/>
          <w:color w:val="auto"/>
        </w:rPr>
        <w:t>” means the aggregate of the Commitments of all of the Lenders, as reduced or increased from time to time pursuant to the terms and conditions hereof. The initial Aggregate Commitment as of the Effective Date is $600,000,000.</w:t>
      </w:r>
    </w:p>
    <w:p>
      <w:pPr>
        <w:spacing w:after="0" w:line="14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Currencies</w:t>
      </w:r>
      <w:r>
        <w:rPr>
          <w:rFonts w:ascii="Arial" w:cs="Arial" w:eastAsia="Arial" w:hAnsi="Arial"/>
          <w:sz w:val="17"/>
          <w:szCs w:val="17"/>
          <w:color w:val="auto"/>
        </w:rPr>
        <w:t>” means (i) Dollars, (ii) euro, (iii) Pounds Sterling, (iv) Swiss Francs, (v) Japanese Yen, (vi) Canadian Dollars and</w:t>
      </w:r>
    </w:p>
    <w:p>
      <w:pPr>
        <w:spacing w:after="0" w:line="35" w:lineRule="exact"/>
        <w:rPr>
          <w:sz w:val="20"/>
          <w:szCs w:val="20"/>
          <w:color w:val="auto"/>
        </w:rPr>
      </w:pPr>
    </w:p>
    <w:p>
      <w:pPr>
        <w:ind w:left="364" w:hanging="364"/>
        <w:spacing w:after="0"/>
        <w:tabs>
          <w:tab w:leader="none" w:pos="3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other currency (other than Dollars) (x) that is a lawful currency that is readily available and freely transferable and convertible into Dollars and</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(y) that is agreed to by the Administrative Agent and each of the Lenders.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 hereof.</w:t>
      </w:r>
    </w:p>
    <w:p>
      <w:pPr>
        <w:spacing w:after="0" w:line="225" w:lineRule="exact"/>
        <w:rPr>
          <w:sz w:val="20"/>
          <w:szCs w:val="20"/>
          <w:color w:val="auto"/>
        </w:rPr>
      </w:pPr>
    </w:p>
    <w:p>
      <w:pPr>
        <w:ind w:left="4" w:right="40" w:firstLine="99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 and (c) the Adjusted Term SOFR Rate for a one month Interest Period as published two U.S. Government Securities Business Days prior to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92"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AML Laws</w:t>
      </w:r>
      <w:r>
        <w:rPr>
          <w:rFonts w:ascii="Arial" w:cs="Arial" w:eastAsia="Arial" w:hAnsi="Arial"/>
          <w:sz w:val="18"/>
          <w:szCs w:val="18"/>
          <w:color w:val="auto"/>
        </w:rPr>
        <w:t>” means all laws, rules, and regulations of any jurisdiction applicable to any Lender, the Borrower or the Borrower’s Subsidiaries from time to time concerning or relating to anti-money laundering.</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such term in Section 9.06.</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10" w:name="page11"/>
    <w:bookmarkEnd w:id="10"/>
    <w:p>
      <w:pPr>
        <w:ind w:right="3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any of its Subsidiaries from time to time concerning or relating to bribery or corruption.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Party</w:t>
      </w:r>
      <w:r>
        <w:rPr>
          <w:rFonts w:ascii="Arial" w:cs="Arial" w:eastAsia="Arial" w:hAnsi="Arial"/>
          <w:sz w:val="18"/>
          <w:szCs w:val="18"/>
          <w:color w:val="auto"/>
        </w:rPr>
        <w:t>” has the meaning assigned to such term in Section 8.03(c).</w:t>
      </w:r>
    </w:p>
    <w:p>
      <w:pPr>
        <w:spacing w:after="0" w:line="225"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of the Aggregate Commitment represented by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Section 2.22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7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Term Benchmark Loan, any RFR Loan or any ABR Loan or with respect to the facility fees payable hereunder, as the case may be, the applicable rate per annum set forth below under the caption “Term Benchmark Spread”, “RFR Spread”, “ABR Spread” or “Facility Fee Rate”, as the case may be, based upon the ratings by Moody’s and S&amp;P, respectively, applicable on such date to the Index Debt: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80" w:type="dxa"/>
            <w:vAlign w:val="bottom"/>
            <w:gridSpan w:val="2"/>
            <w:vMerge w:val="restart"/>
          </w:tcPr>
          <w:p>
            <w:pPr>
              <w:jc w:val="center"/>
              <w:ind w:right="720"/>
              <w:spacing w:after="0"/>
              <w:rPr>
                <w:sz w:val="20"/>
                <w:szCs w:val="20"/>
                <w:color w:val="auto"/>
              </w:rPr>
            </w:pPr>
            <w:r>
              <w:rPr>
                <w:rFonts w:ascii="Arial" w:cs="Arial" w:eastAsia="Arial" w:hAnsi="Arial"/>
                <w:sz w:val="14"/>
                <w:szCs w:val="14"/>
                <w:color w:val="auto"/>
                <w:w w:val="94"/>
              </w:rPr>
              <w:t>Index Debt Ratings</w:t>
            </w:r>
          </w:p>
        </w:tc>
        <w:tc>
          <w:tcPr>
            <w:tcW w:w="1620" w:type="dxa"/>
            <w:vAlign w:val="bottom"/>
            <w:gridSpan w:val="2"/>
          </w:tcPr>
          <w:p>
            <w:pPr>
              <w:jc w:val="center"/>
              <w:ind w:right="920"/>
              <w:spacing w:after="0"/>
              <w:rPr>
                <w:sz w:val="20"/>
                <w:szCs w:val="20"/>
                <w:color w:val="auto"/>
              </w:rPr>
            </w:pPr>
            <w:r>
              <w:rPr>
                <w:rFonts w:ascii="Arial" w:cs="Arial" w:eastAsia="Arial" w:hAnsi="Arial"/>
                <w:sz w:val="14"/>
                <w:szCs w:val="14"/>
                <w:color w:val="auto"/>
                <w:w w:val="91"/>
              </w:rPr>
              <w:t>Term</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1620" w:type="dxa"/>
            <w:vAlign w:val="bottom"/>
            <w:gridSpan w:val="2"/>
          </w:tcPr>
          <w:p>
            <w:pPr>
              <w:jc w:val="center"/>
              <w:ind w:right="920"/>
              <w:spacing w:after="0" w:line="141" w:lineRule="exact"/>
              <w:rPr>
                <w:sz w:val="20"/>
                <w:szCs w:val="20"/>
                <w:color w:val="auto"/>
              </w:rPr>
            </w:pPr>
            <w:r>
              <w:rPr>
                <w:rFonts w:ascii="Arial" w:cs="Arial" w:eastAsia="Arial" w:hAnsi="Arial"/>
                <w:sz w:val="14"/>
                <w:szCs w:val="14"/>
                <w:color w:val="auto"/>
                <w:w w:val="93"/>
              </w:rPr>
              <w:t>Benchmark</w:t>
            </w:r>
          </w:p>
        </w:tc>
        <w:tc>
          <w:tcPr>
            <w:tcW w:w="1420" w:type="dxa"/>
            <w:vAlign w:val="bottom"/>
            <w:gridSpan w:val="2"/>
          </w:tcPr>
          <w:p>
            <w:pPr>
              <w:jc w:val="center"/>
              <w:ind w:right="940"/>
              <w:spacing w:after="0" w:line="141" w:lineRule="exact"/>
              <w:rPr>
                <w:sz w:val="20"/>
                <w:szCs w:val="20"/>
                <w:color w:val="auto"/>
              </w:rPr>
            </w:pPr>
            <w:r>
              <w:rPr>
                <w:rFonts w:ascii="Arial" w:cs="Arial" w:eastAsia="Arial" w:hAnsi="Arial"/>
                <w:sz w:val="14"/>
                <w:szCs w:val="14"/>
                <w:color w:val="auto"/>
                <w:w w:val="97"/>
              </w:rPr>
              <w:t>RFR</w:t>
            </w:r>
          </w:p>
        </w:tc>
        <w:tc>
          <w:tcPr>
            <w:tcW w:w="1400" w:type="dxa"/>
            <w:vAlign w:val="bottom"/>
            <w:gridSpan w:val="2"/>
          </w:tcPr>
          <w:p>
            <w:pPr>
              <w:jc w:val="center"/>
              <w:ind w:right="940"/>
              <w:spacing w:after="0" w:line="141" w:lineRule="exact"/>
              <w:rPr>
                <w:sz w:val="20"/>
                <w:szCs w:val="20"/>
                <w:color w:val="auto"/>
              </w:rPr>
            </w:pPr>
            <w:r>
              <w:rPr>
                <w:rFonts w:ascii="Arial" w:cs="Arial" w:eastAsia="Arial" w:hAnsi="Arial"/>
                <w:sz w:val="14"/>
                <w:szCs w:val="14"/>
                <w:color w:val="auto"/>
              </w:rPr>
              <w:t>ABR</w:t>
            </w:r>
          </w:p>
        </w:tc>
        <w:tc>
          <w:tcPr>
            <w:tcW w:w="72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rPr>
              <w:t>Facility</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8"/>
              </w:rPr>
              <w:t>(S&amp;P/Moody’s)</w:t>
            </w:r>
          </w:p>
        </w:tc>
        <w:tc>
          <w:tcPr>
            <w:tcW w:w="7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Spread</w:t>
            </w:r>
          </w:p>
        </w:tc>
        <w:tc>
          <w:tcPr>
            <w:tcW w:w="9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8"/>
              </w:rPr>
              <w:t>Spread</w:t>
            </w:r>
          </w:p>
        </w:tc>
        <w:tc>
          <w:tcPr>
            <w:tcW w:w="9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8"/>
              </w:rPr>
              <w:t>Spread</w:t>
            </w:r>
          </w:p>
        </w:tc>
        <w:tc>
          <w:tcPr>
            <w:tcW w:w="9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83"/>
              </w:rPr>
              <w:t>Fee Rate</w:t>
            </w: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line="156" w:lineRule="exact"/>
              <w:rPr>
                <w:sz w:val="20"/>
                <w:szCs w:val="20"/>
                <w:color w:val="auto"/>
              </w:rPr>
            </w:pPr>
            <w:r>
              <w:rPr>
                <w:rFonts w:ascii="Arial" w:cs="Arial" w:eastAsia="Arial" w:hAnsi="Arial"/>
                <w:sz w:val="18"/>
                <w:szCs w:val="18"/>
                <w:color w:val="auto"/>
              </w:rPr>
              <w:t>Category 1:</w:t>
            </w:r>
          </w:p>
        </w:tc>
        <w:tc>
          <w:tcPr>
            <w:tcW w:w="25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gridSpan w:val="2"/>
            <w:vMerge w:val="continue"/>
            <w:shd w:val="clear" w:color="auto" w:fill="CCEEFF"/>
          </w:tcPr>
          <w:p>
            <w:pPr>
              <w:spacing w:after="0"/>
              <w:rPr>
                <w:sz w:val="13"/>
                <w:szCs w:val="13"/>
                <w:color w:val="auto"/>
              </w:rPr>
            </w:pPr>
          </w:p>
        </w:tc>
        <w:tc>
          <w:tcPr>
            <w:tcW w:w="25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A/A2 or higher</w:t>
            </w:r>
          </w:p>
        </w:tc>
        <w:tc>
          <w:tcPr>
            <w:tcW w:w="740" w:type="dxa"/>
            <w:vAlign w:val="bottom"/>
            <w:vMerge w:val="continue"/>
            <w:shd w:val="clear" w:color="auto" w:fill="CCEEFF"/>
          </w:tcPr>
          <w:p>
            <w:pPr>
              <w:spacing w:after="0"/>
              <w:rPr>
                <w:sz w:val="13"/>
                <w:szCs w:val="13"/>
                <w:color w:val="auto"/>
              </w:rPr>
            </w:pPr>
          </w:p>
        </w:tc>
        <w:tc>
          <w:tcPr>
            <w:tcW w:w="1620" w:type="dxa"/>
            <w:vAlign w:val="bottom"/>
            <w:gridSpan w:val="2"/>
            <w:shd w:val="clear" w:color="auto" w:fill="CCEEFF"/>
          </w:tcPr>
          <w:p>
            <w:pPr>
              <w:jc w:val="right"/>
              <w:ind w:right="780"/>
              <w:spacing w:after="0" w:line="142" w:lineRule="exact"/>
              <w:rPr>
                <w:sz w:val="20"/>
                <w:szCs w:val="20"/>
                <w:color w:val="auto"/>
              </w:rPr>
            </w:pPr>
            <w:r>
              <w:rPr>
                <w:rFonts w:ascii="Arial" w:cs="Arial" w:eastAsia="Arial" w:hAnsi="Arial"/>
                <w:sz w:val="16"/>
                <w:szCs w:val="16"/>
                <w:color w:val="auto"/>
              </w:rPr>
              <w:t>0.805%</w:t>
            </w:r>
          </w:p>
        </w:tc>
        <w:tc>
          <w:tcPr>
            <w:tcW w:w="1420" w:type="dxa"/>
            <w:vAlign w:val="bottom"/>
            <w:gridSpan w:val="2"/>
            <w:shd w:val="clear" w:color="auto" w:fill="CCEEFF"/>
          </w:tcPr>
          <w:p>
            <w:pPr>
              <w:jc w:val="right"/>
              <w:ind w:right="800"/>
              <w:spacing w:after="0" w:line="142" w:lineRule="exact"/>
              <w:rPr>
                <w:sz w:val="20"/>
                <w:szCs w:val="20"/>
                <w:color w:val="auto"/>
              </w:rPr>
            </w:pPr>
            <w:r>
              <w:rPr>
                <w:rFonts w:ascii="Arial" w:cs="Arial" w:eastAsia="Arial" w:hAnsi="Arial"/>
                <w:sz w:val="16"/>
                <w:szCs w:val="16"/>
                <w:color w:val="auto"/>
              </w:rPr>
              <w:t>0.805%</w:t>
            </w:r>
          </w:p>
        </w:tc>
        <w:tc>
          <w:tcPr>
            <w:tcW w:w="1400" w:type="dxa"/>
            <w:vAlign w:val="bottom"/>
            <w:gridSpan w:val="2"/>
            <w:shd w:val="clear" w:color="auto" w:fill="CCEEFF"/>
          </w:tcPr>
          <w:p>
            <w:pPr>
              <w:jc w:val="right"/>
              <w:ind w:right="800"/>
              <w:spacing w:after="0" w:line="142" w:lineRule="exact"/>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4"/>
        </w:trPr>
        <w:tc>
          <w:tcPr>
            <w:tcW w:w="800" w:type="dxa"/>
            <w:vAlign w:val="bottom"/>
            <w:tcBorders>
              <w:top w:val="single" w:sz="8" w:color="auto"/>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580" w:type="dxa"/>
            <w:vAlign w:val="bottom"/>
            <w:gridSpan w:val="2"/>
          </w:tcPr>
          <w:p>
            <w:pPr>
              <w:spacing w:after="0" w:line="176" w:lineRule="exact"/>
              <w:rPr>
                <w:sz w:val="20"/>
                <w:szCs w:val="20"/>
                <w:color w:val="auto"/>
              </w:rPr>
            </w:pPr>
            <w:r>
              <w:rPr>
                <w:rFonts w:ascii="Arial" w:cs="Arial" w:eastAsia="Arial" w:hAnsi="Arial"/>
                <w:sz w:val="18"/>
                <w:szCs w:val="18"/>
                <w:color w:val="auto"/>
              </w:rPr>
              <w:t>Category 2:</w:t>
            </w:r>
          </w:p>
        </w:tc>
        <w:tc>
          <w:tcPr>
            <w:tcW w:w="3280" w:type="dxa"/>
            <w:vAlign w:val="bottom"/>
            <w:gridSpan w:val="2"/>
          </w:tcPr>
          <w:p>
            <w:pPr>
              <w:jc w:val="center"/>
              <w:ind w:right="740"/>
              <w:spacing w:after="0" w:line="176" w:lineRule="exact"/>
              <w:rPr>
                <w:sz w:val="20"/>
                <w:szCs w:val="20"/>
                <w:color w:val="auto"/>
              </w:rPr>
            </w:pPr>
            <w:r>
              <w:rPr>
                <w:rFonts w:ascii="Arial" w:cs="Arial" w:eastAsia="Arial" w:hAnsi="Arial"/>
                <w:sz w:val="18"/>
                <w:szCs w:val="18"/>
                <w:color w:val="auto"/>
              </w:rPr>
              <w:t>A-/A3</w:t>
            </w:r>
          </w:p>
        </w:tc>
        <w:tc>
          <w:tcPr>
            <w:tcW w:w="1620" w:type="dxa"/>
            <w:vAlign w:val="bottom"/>
            <w:gridSpan w:val="2"/>
          </w:tcPr>
          <w:p>
            <w:pPr>
              <w:jc w:val="right"/>
              <w:ind w:right="780"/>
              <w:spacing w:after="0" w:line="176" w:lineRule="exact"/>
              <w:rPr>
                <w:sz w:val="20"/>
                <w:szCs w:val="20"/>
                <w:color w:val="auto"/>
              </w:rPr>
            </w:pPr>
            <w:r>
              <w:rPr>
                <w:rFonts w:ascii="Arial" w:cs="Arial" w:eastAsia="Arial" w:hAnsi="Arial"/>
                <w:sz w:val="18"/>
                <w:szCs w:val="18"/>
                <w:color w:val="auto"/>
              </w:rPr>
              <w:t>0.91%</w:t>
            </w:r>
          </w:p>
        </w:tc>
        <w:tc>
          <w:tcPr>
            <w:tcW w:w="1420" w:type="dxa"/>
            <w:vAlign w:val="bottom"/>
            <w:gridSpan w:val="2"/>
          </w:tcPr>
          <w:p>
            <w:pPr>
              <w:jc w:val="right"/>
              <w:ind w:right="800"/>
              <w:spacing w:after="0" w:line="176" w:lineRule="exact"/>
              <w:rPr>
                <w:sz w:val="20"/>
                <w:szCs w:val="20"/>
                <w:color w:val="auto"/>
              </w:rPr>
            </w:pPr>
            <w:r>
              <w:rPr>
                <w:rFonts w:ascii="Arial" w:cs="Arial" w:eastAsia="Arial" w:hAnsi="Arial"/>
                <w:sz w:val="18"/>
                <w:szCs w:val="18"/>
                <w:color w:val="auto"/>
              </w:rPr>
              <w:t>0.91%</w:t>
            </w:r>
          </w:p>
        </w:tc>
        <w:tc>
          <w:tcPr>
            <w:tcW w:w="1400" w:type="dxa"/>
            <w:vAlign w:val="bottom"/>
            <w:gridSpan w:val="2"/>
          </w:tcPr>
          <w:p>
            <w:pPr>
              <w:jc w:val="right"/>
              <w:ind w:right="800"/>
              <w:spacing w:after="0" w:line="176" w:lineRule="exact"/>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3280" w:type="dxa"/>
            <w:vAlign w:val="bottom"/>
            <w:gridSpan w:val="2"/>
            <w:shd w:val="clear" w:color="auto" w:fill="CCEEFF"/>
          </w:tcPr>
          <w:p>
            <w:pPr>
              <w:jc w:val="center"/>
              <w:ind w:right="720"/>
              <w:spacing w:after="0" w:line="176" w:lineRule="exact"/>
              <w:rPr>
                <w:sz w:val="20"/>
                <w:szCs w:val="20"/>
                <w:color w:val="auto"/>
              </w:rPr>
            </w:pPr>
            <w:r>
              <w:rPr>
                <w:rFonts w:ascii="Arial" w:cs="Arial" w:eastAsia="Arial" w:hAnsi="Arial"/>
                <w:sz w:val="18"/>
                <w:szCs w:val="18"/>
                <w:color w:val="auto"/>
                <w:w w:val="94"/>
              </w:rPr>
              <w:t>BBB+/Baa1</w:t>
            </w:r>
          </w:p>
        </w:tc>
        <w:tc>
          <w:tcPr>
            <w:tcW w:w="1620" w:type="dxa"/>
            <w:vAlign w:val="bottom"/>
            <w:gridSpan w:val="2"/>
            <w:shd w:val="clear" w:color="auto" w:fill="CCEEFF"/>
          </w:tcPr>
          <w:p>
            <w:pPr>
              <w:jc w:val="right"/>
              <w:ind w:right="780"/>
              <w:spacing w:after="0" w:line="176" w:lineRule="exact"/>
              <w:rPr>
                <w:sz w:val="20"/>
                <w:szCs w:val="20"/>
                <w:color w:val="auto"/>
              </w:rPr>
            </w:pPr>
            <w:r>
              <w:rPr>
                <w:rFonts w:ascii="Arial" w:cs="Arial" w:eastAsia="Arial" w:hAnsi="Arial"/>
                <w:sz w:val="18"/>
                <w:szCs w:val="18"/>
                <w:color w:val="auto"/>
              </w:rPr>
              <w:t>1.025%</w:t>
            </w:r>
          </w:p>
        </w:tc>
        <w:tc>
          <w:tcPr>
            <w:tcW w:w="1420" w:type="dxa"/>
            <w:vAlign w:val="bottom"/>
            <w:gridSpan w:val="2"/>
            <w:shd w:val="clear" w:color="auto" w:fill="CCEEFF"/>
          </w:tcPr>
          <w:p>
            <w:pPr>
              <w:jc w:val="right"/>
              <w:ind w:right="800"/>
              <w:spacing w:after="0" w:line="176" w:lineRule="exact"/>
              <w:rPr>
                <w:sz w:val="20"/>
                <w:szCs w:val="20"/>
                <w:color w:val="auto"/>
              </w:rPr>
            </w:pPr>
            <w:r>
              <w:rPr>
                <w:rFonts w:ascii="Arial" w:cs="Arial" w:eastAsia="Arial" w:hAnsi="Arial"/>
                <w:sz w:val="18"/>
                <w:szCs w:val="18"/>
                <w:color w:val="auto"/>
                <w:w w:val="98"/>
              </w:rPr>
              <w:t>1.025%</w:t>
            </w:r>
          </w:p>
        </w:tc>
        <w:tc>
          <w:tcPr>
            <w:tcW w:w="1400" w:type="dxa"/>
            <w:vAlign w:val="bottom"/>
            <w:gridSpan w:val="2"/>
            <w:shd w:val="clear" w:color="auto" w:fill="CCEEFF"/>
          </w:tcPr>
          <w:p>
            <w:pPr>
              <w:jc w:val="right"/>
              <w:ind w:right="800"/>
              <w:spacing w:after="0" w:line="176" w:lineRule="exact"/>
              <w:rPr>
                <w:sz w:val="20"/>
                <w:szCs w:val="20"/>
                <w:color w:val="auto"/>
              </w:rPr>
            </w:pPr>
            <w:r>
              <w:rPr>
                <w:rFonts w:ascii="Arial" w:cs="Arial" w:eastAsia="Arial" w:hAnsi="Arial"/>
                <w:sz w:val="18"/>
                <w:szCs w:val="18"/>
                <w:color w:val="auto"/>
                <w:w w:val="94"/>
              </w:rPr>
              <w:t>0.025%</w:t>
            </w:r>
          </w:p>
        </w:tc>
        <w:tc>
          <w:tcPr>
            <w:tcW w:w="7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2"/>
          </w:tcPr>
          <w:p>
            <w:pPr>
              <w:spacing w:after="0" w:line="176" w:lineRule="exact"/>
              <w:rPr>
                <w:sz w:val="20"/>
                <w:szCs w:val="20"/>
                <w:color w:val="auto"/>
              </w:rPr>
            </w:pPr>
            <w:r>
              <w:rPr>
                <w:rFonts w:ascii="Arial" w:cs="Arial" w:eastAsia="Arial" w:hAnsi="Arial"/>
                <w:sz w:val="18"/>
                <w:szCs w:val="18"/>
                <w:color w:val="auto"/>
              </w:rPr>
              <w:t>Category 4:</w:t>
            </w:r>
          </w:p>
        </w:tc>
        <w:tc>
          <w:tcPr>
            <w:tcW w:w="3280" w:type="dxa"/>
            <w:vAlign w:val="bottom"/>
            <w:gridSpan w:val="2"/>
          </w:tcPr>
          <w:p>
            <w:pPr>
              <w:jc w:val="center"/>
              <w:ind w:right="740"/>
              <w:spacing w:after="0" w:line="176" w:lineRule="exact"/>
              <w:rPr>
                <w:sz w:val="20"/>
                <w:szCs w:val="20"/>
                <w:color w:val="auto"/>
              </w:rPr>
            </w:pPr>
            <w:r>
              <w:rPr>
                <w:rFonts w:ascii="Arial" w:cs="Arial" w:eastAsia="Arial" w:hAnsi="Arial"/>
                <w:sz w:val="18"/>
                <w:szCs w:val="18"/>
                <w:color w:val="auto"/>
                <w:w w:val="93"/>
              </w:rPr>
              <w:t>BBB/Baa2</w:t>
            </w:r>
          </w:p>
        </w:tc>
        <w:tc>
          <w:tcPr>
            <w:tcW w:w="1620" w:type="dxa"/>
            <w:vAlign w:val="bottom"/>
            <w:gridSpan w:val="2"/>
          </w:tcPr>
          <w:p>
            <w:pPr>
              <w:jc w:val="right"/>
              <w:ind w:right="780"/>
              <w:spacing w:after="0" w:line="176" w:lineRule="exact"/>
              <w:rPr>
                <w:sz w:val="20"/>
                <w:szCs w:val="20"/>
                <w:color w:val="auto"/>
              </w:rPr>
            </w:pPr>
            <w:r>
              <w:rPr>
                <w:rFonts w:ascii="Arial" w:cs="Arial" w:eastAsia="Arial" w:hAnsi="Arial"/>
                <w:sz w:val="18"/>
                <w:szCs w:val="18"/>
                <w:color w:val="auto"/>
              </w:rPr>
              <w:t>1.125%</w:t>
            </w:r>
          </w:p>
        </w:tc>
        <w:tc>
          <w:tcPr>
            <w:tcW w:w="1420" w:type="dxa"/>
            <w:vAlign w:val="bottom"/>
            <w:gridSpan w:val="2"/>
          </w:tcPr>
          <w:p>
            <w:pPr>
              <w:jc w:val="right"/>
              <w:ind w:right="800"/>
              <w:spacing w:after="0" w:line="176" w:lineRule="exact"/>
              <w:rPr>
                <w:sz w:val="20"/>
                <w:szCs w:val="20"/>
                <w:color w:val="auto"/>
              </w:rPr>
            </w:pPr>
            <w:r>
              <w:rPr>
                <w:rFonts w:ascii="Arial" w:cs="Arial" w:eastAsia="Arial" w:hAnsi="Arial"/>
                <w:sz w:val="18"/>
                <w:szCs w:val="18"/>
                <w:color w:val="auto"/>
                <w:w w:val="98"/>
              </w:rPr>
              <w:t>1.125%</w:t>
            </w:r>
          </w:p>
        </w:tc>
        <w:tc>
          <w:tcPr>
            <w:tcW w:w="1400" w:type="dxa"/>
            <w:vAlign w:val="bottom"/>
            <w:gridSpan w:val="2"/>
          </w:tcPr>
          <w:p>
            <w:pPr>
              <w:jc w:val="right"/>
              <w:ind w:right="800"/>
              <w:spacing w:after="0" w:line="176" w:lineRule="exact"/>
              <w:rPr>
                <w:sz w:val="20"/>
                <w:szCs w:val="20"/>
                <w:color w:val="auto"/>
              </w:rPr>
            </w:pPr>
            <w:r>
              <w:rPr>
                <w:rFonts w:ascii="Arial" w:cs="Arial" w:eastAsia="Arial" w:hAnsi="Arial"/>
                <w:sz w:val="18"/>
                <w:szCs w:val="18"/>
                <w:color w:val="auto"/>
                <w:w w:val="94"/>
              </w:rPr>
              <w:t>0.125%</w:t>
            </w: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3280" w:type="dxa"/>
            <w:vAlign w:val="bottom"/>
            <w:gridSpan w:val="2"/>
            <w:shd w:val="clear" w:color="auto" w:fill="CCEEFF"/>
          </w:tcPr>
          <w:p>
            <w:pPr>
              <w:jc w:val="center"/>
              <w:ind w:right="720"/>
              <w:spacing w:after="0" w:line="176" w:lineRule="exact"/>
              <w:rPr>
                <w:sz w:val="20"/>
                <w:szCs w:val="20"/>
                <w:color w:val="auto"/>
              </w:rPr>
            </w:pPr>
            <w:r>
              <w:rPr>
                <w:rFonts w:ascii="Arial" w:cs="Arial" w:eastAsia="Arial" w:hAnsi="Arial"/>
                <w:sz w:val="18"/>
                <w:szCs w:val="18"/>
                <w:color w:val="auto"/>
                <w:w w:val="93"/>
              </w:rPr>
              <w:t>BBB-/Baa3 or lower</w:t>
            </w:r>
          </w:p>
        </w:tc>
        <w:tc>
          <w:tcPr>
            <w:tcW w:w="1620" w:type="dxa"/>
            <w:vAlign w:val="bottom"/>
            <w:gridSpan w:val="2"/>
            <w:shd w:val="clear" w:color="auto" w:fill="CCEEFF"/>
          </w:tcPr>
          <w:p>
            <w:pPr>
              <w:jc w:val="right"/>
              <w:ind w:right="780"/>
              <w:spacing w:after="0" w:line="176" w:lineRule="exact"/>
              <w:rPr>
                <w:sz w:val="20"/>
                <w:szCs w:val="20"/>
                <w:color w:val="auto"/>
              </w:rPr>
            </w:pPr>
            <w:r>
              <w:rPr>
                <w:rFonts w:ascii="Arial" w:cs="Arial" w:eastAsia="Arial" w:hAnsi="Arial"/>
                <w:sz w:val="18"/>
                <w:szCs w:val="18"/>
                <w:color w:val="auto"/>
              </w:rPr>
              <w:t>1.20%</w:t>
            </w:r>
          </w:p>
        </w:tc>
        <w:tc>
          <w:tcPr>
            <w:tcW w:w="1420" w:type="dxa"/>
            <w:vAlign w:val="bottom"/>
            <w:gridSpan w:val="2"/>
            <w:shd w:val="clear" w:color="auto" w:fill="CCEEFF"/>
          </w:tcPr>
          <w:p>
            <w:pPr>
              <w:jc w:val="right"/>
              <w:ind w:right="800"/>
              <w:spacing w:after="0" w:line="176" w:lineRule="exact"/>
              <w:rPr>
                <w:sz w:val="20"/>
                <w:szCs w:val="20"/>
                <w:color w:val="auto"/>
              </w:rPr>
            </w:pPr>
            <w:r>
              <w:rPr>
                <w:rFonts w:ascii="Arial" w:cs="Arial" w:eastAsia="Arial" w:hAnsi="Arial"/>
                <w:sz w:val="18"/>
                <w:szCs w:val="18"/>
                <w:color w:val="auto"/>
              </w:rPr>
              <w:t>1.20%</w:t>
            </w:r>
          </w:p>
        </w:tc>
        <w:tc>
          <w:tcPr>
            <w:tcW w:w="1400" w:type="dxa"/>
            <w:vAlign w:val="bottom"/>
            <w:gridSpan w:val="2"/>
            <w:shd w:val="clear" w:color="auto" w:fill="CCEEFF"/>
          </w:tcPr>
          <w:p>
            <w:pPr>
              <w:jc w:val="right"/>
              <w:ind w:right="800"/>
              <w:spacing w:after="0" w:line="176" w:lineRule="exact"/>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For purposes of the foregoing, (i) if neither Moody’s nor S&amp;P shall have in effect a rating for the Index Debt (other than by reason of the circumstances referred to in the last sentence of this definition), then each such rating agency shall be deemed to have established a rating in Category 5; (ii) if only one of Moody’s or S&amp;P shall have in effect a rating for the Index Debt, the Category corresponding to such rating shall be in effect; (iii) if the ratings established or deemed to have been established by Moody’s and S&amp;P for the Index Debt shall fall within different Categories, the Category then in effect shall be based on the higher of the two ratings unless one of the two ratings is two or more Categories lower than the other, in which case the Category then in effect shall be determined by reference to the Category next above that of the lower of the two ratings;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Borrower to the Administrative Agent and the Lenders pursuant to Section 5.09 or otherwise. Each change in the Applicable Rate shall apply during the period commencing on the effective date of such change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1" w:name="page12"/>
    <w:bookmarkEnd w:id="11"/>
    <w:p>
      <w:pPr>
        <w:ind w:left="44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ending on the date immediately preceding the effective date of the next such change. If the rating system of Moody’s or S&amp;P shall change, or if either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88"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Foreign Currency, the local time in the place of settlement for such Foreign Currency as may be determined by the Administrative Agent or the applicable Issuing Bank, as the case may be, to be necessary for timely settlement on the relevant date in accordance with normal banking procedures in the place of payment.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8.03(a).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each of JPMorgan Chase Bank, N.A., BNP Paribas Securities Corp. and Citibank, N.A. in its capacity as a joint bookrunner and a joint lead arranger hereunder.</w:t>
      </w:r>
    </w:p>
    <w:p>
      <w:pPr>
        <w:spacing w:after="0" w:line="170"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records generated by the use of an electronic platform) approved by the Administrative Agent.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6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2" w:name="page13"/>
    <w:bookmarkEnd w:id="12"/>
    <w:p>
      <w:pPr>
        <w:ind w:right="6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Bankruptcy Event</w:t>
      </w:r>
      <w:r>
        <w:rPr>
          <w:rFonts w:ascii="Arial" w:cs="Arial" w:eastAsia="Arial" w:hAnsi="Arial"/>
          <w:sz w:val="17"/>
          <w:szCs w:val="17"/>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any (i) RFR Loan in any Agreed Currency, the applicable Relevant Rate for such Agreed Currency or (ii) Term Benchmark Loan, the Relevant Rate for such Agreed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8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Loan denominated in a Foreign Currency, “Benchmark Replacement” shall mean the alternative set forth in (2) below:</w:t>
      </w:r>
    </w:p>
    <w:p>
      <w:pPr>
        <w:spacing w:after="0" w:line="76" w:lineRule="exact"/>
        <w:rPr>
          <w:sz w:val="20"/>
          <w:szCs w:val="20"/>
          <w:color w:val="auto"/>
        </w:rPr>
      </w:pPr>
    </w:p>
    <w:p>
      <w:pPr>
        <w:ind w:left="1240" w:hanging="381"/>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case of any Loan denominated in Dollars, the Adjusted Daily Simple RFR for RFR Borrowings denominated in Dollars;</w:t>
      </w:r>
    </w:p>
    <w:p>
      <w:pPr>
        <w:spacing w:after="0" w:line="128" w:lineRule="exact"/>
        <w:rPr>
          <w:rFonts w:ascii="Arial" w:cs="Arial" w:eastAsia="Arial" w:hAnsi="Arial"/>
          <w:sz w:val="17"/>
          <w:szCs w:val="17"/>
          <w:color w:val="auto"/>
        </w:rPr>
      </w:pPr>
    </w:p>
    <w:p>
      <w:pPr>
        <w:ind w:left="440" w:right="180" w:firstLine="419"/>
        <w:spacing w:after="0" w:line="296" w:lineRule="auto"/>
        <w:tabs>
          <w:tab w:leader="none" w:pos="125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53"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clause (2)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3" w:name="page14"/>
    <w:bookmarkEnd w:id="13"/>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4"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8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62" w:lineRule="exact"/>
        <w:rPr>
          <w:sz w:val="20"/>
          <w:szCs w:val="20"/>
          <w:color w:val="auto"/>
        </w:rPr>
      </w:pPr>
    </w:p>
    <w:p>
      <w:pPr>
        <w:ind w:left="440" w:right="60" w:firstLine="419"/>
        <w:spacing w:after="0" w:line="311" w:lineRule="auto"/>
        <w:tabs>
          <w:tab w:leader="none" w:pos="125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40" w:lineRule="exact"/>
        <w:rPr>
          <w:rFonts w:ascii="Arial" w:cs="Arial" w:eastAsia="Arial" w:hAnsi="Arial"/>
          <w:sz w:val="16"/>
          <w:szCs w:val="16"/>
          <w:color w:val="auto"/>
        </w:rPr>
      </w:pPr>
    </w:p>
    <w:p>
      <w:pPr>
        <w:ind w:left="440" w:right="20" w:firstLine="419"/>
        <w:spacing w:after="0" w:line="257" w:lineRule="auto"/>
        <w:tabs>
          <w:tab w:leader="none" w:pos="1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80" w:lineRule="exact"/>
        <w:rPr>
          <w:sz w:val="20"/>
          <w:szCs w:val="20"/>
          <w:color w:val="auto"/>
        </w:rPr>
      </w:pPr>
    </w:p>
    <w:p>
      <w:pPr>
        <w:ind w:left="440" w:firstLine="423"/>
        <w:spacing w:after="0" w:line="275"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62" w:lineRule="exact"/>
        <w:rPr>
          <w:sz w:val="20"/>
          <w:szCs w:val="20"/>
          <w:color w:val="auto"/>
        </w:rPr>
      </w:pPr>
    </w:p>
    <w:p>
      <w:pPr>
        <w:ind w:left="440" w:right="20" w:firstLine="419"/>
        <w:spacing w:after="0" w:line="279" w:lineRule="auto"/>
        <w:tabs>
          <w:tab w:leader="none" w:pos="125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 w:name="page15"/>
    <w:bookmarkEnd w:id="14"/>
    <w:p>
      <w:pPr>
        <w:ind w:left="440" w:firstLine="419"/>
        <w:spacing w:after="0" w:line="271" w:lineRule="auto"/>
        <w:tabs>
          <w:tab w:leader="none" w:pos="1253"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 that</w:t>
      </w:r>
      <w:r>
        <w:rPr>
          <w:rFonts w:ascii="Arial" w:cs="Arial" w:eastAsia="Arial" w:hAnsi="Arial"/>
          <w:sz w:val="17"/>
          <w:szCs w:val="17"/>
          <w:color w:val="auto"/>
        </w:rPr>
        <w:t>, at the time of such statement or publication, there is no successor administrator that will continue to provide any Available Tenor of such Benchmark (or such component thereof); or</w:t>
      </w:r>
    </w:p>
    <w:p>
      <w:pPr>
        <w:spacing w:after="0" w:line="70" w:lineRule="exact"/>
        <w:rPr>
          <w:rFonts w:ascii="Arial" w:cs="Arial" w:eastAsia="Arial" w:hAnsi="Arial"/>
          <w:sz w:val="17"/>
          <w:szCs w:val="17"/>
          <w:color w:val="auto"/>
        </w:rPr>
      </w:pPr>
    </w:p>
    <w:p>
      <w:pPr>
        <w:jc w:val="both"/>
        <w:ind w:left="440" w:firstLine="419"/>
        <w:spacing w:after="0" w:line="263" w:lineRule="auto"/>
        <w:tabs>
          <w:tab w:leader="none" w:pos="1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76" w:lineRule="exact"/>
        <w:rPr>
          <w:sz w:val="20"/>
          <w:szCs w:val="20"/>
          <w:color w:val="auto"/>
        </w:rPr>
      </w:pPr>
    </w:p>
    <w:p>
      <w:pPr>
        <w:ind w:left="440" w:right="100" w:firstLine="423"/>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8"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ManpowerGroup Inc., a Wisconsin corporation.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left="4" w:right="5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Term Benchmark Loans, as to which a single Interest Period is in effect or (b) a Swingline Loan.</w:t>
      </w:r>
    </w:p>
    <w:p>
      <w:pPr>
        <w:spacing w:after="0" w:line="170" w:lineRule="exact"/>
        <w:rPr>
          <w:sz w:val="20"/>
          <w:szCs w:val="20"/>
          <w:color w:val="auto"/>
        </w:rPr>
      </w:pPr>
    </w:p>
    <w:p>
      <w:pPr>
        <w:ind w:left="4" w:right="20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means, (i) in respect of Loans denominated in Dollars, $5,000,000, (ii) in respect of Loans denominated in euro, €10,000,000, (iii) in respect of Loans denominated in Pounds Sterling, £5,000,000, (iv) in respect of Loans denominated in Swiss Francs, CHF5,000,000, (v) in respect of Loans denominated in Japanese Yen, ¥100,000,000, (vi) in respect of Loans denominated in Canadian Dollars, CAD$5,000,000 and (vii) in respect of Loans denominated in any other Agreed Currency, the Dollar Amount of $5,000,000.</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(i) in respect of Loans denominated in Dollars, $1,000,000, (ii) in respect of Loans denominated in euro,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€1,000,000, (iii) in respect of Loans denominated in Pounds Sterling, £1,000,000, (iv) in respect of Loans denominated in Swiss Francs, CHF1,000,000,</w:t>
      </w:r>
    </w:p>
    <w:p>
      <w:pPr>
        <w:spacing w:after="0" w:line="32" w:lineRule="exact"/>
        <w:rPr>
          <w:sz w:val="20"/>
          <w:szCs w:val="20"/>
          <w:color w:val="auto"/>
        </w:rPr>
      </w:pPr>
    </w:p>
    <w:p>
      <w:pPr>
        <w:ind w:left="264" w:hanging="264"/>
        <w:spacing w:after="0"/>
        <w:tabs>
          <w:tab w:leader="none" w:pos="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respect of Loans denominated in Japanese Yen, ¥10,000,000, (vi) in respect of Loans denominated in Canadian Dollars, CAD$1,000,000 and</w:t>
      </w:r>
    </w:p>
    <w:p>
      <w:pPr>
        <w:spacing w:after="0" w:line="32" w:lineRule="exact"/>
        <w:rPr>
          <w:rFonts w:ascii="Arial" w:cs="Arial" w:eastAsia="Arial" w:hAnsi="Arial"/>
          <w:sz w:val="16"/>
          <w:szCs w:val="16"/>
          <w:color w:val="auto"/>
        </w:rPr>
      </w:pPr>
    </w:p>
    <w:p>
      <w:pPr>
        <w:ind w:left="364" w:hanging="364"/>
        <w:spacing w:after="0"/>
        <w:tabs>
          <w:tab w:leader="none" w:pos="36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respect of Loans denominated in any other Agreed Currency, the Dollar Amount of $1,000,000.</w:t>
      </w:r>
    </w:p>
    <w:p>
      <w:pPr>
        <w:spacing w:after="0" w:line="211"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Section 2.03, which shall be substantially in the form attached hereto as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a Saturday or a Sunday) on which banks are open for business in New York City or Chicago;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relation to Loans denominated in Pounds Sterling, any day (other than a Saturday or a Sunday) on which banks are open for business in London, (ii) in relation to Loans denominated in euro and in relation to the calculation or computation of the EURIBO Rate, any day which is a TARGET Day, (iii) in relation to Loans denominated in Japanese Yen and in relation to the calculation or computation of the TIBO Rate, any day (other than a Saturday or a Sunday) on which banks are open for business in Japan, (iv) in relation to Loans denominated in Canadian Dollars and in relation to the calculation or computation of the CDOR Rate or the Canadian Prime Rate, any day (other than a Saturday or a Sunday) on which banks are open for business in Toronto and (v)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CAD</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of the above rates shall be less than 1.00%, such rate shall be deemed to be 1.00% for purposes of this Agreement. Any change in the Canadian Prime Rate due to a change in the PRIMCAN Index or CDOR shall be effective from and including the effective date of such change in the PRIMCAN Index or CDOR, respectively.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6" w:name="page17"/>
    <w:bookmarkEnd w:id="16"/>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Loan</w:t>
      </w:r>
      <w:r>
        <w:rPr>
          <w:rFonts w:ascii="Arial" w:cs="Arial" w:eastAsia="Arial" w:hAnsi="Arial"/>
          <w:sz w:val="18"/>
          <w:szCs w:val="18"/>
          <w:color w:val="auto"/>
        </w:rPr>
        <w:t>” means a Loan that bears interest at a rate determined by reference to the Central Bank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Spread</w:t>
      </w:r>
      <w:r>
        <w:rPr>
          <w:rFonts w:ascii="Arial" w:cs="Arial" w:eastAsia="Arial" w:hAnsi="Arial"/>
          <w:sz w:val="18"/>
          <w:szCs w:val="18"/>
          <w:color w:val="auto"/>
        </w:rPr>
        <w:t>” means the Applicable Rate applicable to such Loan that is replaced by a CBR Loan.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w:t>
      </w:r>
      <w:r>
        <w:rPr>
          <w:rFonts w:ascii="Arial" w:cs="Arial" w:eastAsia="Arial" w:hAnsi="Arial"/>
          <w:sz w:val="18"/>
          <w:szCs w:val="18"/>
          <w:color w:val="auto"/>
        </w:rPr>
        <w:t>” means the Canadian Dollar offered rate.</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xml:space="preserve">” means, with respect to any Term Benchmark Borrowing denominated in Canadian Dollars and for any Interest Period, the CDOR Screen Rate at approximately 10:15 a.m., Toronto time, on the first day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CDOR Rate as so determined would be less than the Floor, such rate shall be deemed to be equal to the Floor for the purposes of this Agreement</w:t>
      </w:r>
    </w:p>
    <w:p>
      <w:pPr>
        <w:spacing w:after="0" w:line="165" w:lineRule="exact"/>
        <w:rPr>
          <w:sz w:val="20"/>
          <w:szCs w:val="20"/>
          <w:color w:val="auto"/>
        </w:rPr>
      </w:pPr>
    </w:p>
    <w:p>
      <w:pPr>
        <w:ind w:right="1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Screen Rate</w:t>
      </w:r>
      <w:r>
        <w:rPr>
          <w:rFonts w:ascii="Arial" w:cs="Arial" w:eastAsia="Arial" w:hAnsi="Arial"/>
          <w:sz w:val="16"/>
          <w:szCs w:val="16"/>
          <w:color w:val="auto"/>
        </w:rPr>
        <w:t>”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Arial" w:cs="Arial" w:eastAsia="Arial" w:hAnsi="Arial"/>
          <w:sz w:val="13"/>
          <w:szCs w:val="13"/>
          <w:color w:val="auto"/>
        </w:rPr>
        <w:t>th</w:t>
      </w:r>
      <w:r>
        <w:rPr>
          <w:rFonts w:ascii="Arial" w:cs="Arial" w:eastAsia="Arial" w:hAnsi="Arial"/>
          <w:sz w:val="16"/>
          <w:szCs w:val="16"/>
          <w:color w:val="auto"/>
        </w:rPr>
        <w:t xml:space="preserve"> of 1% (with</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.005% being rounded up), as of 10:15 a.m. Toronto time on the first day of such Interest Period and, if such day is not a business day, then on the immediately preceding business day (as adjusted by Administrative Agent after 10:15 a.m. Toronto time to reflect any error in the posted rate of interest or in the posted average annual rate of interest).</w:t>
      </w:r>
    </w:p>
    <w:p>
      <w:pPr>
        <w:spacing w:after="0" w:line="19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Central Bank Rate</w:t>
      </w:r>
      <w:r>
        <w:rPr>
          <w:rFonts w:ascii="Arial" w:cs="Arial" w:eastAsia="Arial" w:hAnsi="Arial"/>
          <w:sz w:val="16"/>
          <w:szCs w:val="16"/>
          <w:color w:val="auto"/>
        </w:rPr>
        <w:t>”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Japanese Yen, the “short-term prime rate” as publicly announced by the Bank of Japan (or any successor thereto) from time to time, (d) Swiss Francs, the policy rate of the Swiss National Bank (or any successor thereto) as published by the Swiss National Bank (or any successor thereto) from time to time and (e) any other Foreign Currency determined after the Effective Date, a central bank rate as determined by the Administrative Agent in its reasonable discretion; plus (B) the applicable Central Bank Rate Adjustment and (ii) the Floor.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7" w:name="page18"/>
    <w:bookmarkEnd w:id="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for any day, for any Loan denominated in:</w:t>
      </w:r>
    </w:p>
    <w:p>
      <w:pPr>
        <w:spacing w:after="0" w:line="117" w:lineRule="exact"/>
        <w:rPr>
          <w:sz w:val="20"/>
          <w:szCs w:val="20"/>
          <w:color w:val="auto"/>
        </w:rPr>
      </w:pPr>
    </w:p>
    <w:p>
      <w:pPr>
        <w:ind w:left="440" w:firstLine="419"/>
        <w:spacing w:after="0" w:line="259" w:lineRule="auto"/>
        <w:tabs>
          <w:tab w:leader="none" w:pos="1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Central Bank Rate in respect of euro in effect on the last Business Day in such period,</w:t>
      </w:r>
    </w:p>
    <w:p>
      <w:pPr>
        <w:spacing w:after="0" w:line="78" w:lineRule="exact"/>
        <w:rPr>
          <w:rFonts w:ascii="Arial" w:cs="Arial" w:eastAsia="Arial" w:hAnsi="Arial"/>
          <w:sz w:val="18"/>
          <w:szCs w:val="18"/>
          <w:color w:val="auto"/>
        </w:rPr>
      </w:pPr>
    </w:p>
    <w:p>
      <w:pPr>
        <w:ind w:left="440" w:right="40" w:firstLine="419"/>
        <w:spacing w:after="0" w:line="279" w:lineRule="auto"/>
        <w:tabs>
          <w:tab w:leader="none" w:pos="111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Pounds Sterling, a rate equal to the difference (which may be a positive or negative value or zero) of (i) the average of Adjusted Daily Simple RFR for Pounds Sterling Borrowings for the five most recent RFR Business Days preceding such day for which SONIA was available (excluding, from such averaging, the highest and the lowest such Adjusted Daily Simple RFR applicable during such period of five RFR Business Days)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Central Bank Rate in respect of Pounds Sterling in effect on the last RFR Business Day in such period,</w:t>
      </w:r>
    </w:p>
    <w:p>
      <w:pPr>
        <w:spacing w:after="0" w:line="63" w:lineRule="exact"/>
        <w:rPr>
          <w:rFonts w:ascii="Arial" w:cs="Arial" w:eastAsia="Arial" w:hAnsi="Arial"/>
          <w:sz w:val="17"/>
          <w:szCs w:val="17"/>
          <w:color w:val="auto"/>
        </w:rPr>
      </w:pPr>
    </w:p>
    <w:p>
      <w:pPr>
        <w:ind w:left="440" w:right="40" w:firstLine="419"/>
        <w:spacing w:after="0" w:line="279" w:lineRule="auto"/>
        <w:tabs>
          <w:tab w:leader="none" w:pos="110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Swiss Francs, a rate equal to the difference (which may be a positive or negative value or zero) of (i) the average of Adjusted Daily Simple RFR for Swiss Franc Borrowings for the five most recent RFR Business Days preceding such day for which SARON was available (excluding, from such averaging, the highest and the lowest such Adjusted Daily Simple RFR applicable during such period of five RFR Business Days)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Central Bank Rate in respect of Swiss Francs in effect on the last RFR Business Day in such period,</w:t>
      </w:r>
    </w:p>
    <w:p>
      <w:pPr>
        <w:spacing w:after="0" w:line="63" w:lineRule="exact"/>
        <w:rPr>
          <w:rFonts w:ascii="Arial" w:cs="Arial" w:eastAsia="Arial" w:hAnsi="Arial"/>
          <w:sz w:val="17"/>
          <w:szCs w:val="17"/>
          <w:color w:val="auto"/>
        </w:rPr>
      </w:pPr>
    </w:p>
    <w:p>
      <w:pPr>
        <w:jc w:val="both"/>
        <w:ind w:left="440" w:right="140" w:firstLine="419"/>
        <w:spacing w:after="0" w:line="259"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Japanese Yen, a rate equal to the difference (which may be a positive or negative value or zero) of (i) the average of the Adjusted TIBO Rate for the five most recent Business Days preceding such day for which the TIBO Screen Rate was available (excluding, from such averaging, the highest and the lowest Adjusted TIBO Rate applicable during such period of five Business Days)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Central Bank Rate in respect of Japanese Yen in effect on the last Business Day in such period, and</w:t>
      </w:r>
    </w:p>
    <w:p>
      <w:pPr>
        <w:spacing w:after="0" w:line="78" w:lineRule="exact"/>
        <w:rPr>
          <w:rFonts w:ascii="Arial" w:cs="Arial" w:eastAsia="Arial" w:hAnsi="Arial"/>
          <w:sz w:val="18"/>
          <w:szCs w:val="18"/>
          <w:color w:val="auto"/>
        </w:rPr>
      </w:pPr>
    </w:p>
    <w:p>
      <w:pPr>
        <w:ind w:left="440" w:right="680" w:firstLine="419"/>
        <w:spacing w:after="0" w:line="277" w:lineRule="auto"/>
        <w:tabs>
          <w:tab w:leader="none" w:pos="1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Foreign Currency determined after the Effective Date, an adjustment as determined by the Administrative Agent in its reasonable discretion.</w:t>
      </w:r>
    </w:p>
    <w:p>
      <w:pPr>
        <w:spacing w:after="0" w:line="62" w:lineRule="exact"/>
        <w:rPr>
          <w:sz w:val="20"/>
          <w:szCs w:val="20"/>
          <w:color w:val="auto"/>
        </w:rPr>
      </w:pPr>
    </w:p>
    <w:p>
      <w:pPr>
        <w:ind w:left="440" w:right="160" w:firstLine="423"/>
        <w:spacing w:after="0" w:line="259" w:lineRule="auto"/>
        <w:rPr>
          <w:sz w:val="20"/>
          <w:szCs w:val="20"/>
          <w:color w:val="auto"/>
        </w:rPr>
      </w:pPr>
      <w:r>
        <w:rPr>
          <w:rFonts w:ascii="Arial" w:cs="Arial" w:eastAsia="Arial" w:hAnsi="Arial"/>
          <w:sz w:val="18"/>
          <w:szCs w:val="18"/>
          <w:color w:val="auto"/>
        </w:rPr>
        <w:t>For purposes of this definition, (x) the term Central Bank Rate shall be determined disregarding clause (i)(B) of the definition of such term and (y) each of the EURIBO Rate and the TIBO Rate on any day shall be based on the EURIBO Screen Rate or the TIBO Screen Rate, as applicable, on such day at approximately the time referred to in the definition of such term for deposits in the applicable Agreed Currency for a maturity of one month.</w:t>
      </w:r>
    </w:p>
    <w:p>
      <w:pPr>
        <w:spacing w:after="0" w:line="187"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w:t>
      </w:r>
      <w:r>
        <w:rPr>
          <w:rFonts w:ascii="Arial" w:cs="Arial" w:eastAsia="Arial" w:hAnsi="Arial"/>
          <w:sz w:val="18"/>
          <w:szCs w:val="18"/>
          <w:color w:val="auto"/>
        </w:rPr>
        <w:t>” means each of ING Bank N.V., Dublin Branch, Société Générale, UniCredit Bank AG, New York Branch and U.S. Bank National Association in its capacity as co-documentation agent for the credit facility evidenced by this Agreement.</w:t>
      </w:r>
    </w:p>
    <w:p>
      <w:pPr>
        <w:spacing w:after="0" w:line="170"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amount set forth on </w:t>
      </w:r>
      <w:r>
        <w:rPr>
          <w:rFonts w:ascii="Arial" w:cs="Arial" w:eastAsia="Arial" w:hAnsi="Arial"/>
          <w:sz w:val="17"/>
          <w:szCs w:val="17"/>
          <w:u w:val="single" w:color="auto"/>
          <w:color w:val="auto"/>
        </w:rPr>
        <w:t>Schedule 2.01A</w:t>
      </w:r>
      <w:r>
        <w:rPr>
          <w:rFonts w:ascii="Arial" w:cs="Arial" w:eastAsia="Arial" w:hAnsi="Arial"/>
          <w:sz w:val="17"/>
          <w:szCs w:val="17"/>
          <w:color w:val="auto"/>
        </w:rPr>
        <w:t xml:space="preserve"> opposite such Lender’s name under the heading “Commitment”, or in the Assignment and Assumption or other documentation or record (as such term is defined in Section 9-102(a)(70) of the New York Uniform Commercial Code) contemplated hereby pursuant to which such Lender shall have assumed its Commitment, as applicable, and giving effect to (a) any reduction in such amount from time to time pursuant to Section 2.09, (b) any increase from time to time pursuant to Section 2.20 and (c) any reduction or increase in such amount from time to time pursuant to assignments by or to such Lender pursuant to Section 9.04;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 Revolving Credit Exposure of any Lender exceed its Commitment.</w:t>
      </w:r>
    </w:p>
    <w:p>
      <w:pPr>
        <w:spacing w:after="0" w:line="178" w:lineRule="exact"/>
        <w:rPr>
          <w:sz w:val="20"/>
          <w:szCs w:val="20"/>
          <w:color w:val="auto"/>
        </w:rPr>
      </w:pPr>
    </w:p>
    <w:p>
      <w:pPr>
        <w:jc w:val="both"/>
        <w:ind w:right="1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Bank by means of electronic communications pursuant to Section 8.03, including through an Approved Electronic Platform.</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Debt</w:t>
      </w:r>
      <w:r>
        <w:rPr>
          <w:rFonts w:ascii="Arial" w:cs="Arial" w:eastAsia="Arial" w:hAnsi="Arial"/>
          <w:sz w:val="16"/>
          <w:szCs w:val="16"/>
          <w:color w:val="auto"/>
        </w:rPr>
        <w:t xml:space="preserve">” means the computation of (a) all Debt of the Borrower and its Consolidated Subsidiaries that, in accordance with GAAP, would be classified as indebtedness on a Consolidated balance sheet of the Borrower,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without duplication, the aggregate outstanding investment or claims held at any time by purchasers, assignees or other transferees of (or of interests in) Receivables under Receivables Purchase Agreements (other than in respect of such transactions that constitute a “true sale” in accordance with FASB ASC 860 under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cash and cash equivalents (as presented on the face of the Borrower’s quarterly and audited fiscal year balance sheets) in excess of $400,000,000.</w:t>
      </w:r>
    </w:p>
    <w:p>
      <w:pPr>
        <w:spacing w:after="0" w:line="161"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the sum of the amounts for such period of (i) Consolidated Operating Profit of the Borrower and its Consolidated Subsidiaries for such period, determined in accordance with GAAP,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sum of the following amounts for such period, in each case to the extent the same shall have been deducted in the calculation of such Consolidated Operating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 w:name="page20"/>
    <w:bookmarkEnd w:id="19"/>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Profit for such period: (A) amortization, (B) depreciation, (C) non-cash restructuring or impairment charges reported by the Borrower in respect of, or otherwise allocated to, such period, and (D) cash restructuring charges in an amount not to exceed $25,000,000 in any calendar year,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to the extent the same shall have been included in the calculation of Consolidated Operating Profit for such period, any extraordinary, or unusual and non-recurring gains (or plus any extraordinary, or unusual and non-recurring, losses) calculated pursuant to GAAP for such period.</w:t>
      </w:r>
    </w:p>
    <w:p>
      <w:pPr>
        <w:spacing w:after="0" w:line="15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for any period, the excess of (a) total interest expense, whether paid or accrued (including without limitation interest expense under Capital Lease Obligations that is treated as interest in accordance with GAAP)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the non-service cost component of net periodic pension and post-retirement benefit cost, interest paid in property other than cash or any other interest expense not payable in cash over (b) total interest income, in each case as determined in conformity with GAAP.</w:t>
      </w:r>
    </w:p>
    <w:p>
      <w:pPr>
        <w:spacing w:after="0" w:line="178"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Earnings</w:t>
      </w:r>
      <w:r>
        <w:rPr>
          <w:rFonts w:ascii="Arial" w:cs="Arial" w:eastAsia="Arial" w:hAnsi="Arial"/>
          <w:sz w:val="17"/>
          <w:szCs w:val="17"/>
          <w:color w:val="auto"/>
        </w:rPr>
        <w:t>” means, for any period, all amounts which would be included under net earnings (or losses) on a consolidated income statement of the Borrower and its Consolidated Subsidiaries for such period, all as determined in accordance with GAAP.</w:t>
      </w:r>
    </w:p>
    <w:p>
      <w:pPr>
        <w:spacing w:after="0" w:line="146"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Operating Profit</w:t>
      </w:r>
      <w:r>
        <w:rPr>
          <w:rFonts w:ascii="Arial" w:cs="Arial" w:eastAsia="Arial" w:hAnsi="Arial"/>
          <w:sz w:val="18"/>
          <w:szCs w:val="18"/>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Rental Expense</w:t>
      </w:r>
      <w:r>
        <w:rPr>
          <w:rFonts w:ascii="Arial" w:cs="Arial" w:eastAsia="Arial" w:hAnsi="Arial"/>
          <w:sz w:val="18"/>
          <w:szCs w:val="18"/>
          <w:color w:val="auto"/>
        </w:rPr>
        <w:t>” means, for any period, total rental expense, whether paid or accrued, of the Borrower and its Consolidated Subsidiaries on a Consolidated basis, all as determined in conformity with GAAP.</w:t>
      </w:r>
    </w:p>
    <w:p>
      <w:pPr>
        <w:spacing w:after="0" w:line="170" w:lineRule="exact"/>
        <w:rPr>
          <w:sz w:val="20"/>
          <w:szCs w:val="20"/>
          <w:color w:val="auto"/>
        </w:rPr>
      </w:pPr>
    </w:p>
    <w:p>
      <w:pPr>
        <w:ind w:right="7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Subsidiary</w:t>
      </w:r>
      <w:r>
        <w:rPr>
          <w:rFonts w:ascii="Arial" w:cs="Arial" w:eastAsia="Arial" w:hAnsi="Arial"/>
          <w:sz w:val="17"/>
          <w:szCs w:val="17"/>
          <w:color w:val="auto"/>
        </w:rPr>
        <w:t>” means, at any date with respect to any Person, any Subsidiary thereof the accounts of which would be consolidated with those of such Person in its consolidated financial statements at such date in accordance with GAAP.</w:t>
      </w:r>
    </w:p>
    <w:p>
      <w:pPr>
        <w:spacing w:after="0" w:line="146"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with respect to any Person at any time of determination, total assets of such Person and its Consolidated Subsidiaries as set forth on the balance sheets most recently delivered to the Lenders pursuant to Section 5.09, excluding all Intangible Assets of such Person and its Consolidated Subsidiaries.</w:t>
      </w:r>
    </w:p>
    <w:p>
      <w:pPr>
        <w:spacing w:after="0" w:line="184" w:lineRule="exact"/>
        <w:rPr>
          <w:sz w:val="20"/>
          <w:szCs w:val="20"/>
          <w:color w:val="auto"/>
        </w:rPr>
      </w:pPr>
    </w:p>
    <w:p>
      <w:pPr>
        <w:ind w:right="5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means each of BNP Pairbas and Citibank, N.A. in its capacity as syndication agent for the credit facility evidenced by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5420" w:right="2360" w:hanging="4561"/>
        <w:spacing w:after="0" w:line="449" w:lineRule="auto"/>
        <w:tabs>
          <w:tab w:leader="none" w:pos="1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12</w:t>
      </w:r>
    </w:p>
    <w:p>
      <w:pPr>
        <w:sectPr>
          <w:pgSz w:w="11900" w:h="16838" w:orient="portrait"/>
          <w:cols w:equalWidth="0" w:num="1">
            <w:col w:w="10980"/>
          </w:cols>
          <w:pgMar w:left="440" w:top="274" w:right="479" w:bottom="1440" w:gutter="0" w:footer="0" w:header="0"/>
        </w:sectPr>
      </w:pPr>
    </w:p>
    <w:bookmarkStart w:id="20" w:name="page21"/>
    <w:bookmarkEnd w:id="20"/>
    <w:p>
      <w:pPr>
        <w:ind w:left="1264" w:hanging="401"/>
        <w:spacing w:after="0"/>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304" w:hanging="441"/>
        <w:spacing w:after="0"/>
        <w:tabs>
          <w:tab w:leader="none" w:pos="13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it in Section 9.17.</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Event</w:t>
      </w:r>
      <w:r>
        <w:rPr>
          <w:rFonts w:ascii="Arial" w:cs="Arial" w:eastAsia="Arial" w:hAnsi="Arial"/>
          <w:sz w:val="17"/>
          <w:szCs w:val="17"/>
          <w:color w:val="auto"/>
        </w:rPr>
        <w:t>” means a Borrowing, the issuance, amendment or extension of a Letter of Credit, an LC Disbursement or any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foregoing.</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each Issuing Bank, the Swingline Lender or any other Lender.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an interest rate per annum equal to, for any RFR Loan denominated in</w:t>
      </w:r>
    </w:p>
    <w:p>
      <w:pPr>
        <w:spacing w:after="0" w:line="46" w:lineRule="exact"/>
        <w:rPr>
          <w:sz w:val="20"/>
          <w:szCs w:val="20"/>
          <w:color w:val="auto"/>
        </w:rPr>
      </w:pPr>
    </w:p>
    <w:p>
      <w:pPr>
        <w:ind w:left="4" w:right="340" w:hanging="4"/>
        <w:spacing w:after="0" w:line="281" w:lineRule="auto"/>
        <w:tabs>
          <w:tab w:leader="none" w:pos="219"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Pounds Sterling, SONIA for the day that is five (5) RFR Business Days prior to (A) if such RFR Interest Day is an RFR Business Day, such RFR Interest Day or (B) if such RFR Interest Day is not an RFR Business Day, the RFR Business Day immediately preceding such RFR Interest Day,</w:t>
      </w:r>
    </w:p>
    <w:p>
      <w:pPr>
        <w:spacing w:after="0" w:line="1" w:lineRule="exact"/>
        <w:rPr>
          <w:rFonts w:ascii="Arial" w:cs="Arial" w:eastAsia="Arial" w:hAnsi="Arial"/>
          <w:sz w:val="16"/>
          <w:szCs w:val="16"/>
          <w:color w:val="auto"/>
        </w:rPr>
      </w:pPr>
    </w:p>
    <w:p>
      <w:pPr>
        <w:ind w:left="4" w:right="280" w:hanging="4"/>
        <w:spacing w:after="0" w:line="281" w:lineRule="auto"/>
        <w:tabs>
          <w:tab w:leader="none" w:pos="2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Swiss Francs, SARON for the day that is five (5) RFR Business Days prior to (A) if such RFR Interest Day is an RFR Business Day, such RFR Interest Day or (B) if such RFR Interest Day is not an RFR Business Day, the RFR Business Day immediately preceding such RFR Interest Day,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Dollars, Daily Simple SOFR.</w:t>
      </w:r>
    </w:p>
    <w:p>
      <w:pPr>
        <w:spacing w:after="0" w:line="211"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 (a “</w:t>
      </w:r>
      <w:r>
        <w:rPr>
          <w:rFonts w:ascii="Arial" w:cs="Arial" w:eastAsia="Arial" w:hAnsi="Arial"/>
          <w:sz w:val="18"/>
          <w:szCs w:val="18"/>
          <w:u w:val="single" w:color="auto"/>
          <w:color w:val="auto"/>
        </w:rPr>
        <w:t>SOFR Rate Day</w:t>
      </w:r>
      <w:r>
        <w:rPr>
          <w:rFonts w:ascii="Arial" w:cs="Arial" w:eastAsia="Arial" w:hAnsi="Arial"/>
          <w:sz w:val="18"/>
          <w:szCs w:val="18"/>
          <w:color w:val="auto"/>
        </w:rPr>
        <w:t>”),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8"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(except for the purposes of Section 7.01(e), other than trade letters of credit, performance bonds (including, without limitation, bonds posted pursuant to governmental rules and regulations) or similar obligations of such parties) or similar extensions of credit, (g) all obligations of such Person in respect of Hedge Agreements, (h) all Debt of others referred to in clauses (a) through (g) above or clause</w:t>
      </w:r>
    </w:p>
    <w:p>
      <w:pPr>
        <w:spacing w:after="0" w:line="6" w:lineRule="exact"/>
        <w:rPr>
          <w:sz w:val="20"/>
          <w:szCs w:val="20"/>
          <w:color w:val="auto"/>
        </w:rPr>
      </w:pPr>
    </w:p>
    <w:p>
      <w:pPr>
        <w:ind w:left="4" w:right="100" w:hanging="4"/>
        <w:spacing w:after="0" w:line="252" w:lineRule="auto"/>
        <w:tabs>
          <w:tab w:leader="none" w:pos="2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below and other payment obligations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1" w:name="page22"/>
    <w:bookmarkEnd w:id="21"/>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4"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ind w:left="4" w:hanging="4"/>
        <w:spacing w:after="0" w:line="281" w:lineRule="auto"/>
        <w:tabs>
          <w:tab w:leader="none" w:pos="21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w:t>
      </w:r>
    </w:p>
    <w:p>
      <w:pPr>
        <w:spacing w:after="0" w:line="4" w:lineRule="exact"/>
        <w:rPr>
          <w:rFonts w:ascii="Arial" w:cs="Arial" w:eastAsia="Arial" w:hAnsi="Arial"/>
          <w:sz w:val="16"/>
          <w:szCs w:val="16"/>
          <w:color w:val="auto"/>
        </w:rPr>
      </w:pPr>
    </w:p>
    <w:p>
      <w:pPr>
        <w:ind w:left="4" w:right="40" w:hanging="4"/>
        <w:spacing w:after="0" w:line="271" w:lineRule="auto"/>
        <w:tabs>
          <w:tab w:leader="none" w:pos="2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78"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Amount</w:t>
      </w:r>
      <w:r>
        <w:rPr>
          <w:rFonts w:ascii="Arial" w:cs="Arial" w:eastAsia="Arial" w:hAnsi="Arial"/>
          <w:sz w:val="17"/>
          <w:szCs w:val="17"/>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has the meaning assigned to such term in Section 3.10.</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2" w:name="page23"/>
    <w:bookmarkEnd w:id="22"/>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9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 Section 9.02).</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76"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49" w:lineRule="exact"/>
        <w:rPr>
          <w:sz w:val="20"/>
          <w:szCs w:val="20"/>
          <w:color w:val="auto"/>
        </w:rPr>
      </w:pPr>
    </w:p>
    <w:p>
      <w:pPr>
        <w:ind w:right="9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permit, approval, identification number, license or other authorization required under any Environmental Law.</w:t>
      </w:r>
    </w:p>
    <w:p>
      <w:pPr>
        <w:spacing w:after="0" w:line="170" w:lineRule="exact"/>
        <w:rPr>
          <w:sz w:val="20"/>
          <w:szCs w:val="20"/>
          <w:color w:val="auto"/>
        </w:rPr>
      </w:pPr>
    </w:p>
    <w:p>
      <w:pPr>
        <w:ind w:right="2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 w:name="page24"/>
    <w:bookmarkEnd w:id="23"/>
    <w:p>
      <w:pPr>
        <w:ind w:left="4"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70"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Borrower’s controlled group, or under common control with the Borrower, within the meaning of Section 414 of the Internal Revenue Code.</w:t>
      </w:r>
    </w:p>
    <w:p>
      <w:pPr>
        <w:spacing w:after="0" w:line="170"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w:t>
      </w:r>
    </w:p>
    <w:p>
      <w:pPr>
        <w:ind w:left="4" w:right="280"/>
        <w:spacing w:after="0" w:line="281" w:lineRule="auto"/>
        <w:rPr>
          <w:sz w:val="20"/>
          <w:szCs w:val="20"/>
          <w:color w:val="auto"/>
        </w:rPr>
      </w:pPr>
      <w:r>
        <w:rPr>
          <w:rFonts w:ascii="Arial" w:cs="Arial" w:eastAsia="Arial" w:hAnsi="Arial"/>
          <w:sz w:val="16"/>
          <w:szCs w:val="16"/>
          <w:color w:val="auto"/>
        </w:rPr>
        <w:t>Section 4001(a)(13) of ERISA, of a Plan, and an event described in paragraph (9), (10), (11), (12) or (13) of Section 4043(c) of ERISA is reasonably expected to occur with respect to such Plan within the following 30 days; (b) the application for a minimum funding waiver with respect to a Plan;</w:t>
      </w:r>
    </w:p>
    <w:p>
      <w:pPr>
        <w:spacing w:after="0" w:line="1" w:lineRule="exact"/>
        <w:rPr>
          <w:sz w:val="20"/>
          <w:szCs w:val="20"/>
          <w:color w:val="auto"/>
        </w:rPr>
      </w:pPr>
    </w:p>
    <w:p>
      <w:pPr>
        <w:ind w:left="4" w:hanging="4"/>
        <w:spacing w:after="0" w:line="268" w:lineRule="auto"/>
        <w:tabs>
          <w:tab w:leader="none" w:pos="2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8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Amendment</w:t>
      </w:r>
      <w:r>
        <w:rPr>
          <w:rFonts w:ascii="Arial" w:cs="Arial" w:eastAsia="Arial" w:hAnsi="Arial"/>
          <w:sz w:val="18"/>
          <w:szCs w:val="18"/>
          <w:color w:val="auto"/>
        </w:rPr>
        <w:t>” has the meaning assigned to it in Section 2.24(a).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Pricing Provisions</w:t>
      </w:r>
      <w:r>
        <w:rPr>
          <w:rFonts w:ascii="Arial" w:cs="Arial" w:eastAsia="Arial" w:hAnsi="Arial"/>
          <w:sz w:val="18"/>
          <w:szCs w:val="18"/>
          <w:color w:val="auto"/>
        </w:rPr>
        <w:t>” has the meaning assigned to it in Section 2.24(b).</w:t>
      </w:r>
    </w:p>
    <w:p>
      <w:pPr>
        <w:spacing w:after="0" w:line="225" w:lineRule="exact"/>
        <w:rPr>
          <w:sz w:val="20"/>
          <w:szCs w:val="20"/>
          <w:color w:val="auto"/>
        </w:rPr>
      </w:pPr>
    </w:p>
    <w:p>
      <w:pPr>
        <w:ind w:left="4"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 Rate</w:t>
      </w:r>
      <w:r>
        <w:rPr>
          <w:rFonts w:ascii="Arial" w:cs="Arial" w:eastAsia="Arial" w:hAnsi="Arial"/>
          <w:sz w:val="18"/>
          <w:szCs w:val="18"/>
          <w:color w:val="auto"/>
        </w:rPr>
        <w:t>” means, with respect to any Term Benchmark Borrowing denominated in euro and for any Interest Period, the EURIBO Screen Rate, two (2) TARGET Days prior to the commencement of such Interest Period.</w:t>
      </w:r>
    </w:p>
    <w:p>
      <w:pPr>
        <w:spacing w:after="0" w:line="170"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 Screen Rate</w:t>
      </w:r>
      <w:r>
        <w:rPr>
          <w:rFonts w:ascii="Arial" w:cs="Arial" w:eastAsia="Arial" w:hAnsi="Arial"/>
          <w:sz w:val="17"/>
          <w:szCs w:val="17"/>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4" w:name="page25"/>
    <w:bookmarkEnd w:id="24"/>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 w:lineRule="exact"/>
        <w:rPr>
          <w:sz w:val="20"/>
          <w:szCs w:val="20"/>
          <w:color w:val="auto"/>
        </w:rPr>
      </w:pPr>
    </w:p>
    <w:p>
      <w:pPr>
        <w:ind w:left="4" w:right="180" w:hanging="4"/>
        <w:spacing w:after="0" w:line="269"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80"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Amended and Restated Five Year Credit Agreement dated as of June 18, 2018 by and among the Borrower, the lenders party thereto and Citibank, N.A., as administrative agent, as amended, restated, supplemented or otherwise modified prior to the Effective Date.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assigned to such term in Section 2.06(a).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2.23(b).</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left="4" w:right="2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0%, such rate shall be deemed to be 0% for the purposes of this Agreement.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4" w:right="8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Adjusted Term SOFR Rate, the Adjusted EURIBO Rate, the Adjusted TIBO Rate, the CDOR Rate, each Adjusted Daily Simple RFR or the Central Bank Rate, as applicable. For the avoidance of doubt, the initial Floor for each of the Adjusted Term SOFR Rate, the Adjusted EURIBO Rate, the Adjusted TIBO Rate, the CDOR Rate, each Adjusted Daily Simple RFR or the Central Bank Rate shall be 0%.</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Payment Office</w:t>
      </w:r>
      <w:r>
        <w:rPr>
          <w:rFonts w:ascii="Arial" w:cs="Arial" w:eastAsia="Arial" w:hAnsi="Arial"/>
          <w:sz w:val="18"/>
          <w:szCs w:val="18"/>
          <w:color w:val="auto"/>
        </w:rPr>
        <w:t>” of the Administrative Agent shall mean, for each Foreign Currency, the office, branch, affiliate or correspondent bank of the Administrative Agent for such currency as specified from time to time by the Administrative Agent to the Borrower and each Lender.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Person, a Lender that is resident or organized under the laws of a jurisdiction other than that in which the Borrower is resident for tax purposes.</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has the meaning assigned to such term in Section 3.10.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84"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means interest rate swap, cap or collar agreements, interest rate future or option contracts, currency swap agreements, currency future or option contracts and other similar agreements.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the Borrower under any Loan Document and (b) to the extent not otherwise described in clause (a) hereof, Other Taxes.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9.03(c).</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w:t>
      </w:r>
      <w:r>
        <w:rPr>
          <w:rFonts w:ascii="Arial" w:cs="Arial" w:eastAsia="Arial" w:hAnsi="Arial"/>
          <w:sz w:val="18"/>
          <w:szCs w:val="18"/>
          <w:color w:val="auto"/>
        </w:rPr>
        <w:t>” means senior, unsecured, long-term indebtedness for borrowed money of the Borrower that is not guaranteed by any other Person or subject to any other credit enhancement.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6" w:name="page27"/>
    <w:bookmarkEnd w:id="2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w:t>
      </w:r>
    </w:p>
    <w:p>
      <w:pPr>
        <w:spacing w:after="0" w:line="225"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with respect to any Person at any time of determination, (i) goodwill, organizational expenses, research and development expenses, trademarks, tradenames, copyrights, patents, patent applications, licenses and rights in any thereof, (ii) all reserves carried and not deducted from assets, (iii) treasury stock, (iv) securities which are not readily marketable, (v) cash held in a sinking or other analogous fund for the purpose of redemption, retirement or prepayment of capital stock or indebtedness, (vi) any write-up in the book value of any asset resulting from a reevaluation thereof subsequent to December 31, 2017, and (vii) any items not included in items (i)-(vi) above which are treated as intangibles in accordance with GAAP.</w:t>
      </w:r>
    </w:p>
    <w:p>
      <w:pPr>
        <w:spacing w:after="0" w:line="192"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Section 2.08, which shall be substantially in the form attached hereto as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(other than a Swingline Loan),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with respect to any Swingline Loan, the day that such Loan is required to be repaid and the Maturity Date.</w:t>
      </w:r>
    </w:p>
    <w:p>
      <w:pPr>
        <w:spacing w:after="0" w:line="166"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Term Benchmark Borrowing, the period commencing on the date of such Borrowing and ending on the numerically corresponding day in the calendar month that is one, three or, other than with respect to a CDOR Rate Borrowing, six months thereafter (in each case, subject to the availability for the Benchmark applicable to the relevant Loan or Commitment for any Agreed Currency),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JPMorgan Chase Bank, N.A., BNP Paribas, Citibank, N.A. and any other Lender that agrees to act as an Issuing Bank (in each case, through itself or through one of its designated affiliates or branch offices), each in its capacity as the issuer of Letters of Credit hereunder, and its successors in such capacity as provided in Section 2.06(i). Any Issuing Bank may, in its discretion, arrange for one or more Letters of Credit to be issued by Affiliates of such Issuing Bank, in which case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7" w:name="page28"/>
    <w:bookmarkEnd w:id="27"/>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Japan.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xml:space="preserve">” means, at any time, the sum of (a) the aggregate undrawn Dollar Amount of all outstanding Letters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Dollar Amount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Notice Date</w:t>
      </w:r>
      <w:r>
        <w:rPr>
          <w:rFonts w:ascii="Arial" w:cs="Arial" w:eastAsia="Arial" w:hAnsi="Arial"/>
          <w:sz w:val="18"/>
          <w:szCs w:val="18"/>
          <w:color w:val="auto"/>
        </w:rPr>
        <w:t>” has the meaning assigned to such term in Section 2.23(b).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jc w:val="both"/>
        <w:ind w:right="3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and any other Person that shall have become a Lender hereunder pursuant to Section 2.20 or pursuant to an Assignment and Assumption or otherwise, other than any such Person that ceases to be a party hereto pursuant to an Assignment and Assumption or otherwise. Unless the context otherwise requires, the term “Lenders” includes the Swingline Lender and the Issuing Banks.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such term in Section 2.06(b).</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Base Commitment</w:t>
      </w:r>
      <w:r>
        <w:rPr>
          <w:rFonts w:ascii="Arial" w:cs="Arial" w:eastAsia="Arial" w:hAnsi="Arial"/>
          <w:sz w:val="18"/>
          <w:szCs w:val="18"/>
          <w:color w:val="auto"/>
        </w:rPr>
        <w:t xml:space="preserve">” means, with respect to each Issuing Bank, the commitment of such Issuing Bank to issue Letters of Credit hereunder. The initial amount of each Issuing Bank’s Letter of Credit Base Commitment is set forth on </w:t>
      </w:r>
      <w:r>
        <w:rPr>
          <w:rFonts w:ascii="Arial" w:cs="Arial" w:eastAsia="Arial" w:hAnsi="Arial"/>
          <w:sz w:val="18"/>
          <w:szCs w:val="18"/>
          <w:u w:val="single" w:color="auto"/>
          <w:color w:val="auto"/>
        </w:rPr>
        <w:t>Schedule 2.01B</w:t>
      </w:r>
      <w:r>
        <w:rPr>
          <w:rFonts w:ascii="Arial" w:cs="Arial" w:eastAsia="Arial" w:hAnsi="Arial"/>
          <w:sz w:val="18"/>
          <w:szCs w:val="18"/>
          <w:color w:val="auto"/>
        </w:rPr>
        <w:t>, or if an Issuing Bank has entered into an Assignment and Assumption or has otherwise assumed a Letter of Credit Base Commitment after the Effective Date, the amount set forth for such Issuing Bank as its Letter of Credit Base Commitment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8" w:name="page29"/>
    <w:bookmarkEnd w:id="28"/>
    <w:p>
      <w:pPr>
        <w:ind w:left="4"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Register maintained by the Administrative Agent. The Letter of Credit Base Commitment of an Issuing Bank may be modified from time to time by agreement between such Issuing Bank and the Borrower, and notified to the Administrative Agent.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has the meaning assigned to such term in Section 6.08(a).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ind w:left="4"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lien, security interest or other similar charge or encumbrance, including, without limitation, the lien or retained security title of a conditional vendor.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(including schedules and exhibits hereto), any promissory notes issued pursuant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2.10(e), any Letter of Credit applications, any Letter of Credit Agreement, and all other agreements, instruments, documents and certificates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identified in Section 4.01 executed and delivered to, or in favor of, the Administrative Agent or any Lenders and including all other pledges, powers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attorney, consents, assignments, contracts, notices, letter of credit agreements and all other written matter whether heretofore, now or hereafter executed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by or on behalf of the Borrower, or any employee of the Borrower, and delivered to the Administrative Agent or any Lender in connection with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or the transactions contemplated hereby. Any reference in this Agreement or any other Loan Document to a Loan Document shall include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appendices, exhibits or schedules thereto, and all amendments, restatements, supplements or other modifications thereto, and shall refer to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or such Loan Document as the same may be in effect at any and all times such reference becomes operative.</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w:t>
      </w:r>
    </w:p>
    <w:p>
      <w:pPr>
        <w:ind w:left="4" w:right="60" w:hanging="4"/>
        <w:spacing w:after="0" w:line="255"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London, England time with respect to any Foreign Currency (other than euro and Canadian Dollars), (b) Brussels, Belgium time with respect to euro and (c) Toronto, Canada time with respect to Canadian Dollars, in each case of the foregoing clauses (a), (b) and (c) unless otherwise notified by the Administrative Agent).</w:t>
      </w:r>
    </w:p>
    <w:p>
      <w:pPr>
        <w:spacing w:after="0" w:line="190"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event, development or circumstance that has had or could reasonably be expected to have a Material Adverse Effect.</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operations or financial condition of the Borrower and its Subsidiaries taken as a whole, (b) the ability of the Borrower to perform any of its obligations under this Agreement or any other Loan Document or (c) the validity or enforceability of this Agreement or any and all other Loan Documents or the rights or remedies of the Administrative Agent and the Lenders thereunder.</w:t>
      </w:r>
    </w:p>
    <w:p>
      <w:pPr>
        <w:spacing w:after="0" w:line="187" w:lineRule="exact"/>
        <w:rPr>
          <w:sz w:val="20"/>
          <w:szCs w:val="20"/>
          <w:color w:val="auto"/>
        </w:rPr>
      </w:pPr>
    </w:p>
    <w:p>
      <w:pPr>
        <w:ind w:left="4" w:right="5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187" w:lineRule="exact"/>
        <w:rPr>
          <w:sz w:val="20"/>
          <w:szCs w:val="20"/>
          <w:color w:val="auto"/>
        </w:rPr>
      </w:pPr>
    </w:p>
    <w:p>
      <w:pPr>
        <w:jc w:val="both"/>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with respect to any Lender, the later of (i) May 27, 2027 and (ii) if the Maturity Date is extended for such Lender pursuant to Section 2.23, such extended Maturity Date as determined pursuant to such Section 2.23;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if such date is not a Business Day, the Maturity Date shall be the next preceding Business Day.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means a promissory note of the Borrower payable to any Lender, delivered pursuant to a request made under Section 2.10(e).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0%, such rate shall be deemed to be 0% for purposes of this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of the Issuing Banks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7"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adopted the euro as its lawful currency in accordance with legislation of the European Union relating to economic and monetary union.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of 2001.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such term in Section 8.06(c).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such term in Section 8.06(c).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such of the following as to which no enforcement, collection, execution, levy or foreclosure proceeding shall have been commenced:</w:t>
      </w:r>
    </w:p>
    <w:p>
      <w:pPr>
        <w:spacing w:after="0" w:line="170" w:lineRule="exact"/>
        <w:rPr>
          <w:sz w:val="20"/>
          <w:szCs w:val="20"/>
          <w:color w:val="auto"/>
        </w:rPr>
      </w:pPr>
    </w:p>
    <w:p>
      <w:pPr>
        <w:ind w:left="5420" w:right="560" w:hanging="4433"/>
        <w:spacing w:after="0" w:line="449" w:lineRule="auto"/>
        <w:tabs>
          <w:tab w:leader="none" w:pos="12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for taxes, assessments and governmental charges or levies to the extent not required to be paid under Section 5.02 hereof; 23</w:t>
      </w:r>
    </w:p>
    <w:p>
      <w:pPr>
        <w:sectPr>
          <w:pgSz w:w="11900" w:h="16838" w:orient="portrait"/>
          <w:cols w:equalWidth="0" w:num="1">
            <w:col w:w="10980"/>
          </w:cols>
          <w:pgMar w:left="440" w:top="274" w:right="479" w:bottom="1440" w:gutter="0" w:footer="0" w:header="0"/>
        </w:sectPr>
      </w:pPr>
    </w:p>
    <w:bookmarkStart w:id="31" w:name="page32"/>
    <w:bookmarkEnd w:id="31"/>
    <w:p>
      <w:pPr>
        <w:jc w:val="both"/>
        <w:ind w:left="4" w:right="100" w:firstLine="987"/>
        <w:spacing w:after="0" w:line="263"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w:t>
      </w:r>
    </w:p>
    <w:p>
      <w:pPr>
        <w:spacing w:after="0" w:line="183" w:lineRule="exact"/>
        <w:rPr>
          <w:rFonts w:ascii="Arial" w:cs="Arial" w:eastAsia="Arial" w:hAnsi="Arial"/>
          <w:sz w:val="18"/>
          <w:szCs w:val="18"/>
          <w:color w:val="auto"/>
        </w:rPr>
      </w:pPr>
    </w:p>
    <w:p>
      <w:pPr>
        <w:ind w:left="4" w:right="200" w:firstLine="987"/>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w:t>
      </w:r>
    </w:p>
    <w:p>
      <w:pPr>
        <w:spacing w:after="0" w:line="183" w:lineRule="exact"/>
        <w:rPr>
          <w:rFonts w:ascii="Arial" w:cs="Arial" w:eastAsia="Arial" w:hAnsi="Arial"/>
          <w:sz w:val="18"/>
          <w:szCs w:val="18"/>
          <w:color w:val="auto"/>
        </w:rPr>
      </w:pPr>
    </w:p>
    <w:p>
      <w:pPr>
        <w:ind w:left="4" w:right="240" w:firstLine="987"/>
        <w:spacing w:after="0" w:line="277"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render title to the property encumbered thereby unmarketable or materially adversely affect the use of such property for its present purposes.</w:t>
      </w:r>
    </w:p>
    <w:p>
      <w:pPr>
        <w:spacing w:after="0" w:line="170"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77" w:lineRule="auto"/>
        <w:tabs>
          <w:tab w:leader="none" w:pos="4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ind w:left="4"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claim, litigation, investigation, action, suit, arbitration or administrative, judicial or regulatory action or proceeding in any jurisdiction.</w:t>
      </w:r>
    </w:p>
    <w:p>
      <w:pPr>
        <w:spacing w:after="0" w:line="170"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 w:right="1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it in Section 9.17.</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has the meaning assigned to it in Section 6.04.</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Agreement</w:t>
      </w:r>
      <w:r>
        <w:rPr>
          <w:rFonts w:ascii="Arial" w:cs="Arial" w:eastAsia="Arial" w:hAnsi="Arial"/>
          <w:sz w:val="18"/>
          <w:szCs w:val="18"/>
          <w:color w:val="auto"/>
        </w:rPr>
        <w:t>” has the meaning assigned to it in Section 6.04.</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(i) if such Benchmark is the Term SOFR Rate, 5:00 a.m., Chicago time, on the day that is two (2) Business Days preceding the date of such setting, (ii) if such Benchmark is the EURIBO Rate, 11:00 a.m., Brussels time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4" w:right="439" w:bottom="1440" w:gutter="0" w:footer="0" w:header="0"/>
        </w:sectPr>
      </w:pPr>
    </w:p>
    <w:bookmarkStart w:id="32" w:name="page33"/>
    <w:bookmarkEnd w:id="32"/>
    <w:p>
      <w:pPr>
        <w:ind w:left="4" w:right="2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two (2) TARGET Days preceding the date of such setting, (iii) if such Benchmark is the TIBO Rate, 11:00 a.m. Japan time two (2) Business Days preceding the date of such setting, (iv) if the RFR for such Benchmark is SONIA, then four (4) Business Days prior to such setting, (v) if the RFR for such Benchmark is SARON, then five (5) Business Days prior to such setting, (vi) if the RFR for such Benchmark is Daily Simple SOFR, then four</w:t>
      </w:r>
    </w:p>
    <w:p>
      <w:pPr>
        <w:spacing w:after="0" w:line="2" w:lineRule="exact"/>
        <w:rPr>
          <w:sz w:val="20"/>
          <w:szCs w:val="20"/>
          <w:color w:val="auto"/>
        </w:rPr>
      </w:pPr>
    </w:p>
    <w:p>
      <w:pPr>
        <w:ind w:left="4" w:right="220" w:hanging="4"/>
        <w:spacing w:after="0" w:line="260"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Days prior to such setting or (vii) if such Benchmark is none of the Term SOFR Rate, Daily Simple SOFR, the EURIBO Rate, the TIBO Rate, SONIA or SARON, the time determined by the Administrative Agent in its reasonable discretion.</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Federal Reserve Board, as in effect from time to time and all official rulings and interpretations thereunder or thereof.</w:t>
      </w:r>
    </w:p>
    <w:p>
      <w:pPr>
        <w:spacing w:after="0" w:line="170"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Federal Reserve Board, the NYFRB and/or the CME Term SOFR Administrator, as applicable,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(v) with respect to a Benchmark Replacement in respect of Loans denominated in Japanese Yen, the Bank of Japan, or a committee officially endorsed or convened by the Bank of Japan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w:t>
      </w:r>
    </w:p>
    <w:p>
      <w:pPr>
        <w:spacing w:after="0" w:line="2" w:lineRule="exact"/>
        <w:rPr>
          <w:sz w:val="20"/>
          <w:szCs w:val="20"/>
          <w:color w:val="auto"/>
        </w:rPr>
      </w:pPr>
    </w:p>
    <w:p>
      <w:pPr>
        <w:ind w:left="304" w:hanging="304"/>
        <w:spacing w:after="0"/>
        <w:tabs>
          <w:tab w:leader="none" w:pos="3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Benchmark Replacement or (B) the administrator of such Benchmark Replacement, (3) a group of those central banks or other supervisors or</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(4) the Financial Stability Board or any part thereof.</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means (i) with respect to any Term Benchmark Borrowing denominated in Dollars, the Adjusted Term SOFR Rate,</w:t>
      </w:r>
    </w:p>
    <w:p>
      <w:pPr>
        <w:spacing w:after="0" w:line="35" w:lineRule="exact"/>
        <w:rPr>
          <w:sz w:val="20"/>
          <w:szCs w:val="20"/>
          <w:color w:val="auto"/>
        </w:rPr>
      </w:pPr>
    </w:p>
    <w:p>
      <w:pPr>
        <w:ind w:left="4" w:right="220" w:hanging="4"/>
        <w:spacing w:after="0" w:line="253"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any Term Benchmark Borrowing denominated in euro, the Adjusted EURIBO Rate, (iii) with respect to any Term Benchmark Borrowing denominated in Japanese Yen, the Adjusted TIBO Rate, (iv) with respect to any Term Benchmark Borrowing denominated in Canadian Dollars, the CDOR Rate or (v) with respect to any RFR Borrowing denominated in Pounds Sterling, Swiss Francs or Dollars, the applicable Adjusted Daily Simple RFR, as applicable.</w:t>
      </w:r>
    </w:p>
    <w:p>
      <w:pPr>
        <w:spacing w:after="0" w:line="193" w:lineRule="exact"/>
        <w:rPr>
          <w:sz w:val="20"/>
          <w:szCs w:val="20"/>
          <w:color w:val="auto"/>
        </w:rPr>
      </w:pPr>
    </w:p>
    <w:p>
      <w:pPr>
        <w:ind w:left="4" w:right="3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Screen Rate</w:t>
      </w:r>
      <w:r>
        <w:rPr>
          <w:rFonts w:ascii="Arial" w:cs="Arial" w:eastAsia="Arial" w:hAnsi="Arial"/>
          <w:sz w:val="18"/>
          <w:szCs w:val="18"/>
          <w:color w:val="auto"/>
        </w:rPr>
        <w:t>” means (i) with respect to any Term Benchmark Borrowing denominated in Dollars, the Term SOFR Reference Rate, (ii) with respect to any Term Benchmark Borrowing denominated in euro, the EURIBO Screen Rate, (iii) with respect to any Term Benchmark Borrowing denominated in Japanese Yen, the TIBO Screen Rate or (iv) with respect to any Term Benchmark Borrowing denominated in Canadian Dollars, the CDOR Screen Rate, as applicable.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3" w:name="page34"/>
    <w:bookmarkEnd w:id="33"/>
    <w:p>
      <w:pPr>
        <w:ind w:left="4" w:right="8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subject to Section 2.22, (a) at any time prior to the earlier of the Loans becoming due and payable pursuant to Section 7.02 or the Commitments terminating or expiring, Lenders having Revolving Credit Exposures and Unfunded Commitments representing more than 50% of the sum of the Total Revolving Credit Exposure and Unfunded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declaring the Loans to be due and payable pursuant to Section 7.02, the Unfunded Commitment of each Lender shall be deemed to be zero; and (b) for all purposes after the Loans become due and payable pursuant to Section 7.02 or the Commitments expire or terminate, Lenders having Revolving Credit Exposures representing more than 50% of the Total Revolving Credit Exposure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(a) and (b) above,</w:t>
      </w:r>
    </w:p>
    <w:p>
      <w:pPr>
        <w:spacing w:after="0" w:line="4" w:lineRule="exact"/>
        <w:rPr>
          <w:sz w:val="20"/>
          <w:szCs w:val="20"/>
          <w:color w:val="auto"/>
        </w:rPr>
      </w:pPr>
    </w:p>
    <w:p>
      <w:pPr>
        <w:ind w:left="4" w:right="20" w:hanging="4"/>
        <w:spacing w:after="0" w:line="252"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Revolving Credit Exposure of any Lender that is the Swingline Lender shall be deemed to exclude any amount of its Swingline Exposure in excess of its Applicable Percentage of all outstanding Swingline Loans, adjusted to give effect to any reallocation under Section 2.22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Borrower or an Affiliate of the Borrower shall be disregarded.</w:t>
      </w:r>
    </w:p>
    <w:p>
      <w:pPr>
        <w:spacing w:after="0" w:line="19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president, a Financial Officer or other executive officer of the Borrower.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w:t>
      </w:r>
      <w:r>
        <w:rPr>
          <w:rFonts w:ascii="Arial" w:cs="Arial" w:eastAsia="Arial" w:hAnsi="Arial"/>
          <w:sz w:val="18"/>
          <w:szCs w:val="18"/>
          <w:color w:val="auto"/>
        </w:rPr>
        <w:t>” means, as applicable, Thomson Reuters Corp., Refinitiv, or any successor thereto.</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its LC Exposure and its Swingline Exposure at such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RFR</w:t>
      </w:r>
      <w:r>
        <w:rPr>
          <w:rFonts w:ascii="Arial" w:cs="Arial" w:eastAsia="Arial" w:hAnsi="Arial"/>
          <w:sz w:val="16"/>
          <w:szCs w:val="16"/>
          <w:color w:val="auto"/>
        </w:rPr>
        <w:t>” means, for any RFR Loan denominated in (a) Pounds Sterling, SONIA, (b) Swiss Francs, SARON and (c) Dollars, Daily Simple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SOFR.</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means, as to any Borrowing, the RFR Loans comprising such Borrowing.</w:t>
      </w:r>
    </w:p>
    <w:p>
      <w:pPr>
        <w:spacing w:after="0" w:line="225"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for any Loan denominated in (a) Pounds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Dollars, a U.S. Government Securities Business Day.</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specified in the definition of “Daily Simple RFR”.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the Adjusted Daily Simple RFR.</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4" w:name="page35"/>
    <w:bookmarkEnd w:id="3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Standard &amp; Poor’s Financial Services LLC business.</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57"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6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w:t>
      </w:r>
      <w:r>
        <w:rPr>
          <w:rFonts w:ascii="Arial" w:cs="Arial" w:eastAsia="Arial" w:hAnsi="Arial"/>
          <w:sz w:val="18"/>
          <w:szCs w:val="18"/>
          <w:color w:val="auto"/>
        </w:rPr>
        <w:t>” means, with respect to any Business Day, a rate per annum equal to the Swiss Average Rate Overnight for such Business Day published by the SARON Administrator on the SARON Administrator’s Website.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SARON Administrator</w:t>
      </w:r>
      <w:r>
        <w:rPr>
          <w:rFonts w:ascii="Arial" w:cs="Arial" w:eastAsia="Arial" w:hAnsi="Arial"/>
          <w:sz w:val="17"/>
          <w:szCs w:val="17"/>
          <w:color w:val="auto"/>
        </w:rPr>
        <w:t>” means the SIX Swiss Exchange AG (or any successor administrator of the Swiss Average Rate Overnight).</w:t>
      </w:r>
    </w:p>
    <w:p>
      <w:pPr>
        <w:spacing w:after="0" w:line="23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 Administrator’s Website</w:t>
      </w:r>
      <w:r>
        <w:rPr>
          <w:rFonts w:ascii="Arial" w:cs="Arial" w:eastAsia="Arial" w:hAnsi="Arial"/>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SLL Principles</w:t>
      </w:r>
      <w:r>
        <w:rPr>
          <w:rFonts w:ascii="Arial" w:cs="Arial" w:eastAsia="Arial" w:hAnsi="Arial"/>
          <w:sz w:val="18"/>
          <w:szCs w:val="18"/>
          <w:color w:val="auto"/>
        </w:rPr>
        <w:t>” has the meaning assigned to it in Section 2.24(b).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5" w:name="page36"/>
    <w:bookmarkEnd w:id="35"/>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w:t>
      </w:r>
      <w:r>
        <w:rPr>
          <w:rFonts w:ascii="Arial" w:cs="Arial" w:eastAsia="Arial" w:hAnsi="Arial"/>
          <w:sz w:val="17"/>
          <w:szCs w:val="17"/>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Spreads</w:t>
      </w:r>
      <w:r>
        <w:rPr>
          <w:rFonts w:ascii="Arial" w:cs="Arial" w:eastAsia="Arial" w:hAnsi="Arial"/>
          <w:sz w:val="18"/>
          <w:szCs w:val="18"/>
          <w:color w:val="auto"/>
        </w:rPr>
        <w:t>” has the meaning assigned to it in Section 2.24(b).</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 Rate or the Adjusted TIBO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any Debt of the Borrower or any Subsidiary the payment of which is subordinated to payment of the obligations under the Loan Documents.</w:t>
      </w:r>
    </w:p>
    <w:p>
      <w:pPr>
        <w:spacing w:after="0" w:line="170"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or any other entity (whether or not existing as at the date hereof)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joint venture or other entity or the beneficial interest in such trust or estate is at the time directly or indirectly owned or controlled by such Person, by such Person and one or more of its other Subsidiaries or by one or more of such Person’s other Subsidiaries.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9.17.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Assurance Provider</w:t>
      </w:r>
      <w:r>
        <w:rPr>
          <w:rFonts w:ascii="Arial" w:cs="Arial" w:eastAsia="Arial" w:hAnsi="Arial"/>
          <w:sz w:val="18"/>
          <w:szCs w:val="18"/>
          <w:color w:val="auto"/>
        </w:rPr>
        <w:t>” has the meaning assigned to it in Section 2.24(a).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6" w:name="page37"/>
    <w:bookmarkEnd w:id="36"/>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Sustainability Structuring Agent</w:t>
      </w:r>
      <w:r>
        <w:rPr>
          <w:rFonts w:ascii="Arial" w:cs="Arial" w:eastAsia="Arial" w:hAnsi="Arial"/>
          <w:sz w:val="18"/>
          <w:szCs w:val="18"/>
          <w:color w:val="auto"/>
        </w:rPr>
        <w:t>” means J.P. Morgan Securities LLC, in its capacity as Sustainability Structuring Agent in connection with the credit facility provided under this Agreement.</w:t>
      </w:r>
    </w:p>
    <w:p>
      <w:pPr>
        <w:spacing w:after="0" w:line="170"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2.22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spacing w:after="0" w:line="19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Bank, N.A. (or any of its designated branch offices or affiliates), in its capacity as the lender of Swingline Loans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$50,000,000.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Francs</w:t>
      </w:r>
      <w:r>
        <w:rPr>
          <w:rFonts w:ascii="Arial" w:cs="Arial" w:eastAsia="Arial" w:hAnsi="Arial"/>
          <w:sz w:val="18"/>
          <w:szCs w:val="18"/>
          <w:color w:val="auto"/>
        </w:rPr>
        <w:t>” or “</w:t>
      </w:r>
      <w:r>
        <w:rPr>
          <w:rFonts w:ascii="Arial" w:cs="Arial" w:eastAsia="Arial" w:hAnsi="Arial"/>
          <w:sz w:val="18"/>
          <w:szCs w:val="18"/>
          <w:u w:val="single" w:color="auto"/>
          <w:color w:val="auto"/>
        </w:rPr>
        <w:t>CHF</w:t>
      </w:r>
      <w:r>
        <w:rPr>
          <w:rFonts w:ascii="Arial" w:cs="Arial" w:eastAsia="Arial" w:hAnsi="Arial"/>
          <w:sz w:val="18"/>
          <w:szCs w:val="18"/>
          <w:color w:val="auto"/>
        </w:rPr>
        <w:t>” means the lawful currency of Switzerland.</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6"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means that such Loan, or the Loans comprising such Borrowing, bears interest at a rate determined by reference to the Adjusted Term SOFR Rate, the Adjusted EURIBO Rate, the Adjusted TIBO Rate or the CDOR Rate.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Rate</w:t>
      </w:r>
      <w:r>
        <w:rPr>
          <w:rFonts w:ascii="Arial" w:cs="Arial" w:eastAsia="Arial" w:hAnsi="Arial"/>
          <w:sz w:val="16"/>
          <w:szCs w:val="16"/>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49"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for any day and time (such day, the “</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with respect to any Term Benchmark Borrowing denominated in Dollars and for any tenor comparable to the applicable Interest Period, the rate per annum determined by the Administrative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92"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TIBO Rate</w:t>
      </w:r>
      <w:r>
        <w:rPr>
          <w:rFonts w:ascii="Arial" w:cs="Arial" w:eastAsia="Arial" w:hAnsi="Arial"/>
          <w:sz w:val="18"/>
          <w:szCs w:val="18"/>
          <w:color w:val="auto"/>
        </w:rPr>
        <w:t>” means, with respect to any Term Benchmark Borrowing denominated in Japanese Yen and for any Interest Period, the TIBO Screen Rate two (2) Business Days prior to the commencement of such Interest Period.</w:t>
      </w:r>
    </w:p>
    <w:p>
      <w:pPr>
        <w:spacing w:after="0" w:line="170"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TIBO Screen Rate</w:t>
      </w:r>
      <w:r>
        <w:rPr>
          <w:rFonts w:ascii="Arial" w:cs="Arial" w:eastAsia="Arial" w:hAnsi="Arial"/>
          <w:sz w:val="16"/>
          <w:szCs w:val="16"/>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(2) Business Days prior to the commencement of such Interest Period.</w:t>
      </w:r>
    </w:p>
    <w:p>
      <w:pPr>
        <w:spacing w:after="0" w:line="161"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means, at any time, the sum of (a) the outstanding principal amount of the Revolving Loans and Swingline Loans at such time and (b) the total LC Exposure at such time.</w:t>
      </w:r>
    </w:p>
    <w:p>
      <w:pPr>
        <w:spacing w:after="0" w:line="170"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2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Term SOFR Rate, the Adjusted EURIBO Rate, the Adjusted TIBO Rate, the CDOR Rate, the Adjusted Daily Simple RFR, the Alternate Base Rate or the Central Bank Rate.</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Commitment</w:t>
      </w:r>
      <w:r>
        <w:rPr>
          <w:rFonts w:ascii="Arial" w:cs="Arial" w:eastAsia="Arial" w:hAnsi="Arial"/>
          <w:sz w:val="17"/>
          <w:szCs w:val="17"/>
          <w:color w:val="auto"/>
        </w:rPr>
        <w:t>” means, with respect to each Lender, the Commitment of such Lender less its Revolving Credit Exposure.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8" w:name="page39"/>
    <w:bookmarkEnd w:id="38"/>
    <w:p>
      <w:pPr>
        <w:jc w:val="both"/>
        <w:ind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has the meaning assigned to it in Section 9.17.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84"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Loan</w:t>
      </w:r>
      <w:r>
        <w:rPr>
          <w:rFonts w:ascii="Arial" w:cs="Arial" w:eastAsia="Arial" w:hAnsi="Arial"/>
          <w:sz w:val="18"/>
          <w:szCs w:val="18"/>
          <w:color w:val="auto"/>
        </w:rPr>
        <w:t>” or an “</w:t>
      </w:r>
      <w:r>
        <w:rPr>
          <w:rFonts w:ascii="Arial" w:cs="Arial" w:eastAsia="Arial" w:hAnsi="Arial"/>
          <w:sz w:val="18"/>
          <w:szCs w:val="18"/>
          <w:u w:val="single" w:color="auto"/>
          <w:color w:val="auto"/>
        </w:rPr>
        <w:t>RFR Loan</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Loan</w:t>
      </w:r>
      <w:r>
        <w:rPr>
          <w:rFonts w:ascii="Arial" w:cs="Arial" w:eastAsia="Arial" w:hAnsi="Arial"/>
          <w:sz w:val="18"/>
          <w:szCs w:val="18"/>
          <w:color w:val="auto"/>
        </w:rPr>
        <w:t>” or an “</w:t>
      </w:r>
      <w:r>
        <w:rPr>
          <w:rFonts w:ascii="Arial" w:cs="Arial" w:eastAsia="Arial" w:hAnsi="Arial"/>
          <w:sz w:val="18"/>
          <w:szCs w:val="18"/>
          <w:u w:val="single" w:color="auto"/>
          <w:color w:val="auto"/>
        </w:rPr>
        <w:t>RFR Revolving Loan</w:t>
      </w:r>
      <w:r>
        <w:rPr>
          <w:rFonts w:ascii="Arial" w:cs="Arial" w:eastAsia="Arial" w:hAnsi="Arial"/>
          <w:sz w:val="18"/>
          <w:szCs w:val="18"/>
          <w:color w:val="auto"/>
        </w:rPr>
        <w:t>”).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Borrowing</w:t>
      </w:r>
      <w:r>
        <w:rPr>
          <w:rFonts w:ascii="Arial" w:cs="Arial" w:eastAsia="Arial" w:hAnsi="Arial"/>
          <w:sz w:val="18"/>
          <w:szCs w:val="18"/>
          <w:color w:val="auto"/>
        </w:rPr>
        <w:t>” or an “</w:t>
      </w:r>
      <w:r>
        <w:rPr>
          <w:rFonts w:ascii="Arial" w:cs="Arial" w:eastAsia="Arial" w:hAnsi="Arial"/>
          <w:sz w:val="18"/>
          <w:szCs w:val="18"/>
          <w:u w:val="single" w:color="auto"/>
          <w:color w:val="auto"/>
        </w:rPr>
        <w:t>RFR 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Revolving Borrowing</w:t>
      </w:r>
      <w:r>
        <w:rPr>
          <w:rFonts w:ascii="Arial" w:cs="Arial" w:eastAsia="Arial" w:hAnsi="Arial"/>
          <w:sz w:val="18"/>
          <w:szCs w:val="18"/>
          <w:color w:val="auto"/>
        </w:rPr>
        <w:t>” or an “</w:t>
      </w:r>
      <w:r>
        <w:rPr>
          <w:rFonts w:ascii="Arial" w:cs="Arial" w:eastAsia="Arial" w:hAnsi="Arial"/>
          <w:sz w:val="18"/>
          <w:szCs w:val="18"/>
          <w:u w:val="single" w:color="auto"/>
          <w:color w:val="auto"/>
        </w:rPr>
        <w:t>RFR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Borrowing</w:t>
      </w:r>
      <w:r>
        <w:rPr>
          <w:rFonts w:ascii="Arial" w:cs="Arial" w:eastAsia="Arial" w:hAnsi="Arial"/>
          <w:sz w:val="18"/>
          <w:szCs w:val="18"/>
          <w:color w:val="auto"/>
        </w:rPr>
        <w:t>”).</w:t>
      </w:r>
    </w:p>
    <w:p>
      <w:pPr>
        <w:spacing w:after="0" w:line="188"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9" w:name="page40"/>
    <w:bookmarkEnd w:id="3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supplements or modifications set forth herein), (b) any definition of or reference to any law, statute, rule or regulation shall, unless otherwise specified,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65"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 Pro Forma Calculations</w:t>
      </w:r>
      <w:r>
        <w:rPr>
          <w:rFonts w:ascii="Arial" w:cs="Arial" w:eastAsia="Arial" w:hAnsi="Arial"/>
          <w:sz w:val="16"/>
          <w:szCs w:val="16"/>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Debt or other liabilities of the Borrower or any Subsidiary at “fair value”, as defined therein and (ii) any treatment of Debt under Accounting Standards Codification 470-20 or 2015-03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Notwithstanding anything to the contrary contained in this Section 1.04(a) or in the definition of “Capital Lease Obligations,” any change in accounting for leases pursuant to GAAP resulting from the adoption of Financial Accounting Standards Board Accounting Standards Update</w:t>
      </w:r>
    </w:p>
    <w:p>
      <w:pPr>
        <w:ind w:right="20"/>
        <w:spacing w:after="0" w:line="253" w:lineRule="auto"/>
        <w:rPr>
          <w:sz w:val="20"/>
          <w:szCs w:val="20"/>
          <w:color w:val="auto"/>
        </w:rPr>
      </w:pPr>
      <w:r>
        <w:rPr>
          <w:rFonts w:ascii="Arial" w:cs="Arial" w:eastAsia="Arial" w:hAnsi="Arial"/>
          <w:sz w:val="18"/>
          <w:szCs w:val="18"/>
          <w:color w:val="auto"/>
        </w:rPr>
        <w:t>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93" w:lineRule="exact"/>
        <w:rPr>
          <w:sz w:val="20"/>
          <w:szCs w:val="20"/>
          <w:color w:val="auto"/>
        </w:rPr>
      </w:pPr>
    </w:p>
    <w:p>
      <w:pPr>
        <w:ind w:right="40" w:firstLine="987"/>
        <w:spacing w:after="0" w:line="291" w:lineRule="auto"/>
        <w:tabs>
          <w:tab w:leader="none" w:pos="1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pro forma computations required to be made hereunder giving effect to any acquisition or disposition, or issuance, incurrence or assumption of Debt, or other transaction shall in each case be calculated giving pro forma effect thereto (and, in the case of any pro forma computation made hereunder to determine whether such acquisition or disposition, or issuance, incurrence or assumption of Debt,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5.09(a) or 5.09(b) (or, prior to the delivery of any such financial statements, ending with the last fiscal quarter included in the financial statements referred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Section 3.05(a)), and, to the extent applicable, to the historical earnings and cash flows associated with the assets acquired or disposed of (but without giving effect to any synergies or cost savings) and any related incurrence or reduction of Debt, all in accordance with Article 11 of Regulation S-X under the Securities Act. If any Debt bears a floating rate of interest and is being given pro forma effect, the interest on such Debt shall be calculated as if the rate in effect on the date of determination had been the applicable rate for the entire period (taking into account any Hedge Agreement applicable to such Debt).</w:t>
      </w:r>
    </w:p>
    <w:p>
      <w:pPr>
        <w:spacing w:after="0" w:line="188"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Interest Rates; Benchmark Notification</w:t>
      </w:r>
      <w:r>
        <w:rPr>
          <w:rFonts w:ascii="Arial" w:cs="Arial" w:eastAsia="Arial" w:hAnsi="Arial"/>
          <w:sz w:val="17"/>
          <w:szCs w:val="17"/>
          <w:color w:val="auto"/>
        </w:rPr>
        <w:t xml:space="preserve">.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2"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Status of Obligations</w:t>
      </w:r>
      <w:r>
        <w:rPr>
          <w:rFonts w:ascii="Arial" w:cs="Arial" w:eastAsia="Arial" w:hAnsi="Arial"/>
          <w:sz w:val="16"/>
          <w:szCs w:val="16"/>
          <w:color w:val="auto"/>
        </w:rPr>
        <w:t>. In the event that the Borrower shall at any time issue or have outstanding any Subordinated Debt, the Borrower shall take all such actions as shall be necessary to cause the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Obligations are hereby designated as “senior indebtedness” and as “designated senior indebtedness” and words of similar import under and in respect of any indenture or other agreement or instrument under which such Subordinated Debt is outstanding and are further given all such other designations as shall be required under the terms of any such Subordinated Debt in order that the Lenders may have and exercise any payment blockage or other remedies available or potentially available to holders of senior indebtedness under the terms of such Subordinated Debt.</w:t>
      </w:r>
    </w:p>
    <w:p>
      <w:pPr>
        <w:spacing w:after="0" w:line="16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Amount of the stated amount of such Letter of Credit available to be drawn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1" w:name="page42"/>
    <w:bookmarkEnd w:id="41"/>
    <w:p>
      <w:pPr>
        <w:ind w:right="2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Exchange Rates; Currency Equivalents</w:t>
      </w:r>
      <w:r>
        <w:rPr>
          <w:rFonts w:ascii="Arial" w:cs="Arial" w:eastAsia="Arial" w:hAnsi="Arial"/>
          <w:sz w:val="18"/>
          <w:szCs w:val="18"/>
          <w:color w:val="auto"/>
        </w:rPr>
        <w:t>.</w:t>
      </w:r>
    </w:p>
    <w:p>
      <w:pPr>
        <w:spacing w:after="0" w:line="117" w:lineRule="exact"/>
        <w:rPr>
          <w:sz w:val="20"/>
          <w:szCs w:val="20"/>
          <w:color w:val="auto"/>
        </w:rPr>
      </w:pPr>
    </w:p>
    <w:p>
      <w:pPr>
        <w:ind w:right="360" w:firstLine="987"/>
        <w:spacing w:after="0" w:line="255"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Administrative Agent or the applicable Issuing Bank, as applicable, shall determine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Amount as so determined by the Administrative Agent or the applicable Issuing Bank, as applicable.</w:t>
      </w:r>
    </w:p>
    <w:p>
      <w:pPr>
        <w:spacing w:after="0" w:line="192"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applicable Issuing Bank, as the case may be.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Commitments</w:t>
      </w:r>
      <w:r>
        <w:rPr>
          <w:rFonts w:ascii="Arial" w:cs="Arial" w:eastAsia="Arial" w:hAnsi="Arial"/>
          <w:sz w:val="17"/>
          <w:szCs w:val="17"/>
          <w:color w:val="auto"/>
        </w:rPr>
        <w:t>. Subject to the terms and conditions set forth herein, each Lender (severally and not jointly) agrees to make Revolving Loans to the Borrower in Agreed Currencies from time to time during the Availability Period in an aggregate principal amount that will not result (after giving effect to any application of proceeds of such Borrowing to any Swingline Loans outstanding pursuant to Section 2.10(a)) in, subject to Sections 2.04 and 2.11(b), (a) the Dollar Amount of such Lender’s Revolving Credit Exposure exceeding such Lender’s Commitment or (b) the Dollar Amount of the Total Revolving Credit Exposure exceeding the Aggregate Commitment. Within the foregoing limits and subject to the terms and conditions set forth herein, the Borrower may borrow, prepay and reborrow Revolving Loans.</w:t>
      </w:r>
    </w:p>
    <w:p>
      <w:pPr>
        <w:spacing w:after="0" w:line="178"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88" w:lineRule="exact"/>
        <w:rPr>
          <w:sz w:val="20"/>
          <w:szCs w:val="20"/>
          <w:color w:val="auto"/>
        </w:rPr>
      </w:pPr>
    </w:p>
    <w:p>
      <w:pPr>
        <w:ind w:right="4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Section 2.14, each Revolving Borrowing shall be comprised (i) in the case of Borrowings in Dollars, entirely of ABR Loans or Term Benchmark Loans and (ii) in the case of Borrowings in any other Agreed Currency, entirely of Term Benchmark Loans or RFR Loans, as applicable,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42" w:name="page43"/>
    <w:bookmarkEnd w:id="42"/>
    <w:p>
      <w:pPr>
        <w:ind w:left="4"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each case of the same Agreed Currency, as the Borrower may request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ABR Loan shall only be made in Dollars. Each Swingline Loan shall be a Term Benchmark Loan with a one month Interest Period.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76" w:lineRule="exact"/>
        <w:rPr>
          <w:sz w:val="20"/>
          <w:szCs w:val="20"/>
          <w:color w:val="auto"/>
        </w:rPr>
      </w:pPr>
    </w:p>
    <w:p>
      <w:pPr>
        <w:ind w:left="4" w:firstLine="987"/>
        <w:spacing w:after="0" w:line="254"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Term Benchmark Revolving Borrowing, such Borrowing shall be in an aggregate amount that is an integral multiple of the Borrowing Multiple and not less than the Borrowing Minimum. At the time that each ABR Revolving Borrowing or RFR Revolving Borrowing is made,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$1,000,000 and not less than $5,000,000.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fifteen (15) Term Benchmark Borrowings or RFR Borrowings outstanding.</w:t>
      </w:r>
    </w:p>
    <w:p>
      <w:pPr>
        <w:spacing w:after="0" w:line="191" w:lineRule="exact"/>
        <w:rPr>
          <w:rFonts w:ascii="Arial" w:cs="Arial" w:eastAsia="Arial" w:hAnsi="Arial"/>
          <w:sz w:val="18"/>
          <w:szCs w:val="18"/>
          <w:color w:val="auto"/>
        </w:rPr>
      </w:pPr>
    </w:p>
    <w:p>
      <w:pPr>
        <w:ind w:left="4" w:right="40" w:firstLine="987"/>
        <w:spacing w:after="0" w:line="277" w:lineRule="auto"/>
        <w:tabs>
          <w:tab w:leader="none" w:pos="1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left="4" w:right="80" w:firstLine="991"/>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Revolving Borrowings</w:t>
      </w:r>
      <w:r>
        <w:rPr>
          <w:rFonts w:ascii="Arial" w:cs="Arial" w:eastAsia="Arial" w:hAnsi="Arial"/>
          <w:sz w:val="16"/>
          <w:szCs w:val="16"/>
          <w:color w:val="auto"/>
        </w:rPr>
        <w:t>. To request a Borrowing, the Borrower shall notify the Administrative Agent of such request (a) by irrevocable written notice (via a written Borrowing Request signed by a Responsible Officer of the Borrower) (i) in the case of a Term Benchmark Borrowing denominated in Dollars (other than with respect to Swingline Loans), not later than 11:00 a.m., New York City time, three</w:t>
      </w:r>
    </w:p>
    <w:p>
      <w:pPr>
        <w:spacing w:after="0" w:line="2" w:lineRule="exact"/>
        <w:rPr>
          <w:sz w:val="20"/>
          <w:szCs w:val="20"/>
          <w:color w:val="auto"/>
        </w:rPr>
      </w:pPr>
    </w:p>
    <w:p>
      <w:pPr>
        <w:ind w:left="4" w:right="100" w:hanging="4"/>
        <w:spacing w:after="0" w:line="281" w:lineRule="auto"/>
        <w:tabs>
          <w:tab w:leader="none" w:pos="2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Business Days before the date of the proposed Borrowing, (ii) in the case of a Term Benchmark Borrowing denominated in euro, Japanese Yen or Canadian Dollars, not later than 11:00 a.m., New York City time, three (3) Business Days before the date of the proposed Borrowing, (iii) in the case of an RFR Borrowing denominated in Pounds Sterling, not later than 11:00 a.m., New York City time, five (5) RFR Business Days before the date of the proposed Borrowing and (iv) in the case of an RFR Borrowing denominated in Swiss Francs, not later than 11:00 a.m., New York City time, five</w:t>
      </w:r>
    </w:p>
    <w:p>
      <w:pPr>
        <w:spacing w:after="0" w:line="2" w:lineRule="exact"/>
        <w:rPr>
          <w:rFonts w:ascii="Arial" w:cs="Arial" w:eastAsia="Arial" w:hAnsi="Arial"/>
          <w:sz w:val="16"/>
          <w:szCs w:val="16"/>
          <w:color w:val="auto"/>
        </w:rPr>
      </w:pPr>
    </w:p>
    <w:p>
      <w:pPr>
        <w:ind w:left="4" w:right="320" w:hanging="4"/>
        <w:spacing w:after="0" w:line="277" w:lineRule="auto"/>
        <w:tabs>
          <w:tab w:leader="none" w:pos="259" w:val="left"/>
        </w:tabs>
        <w:numPr>
          <w:ilvl w:val="0"/>
          <w:numId w:val="31"/>
        </w:numPr>
        <w:rPr>
          <w:rFonts w:ascii="Arial" w:cs="Arial" w:eastAsia="Arial" w:hAnsi="Arial"/>
          <w:sz w:val="17"/>
          <w:szCs w:val="17"/>
          <w:color w:val="auto"/>
        </w:rPr>
      </w:pPr>
      <w:r>
        <w:rPr>
          <w:rFonts w:ascii="Arial" w:cs="Arial" w:eastAsia="Arial" w:hAnsi="Arial"/>
          <w:sz w:val="17"/>
          <w:szCs w:val="17"/>
          <w:color w:val="auto"/>
        </w:rPr>
        <w:t>RFR Business Days before the date of the proposed Borrowing or (b) by irrevocable written notice (via a written Borrowing Request signed by a Responsible Officer of the Borrower) in the case of an ABR Borrowing, not later than 11:00 a.m., New York City time, on the date of the proposed Borrowing. Each such Borrowing Request shall specify the following information in compliance with Section 2.02:</w:t>
      </w:r>
    </w:p>
    <w:p>
      <w:pPr>
        <w:spacing w:after="0" w:line="64" w:lineRule="exact"/>
        <w:rPr>
          <w:rFonts w:ascii="Arial" w:cs="Arial" w:eastAsia="Arial" w:hAnsi="Arial"/>
          <w:sz w:val="17"/>
          <w:szCs w:val="17"/>
          <w:color w:val="auto"/>
        </w:rPr>
      </w:pPr>
    </w:p>
    <w:p>
      <w:pPr>
        <w:ind w:left="1084" w:hanging="221"/>
        <w:spacing w:after="0"/>
        <w:tabs>
          <w:tab w:leader="none" w:pos="10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Agreed Currency and the aggregate principal amount of the requested Borrowing;</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whether such Borrowing is to be an ABR Borrowing, a Term Benchmark Borrowing or an RFR Borrowing;</w:t>
      </w:r>
    </w:p>
    <w:p>
      <w:pPr>
        <w:spacing w:after="0" w:line="117" w:lineRule="exact"/>
        <w:rPr>
          <w:rFonts w:ascii="Arial" w:cs="Arial" w:eastAsia="Arial" w:hAnsi="Arial"/>
          <w:sz w:val="18"/>
          <w:szCs w:val="18"/>
          <w:color w:val="auto"/>
        </w:rPr>
      </w:pPr>
    </w:p>
    <w:p>
      <w:pPr>
        <w:ind w:left="444" w:right="40" w:firstLine="419"/>
        <w:spacing w:after="0" w:line="277" w:lineRule="auto"/>
        <w:tabs>
          <w:tab w:leader="none" w:pos="117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a Term Benchmark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444" w:right="400" w:firstLine="419"/>
        <w:spacing w:after="0" w:line="277" w:lineRule="auto"/>
        <w:tabs>
          <w:tab w:leader="none" w:pos="112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2.07.</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3" w:name="page44"/>
    <w:bookmarkEnd w:id="43"/>
    <w:p>
      <w:pPr>
        <w:ind w:left="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no election as to the currency of a Borrowing is specified, then the requested Borrowing shall be made in Dollars. If no election as to the Type of Borrowing is specified, then the requested Borrowing shall be an ABR Borrowing made in Dollars.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225" w:lineRule="exact"/>
        <w:rPr>
          <w:sz w:val="20"/>
          <w:szCs w:val="20"/>
          <w:color w:val="auto"/>
        </w:rPr>
      </w:pPr>
    </w:p>
    <w:p>
      <w:pPr>
        <w:ind w:left="4" w:right="120" w:firstLine="987"/>
        <w:spacing w:after="0" w:line="279" w:lineRule="auto"/>
        <w:tabs>
          <w:tab w:leader="none" w:pos="12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171" w:lineRule="exact"/>
        <w:rPr>
          <w:rFonts w:ascii="Arial" w:cs="Arial" w:eastAsia="Arial" w:hAnsi="Arial"/>
          <w:sz w:val="17"/>
          <w:szCs w:val="17"/>
          <w:color w:val="auto"/>
        </w:rPr>
      </w:pPr>
    </w:p>
    <w:p>
      <w:pPr>
        <w:ind w:left="1244" w:hanging="253"/>
        <w:spacing w:after="0"/>
        <w:tabs>
          <w:tab w:leader="none" w:pos="1244"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Letter of Credit denominated in a Foreign Currency, on each of the following: (i) the date on which such Letter of Credit is issued,</w:t>
      </w:r>
    </w:p>
    <w:p>
      <w:pPr>
        <w:spacing w:after="0" w:line="46" w:lineRule="exact"/>
        <w:rPr>
          <w:rFonts w:ascii="Arial" w:cs="Arial" w:eastAsia="Arial" w:hAnsi="Arial"/>
          <w:sz w:val="16"/>
          <w:szCs w:val="16"/>
          <w:color w:val="auto"/>
        </w:rPr>
      </w:pPr>
    </w:p>
    <w:p>
      <w:pPr>
        <w:ind w:left="4" w:right="160" w:hanging="4"/>
        <w:spacing w:after="0" w:line="260" w:lineRule="auto"/>
        <w:tabs>
          <w:tab w:leader="none" w:pos="2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first Business Day of each calendar month and (iii) the date of any amendment of such Letter of Credit that has the effect of increasing the face amount thereof, and</w:t>
      </w:r>
    </w:p>
    <w:p>
      <w:pPr>
        <w:spacing w:after="0" w:line="185" w:lineRule="exact"/>
        <w:rPr>
          <w:rFonts w:ascii="Arial" w:cs="Arial" w:eastAsia="Arial" w:hAnsi="Arial"/>
          <w:sz w:val="18"/>
          <w:szCs w:val="18"/>
          <w:color w:val="auto"/>
        </w:rPr>
      </w:pPr>
    </w:p>
    <w:p>
      <w:pPr>
        <w:ind w:left="1244" w:hanging="253"/>
        <w:spacing w:after="0"/>
        <w:tabs>
          <w:tab w:leader="none" w:pos="1244"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Credit Event, on any additional date as the Administrative Agent may determine at any time when an Event of Default exists.</w:t>
      </w:r>
    </w:p>
    <w:p>
      <w:pPr>
        <w:spacing w:after="0" w:line="237" w:lineRule="exact"/>
        <w:rPr>
          <w:sz w:val="20"/>
          <w:szCs w:val="20"/>
          <w:color w:val="auto"/>
        </w:rPr>
      </w:pPr>
    </w:p>
    <w:p>
      <w:pPr>
        <w:ind w:left="4" w:right="480"/>
        <w:spacing w:after="0" w:line="308" w:lineRule="auto"/>
        <w:rPr>
          <w:sz w:val="20"/>
          <w:szCs w:val="20"/>
          <w:color w:val="auto"/>
        </w:rPr>
      </w:pPr>
      <w:r>
        <w:rPr>
          <w:rFonts w:ascii="Arial" w:cs="Arial" w:eastAsia="Arial" w:hAnsi="Arial"/>
          <w:sz w:val="17"/>
          <w:szCs w:val="17"/>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46"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(a) Subject to the terms and conditions set forth herein, the Swingline Lender may agree, but shall have no obligation, to make Swingline Loans in Dollars to the Borrower from time to time during the Availability Period, in an aggregate principal amount at any time outstanding that will not result in (i) the aggregate principal amount of outstanding Swingline Loans exceeding the Swingline Sublimit, (ii) the Swingline Lender’s Revolving Credit Exposure exceeding its Commitment or (iii) the Dollar Amount of the Total Revolving Credit Exposure exceeding the Aggregate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95" w:lineRule="exact"/>
        <w:rPr>
          <w:sz w:val="20"/>
          <w:szCs w:val="20"/>
          <w:color w:val="auto"/>
        </w:rPr>
      </w:pPr>
    </w:p>
    <w:p>
      <w:pPr>
        <w:ind w:left="4" w:firstLine="987"/>
        <w:spacing w:after="0" w:line="271" w:lineRule="auto"/>
        <w:tabs>
          <w:tab w:leader="none" w:pos="125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request a Swingline Loan, the Borrower shall notify the Administrative Agent of such request by irrevocable written notice (via a written Borrowing Request in a form approved by the Administrative Agent and signed by a Responsible Officer of the Borrower),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applicable Issuing Bank) by 3:00 p.m., New York City time, on the requested date of such Swingline Loan.</w:t>
      </w:r>
    </w:p>
    <w:p>
      <w:pPr>
        <w:spacing w:after="0" w:line="35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44" w:name="page45"/>
    <w:bookmarkEnd w:id="44"/>
    <w:p>
      <w:pPr>
        <w:ind w:right="40" w:firstLine="987"/>
        <w:spacing w:after="0" w:line="267"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Swingline Lender may by written notice given to the Administrative Agent require the Lenders to acquire participations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3" w:lineRule="exact"/>
        <w:rPr>
          <w:rFonts w:ascii="Arial" w:cs="Arial" w:eastAsia="Arial" w:hAnsi="Arial"/>
          <w:sz w:val="17"/>
          <w:szCs w:val="17"/>
          <w:color w:val="auto"/>
        </w:rPr>
      </w:pPr>
    </w:p>
    <w:p>
      <w:pPr>
        <w:ind w:firstLine="987"/>
        <w:spacing w:after="0" w:line="289" w:lineRule="auto"/>
        <w:tabs>
          <w:tab w:leader="none" w:pos="12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66" w:lineRule="exact"/>
        <w:rPr>
          <w:rFonts w:ascii="Arial" w:cs="Arial" w:eastAsia="Arial" w:hAnsi="Arial"/>
          <w:sz w:val="16"/>
          <w:szCs w:val="16"/>
          <w:color w:val="auto"/>
        </w:rPr>
      </w:pPr>
    </w:p>
    <w:p>
      <w:pPr>
        <w:ind w:firstLine="987"/>
        <w:spacing w:after="0" w:line="263"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Swingline Lender, the Swingline Lender may resign as a Swingline Lender at any time upon thirty (30) days’ prior written notice to the Administrative Agent, the Borrower and the Lenders, in which case, such Swingline Lender shall be replaced in accordance with Section 2.05(d) above.</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the Borrower may request any Issuing Bank to issue of Letters of Credit denominated in Agreed Currencies as the applicant thereof for the support of its or its Subsidiaries’ obligations, in a form reasonably acceptable to the Administrative Agent and such Issuing Bank, at any time and from time to time during the Availability Period. The letters of credit identified on </w:t>
      </w:r>
      <w:r>
        <w:rPr>
          <w:rFonts w:ascii="Arial" w:cs="Arial" w:eastAsia="Arial" w:hAnsi="Arial"/>
          <w:sz w:val="18"/>
          <w:szCs w:val="18"/>
          <w:u w:val="single" w:color="auto"/>
          <w:color w:val="auto"/>
        </w:rPr>
        <w:t>Schedule 2.06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shall be deemed to be “Letters of Credit” issued on the Effective Date for all purposes of the Loan Documents.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5" w:name="page46"/>
    <w:bookmarkEnd w:id="45"/>
    <w:p>
      <w:pPr>
        <w:ind w:left="4" w:firstLine="987"/>
        <w:spacing w:after="0" w:line="282" w:lineRule="auto"/>
        <w:tabs>
          <w:tab w:leader="none" w:pos="125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Issuance, Amendment, Extension; Certain Conditions</w:t>
      </w:r>
      <w:r>
        <w:rPr>
          <w:rFonts w:ascii="Arial" w:cs="Arial" w:eastAsia="Arial" w:hAnsi="Arial"/>
          <w:sz w:val="16"/>
          <w:szCs w:val="16"/>
          <w:color w:val="auto"/>
        </w:rPr>
        <w:t>. To request the issuance of a Letter of Credit (or the amendment or extension of an outstanding Letter of Credit), the Borrower shall hand deliver or telecopy (or transmit by electronic communication, if arrangements for doing so have been approved by the applicable Issuing Bank) to the Issuing Bank selected by the Borrower and to the Administrative Agent (reasonably in advance of the requested date of issuance, amendment or extension, but in any event no less than three (3)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applicable Issuing Bank and using such Issuing Bank’s standard form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subject to Sections 2.04 and 2.11(b), (i) (x) the aggregate undrawn Dollar Amount of all outstanding Letters of Credit issued by any Issuing Bank at such time plus (y) the aggregate Dollar Amount of all LC Disbursements made by such Issuing Bank that have not yet been reimbursed by or on behalf of the Borrower at such time shall not, subject to the immediately succeeding sentence, exceed its Letter of Credit Base Commitment, (ii) the Dollar Amount of the LC Exposure shall not exceed $100,000,000, (iii) the Dollar Amount of the Total Revolving Credit Exposure shall not exceed the Aggregate Commitment and (iv) the Dollar Amount of each Lender’s Revolving Credit Exposure shall not exceed such Lender’s Commitment. It is hereby understood and agreed that any Issuing Bank may agree, but shall have no obligation or commitment, to issue any Letter of Credit if the Dollar Amount of the LC Exposure after giving effect to the issuance of such Letter of Credit would exceed such Issuing Bank’s Letter of Credit Base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subject to Sections 2.04 and 2.11(b), after giving effect to such issuance of such Letter of Credit,</w:t>
      </w:r>
    </w:p>
    <w:p>
      <w:pPr>
        <w:spacing w:after="0" w:line="10" w:lineRule="exact"/>
        <w:rPr>
          <w:rFonts w:ascii="Arial" w:cs="Arial" w:eastAsia="Arial" w:hAnsi="Arial"/>
          <w:sz w:val="16"/>
          <w:szCs w:val="16"/>
          <w:color w:val="auto"/>
        </w:rPr>
      </w:pPr>
    </w:p>
    <w:p>
      <w:pPr>
        <w:ind w:left="264" w:hanging="264"/>
        <w:spacing w:after="0"/>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clauses (iii) and (iv) of the immediately preceding satisfied and (2) the Dollar Amount of LC Exposure shall not exceed $150,000,000.</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 Issuing Bank shall not be under any obligation to issue any Letter of Credit if:</w:t>
      </w:r>
    </w:p>
    <w:p>
      <w:pPr>
        <w:spacing w:after="0" w:line="117" w:lineRule="exact"/>
        <w:rPr>
          <w:sz w:val="20"/>
          <w:szCs w:val="20"/>
          <w:color w:val="auto"/>
        </w:rPr>
      </w:pPr>
    </w:p>
    <w:p>
      <w:pPr>
        <w:ind w:left="444" w:right="20" w:firstLine="948"/>
        <w:spacing w:after="0" w:line="259" w:lineRule="auto"/>
        <w:tabs>
          <w:tab w:leader="none" w:pos="17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6" w:name="page47"/>
    <w:bookmarkEnd w:id="46"/>
    <w:p>
      <w:pPr>
        <w:jc w:val="both"/>
        <w:ind w:lef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76" w:lineRule="exact"/>
        <w:rPr>
          <w:sz w:val="20"/>
          <w:szCs w:val="20"/>
          <w:color w:val="auto"/>
        </w:rPr>
      </w:pPr>
    </w:p>
    <w:p>
      <w:pPr>
        <w:ind w:left="1760" w:hanging="392"/>
        <w:spacing w:after="0"/>
        <w:tabs>
          <w:tab w:leader="none" w:pos="1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such Issuing Bank applicable to letters of credit</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generally.</w:t>
      </w:r>
    </w:p>
    <w:p>
      <w:pPr>
        <w:spacing w:after="0" w:line="211" w:lineRule="exact"/>
        <w:rPr>
          <w:sz w:val="20"/>
          <w:szCs w:val="20"/>
          <w:color w:val="auto"/>
        </w:rPr>
      </w:pPr>
    </w:p>
    <w:p>
      <w:pPr>
        <w:ind w:left="-20" w:right="100" w:firstLine="987"/>
        <w:spacing w:after="0" w:line="254" w:lineRule="auto"/>
        <w:tabs>
          <w:tab w:leader="none" w:pos="12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(5) Business Days prior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with a one-year tenor may contain customary automatic extension provisions agreed upon by the Borrower and such Issuing Bank that provide for the extension thereof for additional one-year periods (which shall in no event extend beyond the date referenced in clause (ii) above), subject to a right on the part of such Issuing Bank to prevent any such extension from occurring by giving notice to the beneficiary in advance of any such extension.</w:t>
      </w:r>
    </w:p>
    <w:p>
      <w:pPr>
        <w:spacing w:after="0" w:line="194" w:lineRule="exact"/>
        <w:rPr>
          <w:rFonts w:ascii="Arial" w:cs="Arial" w:eastAsia="Arial" w:hAnsi="Arial"/>
          <w:sz w:val="18"/>
          <w:szCs w:val="18"/>
          <w:color w:val="auto"/>
        </w:rPr>
      </w:pPr>
    </w:p>
    <w:p>
      <w:pPr>
        <w:ind w:left="-20" w:firstLine="987"/>
        <w:spacing w:after="0" w:line="269" w:lineRule="auto"/>
        <w:tabs>
          <w:tab w:leader="none" w:pos="122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including after the Maturity Date. Each such payment shall be made without any offset, abatement, withholding or reduction whatsoever.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81" w:lineRule="exact"/>
        <w:rPr>
          <w:rFonts w:ascii="Arial" w:cs="Arial" w:eastAsia="Arial" w:hAnsi="Arial"/>
          <w:sz w:val="17"/>
          <w:szCs w:val="17"/>
          <w:color w:val="auto"/>
        </w:rPr>
      </w:pPr>
    </w:p>
    <w:p>
      <w:pPr>
        <w:ind w:left="-20" w:right="40" w:firstLine="987"/>
        <w:spacing w:after="0" w:line="268" w:lineRule="auto"/>
        <w:tabs>
          <w:tab w:leader="none" w:pos="121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Borrower shall reimburse such LC Disbursement by paying to the Administrative Agent an amount in the currency of such LC Disbursement equal to such LC Disbursement not later than 12:00 noon, Local Time, on the date that such LC Disbursement is made, if the Borrower shall have received notice of such LC Disbursement prior to 10:00 a.m., Local Time, on such date, or, if such notice has not been received by the Borrower prior to such time on such date, then not later than 12:00 noon, Local Time, on the Business Day immediately following the day that the Borrower receives such notice, if such notice is not received prior to such time on the day of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LC Disbursement is not less than the Dollar Amount of $1,000,000, the Borrower may, subject to the conditions to borrowing set forth herein, request in accordance with Section 2.03 or 2.05 that such payment be financed with (i) to the extent such LC Disbursement was made in Dollars, an ABR Revolving Borrowing, a Term Benchmark Revolving Borrowing or a Swingline Loan in Dollars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Borrower’s obligation to make such payment shall be discharged and replaced by the resulting ABR Revolving Borrowing, Term Benchmark Revolving Borrowing, RFR Revolving Borrowing or Swingline Loan, as applicable. If the Borrower fails to make such payment when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60" w:top="274" w:right="479" w:bottom="1440" w:gutter="0" w:footer="0" w:header="0"/>
        </w:sectPr>
      </w:pPr>
    </w:p>
    <w:bookmarkStart w:id="47" w:name="page48"/>
    <w:bookmarkEnd w:id="47"/>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Revolving Loans or a Swingline Loan as contemplated above) shall not constitute a Loan and shall not relieve the Borrower of its obligation to reimburse such LC Disbursement.</w:t>
      </w:r>
    </w:p>
    <w:p>
      <w:pPr>
        <w:spacing w:after="0" w:line="185" w:lineRule="exact"/>
        <w:rPr>
          <w:sz w:val="20"/>
          <w:szCs w:val="20"/>
          <w:color w:val="auto"/>
        </w:rPr>
      </w:pPr>
    </w:p>
    <w:p>
      <w:pPr>
        <w:ind w:firstLine="987"/>
        <w:spacing w:after="0" w:line="284" w:lineRule="auto"/>
        <w:tabs>
          <w:tab w:leader="none" w:pos="121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applicable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6" w:lineRule="exact"/>
        <w:rPr>
          <w:rFonts w:ascii="Arial" w:cs="Arial" w:eastAsia="Arial" w:hAnsi="Arial"/>
          <w:sz w:val="16"/>
          <w:szCs w:val="16"/>
          <w:color w:val="auto"/>
        </w:rPr>
      </w:pPr>
    </w:p>
    <w:p>
      <w:pPr>
        <w:ind w:right="280" w:firstLine="987"/>
        <w:spacing w:after="0" w:line="277"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The Issuing Bank for any Letter of Credit shall, within the time allowed by applicable law or the specific terms of the Letter of Credit following its receipt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8" w:name="page49"/>
    <w:bookmarkEnd w:id="48"/>
    <w:p>
      <w:pPr>
        <w:ind w:left="4"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examine all documents purporting to represent a demand for payment under such Letter of Credit. Such Issuing Bank shall promptly after such examination notify the Administrative Agent and the Borrower by telephone (confirmed by telecopy or electronic mail) of such demand for payment and whether such Issuing Bank has made or will make an LC Disbursement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delay in giving such notice shall not relieve the Borrower of its obligation to reimburse such Issuing Bank and the Lenders with respect to any such LC Disbursement.</w:t>
      </w:r>
    </w:p>
    <w:p>
      <w:pPr>
        <w:spacing w:after="0" w:line="157" w:lineRule="exact"/>
        <w:rPr>
          <w:sz w:val="20"/>
          <w:szCs w:val="20"/>
          <w:color w:val="auto"/>
        </w:rPr>
      </w:pPr>
    </w:p>
    <w:p>
      <w:pPr>
        <w:ind w:left="4" w:right="40" w:firstLine="987"/>
        <w:spacing w:after="0" w:line="285" w:lineRule="auto"/>
        <w:tabs>
          <w:tab w:leader="none" w:pos="125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the Issuing Bank for any Letter of Credit shall make any LC Disbursement, then, unless the Borrower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paragraph (e) of this Section, then</w:t>
      </w:r>
    </w:p>
    <w:p>
      <w:pPr>
        <w:spacing w:after="0" w:line="1" w:lineRule="exact"/>
        <w:rPr>
          <w:rFonts w:ascii="Arial" w:cs="Arial" w:eastAsia="Arial" w:hAnsi="Arial"/>
          <w:sz w:val="16"/>
          <w:szCs w:val="16"/>
          <w:color w:val="auto"/>
        </w:rPr>
      </w:pPr>
    </w:p>
    <w:p>
      <w:pPr>
        <w:jc w:val="both"/>
        <w:ind w:left="4" w:right="60"/>
        <w:spacing w:after="0" w:line="255" w:lineRule="auto"/>
        <w:rPr>
          <w:rFonts w:ascii="Arial" w:cs="Arial" w:eastAsia="Arial" w:hAnsi="Arial"/>
          <w:sz w:val="16"/>
          <w:szCs w:val="16"/>
          <w:color w:val="auto"/>
        </w:rPr>
      </w:pPr>
      <w:r>
        <w:rPr>
          <w:rFonts w:ascii="Arial" w:cs="Arial" w:eastAsia="Arial" w:hAnsi="Arial"/>
          <w:sz w:val="18"/>
          <w:szCs w:val="18"/>
          <w:color w:val="auto"/>
        </w:rPr>
        <w:t>Section 2.13(d) 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spacing w:after="0" w:line="189" w:lineRule="exact"/>
        <w:rPr>
          <w:rFonts w:ascii="Arial" w:cs="Arial" w:eastAsia="Arial" w:hAnsi="Arial"/>
          <w:sz w:val="16"/>
          <w:szCs w:val="16"/>
          <w:color w:val="auto"/>
        </w:rPr>
      </w:pPr>
    </w:p>
    <w:p>
      <w:pPr>
        <w:ind w:left="4" w:right="20" w:firstLine="987"/>
        <w:spacing w:after="0" w:line="285" w:lineRule="auto"/>
        <w:tabs>
          <w:tab w:leader="none" w:pos="121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Replacement and Resignation of an Issuing Bank</w:t>
      </w:r>
      <w:r>
        <w:rPr>
          <w:rFonts w:ascii="Arial" w:cs="Arial" w:eastAsia="Arial" w:hAnsi="Arial"/>
          <w:sz w:val="16"/>
          <w:szCs w:val="16"/>
          <w:color w:val="auto"/>
        </w:rPr>
        <w:t>. (A) The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it thereafter and</w:t>
      </w:r>
    </w:p>
    <w:p>
      <w:pPr>
        <w:spacing w:after="0" w:line="1" w:lineRule="exact"/>
        <w:rPr>
          <w:rFonts w:ascii="Arial" w:cs="Arial" w:eastAsia="Arial" w:hAnsi="Arial"/>
          <w:sz w:val="16"/>
          <w:szCs w:val="16"/>
          <w:color w:val="auto"/>
        </w:rPr>
      </w:pPr>
    </w:p>
    <w:p>
      <w:pPr>
        <w:ind w:left="4" w:right="60" w:hanging="4"/>
        <w:spacing w:after="0" w:line="253"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0" w:lineRule="exact"/>
        <w:rPr>
          <w:rFonts w:ascii="Arial" w:cs="Arial" w:eastAsia="Arial" w:hAnsi="Arial"/>
          <w:sz w:val="18"/>
          <w:szCs w:val="18"/>
          <w:color w:val="auto"/>
        </w:rPr>
      </w:pPr>
    </w:p>
    <w:p>
      <w:pPr>
        <w:jc w:val="both"/>
        <w:ind w:left="4" w:right="100" w:firstLine="1428"/>
        <w:spacing w:after="0" w:line="263" w:lineRule="auto"/>
        <w:tabs>
          <w:tab w:leader="none" w:pos="1721"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2.06(i)(A) above.</w:t>
      </w:r>
    </w:p>
    <w:p>
      <w:pPr>
        <w:spacing w:after="0" w:line="183" w:lineRule="exact"/>
        <w:rPr>
          <w:rFonts w:ascii="Arial" w:cs="Arial" w:eastAsia="Arial" w:hAnsi="Arial"/>
          <w:sz w:val="18"/>
          <w:szCs w:val="18"/>
          <w:color w:val="auto"/>
        </w:rPr>
      </w:pPr>
    </w:p>
    <w:p>
      <w:pPr>
        <w:ind w:left="4" w:firstLine="987"/>
        <w:spacing w:after="0" w:line="270" w:lineRule="auto"/>
        <w:tabs>
          <w:tab w:leader="none" w:pos="121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the Borrower shall deposit in an account or accounts with the Administrative Agent, in the name of the Administrative Agent and for the benefit of the Lenders (the “</w:t>
      </w:r>
      <w:r>
        <w:rPr>
          <w:rFonts w:ascii="Arial" w:cs="Arial" w:eastAsia="Arial" w:hAnsi="Arial"/>
          <w:sz w:val="17"/>
          <w:szCs w:val="17"/>
          <w:u w:val="single" w:color="auto"/>
          <w:color w:val="auto"/>
        </w:rPr>
        <w:t>LC Collateral Account</w:t>
      </w:r>
      <w:r>
        <w:rPr>
          <w:rFonts w:ascii="Arial" w:cs="Arial" w:eastAsia="Arial" w:hAnsi="Arial"/>
          <w:sz w:val="17"/>
          <w:szCs w:val="17"/>
          <w:color w:val="auto"/>
        </w:rPr>
        <w:t xml:space="preserve">”), an amount in cash equal to 105% of the LC Exposure in the applicable currencies as of such date plus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7.01(f). The Borrower also shall deposit cash collateral pursuant to this paragraph as and to the extent required by Section 2.11(b). Such deposit shall be held by the Administrative Agent as collateral for the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and performance of the Obligations. In addition, and without limiting the foregoing or Section 2.06(c), if any LC Exposure remains outstanding after the expiration date specified in Section 2.06(c), the Borrower shall immediately deposit into the LC Collateral Account an amount in cash equal to 105% of such LC Exposure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68" w:lineRule="exact"/>
        <w:rPr>
          <w:sz w:val="20"/>
          <w:szCs w:val="20"/>
          <w:color w:val="auto"/>
        </w:rPr>
      </w:pPr>
    </w:p>
    <w:p>
      <w:pPr>
        <w:ind w:firstLine="987"/>
        <w:spacing w:after="0" w:line="253" w:lineRule="auto"/>
        <w:tabs>
          <w:tab w:leader="none" w:pos="12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96" w:lineRule="exact"/>
        <w:rPr>
          <w:rFonts w:ascii="Arial" w:cs="Arial" w:eastAsia="Arial" w:hAnsi="Arial"/>
          <w:sz w:val="18"/>
          <w:szCs w:val="18"/>
          <w:color w:val="auto"/>
        </w:rPr>
      </w:pPr>
    </w:p>
    <w:p>
      <w:pPr>
        <w:ind w:right="80" w:firstLine="987"/>
        <w:spacing w:after="0" w:line="290" w:lineRule="auto"/>
        <w:tabs>
          <w:tab w:leader="none" w:pos="120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Issuing Bank Agreements</w:t>
      </w:r>
      <w:r>
        <w:rPr>
          <w:rFonts w:ascii="Arial" w:cs="Arial" w:eastAsia="Arial" w:hAnsi="Arial"/>
          <w:sz w:val="16"/>
          <w:szCs w:val="16"/>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and currency of such payment(s), (iii) on any Business Day on which the Borrower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w:t>
      </w:r>
    </w:p>
    <w:p>
      <w:pPr>
        <w:spacing w:after="0" w:line="165"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proposed date thereof solely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0" w:name="page51"/>
    <w:bookmarkEnd w:id="5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Except in respect of the provisions of this Agreement covering the reimbursement of Letters of Credit, the Administrative Agent will make such Loans available to the Borrower by promptly crediting the funds so received in the aforesaid account of the Administrative Agent to (x) an account of the Borrower maintained with the Administrative Agent in New York City or Chicago and designated by the Borrower in the applicable Borrowing Request, in the case of Loans denominated in Dollars and (y) an account of the Borrower in the relevant jurisdiction and designated by the Borrower in the applicable Borrowing Request, in the case of Loans denominated in a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Revolving Loans made to finance the reimbursement of an LC Disbursement as provided in Section 2.06(e) shall be remitted by the Administrative Agent to the applicable Issuing Bank.</w:t>
      </w:r>
    </w:p>
    <w:p>
      <w:pPr>
        <w:spacing w:after="0" w:line="164" w:lineRule="exact"/>
        <w:rPr>
          <w:sz w:val="20"/>
          <w:szCs w:val="20"/>
          <w:color w:val="auto"/>
        </w:rPr>
      </w:pPr>
    </w:p>
    <w:p>
      <w:pPr>
        <w:ind w:right="40" w:firstLine="987"/>
        <w:spacing w:after="0" w:line="287" w:lineRule="auto"/>
        <w:tabs>
          <w:tab w:leader="none" w:pos="12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172"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95" w:lineRule="exact"/>
        <w:rPr>
          <w:sz w:val="20"/>
          <w:szCs w:val="20"/>
          <w:color w:val="auto"/>
        </w:rPr>
      </w:pPr>
    </w:p>
    <w:p>
      <w:pPr>
        <w:ind w:right="260" w:firstLine="987"/>
        <w:spacing w:after="0" w:line="255"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irrevocable written notice via an Interest Election Request signed by a Responsible Officer of the Borrower) by the time that a Borrowing Request would be required under Section 2.03 if the Borrower were requesting a Borrowing of the Type resulting from such election to be made on the effective date of such election.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such Borrowing.</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Interest Election Request shall specify the following information in compliance with Section 2.02: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1" w:name="page52"/>
    <w:bookmarkEnd w:id="51"/>
    <w:p>
      <w:pPr>
        <w:ind w:left="440" w:right="100" w:firstLine="419"/>
        <w:spacing w:after="0" w:line="286" w:lineRule="auto"/>
        <w:tabs>
          <w:tab w:leader="none" w:pos="1078"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(in the case of Borrowings denominated in Dollars), a Term Benchmark Borrowing or an RFR Borrowing; and</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170" w:lineRule="exact"/>
        <w:rPr>
          <w:sz w:val="20"/>
          <w:szCs w:val="20"/>
          <w:color w:val="auto"/>
        </w:rPr>
      </w:pPr>
    </w:p>
    <w:p>
      <w:pPr>
        <w:ind w:right="280" w:firstLine="987"/>
        <w:spacing w:after="0" w:line="277"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firstLine="987"/>
        <w:spacing w:after="0" w:line="284" w:lineRule="auto"/>
        <w:tabs>
          <w:tab w:leader="none" w:pos="12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If the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deemed to have an Interest Period that is one (1) month. If the Borrower fails to deliver a timely and complete Interest Election Request with respect to a Term Benchmark Borrowing denominated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(x) each Term Benchmark Borrowing and each RFR Borrowing, in each case denominated in Dollars shall be converted to an ABR Borrowing (in the case of a Term Benchmark Borrowing) at the end of the Interest Period applicable thereto or (in the case of an RFR Borrowing) on the next Interest Payment Date in respect thereof, (y) each Term Benchmark Borrowing denominated in Canadian Dollars shall be converted to a Loan that bears interest at the Canadian Prime Rate plus the Applicable Rate applicable to ABR Loans at the end of the Interest Period applicable thereto and (z) each Term Benchmark Borrowing and each RFR Borrowing, in each case denominated in a Foreign Currency other than Canadian Dollars shall bear interest at the Central Bank Rate for the applicable Agreed Currency plus the CBR Spread;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Central Bank Rate for the applicable Agreed Currency cannot be determined, any outstanding affected Term Benchmark Loans or RFR Loans denominated in any Foreign Currency shall either be (A) converted to an ABR Borrowing denominated in Dollars (in an amount equal to the Dollar Amount of such Foreign Currency) at the end of the Interest Period, as applicable, therefor or (B) prepaid at the end of the applicable Interest Period, as applicable,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Borrower by the earlier of (x) the date that is three (3) Business Days after receipt by the Borrower of such notice and (y) the last day of the current Interest Period for the applicable Term Benchmark Loan, the Borrower shall be deemed to have elected clause (A) above.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2" w:name="page53"/>
    <w:bookmarkEnd w:id="52"/>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 (a) Unless previously terminated, the Commitments shall terminate on the Maturity Date.</w:t>
      </w:r>
    </w:p>
    <w:p>
      <w:pPr>
        <w:spacing w:after="0" w:line="170" w:lineRule="exact"/>
        <w:rPr>
          <w:sz w:val="20"/>
          <w:szCs w:val="20"/>
          <w:color w:val="auto"/>
        </w:rPr>
      </w:pPr>
    </w:p>
    <w:p>
      <w:pPr>
        <w:ind w:firstLine="987"/>
        <w:spacing w:after="0" w:line="257"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the Dollar Amount of any Lender’s Revolving Credit Exposure would exceed its Commitment or (B) the Dollar Amount of the Total Revolving Credit Exposure would exceed the Aggregate Commitment.</w:t>
      </w:r>
    </w:p>
    <w:p>
      <w:pPr>
        <w:spacing w:after="0" w:line="187" w:lineRule="exact"/>
        <w:rPr>
          <w:rFonts w:ascii="Arial" w:cs="Arial" w:eastAsia="Arial" w:hAnsi="Arial"/>
          <w:sz w:val="18"/>
          <w:szCs w:val="18"/>
          <w:color w:val="auto"/>
        </w:rPr>
      </w:pPr>
    </w:p>
    <w:p>
      <w:pPr>
        <w:ind w:right="20" w:firstLine="987"/>
        <w:spacing w:after="0" w:line="271" w:lineRule="auto"/>
        <w:tabs>
          <w:tab w:leader="none" w:pos="12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The Borrower hereby unconditionally promises to pay (i) to the Administrative Agent for the account of each Lender the then unpaid principal amount of each Revolving Loan on the Maturity Date in the currency of such Loan and (ii) to the Administrative Agent for the account of the Swingline Lender the then unpaid principal amount of each Swingline Loan on the earlier of the Maturity Date and the fifth (5</w:t>
      </w:r>
      <w:r>
        <w:rPr>
          <w:rFonts w:ascii="Arial" w:cs="Arial" w:eastAsia="Arial" w:hAnsi="Arial"/>
          <w:sz w:val="15"/>
          <w:szCs w:val="15"/>
          <w:color w:val="auto"/>
        </w:rPr>
        <w:t>th</w:t>
      </w:r>
      <w:r>
        <w:rPr>
          <w:rFonts w:ascii="Arial" w:cs="Arial" w:eastAsia="Arial" w:hAnsi="Arial"/>
          <w:sz w:val="18"/>
          <w:szCs w:val="18"/>
          <w:color w:val="auto"/>
        </w:rPr>
        <w:t xml:space="preserve">) Business Day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Borrower shall repay all Swingline Loans then outstanding and the proceeds of any such Borrowing shall be applied by the Administrative Agent to repay any Swingline Loans outstanding.</w:t>
      </w:r>
    </w:p>
    <w:p>
      <w:pPr>
        <w:spacing w:after="0" w:line="192" w:lineRule="exact"/>
        <w:rPr>
          <w:sz w:val="20"/>
          <w:szCs w:val="20"/>
          <w:color w:val="auto"/>
        </w:rPr>
      </w:pPr>
    </w:p>
    <w:p>
      <w:pPr>
        <w:ind w:right="180" w:firstLine="987"/>
        <w:spacing w:after="0" w:line="263"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right="180" w:firstLine="987"/>
        <w:spacing w:after="0" w:line="259" w:lineRule="auto"/>
        <w:tabs>
          <w:tab w:leader="none" w:pos="12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firstLine="987"/>
        <w:spacing w:after="0" w:line="259"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Obligations (including, without limitation, the obligation of the Borrower to repay the Loans in accordance with the terms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3" w:name="page54"/>
    <w:bookmarkEnd w:id="53"/>
    <w:p>
      <w:pPr>
        <w:ind w:left="4" w:right="20" w:firstLine="987"/>
        <w:spacing w:after="0" w:line="301" w:lineRule="auto"/>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or as otherwise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2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6" w:lineRule="auto"/>
        <w:tabs>
          <w:tab w:leader="none" w:pos="12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Borrower shall have the right at any time and from time to time to prepay any Borrowing in whole or in part, subject to prior notice in accordance with the provisions of this Section 2.11(a). The Borrower shall notify the Administrative Agent (and, in the case of prepayment of a Swingline Loan, the Swingline Lender) by written notice of any prepayment hereunder (i) (x) in the case of prepayment of a Term Benchmark Revolving Borrowing denominated in Dollars, not later than 11:00 a.m., New York City time, three (3) Business Days before the date of prepayment,</w:t>
      </w:r>
    </w:p>
    <w:p>
      <w:pPr>
        <w:spacing w:after="0" w:line="1" w:lineRule="exact"/>
        <w:rPr>
          <w:rFonts w:ascii="Arial" w:cs="Arial" w:eastAsia="Arial" w:hAnsi="Arial"/>
          <w:sz w:val="16"/>
          <w:szCs w:val="16"/>
          <w:color w:val="auto"/>
        </w:rPr>
      </w:pPr>
    </w:p>
    <w:p>
      <w:pPr>
        <w:ind w:left="4" w:right="20" w:hanging="4"/>
        <w:spacing w:after="0" w:line="267" w:lineRule="auto"/>
        <w:tabs>
          <w:tab w:leader="none" w:pos="259"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in the case of prepayment of a Term Benchmark Revolving Borrowing denominated in euro, Japanese Yen or Canadian Dollars, not later than 11:00 a.m., New York City Time, three (3) Business Days before the date of prepayment and (z) in the case of prepayment of an RFR Borrowing, not later than 11:00 a.m., New York City Time, five (5) RFR Business Days before the date of prepayment, (ii) in the case of prepayment of an ABR Revolving Borrowing, not later than 11:00 a.m., New York City time, on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Loans included in the prepaid Borrowing. Prepayments shall be accompanied by (i) accrued interest to the extent required by Section 2.13 and (ii) any break funding payments required by Section 2.16.</w:t>
      </w:r>
    </w:p>
    <w:p>
      <w:pPr>
        <w:spacing w:after="0" w:line="184" w:lineRule="exact"/>
        <w:rPr>
          <w:rFonts w:ascii="Arial" w:cs="Arial" w:eastAsia="Arial" w:hAnsi="Arial"/>
          <w:sz w:val="17"/>
          <w:szCs w:val="17"/>
          <w:color w:val="auto"/>
        </w:rPr>
      </w:pPr>
    </w:p>
    <w:p>
      <w:pPr>
        <w:ind w:left="4" w:right="80" w:firstLine="987"/>
        <w:spacing w:after="0" w:line="285" w:lineRule="auto"/>
        <w:tabs>
          <w:tab w:leader="none" w:pos="125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at any time, (i) other than as a result of fluctuations in currency exchange rates, the aggregate principal Dollar Amount of the Total Revolving Credit Exposure (calculated, with respect to those Credit Events denominated in Foreign Currencies, as of the most recent Computation Date with respect to each such Credit Event) exceeds the Aggregate Commitment or (ii) solely as a result of fluctuations in currency exchange rates, the aggregate principal Dollar Amount of the Total Revolving Credit Exposure (so calculated) exceeds 105% of the Aggregate Commitment, the Borrower shall in each case immediately repay Borrowings or cash collateralize LC Exposure in an account with the Administrative Agent pursuant to</w:t>
      </w:r>
    </w:p>
    <w:p>
      <w:pPr>
        <w:spacing w:after="0" w:line="1" w:lineRule="exact"/>
        <w:rPr>
          <w:rFonts w:ascii="Arial" w:cs="Arial" w:eastAsia="Arial" w:hAnsi="Arial"/>
          <w:sz w:val="16"/>
          <w:szCs w:val="16"/>
          <w:color w:val="auto"/>
        </w:rPr>
      </w:pPr>
    </w:p>
    <w:p>
      <w:pPr>
        <w:ind w:left="4" w:right="80"/>
        <w:spacing w:after="0" w:line="260" w:lineRule="auto"/>
        <w:rPr>
          <w:rFonts w:ascii="Arial" w:cs="Arial" w:eastAsia="Arial" w:hAnsi="Arial"/>
          <w:sz w:val="16"/>
          <w:szCs w:val="16"/>
          <w:color w:val="auto"/>
        </w:rPr>
      </w:pPr>
      <w:r>
        <w:rPr>
          <w:rFonts w:ascii="Arial" w:cs="Arial" w:eastAsia="Arial" w:hAnsi="Arial"/>
          <w:sz w:val="18"/>
          <w:szCs w:val="18"/>
          <w:color w:val="auto"/>
        </w:rPr>
        <w:t>Section 2.06(j), as applicable, in an aggregate principal amount sufficient to cause the aggregate Dollar Amount of the Total Revolving Credit Exposure (so calculated) to be less than or equal to the Aggregate Commitment.</w:t>
      </w:r>
    </w:p>
    <w:p>
      <w:pPr>
        <w:spacing w:after="0" w:line="185" w:lineRule="exact"/>
        <w:rPr>
          <w:sz w:val="20"/>
          <w:szCs w:val="20"/>
          <w:color w:val="auto"/>
        </w:rPr>
      </w:pPr>
    </w:p>
    <w:p>
      <w:pPr>
        <w:ind w:left="4" w:right="160" w:firstLine="991"/>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(a) The Borrower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provided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Facility fees accrued through and including the last day of March, June, September and December of each year shall be payable in arrears on the fifteenth (15</w:t>
      </w:r>
      <w:r>
        <w:rPr>
          <w:rFonts w:ascii="Arial" w:cs="Arial" w:eastAsia="Arial" w:hAnsi="Arial"/>
          <w:sz w:val="15"/>
          <w:szCs w:val="15"/>
          <w:color w:val="auto"/>
        </w:rPr>
        <w:t>th</w:t>
      </w:r>
      <w:r>
        <w:rPr>
          <w:rFonts w:ascii="Arial" w:cs="Arial" w:eastAsia="Arial" w:hAnsi="Arial"/>
          <w:sz w:val="18"/>
          <w:szCs w:val="18"/>
          <w:color w:val="auto"/>
        </w:rPr>
        <w:t>) day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4" w:right="439" w:bottom="1440" w:gutter="0" w:footer="0" w:header="0"/>
        </w:sectPr>
      </w:pPr>
    </w:p>
    <w:bookmarkStart w:id="54" w:name="page55"/>
    <w:bookmarkEnd w:id="5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such last day and on the date on which the Commitments terminate, commencing on the first such date to occur after the date hereof; provided that any facility fees accruing after the date on which the Commitments terminate shall be payable on demand. All facility fees shall be computed on the basis of a year of 360 days and shall be payable for the actual number of days elapsed (including the first day and the last day of each period but excluding the date on which the Commitments terminate).</w:t>
      </w:r>
    </w:p>
    <w:p>
      <w:pPr>
        <w:spacing w:after="0" w:line="187" w:lineRule="exact"/>
        <w:rPr>
          <w:sz w:val="20"/>
          <w:szCs w:val="20"/>
          <w:color w:val="auto"/>
        </w:rPr>
      </w:pPr>
    </w:p>
    <w:p>
      <w:pPr>
        <w:ind w:firstLine="987"/>
        <w:spacing w:after="0" w:line="285" w:lineRule="auto"/>
        <w:tabs>
          <w:tab w:leader="none" w:pos="12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Borrower agrees to pay (i) to the Administrative Agent for the account of each Lender a participation fee with respect to its participations in each outstanding Letter of Credit, which shall accrue on the Dollar Amount of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of 0.125% per annum on the Dollar Amount of the daily maximum stated amount then available to be drawn under each Letter of Credit issued by such Issuing Bank, during the period from and including the Effective Date to but excluding the later of the date of termination of the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(15</w:t>
      </w:r>
      <w:r>
        <w:rPr>
          <w:rFonts w:ascii="Arial" w:cs="Arial" w:eastAsia="Arial" w:hAnsi="Arial"/>
          <w:sz w:val="13"/>
          <w:szCs w:val="13"/>
          <w:color w:val="auto"/>
        </w:rPr>
        <w:t>th</w:t>
      </w:r>
      <w:r>
        <w:rPr>
          <w:rFonts w:ascii="Arial" w:cs="Arial" w:eastAsia="Arial" w:hAnsi="Arial"/>
          <w:sz w:val="16"/>
          <w:szCs w:val="16"/>
          <w:color w:val="auto"/>
        </w:rPr>
        <w:t xml:space="preserve">) day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w:t>
      </w:r>
    </w:p>
    <w:p>
      <w:pPr>
        <w:spacing w:after="0" w:line="173" w:lineRule="exact"/>
        <w:rPr>
          <w:rFonts w:ascii="Arial" w:cs="Arial" w:eastAsia="Arial" w:hAnsi="Arial"/>
          <w:sz w:val="16"/>
          <w:szCs w:val="16"/>
          <w:color w:val="auto"/>
        </w:rPr>
      </w:pPr>
    </w:p>
    <w:p>
      <w:pPr>
        <w:ind w:right="180" w:firstLine="987"/>
        <w:spacing w:after="0" w:line="277" w:lineRule="auto"/>
        <w:tabs>
          <w:tab w:leader="none" w:pos="12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jc w:val="both"/>
        <w:ind w:right="120" w:firstLine="987"/>
        <w:spacing w:after="0" w:line="263" w:lineRule="auto"/>
        <w:tabs>
          <w:tab w:leader="none" w:pos="12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(except as otherwise expressly provided in this Section 2.12) and immediately available funds, to the Administrative Agent (or to an Issuing Bank, in the case of fees payable to it) for distribution, in the case of facility fees and participation fees, to the Lenders. Fees paid shall not be refundable under any circumstances.</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Each Swingline Loan shall bear interest at the Adjusted Term SOFR Rate for a one month Interest Period on the applicable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Term Benchmark Borrowings.</w:t>
      </w:r>
    </w:p>
    <w:p>
      <w:pPr>
        <w:spacing w:after="0" w:line="184" w:lineRule="exact"/>
        <w:rPr>
          <w:sz w:val="20"/>
          <w:szCs w:val="20"/>
          <w:color w:val="auto"/>
        </w:rPr>
      </w:pPr>
    </w:p>
    <w:p>
      <w:pPr>
        <w:ind w:right="180" w:firstLine="987"/>
        <w:spacing w:after="0" w:line="342" w:lineRule="auto"/>
        <w:tabs>
          <w:tab w:leader="none" w:pos="12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Loans comprising each Term Benchmark Borrowing shall bear interest at the Adjusted Term SOFR Rate, the Adjusted EURIBO Rate, the Adjusted TIBO Rate or the CDOR Rate, as applicable, for the Interest Period in effect for such Borrowing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spacing w:after="0" w:line="123" w:lineRule="exact"/>
        <w:rPr>
          <w:rFonts w:ascii="Arial" w:cs="Arial" w:eastAsia="Arial" w:hAnsi="Arial"/>
          <w:sz w:val="16"/>
          <w:szCs w:val="16"/>
          <w:color w:val="auto"/>
        </w:rPr>
      </w:pPr>
    </w:p>
    <w:p>
      <w:pPr>
        <w:ind w:left="5420" w:right="260" w:hanging="4433"/>
        <w:spacing w:after="0" w:line="449" w:lineRule="auto"/>
        <w:tabs>
          <w:tab w:leader="none" w:pos="12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Each RFR Loan shall bear interest at a rate per annum equal to the applicable Adjusted Daily Simple RFR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47</w:t>
      </w:r>
    </w:p>
    <w:p>
      <w:pPr>
        <w:sectPr>
          <w:pgSz w:w="11900" w:h="16838" w:orient="portrait"/>
          <w:cols w:equalWidth="0" w:num="1">
            <w:col w:w="11000"/>
          </w:cols>
          <w:pgMar w:left="440" w:top="274" w:right="459" w:bottom="1440" w:gutter="0" w:footer="0" w:header="0"/>
        </w:sectPr>
      </w:pPr>
    </w:p>
    <w:bookmarkStart w:id="55" w:name="page56"/>
    <w:bookmarkEnd w:id="55"/>
    <w:p>
      <w:pPr>
        <w:ind w:left="-60" w:right="260" w:firstLine="987"/>
        <w:spacing w:after="0" w:line="257" w:lineRule="auto"/>
        <w:tabs>
          <w:tab w:leader="none" w:pos="1186"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7" w:lineRule="exact"/>
        <w:rPr>
          <w:rFonts w:ascii="Arial" w:cs="Arial" w:eastAsia="Arial" w:hAnsi="Arial"/>
          <w:sz w:val="18"/>
          <w:szCs w:val="18"/>
          <w:color w:val="auto"/>
        </w:rPr>
      </w:pPr>
    </w:p>
    <w:p>
      <w:pPr>
        <w:ind w:left="-60" w:firstLine="987"/>
        <w:spacing w:after="0" w:line="255" w:lineRule="auto"/>
        <w:tabs>
          <w:tab w:leader="none" w:pos="11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92" w:lineRule="exact"/>
        <w:rPr>
          <w:rFonts w:ascii="Arial" w:cs="Arial" w:eastAsia="Arial" w:hAnsi="Arial"/>
          <w:sz w:val="18"/>
          <w:szCs w:val="18"/>
          <w:color w:val="auto"/>
        </w:rPr>
      </w:pPr>
    </w:p>
    <w:p>
      <w:pPr>
        <w:ind w:left="-60" w:right="40" w:firstLine="987"/>
        <w:spacing w:after="0" w:line="291" w:lineRule="auto"/>
        <w:tabs>
          <w:tab w:leader="none" w:pos="1156"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Daily Simple RFR with respect to Pounds Sterling, the TIBO Rate, the CDOR Rate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EURIBO Rate, EURIBO Rate, Adjusted TIBO Rate, TIBO Rate, CDOR Rate, Adjusted Daily Simple RFR or Daily Simple RFR shall be determined by the Administrative Agent, and such determination shall be conclusive absent manifest error.</w:t>
      </w:r>
    </w:p>
    <w:p>
      <w:pPr>
        <w:spacing w:after="0" w:line="166" w:lineRule="exact"/>
        <w:rPr>
          <w:rFonts w:ascii="Arial" w:cs="Arial" w:eastAsia="Arial" w:hAnsi="Arial"/>
          <w:sz w:val="16"/>
          <w:szCs w:val="16"/>
          <w:color w:val="auto"/>
        </w:rPr>
      </w:pPr>
    </w:p>
    <w:p>
      <w:pPr>
        <w:ind w:left="-60" w:right="80" w:firstLine="987"/>
        <w:spacing w:after="0" w:line="277" w:lineRule="auto"/>
        <w:tabs>
          <w:tab w:leader="none" w:pos="11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in respect of Loans denominated in Dollars shall be paid in Dollars, and interest in respect of Loans denominated in a Foreign Currency shall be paid in such Foreign Currency.</w:t>
      </w:r>
    </w:p>
    <w:p>
      <w:pPr>
        <w:spacing w:after="0" w:line="2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1180" w:hanging="253"/>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clauses (b), (c), (d), (e) and (f) of this Section 2.14, if:</w:t>
      </w:r>
    </w:p>
    <w:p>
      <w:pPr>
        <w:spacing w:after="0" w:line="117" w:lineRule="exact"/>
        <w:rPr>
          <w:rFonts w:ascii="Arial" w:cs="Arial" w:eastAsia="Arial" w:hAnsi="Arial"/>
          <w:sz w:val="18"/>
          <w:szCs w:val="18"/>
          <w:color w:val="auto"/>
        </w:rPr>
      </w:pPr>
    </w:p>
    <w:p>
      <w:pPr>
        <w:ind w:left="380" w:right="40" w:firstLine="948"/>
        <w:spacing w:after="0" w:line="255" w:lineRule="auto"/>
        <w:tabs>
          <w:tab w:leader="none" w:pos="15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 Rate, the EURIBO Rate, the Adjusted TIBO Rate, the TIBO Rate or the CDOR Rate (including because the Relevant Screen Rate is not available or published on a current basis) for the applicable currency and such Interest Period or (B) at any time, that adequate and reasonable means do not exist for ascertaining the applicable Adjusted Daily Simple RFR, Daily Simple RFR or RFR for the applicable Agreed Currency; or</w:t>
      </w:r>
    </w:p>
    <w:p>
      <w:pPr>
        <w:spacing w:after="0" w:line="84" w:lineRule="exact"/>
        <w:rPr>
          <w:rFonts w:ascii="Arial" w:cs="Arial" w:eastAsia="Arial" w:hAnsi="Arial"/>
          <w:sz w:val="18"/>
          <w:szCs w:val="18"/>
          <w:color w:val="auto"/>
        </w:rPr>
      </w:pPr>
    </w:p>
    <w:p>
      <w:pPr>
        <w:ind w:left="380" w:right="20" w:firstLine="948"/>
        <w:spacing w:after="0" w:line="273" w:lineRule="auto"/>
        <w:tabs>
          <w:tab w:leader="none" w:pos="1597"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(A) prior to the commencement of any Interest Period for a Term Benchmark Borrowing, the Adjusted Term SOFR Rate, the Adjusted EURIBO Rate, the Adjusted TIBO Rate or the CDOR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00"/>
          </w:cols>
          <w:pgMar w:left="500" w:top="274" w:right="499" w:bottom="1440" w:gutter="0" w:footer="0" w:header="0"/>
        </w:sectPr>
      </w:pPr>
    </w:p>
    <w:bookmarkStart w:id="56" w:name="page57"/>
    <w:bookmarkEnd w:id="5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(B) for Loans denominated in Canadian Dollars,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a Loan that bears interest at the Canadian Prime Rate plus the Applicable Rate applicable to ABR Loans and (C) for Loans denominated in a Foreign Currency other than Canadian Dollars,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(B) for Term Benchmark Loans denominated in Canadian Dollars, on the last day of the Interest Period applicable to such Term Benchmark Loan (or the next succeeding Business Day if such day is not a Business Day) such Term Benchmark Loan shall be converted by the Administrative Agent to, and shall constitute, a Loan that bears interest at the Canadian Prime Rate plus the Applicable Rate applicable to ABR Loans and (C) for Loans denominated in a Foreign Currency other than Canadian Dollars,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such Foreign Currency shall, at the Borrower’s election prior to such day: (A) be prepaid by the 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57" w:name="page58"/>
    <w:bookmarkEnd w:id="57"/>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rate applicable to Term Benchmark Loans denominated in Dollars at such time and (2) any RFR Loan shall bear interest at the Central Bank Rate for the applicable Foreign Currency plus the CBR Spread;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Amount of such Foreign Currency) immediately or (B) be prepaid in full immediately.</w:t>
      </w:r>
    </w:p>
    <w:p>
      <w:pPr>
        <w:spacing w:after="0" w:line="176" w:lineRule="exact"/>
        <w:rPr>
          <w:sz w:val="20"/>
          <w:szCs w:val="20"/>
          <w:color w:val="auto"/>
        </w:rPr>
      </w:pPr>
    </w:p>
    <w:p>
      <w:pPr>
        <w:ind w:left="4" w:firstLine="987"/>
        <w:spacing w:after="0" w:line="287" w:lineRule="auto"/>
        <w:tabs>
          <w:tab w:leader="none" w:pos="1250" w:val="left"/>
        </w:tabs>
        <w:numPr>
          <w:ilvl w:val="1"/>
          <w:numId w:val="58"/>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Arial" w:cs="Arial" w:eastAsia="Arial" w:hAnsi="Arial"/>
          <w:sz w:val="16"/>
          <w:szCs w:val="16"/>
          <w:color w:val="auto"/>
        </w:rPr>
      </w:pPr>
    </w:p>
    <w:p>
      <w:pPr>
        <w:jc w:val="both"/>
        <w:ind w:left="4" w:right="100" w:firstLine="987"/>
        <w:spacing w:after="0" w:line="259" w:lineRule="auto"/>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Borrower and the Lenders of (i) any occurrence of a Benchmark Transition Event,</w:t>
      </w:r>
    </w:p>
    <w:p>
      <w:pPr>
        <w:spacing w:after="0" w:line="46" w:lineRule="exact"/>
        <w:rPr>
          <w:rFonts w:ascii="Arial" w:cs="Arial" w:eastAsia="Arial" w:hAnsi="Arial"/>
          <w:sz w:val="16"/>
          <w:szCs w:val="16"/>
          <w:color w:val="auto"/>
        </w:rPr>
      </w:pPr>
    </w:p>
    <w:p>
      <w:pPr>
        <w:ind w:left="4" w:hanging="4"/>
        <w:spacing w:after="0" w:line="252"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92" w:lineRule="exact"/>
        <w:rPr>
          <w:rFonts w:ascii="Arial" w:cs="Arial" w:eastAsia="Arial" w:hAnsi="Arial"/>
          <w:sz w:val="18"/>
          <w:szCs w:val="18"/>
          <w:color w:val="auto"/>
        </w:rPr>
      </w:pPr>
    </w:p>
    <w:p>
      <w:pPr>
        <w:ind w:left="4" w:firstLine="987"/>
        <w:spacing w:after="0" w:line="273" w:lineRule="auto"/>
        <w:tabs>
          <w:tab w:leader="none" w:pos="12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the Term SOFR Rate, the EURIBO Rate, the TIBO Rate or the CDOR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58" w:name="page59"/>
    <w:bookmarkEnd w:id="5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settings at or after such time to remove such unavailable or non-representative tenor and (ii) if a tenor that was removed pursuant to clause</w:t>
      </w:r>
    </w:p>
    <w:p>
      <w:pPr>
        <w:spacing w:after="0" w:line="46" w:lineRule="exact"/>
        <w:rPr>
          <w:sz w:val="20"/>
          <w:szCs w:val="20"/>
          <w:color w:val="auto"/>
        </w:rPr>
      </w:pPr>
    </w:p>
    <w:p>
      <w:pPr>
        <w:ind w:left="4" w:right="200" w:hanging="4"/>
        <w:spacing w:after="0" w:line="253" w:lineRule="auto"/>
        <w:tabs>
          <w:tab w:leader="none" w:pos="2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2" w:lineRule="exact"/>
        <w:rPr>
          <w:rFonts w:ascii="Arial" w:cs="Arial" w:eastAsia="Arial" w:hAnsi="Arial"/>
          <w:sz w:val="18"/>
          <w:szCs w:val="18"/>
          <w:color w:val="auto"/>
        </w:rPr>
      </w:pPr>
    </w:p>
    <w:p>
      <w:pPr>
        <w:ind w:left="4" w:right="40" w:firstLine="987"/>
        <w:spacing w:after="0" w:line="283" w:lineRule="auto"/>
        <w:tabs>
          <w:tab w:leader="none" w:pos="12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any Term Benchmark Loan shall on the last day of the Interest Period applicable to such Loan (or the next succeeding Business Day if such day is not a Business Day), be converted by the Administrative Agent to, and shall constitute,</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(B) for Loans denominated in Canadian Dollars, on the last day of the Interest Period applicable to such Term Benchmark Loan (or the next succeeding Business Day if such day is not a Business Day) such Term Benchmark Loan shall be converted by the Administrative Agent to, and shall constitute, a Loan that bears interest at the Canadian Prime Rate plus the Applicable Rate applicable to ABR Loans and (C) for Loans denominated in a Foreign Currency other than Canadian Dollars,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Amount of such Foreign Currency) immediately or (B) be prepaid in full immediately.</w:t>
      </w: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59" w:name="page60"/>
    <w:bookmarkEnd w:id="5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1080" w:hanging="221"/>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liquidity or similar requirement (including any compulsory loan</w:t>
      </w:r>
    </w:p>
    <w:p>
      <w:pPr>
        <w:spacing w:after="0" w:line="34" w:lineRule="exact"/>
        <w:rPr>
          <w:rFonts w:ascii="Arial" w:cs="Arial" w:eastAsia="Arial" w:hAnsi="Arial"/>
          <w:sz w:val="17"/>
          <w:szCs w:val="17"/>
          <w:color w:val="auto"/>
        </w:rPr>
      </w:pPr>
    </w:p>
    <w:p>
      <w:pPr>
        <w:ind w:left="440"/>
        <w:spacing w:after="0" w:line="255" w:lineRule="auto"/>
        <w:rPr>
          <w:rFonts w:ascii="Arial" w:cs="Arial" w:eastAsia="Arial" w:hAnsi="Arial"/>
          <w:sz w:val="17"/>
          <w:szCs w:val="17"/>
          <w:color w:val="auto"/>
        </w:rPr>
      </w:pPr>
      <w:r>
        <w:rPr>
          <w:rFonts w:ascii="Arial" w:cs="Arial" w:eastAsia="Arial" w:hAnsi="Arial"/>
          <w:sz w:val="18"/>
          <w:szCs w:val="18"/>
          <w:color w:val="auto"/>
        </w:rPr>
        <w:t>requirement, insurance charge or other assessment) against assets of, deposits with or for the account of, or credit extended by, any Lender (except any such reserve requirement reflected in the Adjusted Term SOFR Rate, the Adjusted EURIBO Rate or the Adjusted TIBO Rate, as applicable) or any Issuing Bank;</w:t>
      </w:r>
    </w:p>
    <w:p>
      <w:pPr>
        <w:spacing w:after="0" w:line="81" w:lineRule="exact"/>
        <w:rPr>
          <w:rFonts w:ascii="Arial" w:cs="Arial" w:eastAsia="Arial" w:hAnsi="Arial"/>
          <w:sz w:val="17"/>
          <w:szCs w:val="17"/>
          <w:color w:val="auto"/>
        </w:rPr>
      </w:pPr>
    </w:p>
    <w:p>
      <w:pPr>
        <w:ind w:left="440" w:right="300" w:firstLine="419"/>
        <w:spacing w:after="0" w:line="263" w:lineRule="auto"/>
        <w:tabs>
          <w:tab w:leader="none" w:pos="11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75" w:lineRule="exact"/>
        <w:rPr>
          <w:rFonts w:ascii="Arial" w:cs="Arial" w:eastAsia="Arial" w:hAnsi="Arial"/>
          <w:sz w:val="18"/>
          <w:szCs w:val="18"/>
          <w:color w:val="auto"/>
        </w:rPr>
      </w:pPr>
    </w:p>
    <w:p>
      <w:pPr>
        <w:jc w:val="both"/>
        <w:ind w:left="440" w:firstLine="419"/>
        <w:spacing w:after="0" w:line="263" w:lineRule="auto"/>
        <w:tabs>
          <w:tab w:leader="none" w:pos="11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spacing w:after="0" w:line="185" w:lineRule="exact"/>
        <w:rPr>
          <w:sz w:val="20"/>
          <w:szCs w:val="20"/>
          <w:color w:val="auto"/>
        </w:rPr>
      </w:pPr>
    </w:p>
    <w:p>
      <w:pPr>
        <w:ind w:right="100" w:firstLine="987"/>
        <w:spacing w:after="0" w:line="271" w:lineRule="auto"/>
        <w:tabs>
          <w:tab w:leader="none" w:pos="12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178" w:lineRule="exact"/>
        <w:rPr>
          <w:rFonts w:ascii="Arial" w:cs="Arial" w:eastAsia="Arial" w:hAnsi="Arial"/>
          <w:sz w:val="17"/>
          <w:szCs w:val="17"/>
          <w:color w:val="auto"/>
        </w:rPr>
      </w:pPr>
    </w:p>
    <w:p>
      <w:pPr>
        <w:ind w:right="80" w:firstLine="987"/>
        <w:spacing w:after="0" w:line="279" w:lineRule="auto"/>
        <w:tabs>
          <w:tab w:leader="none" w:pos="12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certificate of a Lender or Issuing Bank setting forth the amount or amounts, and a calculation in reasonable detail of such amount or amounts, necessary to compensate such Lender or Issuing Bank or its holding company, as the case may be, as specified in paragraph (a) or (b) of this Section shall be delivered to the Borrower and shall be conclusive absent manifest error. The Borrower shall pay such Lender or Issuing Bank, as the case may be, the amount shown as due on any such certificate within ten (10) days after receipt thereof.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60" w:name="page61"/>
    <w:bookmarkEnd w:id="60"/>
    <w:p>
      <w:pPr>
        <w:ind w:right="20" w:firstLine="987"/>
        <w:spacing w:after="0" w:line="273" w:lineRule="auto"/>
        <w:tabs>
          <w:tab w:leader="none" w:pos="1246" w:val="left"/>
        </w:tabs>
        <w:numPr>
          <w:ilvl w:val="0"/>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Borrower pursuant to Section 2.19 or 9.02(d) or (v)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(which shall not include any loss of anticipated profits). A certificate of any Lender setting forth any amount or amounts, and a calculation in reasonable detail of such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78" w:lineRule="exact"/>
        <w:rPr>
          <w:rFonts w:ascii="Arial" w:cs="Arial" w:eastAsia="Arial" w:hAnsi="Arial"/>
          <w:sz w:val="17"/>
          <w:szCs w:val="17"/>
          <w:color w:val="auto"/>
        </w:rPr>
      </w:pPr>
    </w:p>
    <w:p>
      <w:pPr>
        <w:ind w:right="40" w:firstLine="987"/>
        <w:spacing w:after="0" w:line="288" w:lineRule="auto"/>
        <w:tabs>
          <w:tab w:leader="none" w:pos="12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respect to RFR Loans, in the event of (i) the payment of any principal of any RFR Loan other than on the Interest Payment 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Borrower pursuant to Section 2.19 or 9.02(d)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and a calculation in reasonable detail of such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6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1" w:name="page62"/>
    <w:bookmarkEnd w:id="6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7" w:lineRule="exact"/>
        <w:rPr>
          <w:sz w:val="20"/>
          <w:szCs w:val="20"/>
          <w:color w:val="auto"/>
        </w:rPr>
      </w:pPr>
    </w:p>
    <w:p>
      <w:pPr>
        <w:ind w:right="200" w:firstLine="987"/>
        <w:spacing w:after="0" w:line="27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Other Taxes.</w:t>
      </w:r>
    </w:p>
    <w:p>
      <w:pPr>
        <w:spacing w:after="0" w:line="170" w:lineRule="exact"/>
        <w:rPr>
          <w:rFonts w:ascii="Arial" w:cs="Arial" w:eastAsia="Arial" w:hAnsi="Arial"/>
          <w:sz w:val="18"/>
          <w:szCs w:val="18"/>
          <w:color w:val="auto"/>
        </w:rPr>
      </w:pPr>
    </w:p>
    <w:p>
      <w:pPr>
        <w:ind w:right="260" w:firstLine="987"/>
        <w:spacing w:after="0" w:line="259" w:lineRule="auto"/>
        <w:tabs>
          <w:tab w:leader="none" w:pos="123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firstLine="987"/>
        <w:spacing w:after="0" w:line="273" w:lineRule="auto"/>
        <w:tabs>
          <w:tab w:leader="none" w:pos="124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auto"/>
        </w:rPr>
      </w:pPr>
    </w:p>
    <w:p>
      <w:pPr>
        <w:ind w:right="80" w:firstLine="987"/>
        <w:spacing w:after="0" w:line="269" w:lineRule="auto"/>
        <w:tabs>
          <w:tab w:leader="none" w:pos="123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5" w:lineRule="exact"/>
        <w:rPr>
          <w:rFonts w:ascii="Arial" w:cs="Arial" w:eastAsia="Arial" w:hAnsi="Arial"/>
          <w:sz w:val="17"/>
          <w:szCs w:val="17"/>
          <w:color w:val="auto"/>
        </w:rPr>
      </w:pPr>
    </w:p>
    <w:p>
      <w:pPr>
        <w:ind w:right="60" w:firstLine="987"/>
        <w:spacing w:after="0" w:line="291" w:lineRule="auto"/>
        <w:tabs>
          <w:tab w:leader="none" w:pos="121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2" w:name="page63"/>
    <w:bookmarkEnd w:id="62"/>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6" w:lineRule="exact"/>
        <w:rPr>
          <w:sz w:val="20"/>
          <w:szCs w:val="20"/>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980" w:right="20" w:firstLine="408"/>
        <w:spacing w:after="0" w:line="259" w:lineRule="auto"/>
        <w:tabs>
          <w:tab w:leader="none" w:pos="167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80" w:right="300" w:firstLine="408"/>
        <w:spacing w:after="0" w:line="259" w:lineRule="auto"/>
        <w:tabs>
          <w:tab w:leader="none" w:pos="166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9" w:lineRule="exact"/>
        <w:rPr>
          <w:sz w:val="20"/>
          <w:szCs w:val="20"/>
          <w:color w:val="auto"/>
        </w:rPr>
      </w:pPr>
    </w:p>
    <w:p>
      <w:pPr>
        <w:jc w:val="both"/>
        <w:ind w:left="1420" w:firstLine="8"/>
        <w:spacing w:after="0" w:line="287" w:lineRule="auto"/>
        <w:tabs>
          <w:tab w:leader="none" w:pos="16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w:t>
      </w:r>
    </w:p>
    <w:p>
      <w:pPr>
        <w:spacing w:after="0" w:line="2" w:lineRule="exact"/>
        <w:rPr>
          <w:rFonts w:ascii="Arial" w:cs="Arial" w:eastAsia="Arial" w:hAnsi="Arial"/>
          <w:sz w:val="16"/>
          <w:szCs w:val="16"/>
          <w:color w:val="auto"/>
        </w:rPr>
      </w:pPr>
    </w:p>
    <w:p>
      <w:pPr>
        <w:ind w:left="1420"/>
        <w:spacing w:after="0" w:line="255" w:lineRule="auto"/>
        <w:rPr>
          <w:rFonts w:ascii="Arial" w:cs="Arial" w:eastAsia="Arial" w:hAnsi="Arial"/>
          <w:sz w:val="16"/>
          <w:szCs w:val="16"/>
          <w:color w:val="auto"/>
        </w:rPr>
      </w:pPr>
      <w:r>
        <w:rPr>
          <w:rFonts w:ascii="Arial" w:cs="Arial" w:eastAsia="Arial" w:hAnsi="Arial"/>
          <w:sz w:val="18"/>
          <w:szCs w:val="18"/>
          <w:color w:val="auto"/>
        </w:rPr>
        <w:t>(y)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81" w:lineRule="exact"/>
        <w:rPr>
          <w:rFonts w:ascii="Arial" w:cs="Arial" w:eastAsia="Arial" w:hAnsi="Arial"/>
          <w:sz w:val="16"/>
          <w:szCs w:val="16"/>
          <w:color w:val="auto"/>
        </w:rPr>
      </w:pPr>
    </w:p>
    <w:p>
      <w:pPr>
        <w:ind w:left="1420" w:right="40" w:firstLine="8"/>
        <w:spacing w:after="0" w:line="277" w:lineRule="auto"/>
        <w:tabs>
          <w:tab w:leader="none" w:pos="16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an executed copy of IRS Form W-8ECI;</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14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(x) a certificate substantially in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(y) an executed copy of IRS Form W-8BEN or IRS Form W-8BEN-E; or</w:t>
      </w:r>
    </w:p>
    <w:p>
      <w:pPr>
        <w:spacing w:after="0" w:line="102" w:lineRule="exact"/>
        <w:rPr>
          <w:rFonts w:ascii="Arial" w:cs="Arial" w:eastAsia="Arial" w:hAnsi="Arial"/>
          <w:sz w:val="16"/>
          <w:szCs w:val="16"/>
          <w:color w:val="auto"/>
        </w:rPr>
      </w:pPr>
    </w:p>
    <w:p>
      <w:pPr>
        <w:ind w:left="1420" w:firstLine="8"/>
        <w:spacing w:after="0" w:line="255" w:lineRule="auto"/>
        <w:tabs>
          <w:tab w:leader="none" w:pos="16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copy of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F-3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F-4</w:t>
      </w:r>
      <w:r>
        <w:rPr>
          <w:rFonts w:ascii="Arial" w:cs="Arial" w:eastAsia="Arial" w:hAnsi="Arial"/>
          <w:sz w:val="18"/>
          <w:szCs w:val="18"/>
          <w:color w:val="auto"/>
        </w:rPr>
        <w:t xml:space="preserve"> on behalf of each such direct and indirect partner;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3" w:name="page64"/>
    <w:bookmarkEnd w:id="63"/>
    <w:p>
      <w:pPr>
        <w:ind w:left="980" w:right="160" w:firstLine="408"/>
        <w:spacing w:after="0" w:line="293" w:lineRule="auto"/>
        <w:tabs>
          <w:tab w:leader="none" w:pos="1666"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80" w:right="20" w:firstLine="408"/>
        <w:spacing w:after="0" w:line="270" w:lineRule="auto"/>
        <w:tabs>
          <w:tab w:leader="none" w:pos="167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ind w:firstLine="987"/>
        <w:spacing w:after="0" w:line="268" w:lineRule="auto"/>
        <w:tabs>
          <w:tab w:leader="none" w:pos="124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4" w:name="page65"/>
    <w:bookmarkEnd w:id="64"/>
    <w:p>
      <w:pPr>
        <w:ind w:right="180" w:firstLine="987"/>
        <w:spacing w:after="0" w:line="263"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Arial" w:cs="Arial" w:eastAsia="Arial" w:hAnsi="Arial"/>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2.17, the term “Lender” includes each Issuing Bank and the term “applicable law” includes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7" w:lineRule="auto"/>
        <w:tabs>
          <w:tab w:leader="none" w:pos="12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Borrower shall make each payment or prepayment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at the Applicable Time, in the city of the Administrative Agent’s Foreign Currency Payment Office for such currency, in each case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the Administrative Agent’s Foreign Currency Payment Office for such currency, except payments to be made directly to the applicable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Amount (as of the date of repayment) of such payment due, it being the intention of the parties hereto that the Borrower takes all risks of the imposition of any such currency control or exchange regulations. Without limiting the generality of the foregoing, the Administrative Agent may require that any payments due under this Agreement be made in the United States. If, for any reason, the Borrower is prohibited by any law from making any required payment hereunder in a Foreign Currency, the Borrower shall make such payment in Dollars in the Dollar Amount of the Foreign Currency payment amount.</w:t>
      </w:r>
    </w:p>
    <w:p>
      <w:pPr>
        <w:spacing w:after="0" w:line="182" w:lineRule="exact"/>
        <w:rPr>
          <w:rFonts w:ascii="Arial" w:cs="Arial" w:eastAsia="Arial" w:hAnsi="Arial"/>
          <w:sz w:val="17"/>
          <w:szCs w:val="17"/>
          <w:color w:val="auto"/>
        </w:rPr>
      </w:pPr>
    </w:p>
    <w:p>
      <w:pPr>
        <w:ind w:right="60" w:firstLine="987"/>
        <w:spacing w:after="0" w:line="275" w:lineRule="auto"/>
        <w:tabs>
          <w:tab w:leader="none" w:pos="1246"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65" w:name="page66"/>
    <w:bookmarkEnd w:id="65"/>
    <w:p>
      <w:pPr>
        <w:ind w:right="80" w:firstLine="987"/>
        <w:spacing w:after="0" w:line="284"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 2.03 or</w:t>
      </w:r>
    </w:p>
    <w:p>
      <w:pPr>
        <w:spacing w:after="0" w:line="2" w:lineRule="exact"/>
        <w:rPr>
          <w:rFonts w:ascii="Arial" w:cs="Arial" w:eastAsia="Arial" w:hAnsi="Arial"/>
          <w:sz w:val="16"/>
          <w:szCs w:val="16"/>
          <w:color w:val="auto"/>
        </w:rPr>
      </w:pPr>
    </w:p>
    <w:p>
      <w:pPr>
        <w:ind w:right="140"/>
        <w:spacing w:after="0" w:line="290" w:lineRule="auto"/>
        <w:rPr>
          <w:rFonts w:ascii="Arial" w:cs="Arial" w:eastAsia="Arial" w:hAnsi="Arial"/>
          <w:sz w:val="16"/>
          <w:szCs w:val="16"/>
          <w:color w:val="auto"/>
        </w:rPr>
      </w:pPr>
      <w:r>
        <w:rPr>
          <w:rFonts w:ascii="Arial" w:cs="Arial" w:eastAsia="Arial" w:hAnsi="Arial"/>
          <w:sz w:val="17"/>
          <w:szCs w:val="17"/>
          <w:color w:val="auto"/>
        </w:rPr>
        <w:t>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61" w:lineRule="exact"/>
        <w:rPr>
          <w:rFonts w:ascii="Arial" w:cs="Arial" w:eastAsia="Arial" w:hAnsi="Arial"/>
          <w:sz w:val="16"/>
          <w:szCs w:val="16"/>
          <w:color w:val="auto"/>
        </w:rPr>
      </w:pPr>
    </w:p>
    <w:p>
      <w:pPr>
        <w:ind w:firstLine="987"/>
        <w:spacing w:after="0" w:line="268" w:lineRule="auto"/>
        <w:tabs>
          <w:tab w:leader="none" w:pos="124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rFonts w:ascii="Arial" w:cs="Arial" w:eastAsia="Arial" w:hAnsi="Arial"/>
          <w:sz w:val="17"/>
          <w:szCs w:val="17"/>
          <w:color w:val="auto"/>
        </w:rPr>
      </w:pPr>
    </w:p>
    <w:p>
      <w:pPr>
        <w:ind w:firstLine="987"/>
        <w:spacing w:after="0" w:line="290"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prior to any date on which any payment is due to the Administrative Agent for the account of the Lenders or the Issuing Banks pursuant to the terms of this Agreement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6" w:name="page67"/>
    <w:bookmarkEnd w:id="66"/>
    <w:p>
      <w:pPr>
        <w:ind w:right="6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2.19.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(a) 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6" w:lineRule="exact"/>
        <w:rPr>
          <w:sz w:val="20"/>
          <w:szCs w:val="20"/>
          <w:color w:val="auto"/>
        </w:rPr>
      </w:pPr>
    </w:p>
    <w:p>
      <w:pPr>
        <w:ind w:right="20" w:firstLine="987"/>
        <w:spacing w:after="0" w:line="284" w:lineRule="auto"/>
        <w:tabs>
          <w:tab w:leader="none" w:pos="12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the other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Expansion Option</w:t>
      </w:r>
      <w:r>
        <w:rPr>
          <w:rFonts w:ascii="Arial" w:cs="Arial" w:eastAsia="Arial" w:hAnsi="Arial"/>
          <w:sz w:val="17"/>
          <w:szCs w:val="17"/>
          <w:color w:val="auto"/>
        </w:rPr>
        <w:t>. The Borrower may from time to time elect to increase the Commitments or enter into one or more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each case in a minimum amount of $25,000,000 and in increments of $1,000,000 in excess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thereof so long as, after giving effect thereto, the aggregate amount of such increases and all such Incremental Term Loans does not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$300,000,000. The Borrower may arrange for any such increase or tranche to be provided by one or more Lenders (each Lender so agreeing to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its Commitment, or to participate in such Incremental Term Loans, an “</w:t>
      </w:r>
      <w:r>
        <w:rPr>
          <w:rFonts w:ascii="Arial" w:cs="Arial" w:eastAsia="Arial" w:hAnsi="Arial"/>
          <w:sz w:val="17"/>
          <w:szCs w:val="17"/>
          <w:u w:val="single" w:color="auto"/>
          <w:color w:val="auto"/>
        </w:rPr>
        <w:t>Increasing Lender</w:t>
      </w:r>
      <w:r>
        <w:rPr>
          <w:rFonts w:ascii="Arial" w:cs="Arial" w:eastAsia="Arial" w:hAnsi="Arial"/>
          <w:sz w:val="17"/>
          <w:szCs w:val="17"/>
          <w:color w:val="auto"/>
        </w:rPr>
        <w:t>”), or by one or more new banks,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institutions or other entities (each such new bank, financial institution or other entity, an “</w:t>
      </w:r>
      <w:r>
        <w:rPr>
          <w:rFonts w:ascii="Arial" w:cs="Arial" w:eastAsia="Arial" w:hAnsi="Arial"/>
          <w:sz w:val="17"/>
          <w:szCs w:val="17"/>
          <w:u w:val="single" w:color="auto"/>
          <w:color w:val="auto"/>
        </w:rPr>
        <w:t>Augmenting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Ineligible Institution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be an Augmenting Lender), which agree to increase their existing Commitments, or to participate in such Incremental Term Loans, or provide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Borrower and the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Agent and (ii) (x) in the case of an Increasing Lender, the Borrower and such Increasing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7" w:name="page68"/>
    <w:bookmarkEnd w:id="67"/>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execute an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(y) in the case of an Augmenting Lender, the Borrower and such Augmenting Lender execute an agreement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No consent of any Lender (other than the Lenders participating in the increase or any Incremental Term Loan) shall be required for any increase in Commitments or Incremental Term Loan pursuant to this</w:t>
      </w:r>
    </w:p>
    <w:p>
      <w:pPr>
        <w:spacing w:after="0" w:line="2"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Section 2.20. Increases and new Commitments and Incremental Term Loans created pursuant to this Section 2.20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(x) the representations and warranties of the Borrower set forth in this Agreement shall be true and correct on and as of such date, both before and after giving effect to such increase or Incremental Term Loans, as though made on and as of such date, (y) at the time of and immediately after giving effect to such increase or Incremental Term Loans, no Default or Event of Default shall have occurred and be continuing, and (z) the Administrative Agent shall have received a certificate certifying the accuracy of the foregoing clauses (x) and (y) dated such date and executed by a Financial Officer of the Borrower and (ii) the Administrative Agent shall have received documents and opinions consistent with those delivered on the Effective Date as to the organizational power and authority of the Borrower to borrow hereunder after giving effect to such increase or Incremental Term Loan.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 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Section 2.03). The deemed payments made pursuant to clause</w:t>
      </w:r>
    </w:p>
    <w:p>
      <w:pPr>
        <w:spacing w:after="0" w:line="10" w:lineRule="exact"/>
        <w:rPr>
          <w:sz w:val="20"/>
          <w:szCs w:val="20"/>
          <w:color w:val="auto"/>
        </w:rPr>
      </w:pPr>
    </w:p>
    <w:p>
      <w:pPr>
        <w:ind w:left="4" w:right="120" w:hanging="4"/>
        <w:spacing w:after="0" w:line="281" w:lineRule="auto"/>
        <w:tabs>
          <w:tab w:leader="none" w:pos="269" w:val="left"/>
        </w:tabs>
        <w:numPr>
          <w:ilvl w:val="0"/>
          <w:numId w:val="75"/>
        </w:numPr>
        <w:rPr>
          <w:rFonts w:ascii="Arial" w:cs="Arial" w:eastAsia="Arial" w:hAnsi="Arial"/>
          <w:sz w:val="16"/>
          <w:szCs w:val="16"/>
          <w:color w:val="auto"/>
        </w:rPr>
      </w:pPr>
      <w:r>
        <w:rPr>
          <w:rFonts w:ascii="Arial" w:cs="Arial" w:eastAsia="Arial" w:hAnsi="Arial"/>
          <w:sz w:val="16"/>
          <w:szCs w:val="16"/>
          <w:color w:val="auto"/>
        </w:rPr>
        <w:t>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pari passu in right of payment with the Revolving Loans,</w:t>
      </w:r>
    </w:p>
    <w:p>
      <w:pPr>
        <w:spacing w:after="0" w:line="1" w:lineRule="exact"/>
        <w:rPr>
          <w:rFonts w:ascii="Arial" w:cs="Arial" w:eastAsia="Arial" w:hAnsi="Arial"/>
          <w:sz w:val="16"/>
          <w:szCs w:val="16"/>
          <w:color w:val="auto"/>
        </w:rPr>
      </w:pPr>
    </w:p>
    <w:p>
      <w:pPr>
        <w:ind w:left="4" w:right="140" w:hanging="4"/>
        <w:spacing w:after="0" w:line="267" w:lineRule="auto"/>
        <w:tabs>
          <w:tab w:leader="none" w:pos="2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shall not mature earlier than the Maturity Date (but may have amortization prior to such date) and (c) shall be treated substantially the same as (and in any event no more favorably than) the Revolving Loans; provided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Arial" w:cs="Arial" w:eastAsia="Arial" w:hAnsi="Arial"/>
          <w:sz w:val="17"/>
          <w:szCs w:val="17"/>
          <w:u w:val="single" w:color="auto"/>
          <w:color w:val="auto"/>
        </w:rPr>
        <w:t>Incremental Term Loan Amendment</w:t>
      </w:r>
      <w:r>
        <w:rPr>
          <w:rFonts w:ascii="Arial" w:cs="Arial" w:eastAsia="Arial" w:hAnsi="Arial"/>
          <w:sz w:val="17"/>
          <w:szCs w:val="17"/>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186"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from the Borrower hereunder in the currency expressed to be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68" w:name="page69"/>
    <w:bookmarkEnd w:id="6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w:t>
      </w:r>
    </w:p>
    <w:p>
      <w:pPr>
        <w:spacing w:after="0" w:line="17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240" w:hanging="253"/>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fees shall cease to accrue on the Commitment of such Defaulting Lender pursuant to Section 2.12(a);</w:t>
      </w:r>
    </w:p>
    <w:p>
      <w:pPr>
        <w:spacing w:after="0" w:line="225" w:lineRule="exact"/>
        <w:rPr>
          <w:rFonts w:ascii="Arial" w:cs="Arial" w:eastAsia="Arial" w:hAnsi="Arial"/>
          <w:sz w:val="18"/>
          <w:szCs w:val="18"/>
          <w:color w:val="auto"/>
        </w:rPr>
      </w:pPr>
    </w:p>
    <w:p>
      <w:pPr>
        <w:ind w:right="20" w:firstLine="987"/>
        <w:spacing w:after="0" w:line="285" w:lineRule="auto"/>
        <w:tabs>
          <w:tab w:leader="none" w:pos="12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any Issuing Bank or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LC Exposure with respect to such Defaulting Lender in accordance with this Section;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Banks or the Swingline Lender as a result of any judgment of a court of competent jurisdiction obtained by any Lender, the Issuing Banks or the Swingline Lender against such Defaulting Lender as a result of such Defaulting Lender’s breach of its obligations under this Agreement or under any other Loan Document; </w:t>
      </w:r>
      <w:r>
        <w:rPr>
          <w:rFonts w:ascii="Arial" w:cs="Arial" w:eastAsia="Arial" w:hAnsi="Arial"/>
          <w:sz w:val="16"/>
          <w:szCs w:val="16"/>
          <w:u w:val="single" w:color="auto"/>
          <w:color w:val="auto"/>
        </w:rPr>
        <w:t>seventh</w:t>
      </w:r>
      <w:r>
        <w:rPr>
          <w:rFonts w:ascii="Arial" w:cs="Arial" w:eastAsia="Arial" w:hAnsi="Arial"/>
          <w:sz w:val="16"/>
          <w:szCs w:val="16"/>
          <w:color w:val="auto"/>
        </w:rPr>
        <w:t>,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69" w:name="page70"/>
    <w:bookmarkEnd w:id="69"/>
    <w:p>
      <w:pPr>
        <w:ind w:left="4" w:right="160" w:hanging="4"/>
        <w:spacing w:after="0" w:line="291" w:lineRule="auto"/>
        <w:tabs>
          <w:tab w:leader="none" w:pos="259"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66" w:lineRule="exact"/>
        <w:rPr>
          <w:rFonts w:ascii="Arial" w:cs="Arial" w:eastAsia="Arial" w:hAnsi="Arial"/>
          <w:sz w:val="16"/>
          <w:szCs w:val="16"/>
          <w:color w:val="auto"/>
        </w:rPr>
      </w:pPr>
    </w:p>
    <w:p>
      <w:pPr>
        <w:jc w:val="both"/>
        <w:ind w:left="4" w:right="40" w:firstLine="987"/>
        <w:spacing w:after="0" w:line="301" w:lineRule="auto"/>
        <w:tabs>
          <w:tab w:leader="none" w:pos="1240" w:val="left"/>
        </w:tabs>
        <w:numPr>
          <w:ilvl w:val="3"/>
          <w:numId w:val="78"/>
        </w:numPr>
        <w:rPr>
          <w:rFonts w:ascii="Arial" w:cs="Arial" w:eastAsia="Arial" w:hAnsi="Arial"/>
          <w:sz w:val="16"/>
          <w:szCs w:val="16"/>
          <w:color w:val="auto"/>
        </w:rPr>
      </w:pPr>
      <w:r>
        <w:rPr>
          <w:rFonts w:ascii="Arial" w:cs="Arial" w:eastAsia="Arial" w:hAnsi="Arial"/>
          <w:sz w:val="16"/>
          <w:szCs w:val="16"/>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57" w:lineRule="exact"/>
        <w:rPr>
          <w:rFonts w:ascii="Arial" w:cs="Arial" w:eastAsia="Arial" w:hAnsi="Arial"/>
          <w:sz w:val="16"/>
          <w:szCs w:val="16"/>
          <w:color w:val="auto"/>
        </w:rPr>
      </w:pPr>
    </w:p>
    <w:p>
      <w:pPr>
        <w:ind w:left="1244" w:hanging="253"/>
        <w:spacing w:after="0"/>
        <w:tabs>
          <w:tab w:leader="none" w:pos="1244" w:val="left"/>
        </w:tabs>
        <w:numPr>
          <w:ilvl w:val="3"/>
          <w:numId w:val="78"/>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117" w:lineRule="exact"/>
        <w:rPr>
          <w:rFonts w:ascii="Arial" w:cs="Arial" w:eastAsia="Arial" w:hAnsi="Arial"/>
          <w:sz w:val="18"/>
          <w:szCs w:val="18"/>
          <w:color w:val="auto"/>
        </w:rPr>
      </w:pPr>
    </w:p>
    <w:p>
      <w:pPr>
        <w:jc w:val="both"/>
        <w:ind w:left="444" w:firstLine="419"/>
        <w:spacing w:after="0" w:line="301" w:lineRule="auto"/>
        <w:tabs>
          <w:tab w:leader="none" w:pos="1082" w:val="left"/>
        </w:tabs>
        <w:numPr>
          <w:ilvl w:val="2"/>
          <w:numId w:val="78"/>
        </w:numPr>
        <w:rPr>
          <w:rFonts w:ascii="Arial" w:cs="Arial" w:eastAsia="Arial" w:hAnsi="Arial"/>
          <w:sz w:val="16"/>
          <w:szCs w:val="16"/>
          <w:color w:val="auto"/>
        </w:rPr>
      </w:pPr>
      <w:r>
        <w:rPr>
          <w:rFonts w:ascii="Arial" w:cs="Arial" w:eastAsia="Arial" w:hAnsi="Arial"/>
          <w:sz w:val="16"/>
          <w:szCs w:val="16"/>
          <w:color w:val="auto"/>
        </w:rPr>
        <w:t>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w:t>
      </w:r>
    </w:p>
    <w:p>
      <w:pPr>
        <w:spacing w:after="0" w:line="49" w:lineRule="exact"/>
        <w:rPr>
          <w:rFonts w:ascii="Arial" w:cs="Arial" w:eastAsia="Arial" w:hAnsi="Arial"/>
          <w:sz w:val="16"/>
          <w:szCs w:val="16"/>
          <w:color w:val="auto"/>
        </w:rPr>
      </w:pPr>
    </w:p>
    <w:p>
      <w:pPr>
        <w:ind w:left="444" w:right="40" w:firstLine="419"/>
        <w:spacing w:after="0" w:line="257" w:lineRule="auto"/>
        <w:tabs>
          <w:tab w:leader="none" w:pos="1132"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(i) above cannot, or can only partially, be effected, the Borrower shall within one (1) Business Day following notice by the Administrative Agent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such Swingline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cash collateralize for the benefit of the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79" w:lineRule="exact"/>
        <w:rPr>
          <w:rFonts w:ascii="Arial" w:cs="Arial" w:eastAsia="Arial" w:hAnsi="Arial"/>
          <w:sz w:val="18"/>
          <w:szCs w:val="18"/>
          <w:color w:val="auto"/>
        </w:rPr>
      </w:pPr>
    </w:p>
    <w:p>
      <w:pPr>
        <w:ind w:left="444" w:right="60" w:firstLine="419"/>
        <w:spacing w:after="0" w:line="263" w:lineRule="auto"/>
        <w:tabs>
          <w:tab w:leader="none" w:pos="1182" w:val="left"/>
        </w:tabs>
        <w:numPr>
          <w:ilvl w:val="2"/>
          <w:numId w:val="78"/>
        </w:numPr>
        <w:rPr>
          <w:rFonts w:ascii="Arial" w:cs="Arial" w:eastAsia="Arial" w:hAnsi="Arial"/>
          <w:sz w:val="18"/>
          <w:szCs w:val="18"/>
          <w:color w:val="auto"/>
        </w:rPr>
      </w:pPr>
      <w:r>
        <w:rPr>
          <w:rFonts w:ascii="Arial" w:cs="Arial" w:eastAsia="Arial" w:hAnsi="Arial"/>
          <w:sz w:val="18"/>
          <w:szCs w:val="18"/>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75" w:lineRule="exact"/>
        <w:rPr>
          <w:rFonts w:ascii="Arial" w:cs="Arial" w:eastAsia="Arial" w:hAnsi="Arial"/>
          <w:sz w:val="18"/>
          <w:szCs w:val="18"/>
          <w:color w:val="auto"/>
        </w:rPr>
      </w:pPr>
    </w:p>
    <w:p>
      <w:pPr>
        <w:ind w:left="444" w:right="520" w:firstLine="419"/>
        <w:spacing w:after="0" w:line="308" w:lineRule="auto"/>
        <w:tabs>
          <w:tab w:leader="none" w:pos="1172" w:val="left"/>
        </w:tabs>
        <w:numPr>
          <w:ilvl w:val="2"/>
          <w:numId w:val="78"/>
        </w:numPr>
        <w:rPr>
          <w:rFonts w:ascii="Arial" w:cs="Arial" w:eastAsia="Arial" w:hAnsi="Arial"/>
          <w:sz w:val="17"/>
          <w:szCs w:val="17"/>
          <w:color w:val="auto"/>
        </w:rPr>
      </w:pPr>
      <w:r>
        <w:rPr>
          <w:rFonts w:ascii="Arial" w:cs="Arial" w:eastAsia="Arial" w:hAnsi="Arial"/>
          <w:sz w:val="17"/>
          <w:szCs w:val="17"/>
          <w:color w:val="auto"/>
        </w:rPr>
        <w:t>if the LC Exposure of the non-Defaulting Lenders is reallocated pursuant to clause (i) above, then the fees payable to the Lenders pursuant to Section 2.12(b) shall be adjusted in accordance with such non-Defaulting Lenders’ Applicable Percentages; and</w:t>
      </w:r>
    </w:p>
    <w:p>
      <w:pPr>
        <w:spacing w:after="0" w:line="38" w:lineRule="exact"/>
        <w:rPr>
          <w:rFonts w:ascii="Arial" w:cs="Arial" w:eastAsia="Arial" w:hAnsi="Arial"/>
          <w:sz w:val="17"/>
          <w:szCs w:val="17"/>
          <w:color w:val="auto"/>
        </w:rPr>
      </w:pPr>
    </w:p>
    <w:p>
      <w:pPr>
        <w:ind w:left="1124" w:hanging="261"/>
        <w:spacing w:after="0"/>
        <w:tabs>
          <w:tab w:leader="none" w:pos="1124" w:val="left"/>
        </w:tabs>
        <w:numPr>
          <w:ilvl w:val="2"/>
          <w:numId w:val="78"/>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is neither reallocated nor cash collateralized pursuant to clause (i) or</w:t>
      </w:r>
    </w:p>
    <w:p>
      <w:pPr>
        <w:spacing w:after="0" w:line="34" w:lineRule="exact"/>
        <w:rPr>
          <w:rFonts w:ascii="Arial" w:cs="Arial" w:eastAsia="Arial" w:hAnsi="Arial"/>
          <w:sz w:val="17"/>
          <w:szCs w:val="17"/>
          <w:color w:val="auto"/>
        </w:rPr>
      </w:pPr>
    </w:p>
    <w:p>
      <w:pPr>
        <w:ind w:left="444" w:right="60" w:hanging="4"/>
        <w:spacing w:after="0" w:line="273" w:lineRule="auto"/>
        <w:tabs>
          <w:tab w:leader="none" w:pos="709" w:val="left"/>
        </w:tabs>
        <w:numPr>
          <w:ilvl w:val="1"/>
          <w:numId w:val="78"/>
        </w:numPr>
        <w:rPr>
          <w:rFonts w:ascii="Arial" w:cs="Arial" w:eastAsia="Arial" w:hAnsi="Arial"/>
          <w:sz w:val="17"/>
          <w:szCs w:val="17"/>
          <w:color w:val="auto"/>
        </w:rPr>
      </w:pPr>
      <w:r>
        <w:rPr>
          <w:rFonts w:ascii="Arial" w:cs="Arial" w:eastAsia="Arial" w:hAnsi="Arial"/>
          <w:sz w:val="17"/>
          <w:szCs w:val="17"/>
          <w:color w:val="auto"/>
        </w:rPr>
        <w:t>above,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 until and to the extent that such LC Exposure is reallocated and/or cash collateralized; and</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0" w:name="page71"/>
    <w:bookmarkEnd w:id="70"/>
    <w:p>
      <w:pPr>
        <w:ind w:right="180" w:firstLine="987"/>
        <w:spacing w:after="0" w:line="255" w:lineRule="auto"/>
        <w:tabs>
          <w:tab w:leader="none" w:pos="123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2.22(d), and Swingline Exposure related to any such newly made Swingline Loan or LC Exposure related to any newly issued or increased Letter of Credit shall be allocated among non-Defaulting Lenders in a manner consistent with Section 2.22(d)(i) (and such Defaulting Lender shall not participate therein).</w:t>
      </w:r>
    </w:p>
    <w:p>
      <w:pPr>
        <w:spacing w:after="0" w:line="192" w:lineRule="exact"/>
        <w:rPr>
          <w:sz w:val="20"/>
          <w:szCs w:val="20"/>
          <w:color w:val="auto"/>
        </w:rPr>
      </w:pPr>
    </w:p>
    <w:p>
      <w:pPr>
        <w:ind w:right="140" w:firstLine="991"/>
        <w:spacing w:after="0" w:line="273" w:lineRule="auto"/>
        <w:rPr>
          <w:sz w:val="20"/>
          <w:szCs w:val="20"/>
          <w:color w:val="auto"/>
        </w:rPr>
      </w:pPr>
      <w:r>
        <w:rPr>
          <w:rFonts w:ascii="Arial" w:cs="Arial" w:eastAsia="Arial" w:hAnsi="Arial"/>
          <w:sz w:val="17"/>
          <w:szCs w:val="17"/>
          <w:color w:val="auto"/>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Issuing Banks, as the case may be, shall have entered into arrangements with the Borrower or such Lender, satisfactory to the Swingline Lender or such Issuing Bank, as the case may be, to defease any risk to it in respect of such Lender hereunder.</w:t>
      </w:r>
    </w:p>
    <w:p>
      <w:pPr>
        <w:spacing w:after="0" w:line="178"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In the event that the Administrative Agent, the Borrower,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The provisions hereof relating to Defaulting Lenders shall not impair any rights or remedies that the Borrower may have against any Defaulting Lender hereunder or under applicable law.</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Borrower may, by notice to the Administrative Agent (who shall promptly notify the Lenders) not earlier than 60 days and not later than 30 days prior to each anniversary of the date of this Agreement (each such date, an “</w:t>
      </w:r>
      <w:r>
        <w:rPr>
          <w:rFonts w:ascii="Arial" w:cs="Arial" w:eastAsia="Arial" w:hAnsi="Arial"/>
          <w:sz w:val="18"/>
          <w:szCs w:val="18"/>
          <w:u w:val="single" w:color="auto"/>
          <w:color w:val="auto"/>
        </w:rPr>
        <w:t>Extension Date</w:t>
      </w:r>
      <w:r>
        <w:rPr>
          <w:rFonts w:ascii="Arial" w:cs="Arial" w:eastAsia="Arial" w:hAnsi="Arial"/>
          <w:sz w:val="18"/>
          <w:szCs w:val="18"/>
          <w:color w:val="auto"/>
        </w:rPr>
        <w:t>”), but not more than twice, request that each Lender extend such Lender’s Maturity Date to the date that is one year after the Maturity Date then in effect for such Lender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Lender Elections to Extend</w:t>
      </w:r>
      <w:r>
        <w:rPr>
          <w:rFonts w:ascii="Arial" w:cs="Arial" w:eastAsia="Arial" w:hAnsi="Arial"/>
          <w:sz w:val="18"/>
          <w:szCs w:val="18"/>
          <w:color w:val="auto"/>
        </w:rPr>
        <w:t>. Each Lender, acting in its sole and individual discretion, shall, by notice to the Administrative Agent given not later than the date that is 15 days after the date on which the Administrative Agent received the Borrower’s extension request (the “</w:t>
      </w:r>
      <w:r>
        <w:rPr>
          <w:rFonts w:ascii="Arial" w:cs="Arial" w:eastAsia="Arial" w:hAnsi="Arial"/>
          <w:sz w:val="18"/>
          <w:szCs w:val="18"/>
          <w:u w:val="single" w:color="auto"/>
          <w:color w:val="auto"/>
        </w:rPr>
        <w:t>Lender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advise the Administrative Agent whether or not such Lender agrees to such extension (each Lender that determines to so extend its Maturity Date,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Each Lender that determines not to so extend its Maturity Date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shall notify the Administrative Agent of such fact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1" w:name="page72"/>
    <w:bookmarkEnd w:id="7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Borrower for extension of the Maturity Date.</w:t>
      </w:r>
    </w:p>
    <w:p>
      <w:pPr>
        <w:spacing w:after="0" w:line="187" w:lineRule="exact"/>
        <w:rPr>
          <w:sz w:val="20"/>
          <w:szCs w:val="20"/>
          <w:color w:val="auto"/>
        </w:rPr>
      </w:pPr>
    </w:p>
    <w:p>
      <w:pPr>
        <w:ind w:right="120" w:firstLine="987"/>
        <w:spacing w:after="0" w:line="263"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w:t>
      </w:r>
      <w:r>
        <w:rPr>
          <w:rFonts w:ascii="Arial" w:cs="Arial" w:eastAsia="Arial" w:hAnsi="Arial"/>
          <w:sz w:val="18"/>
          <w:szCs w:val="18"/>
          <w:color w:val="auto"/>
        </w:rPr>
        <w:t>. The Administrative Agent shall notify the Borrower of each Lender’s determination under this Section no later than the date that is 10 days prior to the applicable Extension Date (or, if such date is not a Business Day, on the next preceding Business Day).</w:t>
      </w:r>
    </w:p>
    <w:p>
      <w:pPr>
        <w:spacing w:after="0" w:line="183" w:lineRule="exact"/>
        <w:rPr>
          <w:rFonts w:ascii="Arial" w:cs="Arial" w:eastAsia="Arial" w:hAnsi="Arial"/>
          <w:sz w:val="18"/>
          <w:szCs w:val="18"/>
          <w:color w:val="auto"/>
        </w:rPr>
      </w:pPr>
    </w:p>
    <w:p>
      <w:pPr>
        <w:ind w:firstLine="987"/>
        <w:spacing w:after="0" w:line="253"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Additional Commitment Lenders</w:t>
      </w:r>
      <w:r>
        <w:rPr>
          <w:rFonts w:ascii="Arial" w:cs="Arial" w:eastAsia="Arial" w:hAnsi="Arial"/>
          <w:sz w:val="18"/>
          <w:szCs w:val="18"/>
          <w:color w:val="auto"/>
        </w:rPr>
        <w:t>. The Borrower shall have the right, but shall not be obligated, on or before the applicable Maturity Date for any Non-Extending Lender to replace such Non-Extending Lender with, and add as “Lenders” under this Agreement in place thereof, one or more financial institutions that are not Ineligible Institutions (each, an “</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approved by the Administrative Agent in accordance with the procedures provided in Section 2.19(b), each of which Additional Commitment Lenders shall have entered into an Assignment and Assumption (in accordance with and subject to the restrictions contained in Section 9.04, with the Borrower or replacement Lender obligated to pay any applicable processing or recordation fee) with such Non-Extending Lender, pursuant to which such Additional Commitment Lenders shall, effective on or before the applicable Maturity Date for such Non-Extending Lender, assume a Commitment (and, if any such Additional Commitment Lender is already a Lender, its Commitment shall be in addition to such Lender’s Commitment hereunder on such date). The Administrative Agent may effect such amendments to this Agreement as are reasonably necessary to provide for any such extensions with the consent of the Borrower but without the consent of any other Lenders.</w:t>
      </w:r>
    </w:p>
    <w:p>
      <w:pPr>
        <w:spacing w:after="0" w:line="194" w:lineRule="exact"/>
        <w:rPr>
          <w:rFonts w:ascii="Arial" w:cs="Arial" w:eastAsia="Arial" w:hAnsi="Arial"/>
          <w:sz w:val="18"/>
          <w:szCs w:val="18"/>
          <w:color w:val="auto"/>
        </w:rPr>
      </w:pPr>
    </w:p>
    <w:p>
      <w:pPr>
        <w:ind w:firstLine="987"/>
        <w:spacing w:after="0" w:line="254"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Minimum Extension Requirement</w:t>
      </w:r>
      <w:r>
        <w:rPr>
          <w:rFonts w:ascii="Arial" w:cs="Arial" w:eastAsia="Arial" w:hAnsi="Arial"/>
          <w:sz w:val="18"/>
          <w:szCs w:val="18"/>
          <w:color w:val="auto"/>
        </w:rPr>
        <w:t>. If (and only if) the total of the Commitments of the Lenders that have agreed to extend their Maturity Date and the new or increased Commitments of any Additional Commitment Lenders is more than 50% of the aggregate amount of the Commitments in effect immediately prior to the applicable Extension Date, then, effective as of the applicable Extension Date, the Maturity Date of each Extending Lender and of each Additional Commitment Lender shall be extended to the date that is one year after the Existing Maturity Date (except that, if such date is not a Business Day, such Maturity Date as so extended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spacing w:after="0" w:line="194" w:lineRule="exact"/>
        <w:rPr>
          <w:rFonts w:ascii="Arial" w:cs="Arial" w:eastAsia="Arial" w:hAnsi="Arial"/>
          <w:sz w:val="18"/>
          <w:szCs w:val="18"/>
          <w:color w:val="auto"/>
        </w:rPr>
      </w:pPr>
    </w:p>
    <w:p>
      <w:pPr>
        <w:ind w:left="1220" w:hanging="233"/>
        <w:spacing w:after="0"/>
        <w:tabs>
          <w:tab w:leader="none" w:pos="122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Extension</w:t>
      </w:r>
      <w:r>
        <w:rPr>
          <w:rFonts w:ascii="Arial" w:cs="Arial" w:eastAsia="Arial" w:hAnsi="Arial"/>
          <w:sz w:val="17"/>
          <w:szCs w:val="17"/>
          <w:color w:val="auto"/>
        </w:rPr>
        <w:t>. Notwithstanding the foregoing, any extension of any Maturity Date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2.23 shall not be effective with respect to any Extending Lender unless:</w:t>
      </w:r>
    </w:p>
    <w:p>
      <w:pPr>
        <w:spacing w:after="0" w:line="103" w:lineRule="exact"/>
        <w:rPr>
          <w:sz w:val="20"/>
          <w:szCs w:val="20"/>
          <w:color w:val="auto"/>
        </w:rPr>
      </w:pPr>
    </w:p>
    <w:p>
      <w:pPr>
        <w:ind w:left="1600" w:hanging="212"/>
        <w:spacing w:after="0"/>
        <w:tabs>
          <w:tab w:leader="none" w:pos="1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Default shall have occurred and be continuing on the applicable Extension Date and immediately after giving effect thereto;</w:t>
      </w:r>
    </w:p>
    <w:p>
      <w:pPr>
        <w:spacing w:after="0" w:line="140" w:lineRule="exact"/>
        <w:rPr>
          <w:rFonts w:ascii="Arial" w:cs="Arial" w:eastAsia="Arial" w:hAnsi="Arial"/>
          <w:sz w:val="16"/>
          <w:szCs w:val="16"/>
          <w:color w:val="auto"/>
        </w:rPr>
      </w:pPr>
    </w:p>
    <w:p>
      <w:pPr>
        <w:ind w:left="980" w:right="260" w:firstLine="408"/>
        <w:spacing w:after="0" w:line="277" w:lineRule="auto"/>
        <w:tabs>
          <w:tab w:leader="none" w:pos="16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this Agreement are true and correct on and as of the applicable Extension Date and after giving effect thereto, as though made on and as of such date; and</w:t>
      </w:r>
    </w:p>
    <w:p>
      <w:pPr>
        <w:spacing w:after="0" w:line="62" w:lineRule="exact"/>
        <w:rPr>
          <w:rFonts w:ascii="Arial" w:cs="Arial" w:eastAsia="Arial" w:hAnsi="Arial"/>
          <w:sz w:val="18"/>
          <w:szCs w:val="18"/>
          <w:color w:val="auto"/>
        </w:rPr>
      </w:pPr>
    </w:p>
    <w:p>
      <w:pPr>
        <w:ind w:left="980" w:right="380" w:firstLine="408"/>
        <w:spacing w:after="0" w:line="277" w:lineRule="auto"/>
        <w:tabs>
          <w:tab w:leader="none" w:pos="16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Borrower signed by a Financial Officer of the Borrower certifying the accuracy of the foregoing clauses (i) and (ii).</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440" w:top="274" w:right="519" w:bottom="1440" w:gutter="0" w:footer="0" w:header="0"/>
        </w:sectPr>
      </w:pPr>
    </w:p>
    <w:bookmarkStart w:id="72" w:name="page73"/>
    <w:bookmarkEnd w:id="72"/>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w:t>
      </w:r>
      <w:r>
        <w:rPr>
          <w:rFonts w:ascii="Arial" w:cs="Arial" w:eastAsia="Arial" w:hAnsi="Arial"/>
          <w:sz w:val="17"/>
          <w:szCs w:val="17"/>
          <w:u w:val="single" w:color="auto"/>
          <w:color w:val="auto"/>
        </w:rPr>
        <w:t>Maturity Date for Non-Extending Lenders</w:t>
      </w:r>
      <w:r>
        <w:rPr>
          <w:rFonts w:ascii="Arial" w:cs="Arial" w:eastAsia="Arial" w:hAnsi="Arial"/>
          <w:sz w:val="17"/>
          <w:szCs w:val="17"/>
          <w:color w:val="auto"/>
        </w:rPr>
        <w:t>. On the Maturity Date of each Non-Extending Lender, (i) the Commitment of each Non-Extending Lender shall automatically terminate and (ii) the Borrower shall repay such Non-Extending Lender in accordance with Section 2.10 (and shall pay to such Non-Extending Lender all of the other Obligations owing to it under this Agreement) and after giving effect thereto shall prepay any Revolving Loans outstanding on such date (and pay any additional amounts required pursuant to Section 2.16) to the extent necessary to keep outstanding Revolving Loans ratable with any revised Applicable Percentages of the respective Lenders effective as of such date, and the Administrative Agent shall administer any necessary reallocation of the Revolving Credit Exposures (without regard to any minimum borrowing, pro rata borrowing and/or pro rata payment requirements contained elsewhere in this Agreement).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Conflicting Provisions</w:t>
      </w:r>
      <w:r>
        <w:rPr>
          <w:rFonts w:ascii="Arial" w:cs="Arial" w:eastAsia="Arial" w:hAnsi="Arial"/>
          <w:sz w:val="18"/>
          <w:szCs w:val="18"/>
          <w:color w:val="auto"/>
        </w:rPr>
        <w:t>. This Section shall supersede any provisions in Section 2.18 or Section 9.02 to the contrary.</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ESG Amendment</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88" w:lineRule="auto"/>
        <w:tabs>
          <w:tab w:leader="none" w:pos="1236"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parties hereto acknowledge that the Sustainability Targets have not been determined and agreed as of the Effective Date and that </w:t>
      </w:r>
      <w:r>
        <w:rPr>
          <w:rFonts w:ascii="Arial" w:cs="Arial" w:eastAsia="Arial" w:hAnsi="Arial"/>
          <w:sz w:val="16"/>
          <w:szCs w:val="16"/>
          <w:u w:val="single" w:color="auto"/>
          <w:color w:val="auto"/>
        </w:rPr>
        <w:t>Schedule 1.01</w:t>
      </w:r>
      <w:r>
        <w:rPr>
          <w:rFonts w:ascii="Arial" w:cs="Arial" w:eastAsia="Arial" w:hAnsi="Arial"/>
          <w:sz w:val="16"/>
          <w:szCs w:val="16"/>
          <w:color w:val="auto"/>
        </w:rPr>
        <w:t xml:space="preserve"> therefore has been intentionally left blank as of the Effective Date. The Borrower may, at any time prior to the six month anniversary of the Effective Date, submit a request in writing to the Administrative Agent that this Agreement be amended to include the Sustainability Targets and other related provisions (including without limitation those provisions described in this Section 2.24), to be mutually agreed by the requisite parties hereto in accordance with this Section 2.24 and Section 9.02(b) (such amendment, the “</w:t>
      </w:r>
      <w:r>
        <w:rPr>
          <w:rFonts w:ascii="Arial" w:cs="Arial" w:eastAsia="Arial" w:hAnsi="Arial"/>
          <w:sz w:val="16"/>
          <w:szCs w:val="16"/>
          <w:u w:val="single" w:color="auto"/>
          <w:color w:val="auto"/>
        </w:rPr>
        <w:t>ESG Amendment</w:t>
      </w:r>
      <w:r>
        <w:rPr>
          <w:rFonts w:ascii="Arial" w:cs="Arial" w:eastAsia="Arial" w:hAnsi="Arial"/>
          <w:sz w:val="16"/>
          <w:szCs w:val="16"/>
          <w:color w:val="auto"/>
        </w:rPr>
        <w:t xml:space="preserve">”). Such request shall be accompanied by the proposed Sustainability Targets as prepared by the Borrower in consultation with the Sustainability Structuring Agent and may be devised with assistance from the Sustainability Assurance Provider (defined below), which shall be included as </w:t>
      </w:r>
      <w:r>
        <w:rPr>
          <w:rFonts w:ascii="Arial" w:cs="Arial" w:eastAsia="Arial" w:hAnsi="Arial"/>
          <w:sz w:val="16"/>
          <w:szCs w:val="16"/>
          <w:u w:val="single" w:color="auto"/>
          <w:color w:val="auto"/>
        </w:rPr>
        <w:t>Schedule 1.01</w:t>
      </w:r>
      <w:r>
        <w:rPr>
          <w:rFonts w:ascii="Arial" w:cs="Arial" w:eastAsia="Arial" w:hAnsi="Arial"/>
          <w:sz w:val="16"/>
          <w:szCs w:val="16"/>
          <w:color w:val="auto"/>
        </w:rPr>
        <w:t>. The proposed ESG Amendment shall also include the ESG Pricing Provisions (defined below) and shall identify a sustainability assurance provider, provided that any such sustainability assurance provider shall be a qualified external reviewer, independent of the Borrower and its Subsidiaries, with relevant expertise, such as an auditor, environmental consultant and/or independent ratings agency of recognized national standing (the “</w:t>
      </w:r>
      <w:r>
        <w:rPr>
          <w:rFonts w:ascii="Arial" w:cs="Arial" w:eastAsia="Arial" w:hAnsi="Arial"/>
          <w:sz w:val="16"/>
          <w:szCs w:val="16"/>
          <w:u w:val="single" w:color="auto"/>
          <w:color w:val="auto"/>
        </w:rPr>
        <w:t>Sustainability Assurance Provider</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120" w:firstLine="987"/>
        <w:spacing w:after="0" w:line="285" w:lineRule="auto"/>
        <w:tabs>
          <w:tab w:leader="none" w:pos="12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Administrative Agent, the Lenders and the Borrower shall in good faith enter into discussions to reach an agreement in respect of the proposed Sustainability Targets and Sustainability Assurance Provider, and any proposed incentives and penalties for compliance and noncompliance, respectively, with the Sustainability Targets, including any adjustments to the Applicable Rate (and/or the Facility Fee Rate therein) (such provisions, collectively, the “</w:t>
      </w:r>
      <w:r>
        <w:rPr>
          <w:rFonts w:ascii="Arial" w:cs="Arial" w:eastAsia="Arial" w:hAnsi="Arial"/>
          <w:sz w:val="16"/>
          <w:szCs w:val="16"/>
          <w:u w:val="single" w:color="auto"/>
          <w:color w:val="auto"/>
        </w:rPr>
        <w:t>ESG Pricing Provisions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such adjustments made pursuant to an ESG Amendment shall not result in a decrease or an increase of more than (i) 0.01% in the Facility Fee Rate set forth in the definition of “Applicable Rate” and/or (ii)</w:t>
      </w:r>
    </w:p>
    <w:p>
      <w:pPr>
        <w:spacing w:after="0" w:line="1" w:lineRule="exact"/>
        <w:rPr>
          <w:rFonts w:ascii="Arial" w:cs="Arial" w:eastAsia="Arial" w:hAnsi="Arial"/>
          <w:sz w:val="16"/>
          <w:szCs w:val="16"/>
          <w:color w:val="auto"/>
        </w:rPr>
      </w:pPr>
    </w:p>
    <w:p>
      <w:pPr>
        <w:ind w:right="80"/>
        <w:spacing w:after="0" w:line="268" w:lineRule="auto"/>
        <w:rPr>
          <w:rFonts w:ascii="Arial" w:cs="Arial" w:eastAsia="Arial" w:hAnsi="Arial"/>
          <w:sz w:val="16"/>
          <w:szCs w:val="16"/>
          <w:color w:val="auto"/>
        </w:rPr>
      </w:pPr>
      <w:r>
        <w:rPr>
          <w:rFonts w:ascii="Arial" w:cs="Arial" w:eastAsia="Arial" w:hAnsi="Arial"/>
          <w:sz w:val="17"/>
          <w:szCs w:val="17"/>
          <w:color w:val="auto"/>
        </w:rPr>
        <w:t>0.04% in the Term Benchmark Spread, the RFR Spread and the ABR Spread set forth in the definition of “Applicable Rate” (the spreads referenced in the immediately foregoing clause (ii), the “</w:t>
      </w:r>
      <w:r>
        <w:rPr>
          <w:rFonts w:ascii="Arial" w:cs="Arial" w:eastAsia="Arial" w:hAnsi="Arial"/>
          <w:sz w:val="17"/>
          <w:szCs w:val="17"/>
          <w:u w:val="single" w:color="auto"/>
          <w:color w:val="auto"/>
        </w:rPr>
        <w:t>Specified Spreads</w:t>
      </w:r>
      <w:r>
        <w:rPr>
          <w:rFonts w:ascii="Arial" w:cs="Arial" w:eastAsia="Arial" w:hAnsi="Arial"/>
          <w:sz w:val="17"/>
          <w:szCs w:val="17"/>
          <w:color w:val="auto"/>
        </w:rPr>
        <w:t xml:space="preserve">”) during any calendar year, which pricing adjustments shall be applied in accordance with the terms as further described in the ESG Pricing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no event shall any of the Specified Spreads or the Facility Fee Rate be less than 0% at any time and (ii) for the avoidance of doubt, such pricing adjustments shall not be cumulative year-over-year, and each applicable adjustment shall only apply until the date on which the next adjustment is due to take place pursuant to the ESG Pricing Provisions. The ESG Amendment (including the ESG Pricing Provisions) will become effective once the Borrower, the Administrative Agent and the Required Lenders have executed the ESG Amendment. The Borrower agrees and confirms that the ESG Pricing Provisions shall follow the Sustainability Linked Loan Principles, as published in May 2021, and as may be updated, revised or amended from time to time by the Loan Market Association and the Loan Syndications &amp; Trading Association (the “</w:t>
      </w:r>
      <w:r>
        <w:rPr>
          <w:rFonts w:ascii="Arial" w:cs="Arial" w:eastAsia="Arial" w:hAnsi="Arial"/>
          <w:sz w:val="17"/>
          <w:szCs w:val="17"/>
          <w:u w:val="single" w:color="auto"/>
          <w:color w:val="auto"/>
        </w:rPr>
        <w:t>SLL Principles</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3" w:name="page74"/>
    <w:bookmarkEnd w:id="73"/>
    <w:p>
      <w:pPr>
        <w:ind w:right="20" w:firstLine="987"/>
        <w:spacing w:after="0" w:line="263" w:lineRule="auto"/>
        <w:tabs>
          <w:tab w:leader="none" w:pos="1236"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effectiveness of the ESG Amendment, any amendment or other modification to the ESG Pricing Provisions which does not have the effect of reducing the Specified Spreads or the Facility Fee Rate to a level not otherwise permitted by this Section 2.24 shall be subject only to the consent of the Required Lenders.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As used in this Section 2.24, “</w:t>
      </w:r>
      <w:r>
        <w:rPr>
          <w:rFonts w:ascii="Arial" w:cs="Arial" w:eastAsia="Arial" w:hAnsi="Arial"/>
          <w:sz w:val="18"/>
          <w:szCs w:val="18"/>
          <w:u w:val="single" w:color="auto"/>
          <w:color w:val="auto"/>
        </w:rPr>
        <w:t>Sustainability Targets</w:t>
      </w:r>
      <w:r>
        <w:rPr>
          <w:rFonts w:ascii="Arial" w:cs="Arial" w:eastAsia="Arial" w:hAnsi="Arial"/>
          <w:sz w:val="18"/>
          <w:szCs w:val="18"/>
          <w:color w:val="auto"/>
        </w:rPr>
        <w:t>” means specified key performance indicators with respect to certain environmental, social and governance targets of the Borrower and its Subsidiaries, which shall be confirmed by the Borrower and its counsel as being consistent with the SLL Principles.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The Borrower is a corporation duly organized, validly existing and in good standing under the laws of the State of Wisconsin.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Powers; No Conflicts</w:t>
      </w:r>
      <w:r>
        <w:rPr>
          <w:rFonts w:ascii="Arial" w:cs="Arial" w:eastAsia="Arial" w:hAnsi="Arial"/>
          <w:sz w:val="18"/>
          <w:szCs w:val="18"/>
          <w:color w:val="auto"/>
        </w:rPr>
        <w:t>. 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by-laws or (ii) law or any material contractual restriction binding on or affecting the Borrower.</w:t>
      </w:r>
    </w:p>
    <w:p>
      <w:pPr>
        <w:spacing w:after="0" w:line="187"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Approvals</w:t>
      </w:r>
      <w:r>
        <w:rPr>
          <w:rFonts w:ascii="Arial" w:cs="Arial" w:eastAsia="Arial" w:hAnsi="Arial"/>
          <w:sz w:val="16"/>
          <w:szCs w:val="16"/>
          <w:color w:val="auto"/>
        </w:rPr>
        <w:t>. No authorization or approval or other action by, and no notice to or filing with, any Governmental Authority or any other third party is required for the due execution, delivery and performance by the Borrower of this Agreement or the Notes to be delivered by it.</w:t>
      </w:r>
    </w:p>
    <w:p>
      <w:pPr>
        <w:spacing w:after="0" w:line="124"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 except as such enforceability may be limited by applicable bankruptcy, insolvency, reorganization, moratorium or similar laws affecting the enforcement of creditors’ rights generally and by general equitable principles.</w:t>
      </w:r>
    </w:p>
    <w:p>
      <w:pPr>
        <w:spacing w:after="0" w:line="188" w:lineRule="exact"/>
        <w:rPr>
          <w:sz w:val="20"/>
          <w:szCs w:val="20"/>
          <w:color w:val="auto"/>
        </w:rPr>
      </w:pPr>
    </w:p>
    <w:p>
      <w:pPr>
        <w:ind w:right="140" w:firstLine="991"/>
        <w:spacing w:after="0" w:line="289"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Consolidated balance sheet of the Borrower and its Subsidiaries as at December 31, 2021, and the related Consolidated statements of income and cash flows of the Borrower and its Subsidiaries for the fiscal year then ended, accompanied by an opinion of Deloitte &amp; Touche LLP, an independent registered public accounting firm, and the Consolidated balance sheet of the Borrower and its Subsidiaries as at March 31, 2022, and the related Consolidated statements of income and cash flows of the Borrower and its Subsidiaries for the three months then ended, duly certified by the chief financial officer of the Borrower, copies of which have been furnished to each Lender, fairly present in all material respects, subject, in the case of said balance sheet as at March 31, 2022, and said statements of income and cash flows for the three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w:t>
      </w:r>
    </w:p>
    <w:p>
      <w:pPr>
        <w:spacing w:after="0" w:line="166" w:lineRule="exact"/>
        <w:rPr>
          <w:sz w:val="20"/>
          <w:szCs w:val="20"/>
          <w:color w:val="auto"/>
        </w:rPr>
      </w:pPr>
    </w:p>
    <w:p>
      <w:pPr>
        <w:ind w:left="5420" w:right="4620" w:hanging="4433"/>
        <w:spacing w:after="0" w:line="449" w:lineRule="auto"/>
        <w:tabs>
          <w:tab w:leader="none" w:pos="12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December 31, 2021, there has been no Material Adverse Change. 66</w:t>
      </w:r>
    </w:p>
    <w:p>
      <w:pPr>
        <w:sectPr>
          <w:pgSz w:w="11900" w:h="16838" w:orient="portrait"/>
          <w:cols w:equalWidth="0" w:num="1">
            <w:col w:w="11000"/>
          </w:cols>
          <w:pgMar w:left="440" w:top="274" w:right="459" w:bottom="1440" w:gutter="0" w:footer="0" w:header="0"/>
        </w:sectPr>
      </w:pPr>
    </w:p>
    <w:bookmarkStart w:id="74" w:name="page75"/>
    <w:bookmarkEnd w:id="74"/>
    <w:p>
      <w:pPr>
        <w:ind w:left="4" w:right="8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3.06. </w:t>
      </w:r>
      <w:r>
        <w:rPr>
          <w:rFonts w:ascii="Arial" w:cs="Arial" w:eastAsia="Arial" w:hAnsi="Arial"/>
          <w:sz w:val="17"/>
          <w:szCs w:val="17"/>
          <w:u w:val="single" w:color="auto"/>
          <w:color w:val="auto"/>
        </w:rPr>
        <w:t>Litigation, Environmental Matters</w:t>
      </w:r>
      <w:r>
        <w:rPr>
          <w:rFonts w:ascii="Arial" w:cs="Arial" w:eastAsia="Arial" w:hAnsi="Arial"/>
          <w:sz w:val="17"/>
          <w:szCs w:val="17"/>
          <w:color w:val="auto"/>
        </w:rPr>
        <w:t>. 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71" w:lineRule="exact"/>
        <w:rPr>
          <w:sz w:val="20"/>
          <w:szCs w:val="20"/>
          <w:color w:val="auto"/>
        </w:rPr>
      </w:pPr>
    </w:p>
    <w:p>
      <w:pPr>
        <w:ind w:left="4" w:right="40" w:firstLine="991"/>
        <w:spacing w:after="0" w:line="30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Taxes</w:t>
      </w:r>
      <w:r>
        <w:rPr>
          <w:rFonts w:ascii="Arial" w:cs="Arial" w:eastAsia="Arial" w:hAnsi="Arial"/>
          <w:sz w:val="16"/>
          <w:szCs w:val="16"/>
          <w:color w:val="auto"/>
        </w:rPr>
        <w:t>. 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57"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Securities Exchange Act of 1934</w:t>
      </w:r>
      <w:r>
        <w:rPr>
          <w:rFonts w:ascii="Arial" w:cs="Arial" w:eastAsia="Arial" w:hAnsi="Arial"/>
          <w:sz w:val="18"/>
          <w:szCs w:val="18"/>
          <w:color w:val="auto"/>
        </w:rPr>
        <w:t>. No proceeds of any Loan will be used to acquire any Equity Interests of a class which is registered pursuant to Section 12 of the Securities Exchange Act of 1934 if the Borrower has reason to know that the board of directors of the issuer of such Equity Interests opposes or will oppose such acquisition.</w:t>
      </w:r>
    </w:p>
    <w:p>
      <w:pPr>
        <w:spacing w:after="0" w:line="184" w:lineRule="exact"/>
        <w:rPr>
          <w:sz w:val="20"/>
          <w:szCs w:val="20"/>
          <w:color w:val="auto"/>
        </w:rPr>
      </w:pPr>
    </w:p>
    <w:p>
      <w:pPr>
        <w:ind w:left="4" w:right="320" w:firstLine="991"/>
        <w:spacing w:after="0" w:line="31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Margin Regulations</w:t>
      </w:r>
      <w:r>
        <w:rPr>
          <w:rFonts w:ascii="Arial" w:cs="Arial" w:eastAsia="Arial" w:hAnsi="Arial"/>
          <w:sz w:val="16"/>
          <w:szCs w:val="16"/>
          <w:color w:val="auto"/>
        </w:rPr>
        <w:t>. The Borrower is not engaged in the business of extending credit for the purpose of purchasing or carrying margin stock (within the meaning of Regulation U issued by the Federal Reserve Board), and no proceeds of any Advance will be used to purchase or carry any margin stock or to extend credit to others for the purpose of purchasing or carrying any margin stock.</w:t>
      </w:r>
    </w:p>
    <w:p>
      <w:pPr>
        <w:spacing w:after="0" w:line="149"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ERISA, Environmental, Health and Safety Requirements of Law</w:t>
      </w:r>
      <w:r>
        <w:rPr>
          <w:rFonts w:ascii="Arial" w:cs="Arial" w:eastAsia="Arial" w:hAnsi="Arial"/>
          <w:sz w:val="16"/>
          <w:szCs w:val="16"/>
          <w:color w:val="auto"/>
        </w:rPr>
        <w:t>. The operations of the Borrower and each of its Domestic Subsidiaries comply in all material respects with all applicable ERISA, environmental, health and safety requirements of law, the failure to comply with which would have a Material Adverse Effect; (ii) the operations of each Foreign Subsidiary of the Borrower comply in all material respects with all applicable environmental, health and safety requirements of law, the failure to comply with which would have a Material Adverse Effect; and</w:t>
      </w:r>
    </w:p>
    <w:p>
      <w:pPr>
        <w:spacing w:after="0" w:line="1" w:lineRule="exact"/>
        <w:rPr>
          <w:sz w:val="20"/>
          <w:szCs w:val="20"/>
          <w:color w:val="auto"/>
        </w:rPr>
      </w:pPr>
    </w:p>
    <w:p>
      <w:pPr>
        <w:ind w:left="4" w:right="160" w:hanging="4"/>
        <w:spacing w:after="0" w:line="253" w:lineRule="auto"/>
        <w:tabs>
          <w:tab w:leader="none" w:pos="3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 to the date hereof, the Borrower shall have inspected, and shall have caused each of its Domestic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w:t>
      </w:r>
      <w:r>
        <w:rPr>
          <w:rFonts w:ascii="Arial" w:cs="Arial" w:eastAsia="Arial" w:hAnsi="Arial"/>
          <w:sz w:val="18"/>
          <w:szCs w:val="18"/>
          <w:u w:val="single" w:color="auto"/>
          <w:color w:val="auto"/>
        </w:rPr>
        <w:t>Domestic</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organized under the laws of, or having its principal place of business within, a jurisdiction located in the United States and the term “</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other Subsidiary.</w:t>
      </w:r>
    </w:p>
    <w:p>
      <w:pPr>
        <w:spacing w:after="0" w:line="191" w:lineRule="exact"/>
        <w:rPr>
          <w:sz w:val="20"/>
          <w:szCs w:val="20"/>
          <w:color w:val="auto"/>
        </w:rPr>
      </w:pPr>
    </w:p>
    <w:p>
      <w:pPr>
        <w:ind w:left="4" w:right="880" w:firstLine="991"/>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Borrower is not an “investment company”, or a company “controlled” by an “investment company”, within the meaning of the Investment Company Act of 1940, as amended.</w:t>
      </w:r>
    </w:p>
    <w:p>
      <w:pPr>
        <w:spacing w:after="0" w:line="170"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Disclosure</w:t>
      </w:r>
      <w:r>
        <w:rPr>
          <w:rFonts w:ascii="Arial" w:cs="Arial" w:eastAsia="Arial" w:hAnsi="Arial"/>
          <w:sz w:val="18"/>
          <w:szCs w:val="18"/>
          <w:color w:val="auto"/>
        </w:rPr>
        <w:t>. All information furnished to the Administrative Agent or any Lender by or at the direction of the Borrower in connection with this Agreement was, on the date furnished, true and correct in all material respects and did not fail to state any fact the omission of which rendered the information provided materially misleading in any material respect. 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75" w:name="page76"/>
    <w:bookmarkEnd w:id="75"/>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3.13.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and its Subsidiaries and, to the knowledge of the Borrower, their respective directors, officers, employees and agents, are in compliance with Anti-Corruption Laws, AML Laws and applicable Sanctions in all material respects. None of the Borrower, any Subsidiary or, to the knowledge of the Borrower or such Subsidiary, any of their respective directors, officers, employees or any agents, is a Sanctioned Person.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The Borrower is not an Affected Financial Institution.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6" w:lineRule="exact"/>
        <w:rPr>
          <w:sz w:val="20"/>
          <w:szCs w:val="20"/>
          <w:color w:val="auto"/>
        </w:rPr>
      </w:pPr>
    </w:p>
    <w:p>
      <w:pPr>
        <w:ind w:left="440" w:firstLine="419"/>
        <w:spacing w:after="0" w:line="255" w:lineRule="auto"/>
        <w:tabs>
          <w:tab w:leader="none" w:pos="11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Administrative Agent (or its counsel) shall have received (i) from each party hereto a counterpart of this Agreement signed on behalf of such party (which, subject to Section 9.06, may include any Electronic Signatures transmitted by telecopy, emailed pdf, or any other electronic means that reproduces an image of an actual executed signature page) and (ii) duly executed copies of the other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40" w:right="200" w:firstLine="419"/>
        <w:spacing w:after="0" w:line="259"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favorable written opinion (addressed to the Administrative Agent and the Lenders and dated the Effective Date) of Godfrey &amp; Kahn, S.C., counsel for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and covering such other matters relating to the Borrower, the Loan Documents or the Transactions as the Administrative Agent shall reasonably request. The Borrower hereby requests such counsel to deliver such opinion.</w:t>
      </w:r>
    </w:p>
    <w:p>
      <w:pPr>
        <w:spacing w:after="0" w:line="78" w:lineRule="exact"/>
        <w:rPr>
          <w:rFonts w:ascii="Arial" w:cs="Arial" w:eastAsia="Arial" w:hAnsi="Arial"/>
          <w:sz w:val="18"/>
          <w:szCs w:val="18"/>
          <w:color w:val="auto"/>
        </w:rPr>
      </w:pPr>
    </w:p>
    <w:p>
      <w:pPr>
        <w:jc w:val="both"/>
        <w:ind w:left="440" w:firstLine="419"/>
        <w:spacing w:after="0" w:line="279" w:lineRule="auto"/>
        <w:tabs>
          <w:tab w:leader="none" w:pos="110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such documents and certificates as the Administrative Agent or its counsel may reasonably request relating to the organization, existence and good standing of the Borrower, the authorization of the Transactions and any other legal matters relating to the Borrower, the Loan Documents or the Transactions, all in form and substance satisfactory to the Administrative Agent and its counsel and as further described in the list of closing documents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40" w:right="60" w:firstLine="419"/>
        <w:spacing w:after="0" w:line="255"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dated the Effective Date and signed by the President, a Vice President or a Financial Officer of the Borrower, certifying (i) that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in all material respects as of such date except that (A) to the extent such representations and warranties specifically refer to an earlier date, such representations and warranties shall be true and correct in all material respects as of such earlier date and (B) any representation and warranty that is qualified as to “materiality” or “Material Adverse Effect” shall be true and correct in all respects, and (ii) that no Default or Event of Default has occurred and is continuing as of such date.</w:t>
      </w:r>
    </w:p>
    <w:p>
      <w:pPr>
        <w:spacing w:after="0" w:line="84"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satisfactory to it that the credit facility evidenced by the Existing Credit Agreement shall have been terminated and cancelled and all indebtedness thereunder shall have been fully repaid (except to the extent being so repaid with the initial Revolving Loans).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6" w:name="page77"/>
    <w:bookmarkEnd w:id="76"/>
    <w:p>
      <w:pPr>
        <w:ind w:left="440" w:right="20" w:firstLine="419"/>
        <w:spacing w:after="0" w:line="254" w:lineRule="auto"/>
        <w:tabs>
          <w:tab w:leader="none" w:pos="1088"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Administrative Agent shall have received, at least three (3) Business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three (3) Business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(f) shall be deemed to be satisfied).</w:t>
      </w:r>
    </w:p>
    <w:p>
      <w:pPr>
        <w:spacing w:after="0" w:line="83" w:lineRule="exact"/>
        <w:rPr>
          <w:rFonts w:ascii="Arial" w:cs="Arial" w:eastAsia="Arial" w:hAnsi="Arial"/>
          <w:sz w:val="18"/>
          <w:szCs w:val="18"/>
          <w:color w:val="auto"/>
        </w:rPr>
      </w:pPr>
    </w:p>
    <w:p>
      <w:pPr>
        <w:ind w:left="440" w:right="100" w:firstLine="419"/>
        <w:spacing w:after="0" w:line="342" w:lineRule="auto"/>
        <w:tabs>
          <w:tab w:leader="none" w:pos="11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Banks to issue, amend or extend any Letter of Credit, is subject to the satisfaction of the following conditions:</w:t>
      </w:r>
    </w:p>
    <w:p>
      <w:pPr>
        <w:spacing w:after="0" w:line="62" w:lineRule="exact"/>
        <w:rPr>
          <w:sz w:val="20"/>
          <w:szCs w:val="20"/>
          <w:color w:val="auto"/>
        </w:rPr>
      </w:pPr>
    </w:p>
    <w:p>
      <w:pPr>
        <w:ind w:left="440" w:right="100" w:firstLine="419"/>
        <w:spacing w:after="0" w:line="286" w:lineRule="auto"/>
        <w:tabs>
          <w:tab w:leader="none" w:pos="1108"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this Agreement (excluding the representations and warranties set forth in Section 3.05(b) and clause (i) of Section 3.06) shall be true and correct in all material respects on and as of the date of such Borrowing or the date of issuance, amendment or extension of such Letter of Credit, as applicable, except that (i) to the extent such representations and warranties specifically refer to an earlier date, such representations and warranties shall be true and correct in all material respects as of such earlier date and</w:t>
      </w:r>
    </w:p>
    <w:p>
      <w:pPr>
        <w:spacing w:after="0" w:line="1" w:lineRule="exact"/>
        <w:rPr>
          <w:rFonts w:ascii="Arial" w:cs="Arial" w:eastAsia="Arial" w:hAnsi="Arial"/>
          <w:sz w:val="16"/>
          <w:szCs w:val="16"/>
          <w:color w:val="auto"/>
        </w:rPr>
      </w:pPr>
    </w:p>
    <w:p>
      <w:pPr>
        <w:ind w:left="700" w:hanging="264"/>
        <w:spacing w:after="0"/>
        <w:tabs>
          <w:tab w:leader="none" w:pos="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representation and warranty that is qualified as to “materiality” or “Material Adverse Effect” shall be true and correct in all respects.</w:t>
      </w:r>
    </w:p>
    <w:p>
      <w:pPr>
        <w:spacing w:after="0" w:line="114" w:lineRule="exact"/>
        <w:rPr>
          <w:rFonts w:ascii="Arial" w:cs="Arial" w:eastAsia="Arial" w:hAnsi="Arial"/>
          <w:sz w:val="17"/>
          <w:szCs w:val="17"/>
          <w:color w:val="auto"/>
        </w:rPr>
      </w:pPr>
    </w:p>
    <w:p>
      <w:pPr>
        <w:ind w:left="440" w:right="180" w:firstLine="419"/>
        <w:spacing w:after="0" w:line="277" w:lineRule="auto"/>
        <w:tabs>
          <w:tab w:leader="none" w:pos="111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or extension of such Letter of Credit, as applicable, no Default or Event of Default shall have occurred and be continuing.</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Each Borrowing and each issuance, amendment or extension of a Letter of Credit shall be deemed to constitute a representation and warranty by the Borrower on the date thereof as to the matters specified in paragraphs (a) and (b) of this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77" w:name="page78"/>
    <w:bookmarkEnd w:id="77"/>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expired or terminated, in each case, without any pending draw, and all LC Disbursements shall have been reimbursed, the Borrower covenants and agrees with the Lenders that the Borrower will:</w:t>
      </w:r>
    </w:p>
    <w:p>
      <w:pPr>
        <w:spacing w:after="0" w:line="170" w:lineRule="exact"/>
        <w:rPr>
          <w:sz w:val="20"/>
          <w:szCs w:val="20"/>
          <w:color w:val="auto"/>
        </w:rPr>
      </w:pPr>
    </w:p>
    <w:p>
      <w:pPr>
        <w:ind w:right="300" w:firstLine="991"/>
        <w:spacing w:after="0" w:line="30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Comply, and cause each of its Subsidiaries to comply, in all material respects, with all applicable laws, rules, regulations and orders, such compliance to include, without limitation, compliance with ERISA and Environmental Laws, and maintain in effect and enforce policies and procedures reasonably designed to ensure compliance in all material respects by the Borrower, its Subsidiaries and their respective directors, officers, employees and agents with Anti-Corruption Laws, AML Laws and applicable Sanctions.</w:t>
      </w:r>
    </w:p>
    <w:p>
      <w:pPr>
        <w:spacing w:after="0" w:line="157"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Payment of Taxes, Etc</w:t>
      </w:r>
      <w:r>
        <w:rPr>
          <w:rFonts w:ascii="Arial" w:cs="Arial" w:eastAsia="Arial" w:hAnsi="Arial"/>
          <w:sz w:val="17"/>
          <w:szCs w:val="17"/>
          <w:color w:val="auto"/>
        </w:rPr>
        <w:t>.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provided, however,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6.01).</w:t>
      </w:r>
    </w:p>
    <w:p>
      <w:pPr>
        <w:spacing w:after="0" w:line="178"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pacing w:after="0" w:line="16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Preservation of Corporate Existence, Etc</w:t>
      </w:r>
      <w:r>
        <w:rPr>
          <w:rFonts w:ascii="Arial" w:cs="Arial" w:eastAsia="Arial" w:hAnsi="Arial"/>
          <w:sz w:val="17"/>
          <w:szCs w:val="17"/>
          <w:color w:val="auto"/>
        </w:rPr>
        <w:t xml:space="preserve">. Preserve and maintain, and cause each of its Material Subsidiaries to preserve and maintain, its corporate existence, and its material rights (charter and statutory) and franchises;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Borrower and its Subsidiaries may consummate any merger or consolidation permitted under Section 6.02, and provided further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178"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Visitation Rights</w:t>
      </w:r>
      <w:r>
        <w:rPr>
          <w:rFonts w:ascii="Arial" w:cs="Arial" w:eastAsia="Arial" w:hAnsi="Arial"/>
          <w:sz w:val="18"/>
          <w:szCs w:val="18"/>
          <w:color w:val="auto"/>
        </w:rPr>
        <w:t>. At any reasonable time and from time to time, permit the Administrative Agent or any Lender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18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184"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78" w:name="page79"/>
    <w:bookmarkEnd w:id="78"/>
    <w:p>
      <w:pPr>
        <w:ind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will be used only to finance, and Letters of Credit will be issued only to support, the working capital needs, and for general corporate purposes, of the Borrower and its Subsidiaries, including, without limitation, share repurchases and acquisition financing. 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or AML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Administrative Agent and the Lenders:</w:t>
      </w:r>
    </w:p>
    <w:p>
      <w:pPr>
        <w:spacing w:after="0" w:line="117" w:lineRule="exact"/>
        <w:rPr>
          <w:sz w:val="20"/>
          <w:szCs w:val="20"/>
          <w:color w:val="auto"/>
        </w:rPr>
      </w:pPr>
    </w:p>
    <w:p>
      <w:pPr>
        <w:ind w:left="440" w:right="40" w:firstLine="419"/>
        <w:spacing w:after="0" w:line="289" w:lineRule="auto"/>
        <w:tabs>
          <w:tab w:leader="none" w:pos="1108"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chief accounting officer, treasurer or vice president – corporate controller of the Borrower as having been prepared in accordance with generally accepted accounting principles and certificates of the chief financial officer, treasurer or vice president – corporate controller of the Borrower as to compliance with the terms of this Agreement and setting forth in reasonable detail the calculations necessary to demonstrate compliance with Section 6.08, provided that in the event of any change in generally accepted accounting principles used in the preparation of such financial statements, the Borrower shall also provide, if necessary for the determination of compliance with Section 6.08, a statement of reconciliation conforming such financial statements to GAAP;</w:t>
      </w:r>
    </w:p>
    <w:p>
      <w:pPr>
        <w:spacing w:after="0" w:line="58" w:lineRule="exact"/>
        <w:rPr>
          <w:rFonts w:ascii="Arial" w:cs="Arial" w:eastAsia="Arial" w:hAnsi="Arial"/>
          <w:sz w:val="16"/>
          <w:szCs w:val="16"/>
          <w:color w:val="auto"/>
        </w:rPr>
      </w:pPr>
    </w:p>
    <w:p>
      <w:pPr>
        <w:ind w:left="440" w:firstLine="419"/>
        <w:spacing w:after="0" w:line="293" w:lineRule="auto"/>
        <w:tabs>
          <w:tab w:leader="none" w:pos="1118"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independent public accountants of nationally recognized standing, provided that in the event of any change in generally accepted accounting principles used in the preparation of such financial statements, the Borrower shall also provide, if necessary for the determination of compliance with Section 6.08, a statement of reconciliation conforming such financial statements to GAAP;</w:t>
      </w:r>
    </w:p>
    <w:p>
      <w:pPr>
        <w:spacing w:after="0" w:line="56" w:lineRule="exact"/>
        <w:rPr>
          <w:rFonts w:ascii="Arial" w:cs="Arial" w:eastAsia="Arial" w:hAnsi="Arial"/>
          <w:sz w:val="16"/>
          <w:szCs w:val="16"/>
          <w:color w:val="auto"/>
        </w:rPr>
      </w:pPr>
    </w:p>
    <w:p>
      <w:pPr>
        <w:jc w:val="both"/>
        <w:ind w:left="440" w:right="320" w:firstLine="419"/>
        <w:spacing w:after="0" w:line="286" w:lineRule="auto"/>
        <w:tabs>
          <w:tab w:leader="none" w:pos="1108"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soon as possible and in any event within five days after the occurrence of each Default continuing on the date of such statement, a statement of the chief financial officer, chief accounting officer, treasurer or vice president – corporate controller of the Borrower setting forth details of such Default and the action that the Borrower has taken and proposes to take with respect thereto;</w:t>
      </w:r>
    </w:p>
    <w:p>
      <w:pPr>
        <w:spacing w:after="0" w:line="57" w:lineRule="exact"/>
        <w:rPr>
          <w:rFonts w:ascii="Arial" w:cs="Arial" w:eastAsia="Arial" w:hAnsi="Arial"/>
          <w:sz w:val="17"/>
          <w:szCs w:val="17"/>
          <w:color w:val="auto"/>
        </w:rPr>
      </w:pPr>
    </w:p>
    <w:p>
      <w:pPr>
        <w:ind w:left="440" w:right="100" w:firstLine="419"/>
        <w:spacing w:after="0" w:line="286" w:lineRule="auto"/>
        <w:tabs>
          <w:tab w:leader="none" w:pos="1118"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 or any national securities exchange;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79" w:name="page80"/>
    <w:bookmarkEnd w:id="79"/>
    <w:p>
      <w:pPr>
        <w:ind w:left="440" w:right="360" w:firstLine="419"/>
        <w:spacing w:after="0" w:line="277" w:lineRule="auto"/>
        <w:tabs>
          <w:tab w:leader="none" w:pos="1108"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the commencement thereof, notice of all actions and proceedings before any court, governmental agency or arbitrator affecting the Borrower or any of its Subsidiaries of the type described in Section 3.06;</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0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promptly following any change in any credit rating (whether publicly announced or shadow) by either S&amp;P or Moody’s in respect of any debt of the Borrower, notice thereof;</w:t>
      </w:r>
    </w:p>
    <w:p>
      <w:pPr>
        <w:spacing w:after="0" w:line="62" w:lineRule="exact"/>
        <w:rPr>
          <w:rFonts w:ascii="Arial" w:cs="Arial" w:eastAsia="Arial" w:hAnsi="Arial"/>
          <w:sz w:val="18"/>
          <w:szCs w:val="18"/>
          <w:color w:val="auto"/>
        </w:rPr>
      </w:pPr>
    </w:p>
    <w:p>
      <w:pPr>
        <w:ind w:left="440" w:right="120" w:firstLine="419"/>
        <w:spacing w:after="0" w:line="263"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Administrative Agent may from time to time reasonably request.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Reports and financial statements required to be delivered by the Borrower pursuant to Sections 5.09(a), 5.09(b) and 5.09(d) shall be deemed to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been delivered on the date on which it posts such reports, or reports containing such financial statements, on its website on the Internet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www.manpowergroup.com and when such reports, or reports containing such financial statements are posted on the SEC’s website at www.sec.gov;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shall deliver paper copies of the reports and financial statements referred to in Sections 5.09(a), 5.09(b) and 5.09(d) to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or any Lender who requests it to deliver such paper copies until written notice to cease delivering paper copies is given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Administrative Agent or such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every instance it shall provide paper copies of the certificate required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Sections 5.09(a) and 5.09(b) to the Administrative Agent and the Administrative Agent shall, in turn, provide a copy to each of the Lenders until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as the Administrative Agent shall provide it written notice otherwise.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Each notice delivered under Section 5.09(c) (i) shall be in writing and (ii) shall contain a heading or a reference line that reads “Notice under Section 5.09(c) of the ManpowerGroup Inc. Credit Agreement dated May 27,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Borrower covenants and agrees with the Lenders that the Borrower will not:</w:t>
      </w:r>
    </w:p>
    <w:p>
      <w:pPr>
        <w:spacing w:after="0" w:line="184" w:lineRule="exact"/>
        <w:rPr>
          <w:sz w:val="20"/>
          <w:szCs w:val="20"/>
          <w:color w:val="auto"/>
        </w:rPr>
      </w:pPr>
    </w:p>
    <w:p>
      <w:pPr>
        <w:jc w:val="both"/>
        <w:ind w:right="440" w:firstLine="991"/>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76" w:lineRule="exact"/>
        <w:rPr>
          <w:sz w:val="20"/>
          <w:szCs w:val="20"/>
          <w:color w:val="auto"/>
        </w:rPr>
      </w:pPr>
    </w:p>
    <w:p>
      <w:pPr>
        <w:ind w:left="1100" w:hanging="241"/>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440" w:right="40" w:firstLine="419"/>
        <w:spacing w:after="0" w:line="259"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(ii) liens consisting of the interests of lessors under Capital Lease Obligations and (iii) liens not otherwise described above in this Section 6.01;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0" w:name="page81"/>
    <w:bookmarkEnd w:id="80"/>
    <w:p>
      <w:pPr>
        <w:ind w:left="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8"/>
          <w:szCs w:val="18"/>
          <w:color w:val="auto"/>
        </w:rPr>
        <w:t>, that the aggregate capitalized amount of Debt incurred pursuant to such Capital Lease Obligations, plus the aggregate principal amount of the indebtedness or other obligations secured by any of the liens described in this Section 6.01(b) (or, if greater, the book value of the assets that are subject to such liens) shall not exceed $75,000,000 at any time outstanding;</w:t>
      </w:r>
    </w:p>
    <w:p>
      <w:pPr>
        <w:spacing w:after="0" w:line="76" w:lineRule="exact"/>
        <w:rPr>
          <w:sz w:val="20"/>
          <w:szCs w:val="20"/>
          <w:color w:val="auto"/>
        </w:rPr>
      </w:pPr>
    </w:p>
    <w:p>
      <w:pPr>
        <w:ind w:left="1100" w:hanging="241"/>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6.01 hereto;</w:t>
      </w:r>
    </w:p>
    <w:p>
      <w:pPr>
        <w:spacing w:after="0" w:line="117" w:lineRule="exact"/>
        <w:rPr>
          <w:rFonts w:ascii="Arial" w:cs="Arial" w:eastAsia="Arial" w:hAnsi="Arial"/>
          <w:sz w:val="18"/>
          <w:szCs w:val="18"/>
          <w:color w:val="auto"/>
        </w:rPr>
      </w:pPr>
    </w:p>
    <w:p>
      <w:pPr>
        <w:jc w:val="both"/>
        <w:ind w:left="440" w:right="40" w:firstLine="419"/>
        <w:spacing w:after="0" w:line="279" w:lineRule="auto"/>
        <w:tabs>
          <w:tab w:leader="none" w:pos="11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63" w:lineRule="exact"/>
        <w:rPr>
          <w:rFonts w:ascii="Arial" w:cs="Arial" w:eastAsia="Arial" w:hAnsi="Arial"/>
          <w:sz w:val="17"/>
          <w:szCs w:val="17"/>
          <w:color w:val="auto"/>
        </w:rPr>
      </w:pPr>
    </w:p>
    <w:p>
      <w:pPr>
        <w:ind w:left="1100" w:hanging="241"/>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permitted by Section 6.04;</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0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Sections 6.01(b), 6.01(c) or 6.01(d) above upon or in the same property theretofore subject thereto or the replacement, extension or renewal (without increase in the amount or change in any direct or contingent obligor) of the Debt secured thereby;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on cash collateral provided under the terms of this Agreement; and</w:t>
      </w:r>
    </w:p>
    <w:p>
      <w:pPr>
        <w:spacing w:after="0" w:line="117"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Liens on cash balances of accounts maintained by the Borrower or any of its Subsidiaries organized outside of the United States with Bank Mendes Gans nv pursuant to the Cash Pooling Agreement dated July 9, 2003, as may be amended, restated, supplemented or otherwise modified or replaced from time to time, or on cash balances of accounts maintained by the Borrower or any of its Subsidiaries organized outside of the United States with other lending institutions under substantially similar arrangements.</w:t>
      </w:r>
    </w:p>
    <w:p>
      <w:pPr>
        <w:spacing w:after="0" w:line="17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Mergers, Etc</w:t>
      </w:r>
      <w:r>
        <w:rPr>
          <w:rFonts w:ascii="Arial" w:cs="Arial" w:eastAsia="Arial" w:hAnsi="Arial"/>
          <w:sz w:val="18"/>
          <w:szCs w:val="18"/>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76" w:lineRule="exact"/>
        <w:rPr>
          <w:sz w:val="20"/>
          <w:szCs w:val="20"/>
          <w:color w:val="auto"/>
        </w:rPr>
      </w:pPr>
    </w:p>
    <w:p>
      <w:pPr>
        <w:ind w:left="440" w:right="60" w:firstLine="419"/>
        <w:spacing w:after="0" w:line="311" w:lineRule="auto"/>
        <w:tabs>
          <w:tab w:leader="none" w:pos="11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w:t>
      </w:r>
    </w:p>
    <w:p>
      <w:pPr>
        <w:spacing w:after="0" w:line="40" w:lineRule="exact"/>
        <w:rPr>
          <w:rFonts w:ascii="Arial" w:cs="Arial" w:eastAsia="Arial" w:hAnsi="Arial"/>
          <w:sz w:val="16"/>
          <w:szCs w:val="16"/>
          <w:color w:val="auto"/>
        </w:rPr>
      </w:pPr>
    </w:p>
    <w:p>
      <w:pPr>
        <w:ind w:left="440" w:right="40" w:firstLine="419"/>
        <w:spacing w:after="0" w:line="273" w:lineRule="auto"/>
        <w:tabs>
          <w:tab w:leader="none" w:pos="111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Subsidiary of the Borrower or the Borrower may merge into or consolidate with, or transfer assets (including but not limited to stock or other equity interests of any Person) to or acquire the assets (including but not limited to stock or other equity interests of any Person) of any Subsidiary of the Borrower or the Borrower; provided that in the case of any such merger or consolidation transaction to which the Borrower is a party, the Borrower shall be the surviving corporation; provided that, in each such case, immediately after giving effect to such proposed transaction, no Default shall exist (it being understood that in connection with any internal corporate restructuring of the Borrower, the Borrower may transfer assets to any of its Subsidiaries and may change its name);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1" w:name="page82"/>
    <w:bookmarkEnd w:id="81"/>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sales permitted pursuant to Section 6.03.</w:t>
      </w:r>
    </w:p>
    <w:p>
      <w:pPr>
        <w:spacing w:after="0" w:line="225"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Sales, Etc. of Assets</w:t>
      </w:r>
      <w:r>
        <w:rPr>
          <w:rFonts w:ascii="Arial" w:cs="Arial" w:eastAsia="Arial" w:hAnsi="Arial"/>
          <w:sz w:val="17"/>
          <w:szCs w:val="17"/>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6.02 or Section 6.04.</w:t>
      </w:r>
    </w:p>
    <w:p>
      <w:pPr>
        <w:spacing w:after="0" w:line="17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Securitization Facilities</w:t>
      </w:r>
      <w:r>
        <w:rPr>
          <w:rFonts w:ascii="Arial" w:cs="Arial" w:eastAsia="Arial" w:hAnsi="Arial"/>
          <w:sz w:val="17"/>
          <w:szCs w:val="17"/>
          <w:color w:val="auto"/>
        </w:rPr>
        <w:t>. At any time sell, assign or otherwise dispose of all or any material portion of the Borrower’s or any Subsidiary’s accounts receivable, lease receivables or other rights to receive payment or income (any of the foregoing being a “</w:t>
      </w:r>
      <w:r>
        <w:rPr>
          <w:rFonts w:ascii="Arial" w:cs="Arial" w:eastAsia="Arial" w:hAnsi="Arial"/>
          <w:sz w:val="17"/>
          <w:szCs w:val="17"/>
          <w:u w:val="single" w:color="auto"/>
          <w:color w:val="auto"/>
        </w:rPr>
        <w:t>Receivable</w:t>
      </w:r>
      <w:r>
        <w:rPr>
          <w:rFonts w:ascii="Arial" w:cs="Arial" w:eastAsia="Arial" w:hAnsi="Arial"/>
          <w:sz w:val="17"/>
          <w:szCs w:val="17"/>
          <w:color w:val="auto"/>
        </w:rPr>
        <w:t>”); provided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7"/>
          <w:szCs w:val="17"/>
          <w:u w:val="single" w:color="auto"/>
          <w:color w:val="auto"/>
        </w:rPr>
        <w:t>Receivables Purchase Agreement</w:t>
      </w:r>
      <w:r>
        <w:rPr>
          <w:rFonts w:ascii="Arial" w:cs="Arial" w:eastAsia="Arial" w:hAnsi="Arial"/>
          <w:sz w:val="17"/>
          <w:szCs w:val="17"/>
          <w:color w:val="auto"/>
        </w:rPr>
        <w:t>”), so long as (i) the aggregate outstanding investment or claims held at any time by purchasers, assignees or other transferees of (or of interests in) Receivables under Receivables Purchase Agreements shall not exceed an amount equal to $700,000,000 at any time outstanding and (ii) each sale, assignment or other transfer effected under or in connection with a Receivables Purchase Agreement shall be effected on a non-recourse or limited recourse basis.</w:t>
      </w:r>
    </w:p>
    <w:p>
      <w:pPr>
        <w:spacing w:after="0" w:line="178"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Consolidated Subsidiaries to make or permit, any change in accounting policies or reporting practices, except as required or permitted by generally accepted accounting principles.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Subsidiary Debt</w:t>
      </w:r>
      <w:r>
        <w:rPr>
          <w:rFonts w:ascii="Arial" w:cs="Arial" w:eastAsia="Arial" w:hAnsi="Arial"/>
          <w:sz w:val="18"/>
          <w:szCs w:val="18"/>
          <w:color w:val="auto"/>
        </w:rPr>
        <w:t>. Permit any of its Subsidiaries to create or suffer to exist, any Debt other than:</w:t>
      </w:r>
    </w:p>
    <w:p>
      <w:pPr>
        <w:spacing w:after="0" w:line="117" w:lineRule="exact"/>
        <w:rPr>
          <w:sz w:val="20"/>
          <w:szCs w:val="20"/>
          <w:color w:val="auto"/>
        </w:rPr>
      </w:pPr>
    </w:p>
    <w:p>
      <w:pPr>
        <w:ind w:left="1100" w:hanging="241"/>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Debt owed to the Borrower or to a Subsidiary of the Borrower;</w:t>
      </w:r>
    </w:p>
    <w:p>
      <w:pPr>
        <w:spacing w:after="0" w:line="117" w:lineRule="exact"/>
        <w:rPr>
          <w:rFonts w:ascii="Arial" w:cs="Arial" w:eastAsia="Arial" w:hAnsi="Arial"/>
          <w:sz w:val="18"/>
          <w:szCs w:val="18"/>
          <w:color w:val="auto"/>
        </w:rPr>
      </w:pPr>
    </w:p>
    <w:p>
      <w:pPr>
        <w:jc w:val="both"/>
        <w:ind w:left="440" w:right="280" w:firstLine="419"/>
        <w:spacing w:after="0" w:line="263"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Debt aggregating for all of the Borrower’s Subsidiaries not more than (A) $300,000,000 at any one time drawn and outstanding during each fiscal quarter ending March 31, June 30 and December 31 in each calendar year and (B) $600,000,000 at any one time drawn and outstanding during each fiscal quarter ending September 30 in each calendar year;</w:t>
      </w:r>
    </w:p>
    <w:p>
      <w:pPr>
        <w:spacing w:after="0" w:line="75" w:lineRule="exact"/>
        <w:rPr>
          <w:rFonts w:ascii="Arial" w:cs="Arial" w:eastAsia="Arial" w:hAnsi="Arial"/>
          <w:sz w:val="18"/>
          <w:szCs w:val="18"/>
          <w:color w:val="auto"/>
        </w:rPr>
      </w:pPr>
    </w:p>
    <w:p>
      <w:pPr>
        <w:ind w:left="1100" w:hanging="241"/>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indorsement of negotiable instruments for deposit or collection or similar transactions in the ordinary course of business; and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Debt which is, or would be permitted to be, secured by a Lien permitted under Section 6.01.</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Make, or permit any of its Subsidiaries to make, any material change in the nature of its business as carried on at the date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82" w:name="page83"/>
    <w:bookmarkEnd w:id="82"/>
    <w:p>
      <w:pPr>
        <w:ind w:left="4"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6.08. </w:t>
      </w:r>
      <w:r>
        <w:rPr>
          <w:rFonts w:ascii="Arial" w:cs="Arial" w:eastAsia="Arial" w:hAnsi="Arial"/>
          <w:sz w:val="18"/>
          <w:szCs w:val="18"/>
          <w:u w:val="single" w:color="auto"/>
          <w:color w:val="auto"/>
        </w:rPr>
        <w:t>Financial Covenants</w:t>
      </w:r>
      <w:r>
        <w:rPr>
          <w:rFonts w:ascii="Arial" w:cs="Arial" w:eastAsia="Arial" w:hAnsi="Arial"/>
          <w:sz w:val="18"/>
          <w:szCs w:val="18"/>
          <w:color w:val="auto"/>
        </w:rPr>
        <w:t>. So long as any Loan shall remain unpaid or any Lender shall have any Commitment hereunder or any Letter of Credit shall be outstanding, the Borrower will:</w:t>
      </w:r>
    </w:p>
    <w:p>
      <w:pPr>
        <w:spacing w:after="0" w:line="170" w:lineRule="exact"/>
        <w:rPr>
          <w:sz w:val="20"/>
          <w:szCs w:val="20"/>
          <w:color w:val="auto"/>
        </w:rPr>
      </w:pPr>
    </w:p>
    <w:p>
      <w:pPr>
        <w:ind w:left="4" w:firstLine="987"/>
        <w:spacing w:after="0" w:line="284" w:lineRule="auto"/>
        <w:tabs>
          <w:tab w:leader="none" w:pos="124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Leverage Ratio</w:t>
      </w:r>
      <w:r>
        <w:rPr>
          <w:rFonts w:ascii="Arial" w:cs="Arial" w:eastAsia="Arial" w:hAnsi="Arial"/>
          <w:sz w:val="16"/>
          <w:szCs w:val="16"/>
          <w:color w:val="auto"/>
        </w:rPr>
        <w:t>. Maintain a ratio of Consolidated Adjusted Debt to Consolidated EBITDA (the “</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as of the end of each fiscal quarter, in respect of the four-quarter period then ended, of not greater than 3.50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may, by written notice to the Administrative Agent for distribution to the Lenders and not more than twice during the term of this Agreement, elect to increase the maximum Leverage Ratio to 4.00 to 1.00 for a period of four (4) consecutive fiscal quarters in connection with an acquisition that involves the payment of consideration by the Borrower and its Subsidiaries in excess of $200,000,000 occurring during the first of such four fiscal quarters (each such period, an “</w:t>
      </w:r>
      <w:r>
        <w:rPr>
          <w:rFonts w:ascii="Arial" w:cs="Arial" w:eastAsia="Arial" w:hAnsi="Arial"/>
          <w:sz w:val="16"/>
          <w:szCs w:val="16"/>
          <w:u w:val="single" w:color="auto"/>
          <w:color w:val="auto"/>
        </w:rPr>
        <w:t>Adjusted Covenant Period</w:t>
      </w:r>
      <w:r>
        <w:rPr>
          <w:rFonts w:ascii="Arial" w:cs="Arial" w:eastAsia="Arial" w:hAnsi="Arial"/>
          <w:sz w:val="16"/>
          <w:szCs w:val="16"/>
          <w:color w:val="auto"/>
        </w:rPr>
        <w:t>”) and (y) notwithstanding the foregoing clause (x), the Borrower may not elect an Adjusted Covenant Period for at least two</w:t>
      </w:r>
    </w:p>
    <w:p>
      <w:pPr>
        <w:spacing w:after="0" w:line="4" w:lineRule="exact"/>
        <w:rPr>
          <w:rFonts w:ascii="Arial" w:cs="Arial" w:eastAsia="Arial" w:hAnsi="Arial"/>
          <w:sz w:val="16"/>
          <w:szCs w:val="16"/>
          <w:color w:val="auto"/>
        </w:rPr>
      </w:pPr>
    </w:p>
    <w:p>
      <w:pPr>
        <w:ind w:left="4" w:right="420" w:hanging="4"/>
        <w:spacing w:after="0" w:line="260" w:lineRule="auto"/>
        <w:tabs>
          <w:tab w:leader="none" w:pos="2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full fiscal quarters following the end of an Adjusted Covenant Period before a new Adjusted Covenant Period is available again pursuant to the preceding clause (x) for a new period of four (4) consecutive fiscal quarters.</w:t>
      </w:r>
    </w:p>
    <w:p>
      <w:pPr>
        <w:spacing w:after="0" w:line="185" w:lineRule="exact"/>
        <w:rPr>
          <w:rFonts w:ascii="Arial" w:cs="Arial" w:eastAsia="Arial" w:hAnsi="Arial"/>
          <w:sz w:val="18"/>
          <w:szCs w:val="18"/>
          <w:color w:val="auto"/>
        </w:rPr>
      </w:pPr>
    </w:p>
    <w:p>
      <w:pPr>
        <w:jc w:val="both"/>
        <w:ind w:left="4" w:right="260" w:firstLine="987"/>
        <w:spacing w:after="0" w:line="263" w:lineRule="auto"/>
        <w:tabs>
          <w:tab w:leader="none" w:pos="125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Maintain a ratio of (i) the sum of Consolidated EBITDA and Consolidated Rental Expense to (ii) the sum of Consolidated Interest Expense and Consolidated Rental Expense as of the end of each fiscal quarter, in respect of the four-quarter period then ended, of not less than 1.50 to 1.00.</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25" w:lineRule="exact"/>
        <w:rPr>
          <w:sz w:val="20"/>
          <w:szCs w:val="20"/>
          <w:color w:val="auto"/>
        </w:rPr>
      </w:pPr>
    </w:p>
    <w:p>
      <w:pPr>
        <w:jc w:val="both"/>
        <w:ind w:left="4" w:firstLine="987"/>
        <w:spacing w:after="0" w:line="263"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or any reimbursement obligation in respect of any LC Disbursement when and as the same shall become due and payable (subject to Section 2.06(e)) and in the Agreed Currency required hereunder, whether at the due date thereof or at a date fixed for prepayment thereof or otherwise; or</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w:t>
      </w:r>
    </w:p>
    <w:p>
      <w:pPr>
        <w:spacing w:after="0" w:line="23" w:lineRule="exact"/>
        <w:rPr>
          <w:sz w:val="20"/>
          <w:szCs w:val="20"/>
          <w:color w:val="auto"/>
        </w:rPr>
      </w:pPr>
    </w:p>
    <w:p>
      <w:pPr>
        <w:ind w:left="4" w:right="300"/>
        <w:spacing w:after="0" w:line="290" w:lineRule="auto"/>
        <w:rPr>
          <w:sz w:val="20"/>
          <w:szCs w:val="20"/>
          <w:color w:val="auto"/>
        </w:rPr>
      </w:pPr>
      <w:r>
        <w:rPr>
          <w:rFonts w:ascii="Arial" w:cs="Arial" w:eastAsia="Arial" w:hAnsi="Arial"/>
          <w:sz w:val="17"/>
          <w:szCs w:val="17"/>
          <w:color w:val="auto"/>
        </w:rPr>
        <w:t>Section 7.01(a)) payable under this Agreement or any other Loan Document, when and as the same shall become due and payable and in the Agreed Currency required hereunder, and such failure shall continue unremedied for a period of three (3) Business Days; or</w:t>
      </w:r>
    </w:p>
    <w:p>
      <w:pPr>
        <w:spacing w:after="0" w:line="161" w:lineRule="exact"/>
        <w:rPr>
          <w:sz w:val="20"/>
          <w:szCs w:val="20"/>
          <w:color w:val="auto"/>
        </w:rPr>
      </w:pPr>
    </w:p>
    <w:p>
      <w:pPr>
        <w:ind w:left="4" w:right="100" w:firstLine="987"/>
        <w:spacing w:after="0" w:line="277"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herein or by the Borrower (or any of its officers) in connection with this Agreement shall prove to have been incorrect in any material respect when made or deemed made; or</w:t>
      </w:r>
    </w:p>
    <w:p>
      <w:pPr>
        <w:spacing w:after="0" w:line="170" w:lineRule="exact"/>
        <w:rPr>
          <w:rFonts w:ascii="Arial" w:cs="Arial" w:eastAsia="Arial" w:hAnsi="Arial"/>
          <w:sz w:val="18"/>
          <w:szCs w:val="18"/>
          <w:color w:val="auto"/>
        </w:rPr>
      </w:pPr>
    </w:p>
    <w:p>
      <w:pPr>
        <w:ind w:left="4" w:firstLine="987"/>
        <w:spacing w:after="0" w:line="259" w:lineRule="auto"/>
        <w:tabs>
          <w:tab w:leader="none" w:pos="125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 the Borrower shall fail to perform or observe any term, covenant or agreement contained in Sections 5.04, 5.05, 5.08 or 5.09(c) or in </w:t>
      </w:r>
      <w:r>
        <w:rPr>
          <w:rFonts w:ascii="Arial" w:cs="Arial" w:eastAsia="Arial" w:hAnsi="Arial"/>
          <w:sz w:val="18"/>
          <w:szCs w:val="18"/>
          <w:u w:val="single" w:color="auto"/>
          <w:color w:val="auto"/>
        </w:rPr>
        <w:t>Article VI</w:t>
      </w:r>
      <w:r>
        <w:rPr>
          <w:rFonts w:ascii="Arial" w:cs="Arial" w:eastAsia="Arial" w:hAnsi="Arial"/>
          <w:sz w:val="18"/>
          <w:szCs w:val="18"/>
          <w:color w:val="auto"/>
        </w:rPr>
        <w:t>,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Administrative Agent or any Lender; or</w:t>
      </w:r>
    </w:p>
    <w:p>
      <w:pPr>
        <w:spacing w:after="0" w:line="186" w:lineRule="exact"/>
        <w:rPr>
          <w:rFonts w:ascii="Arial" w:cs="Arial" w:eastAsia="Arial" w:hAnsi="Arial"/>
          <w:sz w:val="18"/>
          <w:szCs w:val="18"/>
          <w:color w:val="auto"/>
        </w:rPr>
      </w:pPr>
    </w:p>
    <w:p>
      <w:pPr>
        <w:ind w:left="4" w:right="20" w:firstLine="987"/>
        <w:spacing w:after="0" w:line="263"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 or any of its Subsidiaries shall fail to pay any principal of or premium or interest on any Debt that is outstanding in a principal or notional amount of at least $50,000,000 in the aggregate (but excluding Debt outstanding hereunder) of the Borrower or such Subsidiary (as the case may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4" w:right="479" w:bottom="1440" w:gutter="0" w:footer="0" w:header="0"/>
        </w:sectPr>
      </w:pPr>
    </w:p>
    <w:bookmarkStart w:id="83" w:name="page84"/>
    <w:bookmarkEnd w:id="83"/>
    <w:p>
      <w:pPr>
        <w:ind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Section 7.01(e),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to have been declared to be due and payable only when the Borrower or its Subsidiary, as the case may be, shall have failed to pay when due any amount which it shall be obligated to pay with respect to such Debt; or</w:t>
      </w:r>
    </w:p>
    <w:p>
      <w:pPr>
        <w:spacing w:after="0" w:line="172" w:lineRule="exact"/>
        <w:rPr>
          <w:sz w:val="20"/>
          <w:szCs w:val="20"/>
          <w:color w:val="auto"/>
        </w:rPr>
      </w:pPr>
    </w:p>
    <w:p>
      <w:pPr>
        <w:ind w:right="80" w:firstLine="987"/>
        <w:spacing w:after="0" w:line="289" w:lineRule="auto"/>
        <w:tabs>
          <w:tab w:leader="none" w:pos="121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Borrower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Material Subsidiaries shall take any corporate action to authorize any of the actions set forth above in this Section 7.01(f); or</w:t>
      </w:r>
    </w:p>
    <w:p>
      <w:pPr>
        <w:spacing w:after="0" w:line="166" w:lineRule="exact"/>
        <w:rPr>
          <w:rFonts w:ascii="Arial" w:cs="Arial" w:eastAsia="Arial" w:hAnsi="Arial"/>
          <w:sz w:val="16"/>
          <w:szCs w:val="16"/>
          <w:color w:val="auto"/>
        </w:rPr>
      </w:pPr>
    </w:p>
    <w:p>
      <w:pPr>
        <w:jc w:val="both"/>
        <w:ind w:right="160" w:firstLine="987"/>
        <w:spacing w:after="0" w:line="259" w:lineRule="auto"/>
        <w:tabs>
          <w:tab w:leader="none" w:pos="12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$50,000,000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pacing w:after="0" w:line="186" w:lineRule="exact"/>
        <w:rPr>
          <w:rFonts w:ascii="Arial" w:cs="Arial" w:eastAsia="Arial" w:hAnsi="Arial"/>
          <w:sz w:val="18"/>
          <w:szCs w:val="18"/>
          <w:color w:val="auto"/>
        </w:rPr>
      </w:pPr>
    </w:p>
    <w:p>
      <w:pPr>
        <w:ind w:right="200" w:firstLine="987"/>
        <w:spacing w:after="0" w:line="259" w:lineRule="auto"/>
        <w:tabs>
          <w:tab w:leader="none" w:pos="12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non-monetary judgment or order shall be rendered against the Borrower or any of its Subsidiaries that is reasonably expected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pacing w:after="0" w:line="186" w:lineRule="exact"/>
        <w:rPr>
          <w:rFonts w:ascii="Arial" w:cs="Arial" w:eastAsia="Arial" w:hAnsi="Arial"/>
          <w:sz w:val="18"/>
          <w:szCs w:val="18"/>
          <w:color w:val="auto"/>
        </w:rPr>
      </w:pPr>
    </w:p>
    <w:p>
      <w:pPr>
        <w:ind w:firstLine="987"/>
        <w:spacing w:after="0" w:line="273" w:lineRule="auto"/>
        <w:tabs>
          <w:tab w:leader="none" w:pos="120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any Person or two or more Persons acting in concert shall have acquired beneficial ownership (within the meaning of Rule 13d-3 of the SEC under the Securities Exchange Act of 1934), directly or indirectly, of Voting Stock of the Borrower (or other securities convertible into such Voting Stock) representing 25% or more of the combined voting power of all Voting Stock of the Borrower; or (ii) during any period of up to 24 consecutive months, commencing before or after the date of this Agreement, individuals who at the beginning of such 24-month period were directors of the Borrower shall cease for any reason to constitute a majority of the board of directors of the Borrower (except to the extent that individuals who at the beginning of such 24-month period were replaced by individuals (x) elected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4" w:name="page85"/>
    <w:bookmarkEnd w:id="84"/>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66-2/3% of the remaining members of the board of directors of the Borrower or (y) nominated or approved for election by a majority of the remaining members of the board of directors of the Borrower and thereafter elected as directors by the shareholders of the Borrower); or</w:t>
      </w:r>
    </w:p>
    <w:p>
      <w:pPr>
        <w:spacing w:after="0" w:line="146" w:lineRule="exact"/>
        <w:rPr>
          <w:sz w:val="20"/>
          <w:szCs w:val="20"/>
          <w:color w:val="auto"/>
        </w:rPr>
      </w:pPr>
    </w:p>
    <w:p>
      <w:pPr>
        <w:ind w:right="100" w:firstLine="987"/>
        <w:spacing w:after="0" w:line="286" w:lineRule="auto"/>
        <w:tabs>
          <w:tab w:leader="none" w:pos="120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Borrower or any of its ERISA Affiliates shall incur, or shall be reasonably likely to incur liability in excess of $50,000,000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6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Remedies Upon an Event of Default</w:t>
      </w:r>
      <w:r>
        <w:rPr>
          <w:rFonts w:ascii="Arial" w:cs="Arial" w:eastAsia="Arial" w:hAnsi="Arial"/>
          <w:sz w:val="18"/>
          <w:szCs w:val="18"/>
          <w:color w:val="auto"/>
        </w:rPr>
        <w:t>. If an Event of Default occurs (other than an event with respect to the Borrower described in Section 7.01(f)),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187" w:lineRule="exact"/>
        <w:rPr>
          <w:sz w:val="20"/>
          <w:szCs w:val="20"/>
          <w:color w:val="auto"/>
        </w:rPr>
      </w:pPr>
    </w:p>
    <w:p>
      <w:pPr>
        <w:ind w:left="1240" w:hanging="253"/>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terminate the Commitments, and thereupon the Commitments shall terminate immediately;</w:t>
      </w:r>
    </w:p>
    <w:p>
      <w:pPr>
        <w:spacing w:after="0" w:line="225" w:lineRule="exact"/>
        <w:rPr>
          <w:rFonts w:ascii="Arial" w:cs="Arial" w:eastAsia="Arial" w:hAnsi="Arial"/>
          <w:sz w:val="18"/>
          <w:szCs w:val="18"/>
          <w:color w:val="auto"/>
        </w:rPr>
      </w:pPr>
    </w:p>
    <w:p>
      <w:pPr>
        <w:ind w:firstLine="987"/>
        <w:spacing w:after="0" w:line="279" w:lineRule="auto"/>
        <w:tabs>
          <w:tab w:leader="none" w:pos="124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accrued hereunder and under any other Loan Document, shall become due and payable immediately, without presentment, demand, protest or other notice of any kind, all of which are hereby waived by the Borrower;</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require that the Borrower provide cash collateral as required in Section 2.06(j); and</w:t>
      </w:r>
    </w:p>
    <w:p>
      <w:pPr>
        <w:spacing w:after="0" w:line="225"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exercise on behalf of itself, the Lenders and the Issuing Banks all rights and remedies available to it, the Lenders and the Issuing Banks under the Loan Documents and applicable law.</w:t>
      </w:r>
    </w:p>
    <w:p>
      <w:pPr>
        <w:spacing w:after="0" w:line="170"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If an Event of Default described in Section 7.01(f) occurs with respect to the Borrower, the Commitments shall automatically terminate and the principal of the Loans then outstanding and cash collateral for the LC Exposure, together with accrued interest thereon and all fees and other Obligations accrued hereunder and under any other Loan Document,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25" w:lineRule="exact"/>
        <w:rPr>
          <w:sz w:val="20"/>
          <w:szCs w:val="20"/>
          <w:color w:val="auto"/>
        </w:rPr>
      </w:pPr>
    </w:p>
    <w:p>
      <w:pPr>
        <w:ind w:right="300" w:firstLine="987"/>
        <w:spacing w:after="0" w:line="296" w:lineRule="auto"/>
        <w:tabs>
          <w:tab w:leader="none" w:pos="137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Lender and each Issuing Bank hereby irrevocably appoints the entity named as Administrative Agent in the heading of this Agreement and its successors and assigns to serve as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5" w:name="page86"/>
    <w:bookmarkEnd w:id="8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 and to perform its obligations under, each of the Loan Documents to which the Administrative Agent is a party, and to exercise all rights, powers and remedies that the Administrative Agent may have under such Loan Documents.</w:t>
      </w:r>
    </w:p>
    <w:p>
      <w:pPr>
        <w:spacing w:after="0" w:line="170" w:lineRule="exact"/>
        <w:rPr>
          <w:sz w:val="20"/>
          <w:szCs w:val="20"/>
          <w:color w:val="auto"/>
        </w:rPr>
      </w:pPr>
    </w:p>
    <w:p>
      <w:pPr>
        <w:ind w:right="20" w:firstLine="987"/>
        <w:spacing w:after="0" w:line="285" w:lineRule="auto"/>
        <w:tabs>
          <w:tab w:leader="none" w:pos="137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3" w:lineRule="exact"/>
        <w:rPr>
          <w:rFonts w:ascii="Arial" w:cs="Arial" w:eastAsia="Arial" w:hAnsi="Arial"/>
          <w:sz w:val="16"/>
          <w:szCs w:val="16"/>
          <w:color w:val="auto"/>
        </w:rPr>
      </w:pPr>
    </w:p>
    <w:p>
      <w:pPr>
        <w:ind w:right="100" w:firstLine="987"/>
        <w:spacing w:after="0" w:line="286" w:lineRule="auto"/>
        <w:tabs>
          <w:tab w:leader="none" w:pos="1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57" w:lineRule="exact"/>
        <w:rPr>
          <w:rFonts w:ascii="Arial" w:cs="Arial" w:eastAsia="Arial" w:hAnsi="Arial"/>
          <w:sz w:val="17"/>
          <w:szCs w:val="17"/>
          <w:color w:val="auto"/>
        </w:rPr>
      </w:pPr>
    </w:p>
    <w:p>
      <w:pPr>
        <w:ind w:left="440" w:right="60" w:firstLine="948"/>
        <w:spacing w:after="0" w:line="290" w:lineRule="auto"/>
        <w:tabs>
          <w:tab w:leader="none" w:pos="174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Administrative Agent does not assume and shall not be deemed to have assumed any obligation or duty or any other relationship as the agent, fiduciary or trustee of or for any Lender, any Issuing Bank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57" w:lineRule="exact"/>
        <w:rPr>
          <w:rFonts w:ascii="Arial" w:cs="Arial" w:eastAsia="Arial" w:hAnsi="Arial"/>
          <w:sz w:val="16"/>
          <w:szCs w:val="16"/>
          <w:color w:val="auto"/>
        </w:rPr>
      </w:pPr>
    </w:p>
    <w:p>
      <w:pPr>
        <w:ind w:left="440" w:right="60" w:firstLine="948"/>
        <w:spacing w:after="0" w:line="277" w:lineRule="auto"/>
        <w:tabs>
          <w:tab w:leader="none" w:pos="17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6" w:name="page87"/>
    <w:bookmarkEnd w:id="86"/>
    <w:p>
      <w:pPr>
        <w:ind w:firstLine="987"/>
        <w:spacing w:after="0" w:line="272" w:lineRule="auto"/>
        <w:tabs>
          <w:tab w:leader="none" w:pos="1378" w:val="left"/>
        </w:tabs>
        <w:numPr>
          <w:ilvl w:val="0"/>
          <w:numId w:val="1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77" w:lineRule="exact"/>
        <w:rPr>
          <w:rFonts w:ascii="Arial" w:cs="Arial" w:eastAsia="Arial" w:hAnsi="Arial"/>
          <w:sz w:val="17"/>
          <w:szCs w:val="17"/>
          <w:color w:val="auto"/>
        </w:rPr>
      </w:pPr>
    </w:p>
    <w:p>
      <w:pPr>
        <w:ind w:right="280" w:firstLine="987"/>
        <w:spacing w:after="0" w:line="263" w:lineRule="auto"/>
        <w:tabs>
          <w:tab w:leader="none" w:pos="13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83" w:lineRule="exact"/>
        <w:rPr>
          <w:rFonts w:ascii="Arial" w:cs="Arial" w:eastAsia="Arial" w:hAnsi="Arial"/>
          <w:sz w:val="18"/>
          <w:szCs w:val="18"/>
          <w:color w:val="auto"/>
        </w:rPr>
      </w:pPr>
    </w:p>
    <w:p>
      <w:pPr>
        <w:ind w:right="20" w:firstLine="987"/>
        <w:spacing w:after="0" w:line="257" w:lineRule="auto"/>
        <w:tabs>
          <w:tab w:leader="none" w:pos="135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9" w:lineRule="exact"/>
        <w:rPr>
          <w:rFonts w:ascii="Arial" w:cs="Arial" w:eastAsia="Arial" w:hAnsi="Arial"/>
          <w:sz w:val="18"/>
          <w:szCs w:val="18"/>
          <w:color w:val="auto"/>
        </w:rPr>
      </w:pPr>
    </w:p>
    <w:p>
      <w:pPr>
        <w:ind w:left="440" w:right="120" w:firstLine="948"/>
        <w:spacing w:after="0" w:line="259" w:lineRule="auto"/>
        <w:tabs>
          <w:tab w:leader="none" w:pos="174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proceeding is hereby authorized by each Lender, each Issuing Bank and each other holder of Obligations to make such payments to the Administrative Agent and, in the event that the Administrative Agent shall consent to the making of such payments directly to the Lenders, the Issuing Banks or the other holders of Obligations, to pay to the Administrative Agent any amount due to it, in its capacity as the Administrative Agent, under the Loan Documents (including under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193" w:lineRule="exact"/>
        <w:rPr>
          <w:sz w:val="20"/>
          <w:szCs w:val="20"/>
          <w:color w:val="auto"/>
        </w:rPr>
      </w:pPr>
    </w:p>
    <w:p>
      <w:pPr>
        <w:ind w:right="120" w:firstLine="987"/>
        <w:spacing w:after="0" w:line="257" w:lineRule="auto"/>
        <w:tabs>
          <w:tab w:leader="none" w:pos="13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solely for the benefit of the Administrative Agent, the Lenders and the Issuing Banks, and, except solely to the extent of the Borrower’s rights to consent pursuant to and subject to the conditions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none of the Borrower or any Subsidiary, or any of their respective Affiliates, shall have any rights as a third party beneficiary under any such provisions. Each holder of the Obligations, whether or not a party hereto, will be deemed, by its acceptance of the benefits of the guarantees of the Obligations provided under the Loan Documents, to have agreed to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87" w:name="page88"/>
    <w:bookmarkEnd w:id="8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Administrative Agent’s Reliance, Limitation of Liability, Etc</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69" w:lineRule="auto"/>
        <w:tabs>
          <w:tab w:leader="none" w:pos="137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spacing w:after="0" w:line="178" w:lineRule="exact"/>
        <w:rPr>
          <w:rFonts w:ascii="Arial" w:cs="Arial" w:eastAsia="Arial" w:hAnsi="Arial"/>
          <w:sz w:val="17"/>
          <w:szCs w:val="17"/>
          <w:color w:val="auto"/>
        </w:rPr>
      </w:pPr>
    </w:p>
    <w:p>
      <w:pPr>
        <w:ind w:left="4" w:firstLine="987"/>
        <w:spacing w:after="0" w:line="285" w:lineRule="auto"/>
        <w:tabs>
          <w:tab w:leader="none" w:pos="138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Administrative Agent shall be deemed not to have knowledge of any (i) notice of any of the events or circumstances set forth or described in Section 5.09(c) unless and until written notice thereof stating that it is a “notice under Section 5.09(c)”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w:t>
      </w:r>
    </w:p>
    <w:p>
      <w:pPr>
        <w:spacing w:after="0" w:line="1" w:lineRule="exact"/>
        <w:rPr>
          <w:rFonts w:ascii="Arial" w:cs="Arial" w:eastAsia="Arial" w:hAnsi="Arial"/>
          <w:sz w:val="16"/>
          <w:szCs w:val="16"/>
          <w:color w:val="auto"/>
        </w:rPr>
      </w:pPr>
    </w:p>
    <w:p>
      <w:pPr>
        <w:ind w:left="4" w:right="100" w:hanging="4"/>
        <w:spacing w:after="0" w:line="268" w:lineRule="auto"/>
        <w:tabs>
          <w:tab w:leader="none" w:pos="21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each Issuing Bank or any Dollar Amount thereof.</w:t>
      </w:r>
    </w:p>
    <w:p>
      <w:pPr>
        <w:spacing w:after="0" w:line="178" w:lineRule="exact"/>
        <w:rPr>
          <w:rFonts w:ascii="Arial" w:cs="Arial" w:eastAsia="Arial" w:hAnsi="Arial"/>
          <w:sz w:val="17"/>
          <w:szCs w:val="17"/>
          <w:color w:val="auto"/>
        </w:rPr>
      </w:pPr>
    </w:p>
    <w:p>
      <w:pPr>
        <w:ind w:left="4" w:right="100" w:firstLine="987"/>
        <w:spacing w:after="0" w:line="291" w:lineRule="auto"/>
        <w:tabs>
          <w:tab w:leader="none" w:pos="137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4" w:right="459" w:bottom="1440" w:gutter="0" w:footer="0" w:header="0"/>
        </w:sectPr>
      </w:pPr>
    </w:p>
    <w:bookmarkStart w:id="88" w:name="page89"/>
    <w:bookmarkEnd w:id="8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3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117" w:lineRule="exact"/>
        <w:rPr>
          <w:sz w:val="20"/>
          <w:szCs w:val="20"/>
          <w:color w:val="auto"/>
        </w:rPr>
      </w:pPr>
    </w:p>
    <w:p>
      <w:pPr>
        <w:ind w:right="280" w:firstLine="987"/>
        <w:spacing w:after="0" w:line="286" w:lineRule="auto"/>
        <w:tabs>
          <w:tab w:leader="none" w:pos="13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Borrower agrees that the Administrative Agent may, but shall not be obligated to, make any Communications available to the Lenders and the Issuing Banks by posting the Communications on IntraLinks</w:t>
      </w:r>
      <w:r>
        <w:rPr>
          <w:rFonts w:ascii="Arial" w:cs="Arial" w:eastAsia="Arial" w:hAnsi="Arial"/>
          <w:sz w:val="14"/>
          <w:szCs w:val="14"/>
          <w:color w:val="auto"/>
        </w:rPr>
        <w:t>™</w:t>
      </w:r>
      <w:r>
        <w:rPr>
          <w:rFonts w:ascii="Arial" w:cs="Arial" w:eastAsia="Arial" w:hAnsi="Arial"/>
          <w:sz w:val="17"/>
          <w:szCs w:val="17"/>
          <w:color w:val="auto"/>
        </w:rPr>
        <w:t>, DebtDomain, SyndTrak, ClearPar or any other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987"/>
        <w:spacing w:after="0" w:line="271" w:lineRule="auto"/>
        <w:tabs>
          <w:tab w:leader="none" w:pos="1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right="40" w:firstLine="987"/>
        <w:spacing w:after="0" w:line="268" w:lineRule="auto"/>
        <w:tabs>
          <w:tab w:leader="none" w:pos="13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w:t>
      </w:r>
      <w:r>
        <w:rPr>
          <w:rFonts w:ascii="Arial" w:cs="Arial" w:eastAsia="Arial" w:hAnsi="Arial"/>
          <w:sz w:val="17"/>
          <w:szCs w:val="17"/>
          <w:u w:val="single" w:color="auto"/>
          <w:color w:val="auto"/>
        </w:rPr>
        <w:t>APPLICABLE PARTIES</w:t>
      </w:r>
      <w:r>
        <w:rPr>
          <w:rFonts w:ascii="Arial" w:cs="Arial" w:eastAsia="Arial" w:hAnsi="Arial"/>
          <w:sz w:val="17"/>
          <w:szCs w:val="17"/>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89" w:name="page90"/>
    <w:bookmarkEnd w:id="89"/>
    <w:p>
      <w:pPr>
        <w:ind w:right="160" w:firstLine="987"/>
        <w:spacing w:after="0" w:line="275" w:lineRule="auto"/>
        <w:tabs>
          <w:tab w:leader="none" w:pos="1381" w:val="left"/>
        </w:tabs>
        <w:numPr>
          <w:ilvl w:val="0"/>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176" w:lineRule="exact"/>
        <w:rPr>
          <w:rFonts w:ascii="Arial" w:cs="Arial" w:eastAsia="Arial" w:hAnsi="Arial"/>
          <w:sz w:val="17"/>
          <w:szCs w:val="17"/>
          <w:color w:val="auto"/>
        </w:rPr>
      </w:pPr>
    </w:p>
    <w:p>
      <w:pPr>
        <w:ind w:right="140" w:firstLine="987"/>
        <w:spacing w:after="0" w:line="263" w:lineRule="auto"/>
        <w:tabs>
          <w:tab w:leader="none" w:pos="137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Lenders, each Issuing Bank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3" w:lineRule="exact"/>
        <w:rPr>
          <w:rFonts w:ascii="Arial" w:cs="Arial" w:eastAsia="Arial" w:hAnsi="Arial"/>
          <w:sz w:val="18"/>
          <w:szCs w:val="18"/>
          <w:color w:val="auto"/>
        </w:rPr>
      </w:pPr>
    </w:p>
    <w:p>
      <w:pPr>
        <w:ind w:right="420" w:firstLine="987"/>
        <w:spacing w:after="0" w:line="277" w:lineRule="auto"/>
        <w:tabs>
          <w:tab w:leader="none" w:pos="135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0"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The Administrative Agent Individually</w:t>
      </w:r>
      <w:r>
        <w:rPr>
          <w:rFonts w:ascii="Arial" w:cs="Arial" w:eastAsia="Arial" w:hAnsi="Arial"/>
          <w:sz w:val="16"/>
          <w:szCs w:val="16"/>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an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36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w:t>
      </w:r>
    </w:p>
    <w:p>
      <w:pPr>
        <w:spacing w:after="0" w:line="1" w:lineRule="exact"/>
        <w:rPr>
          <w:rFonts w:ascii="Arial" w:cs="Arial" w:eastAsia="Arial" w:hAnsi="Arial"/>
          <w:sz w:val="16"/>
          <w:szCs w:val="16"/>
          <w:color w:val="auto"/>
        </w:rPr>
      </w:pPr>
    </w:p>
    <w:p>
      <w:pPr>
        <w:ind w:right="60"/>
        <w:spacing w:after="0" w:line="251" w:lineRule="auto"/>
        <w:rPr>
          <w:rFonts w:ascii="Arial" w:cs="Arial" w:eastAsia="Arial" w:hAnsi="Arial"/>
          <w:sz w:val="16"/>
          <w:szCs w:val="16"/>
          <w:color w:val="auto"/>
        </w:rPr>
      </w:pPr>
      <w:r>
        <w:rPr>
          <w:rFonts w:ascii="Arial" w:cs="Arial" w:eastAsia="Arial" w:hAnsi="Arial"/>
          <w:sz w:val="18"/>
          <w:szCs w:val="18"/>
          <w:color w:val="auto"/>
        </w:rPr>
        <w:t>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0" w:name="page91"/>
    <w:bookmarkEnd w:id="90"/>
    <w:p>
      <w:pPr>
        <w:ind w:firstLine="987"/>
        <w:spacing w:after="0" w:line="287" w:lineRule="auto"/>
        <w:tabs>
          <w:tab w:leader="none" w:pos="1381"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Acknowledgements of Lenders and Issuing Banks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68" w:lineRule="auto"/>
        <w:tabs>
          <w:tab w:leader="none" w:pos="137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such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any Co-Syndication Agent, any Co-Documentation Agent or any other Lender or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Co-Syndication Agent, any Co-Documentation Agent or any other Lender or other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rFonts w:ascii="Arial" w:cs="Arial" w:eastAsia="Arial" w:hAnsi="Arial"/>
          <w:sz w:val="17"/>
          <w:szCs w:val="17"/>
          <w:color w:val="auto"/>
        </w:rPr>
      </w:pPr>
    </w:p>
    <w:p>
      <w:pPr>
        <w:ind w:firstLine="987"/>
        <w:spacing w:after="0" w:line="259" w:lineRule="auto"/>
        <w:tabs>
          <w:tab w:leader="none" w:pos="138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1" w:name="page92"/>
    <w:bookmarkEnd w:id="91"/>
    <w:p>
      <w:pPr>
        <w:ind w:left="440" w:right="120" w:firstLine="948"/>
        <w:spacing w:after="0" w:line="287" w:lineRule="auto"/>
        <w:tabs>
          <w:tab w:leader="none" w:pos="17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6"/>
          <w:szCs w:val="16"/>
          <w:u w:val="single" w:color="auto"/>
          <w:color w:val="auto"/>
        </w:rPr>
        <w:t>Payment</w:t>
      </w:r>
      <w:r>
        <w:rPr>
          <w:rFonts w:ascii="Arial" w:cs="Arial" w:eastAsia="Arial" w:hAnsi="Arial"/>
          <w:sz w:val="16"/>
          <w:szCs w:val="16"/>
          <w:color w:val="auto"/>
        </w:rPr>
        <w: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59" w:lineRule="exact"/>
        <w:rPr>
          <w:rFonts w:ascii="Arial" w:cs="Arial" w:eastAsia="Arial" w:hAnsi="Arial"/>
          <w:sz w:val="16"/>
          <w:szCs w:val="16"/>
          <w:color w:val="auto"/>
        </w:rPr>
      </w:pPr>
    </w:p>
    <w:p>
      <w:pPr>
        <w:ind w:left="440" w:right="20" w:firstLine="948"/>
        <w:spacing w:after="0" w:line="288" w:lineRule="auto"/>
        <w:tabs>
          <w:tab w:leader="none" w:pos="183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6"/>
          <w:szCs w:val="16"/>
          <w:u w:val="single" w:color="auto"/>
          <w:color w:val="auto"/>
        </w:rPr>
        <w:t>Payment Notice</w:t>
      </w:r>
      <w:r>
        <w:rPr>
          <w:rFonts w:ascii="Arial" w:cs="Arial" w:eastAsia="Arial" w:hAnsi="Arial"/>
          <w:sz w:val="16"/>
          <w:szCs w:val="16"/>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60" w:lineRule="exact"/>
        <w:rPr>
          <w:rFonts w:ascii="Arial" w:cs="Arial" w:eastAsia="Arial" w:hAnsi="Arial"/>
          <w:sz w:val="16"/>
          <w:szCs w:val="16"/>
          <w:color w:val="auto"/>
        </w:rPr>
      </w:pPr>
    </w:p>
    <w:p>
      <w:pPr>
        <w:ind w:left="440" w:firstLine="948"/>
        <w:spacing w:after="0" w:line="259" w:lineRule="auto"/>
        <w:tabs>
          <w:tab w:leader="none" w:pos="18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w:t>
      </w:r>
    </w:p>
    <w:p>
      <w:pPr>
        <w:spacing w:after="0" w:line="78" w:lineRule="exact"/>
        <w:rPr>
          <w:rFonts w:ascii="Arial" w:cs="Arial" w:eastAsia="Arial" w:hAnsi="Arial"/>
          <w:sz w:val="18"/>
          <w:szCs w:val="18"/>
          <w:color w:val="auto"/>
        </w:rPr>
      </w:pPr>
    </w:p>
    <w:p>
      <w:pPr>
        <w:ind w:left="440" w:right="60" w:firstLine="948"/>
        <w:spacing w:after="0" w:line="263" w:lineRule="auto"/>
        <w:tabs>
          <w:tab w:leader="none" w:pos="187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63" w:lineRule="auto"/>
        <w:tabs>
          <w:tab w:leader="none" w:pos="13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92" w:name="page93"/>
    <w:bookmarkEnd w:id="92"/>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Arrangers and their respective Affiliates, and not, for the avoidance of doubt, to or for the benefit of the Borrower, that at least one of the following is and will be true:</w:t>
      </w:r>
    </w:p>
    <w:p>
      <w:pPr>
        <w:spacing w:after="0" w:line="62" w:lineRule="exact"/>
        <w:rPr>
          <w:sz w:val="20"/>
          <w:szCs w:val="20"/>
          <w:color w:val="auto"/>
        </w:rPr>
      </w:pPr>
    </w:p>
    <w:p>
      <w:pPr>
        <w:ind w:left="444" w:right="500" w:firstLine="948"/>
        <w:spacing w:after="0" w:line="277" w:lineRule="auto"/>
        <w:tabs>
          <w:tab w:leader="none" w:pos="174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62" w:lineRule="exact"/>
        <w:rPr>
          <w:rFonts w:ascii="Arial" w:cs="Arial" w:eastAsia="Arial" w:hAnsi="Arial"/>
          <w:sz w:val="18"/>
          <w:szCs w:val="18"/>
          <w:color w:val="auto"/>
        </w:rPr>
      </w:pPr>
    </w:p>
    <w:p>
      <w:pPr>
        <w:ind w:left="444" w:right="120" w:firstLine="948"/>
        <w:spacing w:after="0" w:line="273" w:lineRule="auto"/>
        <w:tabs>
          <w:tab w:leader="none" w:pos="1796"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4" w:right="20" w:firstLine="948"/>
        <w:spacing w:after="0" w:line="254" w:lineRule="auto"/>
        <w:tabs>
          <w:tab w:leader="none" w:pos="184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4" w:right="300" w:firstLine="948"/>
        <w:spacing w:after="0" w:line="277" w:lineRule="auto"/>
        <w:tabs>
          <w:tab w:leader="none" w:pos="183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firstLine="987"/>
        <w:spacing w:after="0" w:line="271" w:lineRule="auto"/>
        <w:tabs>
          <w:tab w:leader="none" w:pos="138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the Co-Syndication Agents, the Co-Documentation Agents or any of their respective Affiliates, and not, for the avoidance of doubt, to or for the benefit of the Borrower, that none of the Administrative Agent, or the Arrangers, the Co-Syndication Agents, the Co-Documentation Agents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78" w:lineRule="exact"/>
        <w:rPr>
          <w:rFonts w:ascii="Arial" w:cs="Arial" w:eastAsia="Arial" w:hAnsi="Arial"/>
          <w:sz w:val="17"/>
          <w:szCs w:val="17"/>
          <w:color w:val="auto"/>
        </w:rPr>
      </w:pPr>
    </w:p>
    <w:p>
      <w:pPr>
        <w:ind w:left="4" w:right="120" w:firstLine="987"/>
        <w:spacing w:after="0" w:line="287" w:lineRule="auto"/>
        <w:tabs>
          <w:tab w:leader="none" w:pos="137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Administrative Agent and each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w:t>
      </w:r>
    </w:p>
    <w:p>
      <w:pPr>
        <w:spacing w:after="0" w:line="2" w:lineRule="exact"/>
        <w:rPr>
          <w:rFonts w:ascii="Arial" w:cs="Arial" w:eastAsia="Arial" w:hAnsi="Arial"/>
          <w:sz w:val="16"/>
          <w:szCs w:val="16"/>
          <w:color w:val="auto"/>
        </w:rPr>
      </w:pPr>
    </w:p>
    <w:p>
      <w:pPr>
        <w:ind w:left="4" w:right="120" w:hanging="4"/>
        <w:spacing w:after="0" w:line="255" w:lineRule="auto"/>
        <w:tabs>
          <w:tab w:leader="none" w:pos="21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4"/>
          </w:cols>
          <w:pgMar w:left="436" w:top="274" w:right="459" w:bottom="1440" w:gutter="0" w:footer="0" w:header="0"/>
        </w:sectPr>
      </w:pPr>
    </w:p>
    <w:bookmarkStart w:id="93" w:name="page94"/>
    <w:bookmarkEnd w:id="9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76" w:lineRule="exact"/>
        <w:rPr>
          <w:sz w:val="20"/>
          <w:szCs w:val="20"/>
          <w:color w:val="auto"/>
        </w:rPr>
      </w:pPr>
    </w:p>
    <w:p>
      <w:pPr>
        <w:ind w:left="440" w:right="260" w:firstLine="419"/>
        <w:spacing w:after="0" w:line="277" w:lineRule="auto"/>
        <w:tabs>
          <w:tab w:leader="none" w:pos="10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to the Borrower, to it at 100 Manpower Place, Milwaukee, Wisconsin 53212, Attention of John McGinnis, Executive Vice President and Chief Financial Officer (Telecopy No. (414) 906-7977; Telephone No. (414) 906-7625);</w:t>
      </w:r>
    </w:p>
    <w:p>
      <w:pPr>
        <w:spacing w:after="0" w:line="62" w:lineRule="exact"/>
        <w:rPr>
          <w:rFonts w:ascii="Arial" w:cs="Arial" w:eastAsia="Arial" w:hAnsi="Arial"/>
          <w:sz w:val="18"/>
          <w:szCs w:val="18"/>
          <w:color w:val="auto"/>
        </w:rPr>
      </w:pPr>
    </w:p>
    <w:p>
      <w:pPr>
        <w:ind w:left="440" w:firstLine="419"/>
        <w:spacing w:after="0" w:line="255" w:lineRule="auto"/>
        <w:tabs>
          <w:tab w:leader="none" w:pos="11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to the Administrative Agent, (A) in the case of Borrowings, to JPMorgan Chase Bank, N.A., 10 South Dearborn Street, Floor L2, Suite IL1-0480, Chicago Illinois 60603-2300, Attention of Tiara Smith (email Tiara.n.smith@jpmorgan.com), with a copy to JPMorgan Chase Bank, N.A., Middle Market Servicing, 10 South Dearborn Street, Floor L2, Suite IL1-0480, Chicago Illinois 60603-2300, Attention of Commercial Banking Group (Telecopy No. (844) 490-5663; email jpm.agency.cri@jpmorgan.com and jpm.agency.servicing.1@jpmorgan.com) and (B) for all other notices, to JPMorgan Chase Bank, N.A., 8181 Communications Parkway, Plano, Texas 75024, Attention of Will Price (email will.price@jpmorgan.com);</w:t>
      </w:r>
    </w:p>
    <w:p>
      <w:pPr>
        <w:spacing w:after="0" w:line="84" w:lineRule="exact"/>
        <w:rPr>
          <w:rFonts w:ascii="Arial" w:cs="Arial" w:eastAsia="Arial" w:hAnsi="Arial"/>
          <w:sz w:val="18"/>
          <w:szCs w:val="18"/>
          <w:color w:val="auto"/>
        </w:rPr>
      </w:pPr>
    </w:p>
    <w:p>
      <w:pPr>
        <w:ind w:left="440" w:right="220" w:firstLine="419"/>
        <w:spacing w:after="0" w:line="259" w:lineRule="auto"/>
        <w:tabs>
          <w:tab w:leader="none" w:pos="11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to JPMorgan Chase Bank, N.A. as an Issuing Bank, to it at JPMorgan Chase Bank, N.A., 10 South Dearborn Street, Floor L2, Suite IL1-0480, Chicago Illinois 60603-2300, Attention of LC Agency Team (Telecopy No. (856) 294-5267; email chicago.lc.agency.activity.team@jpmchase.com), with a copy to JPMorgan Chase Bank, N.A., 10 South Dearborn Street, Floor L2, Suite IL1-0480, Chicago Illinois 60603-2300, Attention of Tiara Smith (email Tiara.n.smith@jpmorgan.com);</w:t>
      </w:r>
    </w:p>
    <w:p>
      <w:pPr>
        <w:spacing w:after="0" w:line="78" w:lineRule="exact"/>
        <w:rPr>
          <w:rFonts w:ascii="Arial" w:cs="Arial" w:eastAsia="Arial" w:hAnsi="Arial"/>
          <w:sz w:val="18"/>
          <w:szCs w:val="18"/>
          <w:color w:val="auto"/>
        </w:rPr>
      </w:pPr>
    </w:p>
    <w:p>
      <w:pPr>
        <w:ind w:left="440" w:right="60" w:firstLine="419"/>
        <w:spacing w:after="0" w:line="279" w:lineRule="auto"/>
        <w:tabs>
          <w:tab w:leader="none" w:pos="116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to the Swingline Lender, to it at JPMorgan Chase Bank, N.A., 10 South Dearborn Street, Floor L2, Suite IL1-0480, Chicago Illinois 60603-2300, Attention of Tiara Smith (email Tiara.n.smith@jpmorgan.com), with a copy to JPMorgan Chase Bank, N.A., Middle Market Servicing, 10 South Dearborn Street, Floor L2, Suite IL1-0480, Chicago Illinois 60603-2300, Attention of Commercial Banking Group (Telecopy No. (844) 490-5663; email jpm.agency.cri@jpmorgan.com and jpm.agency.servicing.1@jpmorgan.com); and</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telecopy number) set forth in its Administrative Questionnaire.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4" w:name="page95"/>
    <w:bookmarkEnd w:id="94"/>
    <w:p>
      <w:pPr>
        <w:ind w:firstLine="987"/>
        <w:spacing w:after="0" w:line="275" w:lineRule="auto"/>
        <w:tabs>
          <w:tab w:leader="none" w:pos="1246"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Notices and other communications to the Borrower, the Lenders and the Issuing Banks hereunder may be delivered or furnished by using Approved Electronic Platforms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6" w:lineRule="exact"/>
        <w:rPr>
          <w:rFonts w:ascii="Arial" w:cs="Arial" w:eastAsia="Arial" w:hAnsi="Arial"/>
          <w:sz w:val="17"/>
          <w:szCs w:val="17"/>
          <w:color w:val="auto"/>
        </w:rPr>
      </w:pPr>
    </w:p>
    <w:p>
      <w:pPr>
        <w:ind w:right="80" w:firstLine="987"/>
        <w:spacing w:after="0" w:line="272" w:lineRule="auto"/>
        <w:tabs>
          <w:tab w:leader="none" w:pos="123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hereto.</w:t>
      </w:r>
    </w:p>
    <w:p>
      <w:pPr>
        <w:spacing w:after="0" w:line="211"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66" w:lineRule="exact"/>
        <w:rPr>
          <w:sz w:val="20"/>
          <w:szCs w:val="20"/>
          <w:color w:val="auto"/>
        </w:rPr>
      </w:pPr>
    </w:p>
    <w:p>
      <w:pPr>
        <w:ind w:right="80" w:firstLine="987"/>
        <w:spacing w:after="0" w:line="270" w:lineRule="auto"/>
        <w:tabs>
          <w:tab w:leader="none" w:pos="12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Except as provided in Section 2.23 with respect to the extension of the Maturity Date or as provided in Section 2.20 with respect to an Incremental Term Loan Amendment or as provided in Section 2.24 with respect to an ESG Amendment or as provided in Section 2.14(b) and Section 2.14(c),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(for the avoidance of doubt, the ESG Amendment entered into pursuant to Section 2.24 or, following the effectiveness of the ESG Amendment, any amendment or other modification of the ESG Pricing Provisions shall only require the consent of the Required Lenders pursuant to the terms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5" w:name="page96"/>
    <w:bookmarkEnd w:id="95"/>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conditions of Section 2.24);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the provisions with respect to the application or amount of the default rate described in Section 2.13(d) or waive any obligation of the Borrower to pay interest or fees at such default rate,</w:t>
      </w:r>
    </w:p>
    <w:p>
      <w:pPr>
        <w:ind w:left="4" w:hanging="4"/>
        <w:spacing w:after="0" w:line="281" w:lineRule="auto"/>
        <w:tabs>
          <w:tab w:leader="none" w:pos="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2.09(c) or 2.18(b) or (d) in a manner that would alter the ratable reduction of Commitments or the pro rata sharing of payments required thereby, without the written consent of each Lender, (v) change the payment waterfall provisions of Section 2.22(b) without the written consent of each Lender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Loans are included on the Effective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Issuing Banks or the Swingline Lender hereunder without the prior written consent of the Administrative Agent, the Issuing Banks or the Swingline Lender, as the case may be (it being understood that any change to Section 2.22 shall require the consent of the Administrative Agent, the Issuing Banks and the Swingline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or modify the provisions of Section 2.06 without the prior written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w:t>
      </w:r>
    </w:p>
    <w:p>
      <w:pPr>
        <w:spacing w:after="0" w:line="8" w:lineRule="exact"/>
        <w:rPr>
          <w:rFonts w:ascii="Arial" w:cs="Arial" w:eastAsia="Arial" w:hAnsi="Arial"/>
          <w:sz w:val="16"/>
          <w:szCs w:val="16"/>
          <w:color w:val="auto"/>
        </w:rPr>
      </w:pPr>
    </w:p>
    <w:p>
      <w:pPr>
        <w:ind w:left="4" w:right="100" w:hanging="4"/>
        <w:spacing w:after="0" w:line="260" w:lineRule="auto"/>
        <w:tabs>
          <w:tab w:leader="none" w:pos="26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or (iii) of the first proviso of this paragraph and then only in the event such Defaulting Lender shall be directly affected by such amendment, waiver or other modification.</w:t>
      </w:r>
    </w:p>
    <w:p>
      <w:pPr>
        <w:spacing w:after="0" w:line="185" w:lineRule="exact"/>
        <w:rPr>
          <w:rFonts w:ascii="Arial" w:cs="Arial" w:eastAsia="Arial" w:hAnsi="Arial"/>
          <w:sz w:val="18"/>
          <w:szCs w:val="18"/>
          <w:color w:val="auto"/>
        </w:rPr>
      </w:pPr>
    </w:p>
    <w:p>
      <w:pPr>
        <w:ind w:left="4" w:right="140" w:firstLine="987"/>
        <w:spacing w:after="0" w:line="273" w:lineRule="auto"/>
        <w:tabs>
          <w:tab w:leader="none" w:pos="12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spacing w:after="0" w:line="177" w:lineRule="exact"/>
        <w:rPr>
          <w:rFonts w:ascii="Arial" w:cs="Arial" w:eastAsia="Arial" w:hAnsi="Arial"/>
          <w:sz w:val="17"/>
          <w:szCs w:val="17"/>
          <w:color w:val="auto"/>
        </w:rPr>
      </w:pPr>
    </w:p>
    <w:p>
      <w:pPr>
        <w:ind w:left="4" w:right="20" w:firstLine="987"/>
        <w:spacing w:after="0" w:line="269" w:lineRule="auto"/>
        <w:tabs>
          <w:tab w:leader="none" w:pos="125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4"/>
          </w:cols>
          <w:pgMar w:left="436" w:top="274" w:right="459" w:bottom="1440" w:gutter="0" w:footer="0" w:header="0"/>
        </w:sectPr>
      </w:pPr>
    </w:p>
    <w:bookmarkStart w:id="96" w:name="page97"/>
    <w:bookmarkEnd w:id="9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1" w:lineRule="exact"/>
        <w:rPr>
          <w:sz w:val="20"/>
          <w:szCs w:val="20"/>
          <w:color w:val="auto"/>
        </w:rPr>
      </w:pPr>
    </w:p>
    <w:p>
      <w:pPr>
        <w:ind w:right="160" w:firstLine="987"/>
        <w:spacing w:after="0" w:line="296" w:lineRule="auto"/>
        <w:tabs>
          <w:tab w:leader="none" w:pos="12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61" w:lineRule="exact"/>
        <w:rPr>
          <w:rFonts w:ascii="Arial" w:cs="Arial" w:eastAsia="Arial" w:hAnsi="Arial"/>
          <w:sz w:val="16"/>
          <w:szCs w:val="16"/>
          <w:color w:val="auto"/>
        </w:rPr>
      </w:pPr>
    </w:p>
    <w:p>
      <w:pPr>
        <w:ind w:right="120" w:firstLine="987"/>
        <w:spacing w:after="0" w:line="301" w:lineRule="auto"/>
        <w:tabs>
          <w:tab w:leader="none" w:pos="121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Limitation of Liability; Indemnity, Etc</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Borrower shall pay (i) all reasonable and documented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SyndTrak or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or extension of any Letter of Credit or any demand for payment thereunder and (iii) all documented out-of-pocket expenses incurred by the Administrative Agent, any Issuing Bank or any Lender, including the fees, charges and disbursements of any outside counsel for the Administrative Agent, any Issuing Bank or any Lender,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81" w:lineRule="exact"/>
        <w:rPr>
          <w:rFonts w:ascii="Arial" w:cs="Arial" w:eastAsia="Arial" w:hAnsi="Arial"/>
          <w:sz w:val="17"/>
          <w:szCs w:val="17"/>
          <w:color w:val="auto"/>
        </w:rPr>
      </w:pPr>
    </w:p>
    <w:p>
      <w:pPr>
        <w:ind w:right="260" w:firstLine="987"/>
        <w:spacing w:after="0" w:line="259"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extent permitted by applicable law (i) the Borrower shall not assert, and the Borrower hereby waives, any claim against the Administrative Agent, any Arranger, the Sustainability Structuring Agent, any Co-Syndication Agent, any Co-Documentation Agent, any Issuing Bank and any Lender, and any Related Party of any of the foregoing Persons (each such Person being called a “</w:t>
      </w:r>
      <w:r>
        <w:rPr>
          <w:rFonts w:ascii="Arial" w:cs="Arial" w:eastAsia="Arial" w:hAnsi="Arial"/>
          <w:sz w:val="18"/>
          <w:szCs w:val="18"/>
          <w:u w:val="single" w:color="auto"/>
          <w:color w:val="auto"/>
        </w:rPr>
        <w:t>Lender-Related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for any Liabilities arising from the use by others of information or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7" w:name="page98"/>
    <w:bookmarkEnd w:id="9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95" w:lineRule="exact"/>
        <w:rPr>
          <w:sz w:val="20"/>
          <w:szCs w:val="20"/>
          <w:color w:val="auto"/>
        </w:rPr>
      </w:pPr>
    </w:p>
    <w:p>
      <w:pPr>
        <w:ind w:right="60" w:firstLine="987"/>
        <w:spacing w:after="0" w:line="268" w:lineRule="auto"/>
        <w:tabs>
          <w:tab w:leader="none" w:pos="1236"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The Borrower shall indemnify the Administrative Agent, each Arranger, the Sustainability Structuring Agent, each Co-Syndication Agent, each Co-Documentation Agent,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the applicable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Liabilities or related expenses are determined by a court of competent jurisdiction by final and nonappealable judgment to have resulted from the gross negligence or willful misconduct of such Indemnitee. This Section 9.03(c) shall not apply with respect to Taxes other than any Taxes that represent losses, claims or damages arising from any non-Tax claim.</w:t>
      </w:r>
    </w:p>
    <w:p>
      <w:pPr>
        <w:spacing w:after="0" w:line="179" w:lineRule="exact"/>
        <w:rPr>
          <w:rFonts w:ascii="Arial" w:cs="Arial" w:eastAsia="Arial" w:hAnsi="Arial"/>
          <w:sz w:val="17"/>
          <w:szCs w:val="17"/>
          <w:color w:val="auto"/>
        </w:rPr>
      </w:pPr>
    </w:p>
    <w:p>
      <w:pPr>
        <w:ind w:firstLine="987"/>
        <w:spacing w:after="0" w:line="286" w:lineRule="auto"/>
        <w:tabs>
          <w:tab w:leader="none" w:pos="1246"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Lender Reimbursement</w:t>
      </w:r>
      <w:r>
        <w:rPr>
          <w:rFonts w:ascii="Arial" w:cs="Arial" w:eastAsia="Arial" w:hAnsi="Arial"/>
          <w:sz w:val="16"/>
          <w:szCs w:val="16"/>
          <w:color w:val="auto"/>
        </w:rPr>
        <w:t>. Each Lender severally agrees to pay any amount required to be paid by the Borrower under paragraph (a), (b) or (c) of this Section 9.03 to the Administrative Agent, the Issuing Banks and the Swingline Lender, and each Related Party of any of the foregoing Persons (each, an “</w:t>
      </w:r>
      <w:r>
        <w:rPr>
          <w:rFonts w:ascii="Arial" w:cs="Arial" w:eastAsia="Arial" w:hAnsi="Arial"/>
          <w:sz w:val="16"/>
          <w:szCs w:val="16"/>
          <w:u w:val="single" w:color="auto"/>
          <w:color w:val="auto"/>
        </w:rPr>
        <w:t>Agent-Related Person</w:t>
      </w:r>
      <w:r>
        <w:rPr>
          <w:rFonts w:ascii="Arial" w:cs="Arial" w:eastAsia="Arial" w:hAnsi="Arial"/>
          <w:sz w:val="16"/>
          <w:szCs w:val="16"/>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Lender shall be liable for the payment of any portion of such Liabilities, costs, expenses or disbursements that are found by a final and nonappealable decision of a court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98" w:name="page99"/>
    <w:bookmarkEnd w:id="98"/>
    <w:p>
      <w:pPr>
        <w:ind w:right="5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9.03 shall be payable not later than fifteen (15) days after written demand therefor.</w:t>
      </w:r>
    </w:p>
    <w:p>
      <w:pPr>
        <w:spacing w:after="0" w:line="23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81" w:lineRule="exact"/>
        <w:rPr>
          <w:sz w:val="20"/>
          <w:szCs w:val="20"/>
          <w:color w:val="auto"/>
        </w:rPr>
      </w:pPr>
    </w:p>
    <w:p>
      <w:pPr>
        <w:ind w:right="180" w:firstLine="987"/>
        <w:spacing w:after="0" w:line="259" w:lineRule="auto"/>
        <w:tabs>
          <w:tab w:leader="none" w:pos="12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78" w:lineRule="exact"/>
        <w:rPr>
          <w:rFonts w:ascii="Arial" w:cs="Arial" w:eastAsia="Arial" w:hAnsi="Arial"/>
          <w:sz w:val="18"/>
          <w:szCs w:val="18"/>
          <w:color w:val="auto"/>
        </w:rPr>
      </w:pPr>
    </w:p>
    <w:p>
      <w:pPr>
        <w:ind w:left="980" w:firstLine="408"/>
        <w:spacing w:after="0" w:line="259" w:lineRule="auto"/>
        <w:tabs>
          <w:tab w:leader="none" w:pos="167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Borrower (provided that the Borrower shall be deemed to have consented to any such assignment unless it shall object thereto by written notice to the Administrative Agent within ten (10) Business Days after having received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consent of the Borrower shall be required for an assignment to a Lender, an Affiliate of a Lender, an Approved Fund or, if an Event of Default has occurred and is continuing, any other assignee;</w:t>
      </w:r>
    </w:p>
    <w:p>
      <w:pPr>
        <w:spacing w:after="0" w:line="78" w:lineRule="exact"/>
        <w:rPr>
          <w:rFonts w:ascii="Arial" w:cs="Arial" w:eastAsia="Arial" w:hAnsi="Arial"/>
          <w:sz w:val="18"/>
          <w:szCs w:val="18"/>
          <w:color w:val="auto"/>
        </w:rPr>
      </w:pPr>
    </w:p>
    <w:p>
      <w:pPr>
        <w:ind w:left="1680" w:hanging="292"/>
        <w:spacing w:after="0"/>
        <w:tabs>
          <w:tab w:leader="none" w:pos="1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Issuing Banks; and</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117" w:lineRule="exact"/>
        <w:rPr>
          <w:sz w:val="20"/>
          <w:szCs w:val="20"/>
          <w:color w:val="auto"/>
        </w:rPr>
      </w:pPr>
    </w:p>
    <w:p>
      <w:pPr>
        <w:ind w:left="1260" w:hanging="273"/>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80" w:right="20" w:firstLine="408"/>
        <w:spacing w:after="0" w:line="296" w:lineRule="auto"/>
        <w:tabs>
          <w:tab w:leader="none" w:pos="167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99" w:name="page100"/>
    <w:bookmarkEnd w:id="99"/>
    <w:p>
      <w:pPr>
        <w:ind w:left="1680" w:hanging="292"/>
        <w:spacing w:after="0"/>
        <w:tabs>
          <w:tab w:leader="none" w:pos="1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partial assignment shall be made as an assignment of a proportionate part of all the assigning Lender’s rights and</w:t>
      </w:r>
    </w:p>
    <w:p>
      <w:pPr>
        <w:spacing w:after="0" w:line="34" w:lineRule="exact"/>
        <w:rPr>
          <w:rFonts w:ascii="Arial" w:cs="Arial" w:eastAsia="Arial" w:hAnsi="Arial"/>
          <w:sz w:val="17"/>
          <w:szCs w:val="17"/>
          <w:color w:val="auto"/>
        </w:rPr>
      </w:pPr>
    </w:p>
    <w:p>
      <w:pPr>
        <w:ind w:left="980" w:right="12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77" w:lineRule="exact"/>
        <w:rPr>
          <w:rFonts w:ascii="Arial" w:cs="Arial" w:eastAsia="Arial" w:hAnsi="Arial"/>
          <w:sz w:val="17"/>
          <w:szCs w:val="17"/>
          <w:color w:val="auto"/>
        </w:rPr>
      </w:pPr>
    </w:p>
    <w:p>
      <w:pPr>
        <w:ind w:left="980" w:right="40" w:firstLine="408"/>
        <w:spacing w:after="0" w:line="259" w:lineRule="auto"/>
        <w:tabs>
          <w:tab w:leader="none" w:pos="16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78" w:lineRule="exact"/>
        <w:rPr>
          <w:rFonts w:ascii="Arial" w:cs="Arial" w:eastAsia="Arial" w:hAnsi="Arial"/>
          <w:sz w:val="18"/>
          <w:szCs w:val="18"/>
          <w:color w:val="auto"/>
        </w:rPr>
      </w:pPr>
    </w:p>
    <w:p>
      <w:pPr>
        <w:ind w:left="980" w:right="180" w:firstLine="408"/>
        <w:spacing w:after="0" w:line="257" w:lineRule="auto"/>
        <w:tabs>
          <w:tab w:leader="none" w:pos="167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a natural person, (b) a Defaulting Lender or its Lender Parent, (c) the Borrower, any of its Subsidiaries or any of its Affiliates, or (d) a company, investment vehicle or trust for, or owned and operated for the primary benefit of, a natural person or relative(s) thereof.</w:t>
      </w:r>
    </w:p>
    <w:p>
      <w:pPr>
        <w:spacing w:after="0" w:line="76" w:lineRule="exact"/>
        <w:rPr>
          <w:sz w:val="20"/>
          <w:szCs w:val="20"/>
          <w:color w:val="auto"/>
        </w:rPr>
      </w:pPr>
    </w:p>
    <w:p>
      <w:pPr>
        <w:ind w:left="440" w:right="80" w:firstLine="419"/>
        <w:spacing w:after="0" w:line="290" w:lineRule="auto"/>
        <w:tabs>
          <w:tab w:leader="none" w:pos="11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57" w:lineRule="exact"/>
        <w:rPr>
          <w:rFonts w:ascii="Arial" w:cs="Arial" w:eastAsia="Arial" w:hAnsi="Arial"/>
          <w:sz w:val="16"/>
          <w:szCs w:val="16"/>
          <w:color w:val="auto"/>
        </w:rPr>
      </w:pPr>
    </w:p>
    <w:p>
      <w:pPr>
        <w:ind w:left="440" w:right="20" w:firstLine="419"/>
        <w:spacing w:after="0" w:line="259" w:lineRule="auto"/>
        <w:tabs>
          <w:tab w:leader="none" w:pos="11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100" w:name="page101"/>
    <w:bookmarkEnd w:id="100"/>
    <w:p>
      <w:pPr>
        <w:ind w:left="44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79" w:lineRule="exact"/>
        <w:rPr>
          <w:sz w:val="20"/>
          <w:szCs w:val="20"/>
          <w:color w:val="auto"/>
        </w:rPr>
      </w:pPr>
    </w:p>
    <w:p>
      <w:pPr>
        <w:ind w:left="440" w:right="160" w:firstLine="419"/>
        <w:spacing w:after="0" w:line="288" w:lineRule="auto"/>
        <w:tabs>
          <w:tab w:leader="none" w:pos="111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2.05(c), 2.06(d) or (e), 2.07(b), 2.18(e)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8" w:lineRule="exact"/>
        <w:rPr>
          <w:rFonts w:ascii="Arial" w:cs="Arial" w:eastAsia="Arial" w:hAnsi="Arial"/>
          <w:sz w:val="16"/>
          <w:szCs w:val="16"/>
          <w:color w:val="auto"/>
        </w:rPr>
      </w:pPr>
    </w:p>
    <w:p>
      <w:pPr>
        <w:ind w:firstLine="987"/>
        <w:spacing w:after="0" w:line="284" w:lineRule="auto"/>
        <w:tabs>
          <w:tab w:leader="none" w:pos="123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the Borrower, the Administrative Agent, any Issuing Bank or the Swingline Lender,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1" w:name="page102"/>
    <w:bookmarkEnd w:id="10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Section 1.163-5(b) of the Proposed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1" w:lineRule="exact"/>
        <w:rPr>
          <w:sz w:val="20"/>
          <w:szCs w:val="20"/>
          <w:color w:val="auto"/>
        </w:rPr>
      </w:pPr>
    </w:p>
    <w:p>
      <w:pPr>
        <w:ind w:right="100" w:firstLine="987"/>
        <w:spacing w:after="0" w:line="257" w:lineRule="auto"/>
        <w:tabs>
          <w:tab w:leader="none" w:pos="12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Borrower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2"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102" w:name="page103"/>
    <w:bookmarkEnd w:id="10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389"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such Issuing Bank or any such Affiliate, to or for the credit or the account of the Borrower against any and all of the obligations of the Borrower now or hereafter existing under this Agreement or any other Loan Document to such Lender or such Issuing Bank or their respective Affiliates, irrespective of whether or not such Lender, such Issuing Bank or Affiliate shall have made any demand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3" w:name="page104"/>
    <w:bookmarkEnd w:id="10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3"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AGREEMENT AND THE OTHER LOAN DOCUMENTS (EXCEPT AS OTHERWISE EXPRESSLY SET FORTH IN ANY SUCH OTHER LOAN DOCUMENT) SHALL BE CONSTRUED IN ACCORDANCE WITH AND GOVERNED BY THE LAW OF THE STATE OF NEW YORK.</w:t>
      </w:r>
    </w:p>
    <w:p>
      <w:pPr>
        <w:spacing w:after="0" w:line="183" w:lineRule="exact"/>
        <w:rPr>
          <w:rFonts w:ascii="Arial" w:cs="Arial" w:eastAsia="Arial" w:hAnsi="Arial"/>
          <w:sz w:val="18"/>
          <w:szCs w:val="18"/>
          <w:color w:val="auto"/>
        </w:rPr>
      </w:pPr>
    </w:p>
    <w:p>
      <w:pPr>
        <w:jc w:val="both"/>
        <w:ind w:right="120" w:firstLine="987"/>
        <w:spacing w:after="0" w:line="259"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86" w:lineRule="exact"/>
        <w:rPr>
          <w:rFonts w:ascii="Arial" w:cs="Arial" w:eastAsia="Arial" w:hAnsi="Arial"/>
          <w:sz w:val="18"/>
          <w:szCs w:val="18"/>
          <w:color w:val="auto"/>
        </w:rPr>
      </w:pPr>
    </w:p>
    <w:p>
      <w:pPr>
        <w:ind w:firstLine="987"/>
        <w:spacing w:after="0" w:line="269" w:lineRule="auto"/>
        <w:tabs>
          <w:tab w:leader="none" w:pos="12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its properties in the courts of any jurisdiction.</w:t>
      </w:r>
    </w:p>
    <w:p>
      <w:pPr>
        <w:spacing w:after="0" w:line="181" w:lineRule="exact"/>
        <w:rPr>
          <w:rFonts w:ascii="Arial" w:cs="Arial" w:eastAsia="Arial" w:hAnsi="Arial"/>
          <w:sz w:val="17"/>
          <w:szCs w:val="17"/>
          <w:color w:val="auto"/>
        </w:rPr>
      </w:pPr>
    </w:p>
    <w:p>
      <w:pPr>
        <w:jc w:val="both"/>
        <w:ind w:right="80" w:firstLine="987"/>
        <w:spacing w:after="0" w:line="301" w:lineRule="auto"/>
        <w:tabs>
          <w:tab w:leader="none" w:pos="12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104" w:name="page105"/>
    <w:bookmarkEnd w:id="104"/>
    <w:p>
      <w:pPr>
        <w:ind w:left="4" w:firstLine="987"/>
        <w:spacing w:after="0" w:line="263" w:lineRule="auto"/>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hereto hereby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4"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right="360" w:hanging="4"/>
        <w:spacing w:after="0" w:line="260" w:lineRule="auto"/>
        <w:tabs>
          <w:tab w:leader="none" w:pos="27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left="4" w:right="180" w:firstLine="991"/>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(2) the CUSIP Service Bureau or any similar agency in connection with the issuance and monitoring of identification numbers with respect to the credit facilities provided for herein or (3) any actual or prospective insurers, reinsurers or brokers (or in each case their directors, officers, employees, agents and advisors) in connection with providing insurance, reinsurance or credit risk mitigation in connection with the Borrower and its obligations, this Agreement or payments hereunder, (h) with the consent of the Borrower or (i) to the extent such Information (1) becomes publicly available other than as a result of a breach of this Section or (2) becomes available to the Administrative Agent, any Issuing Bank or any Lender on a nonconfidential basis from a source other than the Borrower.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relating to the Borrower or its business, other than any such information that is available to the Administrative Agent, any Issuing Bank or any Lender on a nonconfidential basis prior to disclosure by the</w:t>
      </w:r>
    </w:p>
    <w:p>
      <w:pPr>
        <w:spacing w:after="0" w:line="3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105" w:name="page106"/>
    <w:bookmarkEnd w:id="105"/>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ind w:right="180" w:firstLine="440"/>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3"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requirements of the Patriot Act and the requirements of the Beneficial Ownership Regulation hereby notifies the Borrower that, pursuant to the requirements of the Patriot Act and the Beneficial Ownership Regulation,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and the Beneficial Ownership Regulation and other applicable “know your customer” and anti-money laundering rules and regulations.</w:t>
      </w:r>
    </w:p>
    <w:p>
      <w:pPr>
        <w:spacing w:after="0" w:line="176"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6" w:name="page107"/>
    <w:bookmarkEnd w:id="1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9.15. </w:t>
      </w:r>
      <w:r>
        <w:rPr>
          <w:rFonts w:ascii="Arial" w:cs="Arial" w:eastAsia="Arial" w:hAnsi="Arial"/>
          <w:sz w:val="18"/>
          <w:szCs w:val="18"/>
          <w:u w:val="single" w:color="auto"/>
          <w:color w:val="auto"/>
        </w:rPr>
        <w:t>No Fiduciary Duty, etc</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9" w:lineRule="auto"/>
        <w:tabs>
          <w:tab w:leader="none" w:pos="123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66" w:lineRule="exact"/>
        <w:rPr>
          <w:rFonts w:ascii="Arial" w:cs="Arial" w:eastAsia="Arial" w:hAnsi="Arial"/>
          <w:sz w:val="16"/>
          <w:szCs w:val="16"/>
          <w:color w:val="auto"/>
        </w:rPr>
      </w:pPr>
    </w:p>
    <w:p>
      <w:pPr>
        <w:ind w:right="60" w:firstLine="987"/>
        <w:spacing w:after="0" w:line="254"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1" w:lineRule="exact"/>
        <w:rPr>
          <w:rFonts w:ascii="Arial" w:cs="Arial" w:eastAsia="Arial" w:hAnsi="Arial"/>
          <w:sz w:val="18"/>
          <w:szCs w:val="18"/>
          <w:color w:val="auto"/>
        </w:rPr>
      </w:pPr>
    </w:p>
    <w:p>
      <w:pPr>
        <w:ind w:firstLine="987"/>
        <w:spacing w:after="0" w:line="291" w:lineRule="auto"/>
        <w:tabs>
          <w:tab w:leader="none" w:pos="123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66"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right="540" w:firstLine="987"/>
        <w:spacing w:after="0" w:line="277" w:lineRule="auto"/>
        <w:tabs>
          <w:tab w:leader="none" w:pos="12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07" w:name="page108"/>
    <w:bookmarkEnd w:id="107"/>
    <w:p>
      <w:pPr>
        <w:ind w:left="1240" w:hanging="253"/>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firstLine="948"/>
        <w:spacing w:after="0" w:line="311" w:lineRule="auto"/>
        <w:tabs>
          <w:tab w:leader="none" w:pos="179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280" w:firstLine="948"/>
        <w:spacing w:after="0" w:line="277" w:lineRule="auto"/>
        <w:tabs>
          <w:tab w:leader="none" w:pos="184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Hedge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08" w:name="page109"/>
    <w:bookmarkEnd w:id="108"/>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the Borrower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Donald Mondano</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Global Controller and Treasurer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10940"/>
          </w:cols>
          <w:pgMar w:left="440" w:top="274" w:right="519" w:bottom="1440" w:gutter="0" w:footer="0" w:header="0"/>
        </w:sectPr>
      </w:pPr>
    </w:p>
    <w:bookmarkStart w:id="109" w:name="page110"/>
    <w:bookmarkEnd w:id="10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individually as a Lender, as the Swingline Lender, as an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Issuing Bank and as Administrative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Will Price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620"/>
          </w:cols>
          <w:pgMar w:left="1440" w:top="274" w:right="839" w:bottom="1440" w:gutter="0" w:footer="0" w:header="0"/>
        </w:sectPr>
      </w:pPr>
    </w:p>
    <w:bookmarkStart w:id="110" w:name="page111"/>
    <w:bookmarkEnd w:id="11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individually as a Lender and as an Issuing Bank</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Christopher Sked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Nicolas Doche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60"/>
          </w:cols>
          <w:pgMar w:left="1440" w:top="274" w:right="1399" w:bottom="1440" w:gutter="0" w:footer="0" w:header="0"/>
        </w:sectPr>
      </w:pPr>
    </w:p>
    <w:bookmarkStart w:id="111" w:name="page112"/>
    <w:bookmarkEnd w:id="11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individually as a Lender and as an Issuing Bank</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60"/>
          </w:cols>
          <w:pgMar w:left="1440" w:top="274" w:right="1399" w:bottom="1440" w:gutter="0" w:footer="0" w:header="0"/>
        </w:sectPr>
      </w:pPr>
    </w:p>
    <w:bookmarkStart w:id="112" w:name="page113"/>
    <w:bookmarkEnd w:id="11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Cormac Langford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19"/>
          </w:cols>
          <w:pgMar w:left="1440" w:top="274" w:right="1440" w:bottom="1440" w:gutter="0" w:footer="0" w:header="0"/>
        </w:sectPr>
      </w:pPr>
    </w:p>
    <w:bookmarkStart w:id="113" w:name="page114"/>
    <w:bookmarkEnd w:id="1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GÉNÉRALE,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Shelley Yu</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19"/>
          </w:cols>
          <w:pgMar w:left="1440" w:top="274" w:right="1440" w:bottom="1440" w:gutter="0" w:footer="0" w:header="0"/>
        </w:sectPr>
      </w:pPr>
    </w:p>
    <w:bookmarkStart w:id="114" w:name="page115"/>
    <w:bookmarkEnd w:id="1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AG,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Kimberly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Kimberly Sousa</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Betsy Briggs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Betsy Briggs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340"/>
          </w:cols>
          <w:pgMar w:left="1440" w:top="274" w:right="1119" w:bottom="1440" w:gutter="0" w:footer="0" w:header="0"/>
        </w:sectPr>
      </w:pPr>
    </w:p>
    <w:bookmarkStart w:id="115" w:name="page116"/>
    <w:bookmarkEnd w:id="11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Jason Hall</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19"/>
          </w:cols>
          <w:pgMar w:left="1440" w:top="274" w:right="1440" w:bottom="1440" w:gutter="0" w:footer="0" w:header="0"/>
        </w:sectPr>
      </w:pPr>
    </w:p>
    <w:bookmarkStart w:id="116" w:name="page117"/>
    <w:bookmarkEnd w:id="11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BMO HARRIS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Czarnecki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Mark Czarnecki</w:t>
      </w:r>
    </w:p>
    <w:p>
      <w:pPr>
        <w:spacing w:after="0" w:line="23"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19"/>
          </w:cols>
          <w:pgMar w:left="1440" w:top="274" w:right="1440" w:bottom="1440" w:gutter="0" w:footer="0" w:header="0"/>
        </w:sectPr>
      </w:pPr>
    </w:p>
    <w:bookmarkStart w:id="117" w:name="page118"/>
    <w:bookmarkEnd w:id="11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CITIZENS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Arianna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jc w:val="right"/>
        <w:ind w:right="1319"/>
        <w:spacing w:after="0"/>
        <w:rPr>
          <w:sz w:val="20"/>
          <w:szCs w:val="20"/>
          <w:color w:val="auto"/>
        </w:rPr>
      </w:pPr>
      <w:r>
        <w:rPr>
          <w:rFonts w:ascii="Arial" w:cs="Arial" w:eastAsia="Arial" w:hAnsi="Arial"/>
          <w:sz w:val="18"/>
          <w:szCs w:val="18"/>
          <w:color w:val="auto"/>
        </w:rPr>
        <w:t>Name: Arianna DeMarco</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19"/>
          </w:cols>
          <w:pgMar w:left="1440" w:top="274" w:right="1440" w:bottom="1440" w:gutter="0" w:footer="0" w:header="0"/>
        </w:sectPr>
      </w:pPr>
    </w:p>
    <w:bookmarkStart w:id="118" w:name="page119"/>
    <w:bookmarkEnd w:id="11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Benson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Donna Benson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ManpowerGroup Inc.</w:t>
      </w:r>
    </w:p>
    <w:p>
      <w:pPr>
        <w:sectPr>
          <w:pgSz w:w="11900" w:h="16838" w:orient="portrait"/>
          <w:cols w:equalWidth="0" w:num="1">
            <w:col w:w="9019"/>
          </w:cols>
          <w:pgMar w:left="1440" w:top="274" w:right="1440" w:bottom="1440" w:gutter="0" w:footer="0" w:header="0"/>
        </w:sectPr>
      </w:pPr>
    </w:p>
    <w:bookmarkStart w:id="119" w:name="page120"/>
    <w:bookmarkEnd w:id="11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NORDEA BANK ABP, NEW YORK BRANCH,</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Ola Anderssen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Ola Anderssen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First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Anders Holmgaard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Anders Holmgaard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Credit Agreement</w:t>
      </w:r>
    </w:p>
    <w:p>
      <w:pPr>
        <w:spacing w:after="0" w:line="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ManpowerGroup Inc.</w:t>
      </w:r>
    </w:p>
    <w:sectPr>
      <w:pgSz w:w="11900" w:h="16838" w:orient="portrait"/>
      <w:cols w:equalWidth="0" w:num="1">
        <w:col w:w="9180"/>
      </w:cols>
      <w:pgMar w:left="1440" w:top="27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1)"/>
      <w:numFmt w:val="lowerRoman"/>
      <w:start w:val="7"/>
    </w:lvl>
  </w:abstractNum>
  <w:abstractNum w:abstractNumId="2">
    <w:nsid w:val="799D0247"/>
    <w:multiLevelType w:val="hybridMultilevel"/>
    <w:lvl w:ilvl="0">
      <w:lvlJc w:val="left"/>
      <w:lvlText w:val="(%1)"/>
      <w:numFmt w:val="decimal"/>
      <w:start w:val="1"/>
    </w:lvl>
  </w:abstractNum>
  <w:abstractNum w:abstractNumId="3">
    <w:nsid w:val="6B94764"/>
    <w:multiLevelType w:val="hybridMultilevel"/>
    <w:lvl w:ilvl="0">
      <w:lvlJc w:val="left"/>
      <w:lvlText w:val="(%1)"/>
      <w:numFmt w:val="decimal"/>
      <w:start w:val="1"/>
    </w:lvl>
  </w:abstractNum>
  <w:abstractNum w:abstractNumId="4">
    <w:nsid w:val="42C296BD"/>
    <w:multiLevelType w:val="hybridMultilevel"/>
    <w:lvl w:ilvl="0">
      <w:lvlJc w:val="left"/>
      <w:lvlText w:val="(%1)"/>
      <w:numFmt w:val="decimal"/>
      <w:start w:val="1"/>
    </w:lvl>
  </w:abstractNum>
  <w:abstractNum w:abstractNumId="5">
    <w:nsid w:val="168E121F"/>
    <w:multiLevelType w:val="hybridMultilevel"/>
    <w:lvl w:ilvl="0">
      <w:lvlJc w:val="left"/>
      <w:lvlText w:val="(%1)"/>
      <w:numFmt w:val="decimal"/>
      <w:start w:val="2"/>
    </w:lvl>
  </w:abstractNum>
  <w:abstractNum w:abstractNumId="6">
    <w:nsid w:val="1EBA5D23"/>
    <w:multiLevelType w:val="hybridMultilevel"/>
    <w:lvl w:ilvl="0">
      <w:lvlJc w:val="left"/>
      <w:lvlText w:val="(%1)"/>
      <w:numFmt w:val="lowerRoman"/>
      <w:start w:val="5"/>
    </w:lvl>
  </w:abstractNum>
  <w:abstractNum w:abstractNumId="7">
    <w:nsid w:val="661E3F1E"/>
    <w:multiLevelType w:val="hybridMultilevel"/>
    <w:lvl w:ilvl="0">
      <w:lvlJc w:val="left"/>
      <w:lvlText w:val="(%1)"/>
      <w:numFmt w:val="lowerRoman"/>
      <w:start w:val="7"/>
    </w:lvl>
  </w:abstractNum>
  <w:abstractNum w:abstractNumId="8">
    <w:nsid w:val="5DC79EA8"/>
    <w:multiLevelType w:val="hybridMultilevel"/>
    <w:lvl w:ilvl="0">
      <w:lvlJc w:val="left"/>
      <w:lvlText w:val="(%1)"/>
      <w:numFmt w:val="lowerLetter"/>
      <w:start w:val="1"/>
    </w:lvl>
  </w:abstractNum>
  <w:abstractNum w:abstractNumId="9">
    <w:nsid w:val="540A471C"/>
    <w:multiLevelType w:val="hybridMultilevel"/>
    <w:lvl w:ilvl="0">
      <w:lvlJc w:val="left"/>
      <w:lvlText w:val="(%1)"/>
      <w:numFmt w:val="lowerRoman"/>
      <w:start w:val="1"/>
    </w:lvl>
  </w:abstractNum>
  <w:abstractNum w:abstractNumId="10">
    <w:nsid w:val="7BD3EE7B"/>
    <w:multiLevelType w:val="hybridMultilevel"/>
    <w:lvl w:ilvl="0">
      <w:lvlJc w:val="left"/>
      <w:lvlText w:val="(%1)"/>
      <w:numFmt w:val="lowerRoman"/>
      <w:start w:val="2"/>
    </w:lvl>
  </w:abstractNum>
  <w:abstractNum w:abstractNumId="11">
    <w:nsid w:val="51D9C564"/>
    <w:multiLevelType w:val="hybridMultilevel"/>
    <w:lvl w:ilvl="0">
      <w:lvlJc w:val="left"/>
      <w:lvlText w:val="(%1)"/>
      <w:numFmt w:val="lowerRoman"/>
      <w:start w:val="1"/>
    </w:lvl>
  </w:abstractNum>
  <w:abstractNum w:abstractNumId="12">
    <w:nsid w:val="613EFDC5"/>
    <w:multiLevelType w:val="hybridMultilevel"/>
    <w:lvl w:ilvl="0">
      <w:lvlJc w:val="left"/>
      <w:lvlText w:val="(%1)"/>
      <w:numFmt w:val="lowerRoman"/>
      <w:start w:val="1"/>
    </w:lvl>
  </w:abstractNum>
  <w:abstractNum w:abstractNumId="13">
    <w:nsid w:val="BF72B14"/>
    <w:multiLevelType w:val="hybridMultilevel"/>
    <w:lvl w:ilvl="0">
      <w:lvlJc w:val="left"/>
      <w:lvlText w:val="(%1)"/>
      <w:numFmt w:val="lowerLetter"/>
      <w:start w:val="9"/>
    </w:lvl>
  </w:abstractNum>
  <w:abstractNum w:abstractNumId="14">
    <w:nsid w:val="11447B73"/>
    <w:multiLevelType w:val="hybridMultilevel"/>
    <w:lvl w:ilvl="0">
      <w:lvlJc w:val="left"/>
      <w:lvlText w:val="(%1)"/>
      <w:numFmt w:val="lowerLetter"/>
      <w:start w:val="3"/>
    </w:lvl>
  </w:abstractNum>
  <w:abstractNum w:abstractNumId="15">
    <w:nsid w:val="42963E5A"/>
    <w:multiLevelType w:val="hybridMultilevel"/>
    <w:lvl w:ilvl="0">
      <w:lvlJc w:val="left"/>
      <w:lvlText w:val="(%1)"/>
      <w:numFmt w:val="lowerLetter"/>
      <w:start w:val="3"/>
    </w:lvl>
  </w:abstractNum>
  <w:abstractNum w:abstractNumId="16">
    <w:nsid w:val="A0382C5"/>
    <w:multiLevelType w:val="hybridMultilevel"/>
    <w:lvl w:ilvl="0">
      <w:lvlJc w:val="left"/>
      <w:lvlText w:val="(%1)"/>
      <w:numFmt w:val="lowerLetter"/>
      <w:start w:val="2"/>
    </w:lvl>
  </w:abstractNum>
  <w:abstractNum w:abstractNumId="17">
    <w:nsid w:val="8F2B15E"/>
    <w:multiLevelType w:val="hybridMultilevel"/>
    <w:lvl w:ilvl="0">
      <w:lvlJc w:val="left"/>
      <w:lvlText w:val="(%1)"/>
      <w:numFmt w:val="lowerLetter"/>
      <w:start w:val="1"/>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2"/>
    </w:lvl>
  </w:abstractNum>
  <w:abstractNum w:abstractNumId="20">
    <w:nsid w:val="68EB2F63"/>
    <w:multiLevelType w:val="hybridMultilevel"/>
    <w:lvl w:ilvl="0">
      <w:lvlJc w:val="left"/>
      <w:lvlText w:val="(%1)"/>
      <w:numFmt w:val="decimal"/>
      <w:start w:val="519"/>
    </w:lvl>
  </w:abstractNum>
  <w:abstractNum w:abstractNumId="21">
    <w:nsid w:val="4962813B"/>
    <w:multiLevelType w:val="hybridMultilevel"/>
    <w:lvl w:ilvl="0">
      <w:lvlJc w:val="left"/>
      <w:lvlText w:val="(%1)"/>
      <w:numFmt w:val="decimal"/>
      <w:start w:val="4"/>
    </w:lvl>
  </w:abstractNum>
  <w:abstractNum w:abstractNumId="22">
    <w:nsid w:val="60B6DF70"/>
    <w:multiLevelType w:val="hybridMultilevel"/>
    <w:lvl w:ilvl="0">
      <w:lvlJc w:val="left"/>
      <w:lvlText w:val="(%1)"/>
      <w:numFmt w:val="upperLetter"/>
      <w:start w:val="1"/>
    </w:lvl>
  </w:abstractNum>
  <w:abstractNum w:abstractNumId="23">
    <w:nsid w:val="6A5EE64"/>
    <w:multiLevelType w:val="hybridMultilevel"/>
    <w:lvl w:ilvl="0">
      <w:lvlJc w:val="left"/>
      <w:lvlText w:val="(%1)"/>
      <w:numFmt w:val="lowerRoman"/>
      <w:start w:val="2"/>
    </w:lvl>
  </w:abstractNum>
  <w:abstractNum w:abstractNumId="24">
    <w:nsid w:val="14330624"/>
    <w:multiLevelType w:val="hybridMultilevel"/>
    <w:lvl w:ilvl="0">
      <w:lvlJc w:val="left"/>
      <w:lvlText w:val="(%1)"/>
      <w:numFmt w:val="lowerRoman"/>
      <w:start w:val="10"/>
    </w:lvl>
  </w:abstractNum>
  <w:abstractNum w:abstractNumId="25">
    <w:nsid w:val="7FFFCA11"/>
    <w:multiLevelType w:val="hybridMultilevel"/>
    <w:lvl w:ilvl="0">
      <w:lvlJc w:val="left"/>
      <w:lvlText w:val="(%1)"/>
      <w:numFmt w:val="lowerLetter"/>
      <w:start w:val="2"/>
    </w:lvl>
  </w:abstractNum>
  <w:abstractNum w:abstractNumId="26">
    <w:nsid w:val="1A27709E"/>
    <w:multiLevelType w:val="hybridMultilevel"/>
    <w:lvl w:ilvl="0">
      <w:lvlJc w:val="left"/>
      <w:lvlText w:val="(%1)"/>
      <w:numFmt w:val="lowerLetter"/>
      <w:start w:val="1"/>
    </w:lvl>
  </w:abstractNum>
  <w:abstractNum w:abstractNumId="27">
    <w:nsid w:val="71EA1109"/>
    <w:multiLevelType w:val="hybridMultilevel"/>
    <w:lvl w:ilvl="0">
      <w:lvlJc w:val="left"/>
      <w:lvlText w:val="(%1)"/>
      <w:numFmt w:val="lowerLetter"/>
      <w:start w:val="2"/>
    </w:lvl>
  </w:abstractNum>
  <w:abstractNum w:abstractNumId="28">
    <w:nsid w:val="100F59DC"/>
    <w:multiLevelType w:val="hybridMultilevel"/>
    <w:lvl w:ilvl="0">
      <w:lvlJc w:val="left"/>
      <w:lvlText w:val="(%1)"/>
      <w:numFmt w:val="lowerLetter"/>
      <w:start w:val="3"/>
    </w:lvl>
  </w:abstractNum>
  <w:abstractNum w:abstractNumId="29">
    <w:nsid w:val="7FB7E0AA"/>
    <w:multiLevelType w:val="hybridMultilevel"/>
    <w:lvl w:ilvl="0">
      <w:lvlJc w:val="left"/>
      <w:lvlText w:val="(%1)"/>
      <w:numFmt w:val="decimal"/>
      <w:start w:val="3"/>
    </w:lvl>
    <w:lvl w:ilvl="1">
      <w:lvlJc w:val="left"/>
      <w:lvlText w:val="%2"/>
      <w:numFmt w:val="lowerRoman"/>
      <w:start w:val="1"/>
    </w:lvl>
  </w:abstractNum>
  <w:abstractNum w:abstractNumId="30">
    <w:nsid w:val="6EB5BD4"/>
    <w:multiLevelType w:val="hybridMultilevel"/>
    <w:lvl w:ilvl="0">
      <w:lvlJc w:val="left"/>
      <w:lvlText w:val="(%1)"/>
      <w:numFmt w:val="decimal"/>
      <w:start w:val="5"/>
    </w:lvl>
    <w:lvl w:ilvl="1">
      <w:lvlJc w:val="left"/>
      <w:lvlText w:val="(%2)"/>
      <w:numFmt w:val="lowerRoman"/>
      <w:start w:val="1"/>
    </w:lvl>
  </w:abstractNum>
  <w:abstractNum w:abstractNumId="31">
    <w:nsid w:val="6F6DD9AC"/>
    <w:multiLevelType w:val="hybridMultilevel"/>
    <w:lvl w:ilvl="0">
      <w:lvlJc w:val="left"/>
      <w:lvlText w:val="%1"/>
      <w:numFmt w:val="lowerLetter"/>
      <w:start w:val="1"/>
    </w:lvl>
    <w:lvl w:ilvl="1">
      <w:lvlJc w:val="left"/>
      <w:lvlText w:val="(%2)"/>
      <w:numFmt w:val="lowerLetter"/>
      <w:start w:val="1"/>
    </w:lvl>
  </w:abstractNum>
  <w:abstractNum w:abstractNumId="32">
    <w:nsid w:val="94211F2"/>
    <w:multiLevelType w:val="hybridMultilevel"/>
    <w:lvl w:ilvl="0">
      <w:lvlJc w:val="left"/>
      <w:lvlText w:val="(%1)"/>
      <w:numFmt w:val="lowerLetter"/>
      <w:start w:val="35"/>
    </w:lvl>
    <w:lvl w:ilvl="1">
      <w:lvlJc w:val="left"/>
      <w:lvlText w:val="(%2)"/>
      <w:numFmt w:val="lowerLetter"/>
      <w:start w:val="3"/>
    </w:lvl>
  </w:abstractNum>
  <w:abstractNum w:abstractNumId="33">
    <w:nsid w:val="885E1B"/>
    <w:multiLevelType w:val="hybridMultilevel"/>
    <w:lvl w:ilvl="0">
      <w:lvlJc w:val="left"/>
      <w:lvlText w:val="(%1)"/>
      <w:numFmt w:val="lowerLetter"/>
      <w:start w:val="2"/>
    </w:lvl>
  </w:abstractNum>
  <w:abstractNum w:abstractNumId="34">
    <w:nsid w:val="76272110"/>
    <w:multiLevelType w:val="hybridMultilevel"/>
    <w:lvl w:ilvl="0">
      <w:lvlJc w:val="left"/>
      <w:lvlText w:val="(%1)"/>
      <w:numFmt w:val="lowerLetter"/>
      <w:start w:val="3"/>
    </w:lvl>
  </w:abstractNum>
  <w:abstractNum w:abstractNumId="35">
    <w:nsid w:val="4C04A8AF"/>
    <w:multiLevelType w:val="hybridMultilevel"/>
    <w:lvl w:ilvl="0">
      <w:lvlJc w:val="left"/>
      <w:lvlText w:val="%1"/>
      <w:numFmt w:val="decimal"/>
      <w:start w:val="1"/>
    </w:lvl>
    <w:lvl w:ilvl="1">
      <w:lvlJc w:val="left"/>
      <w:lvlText w:val="(%2)"/>
      <w:numFmt w:val="lowerLetter"/>
      <w:start w:val="2"/>
    </w:lvl>
  </w:abstractNum>
  <w:abstractNum w:abstractNumId="36">
    <w:nsid w:val="1716703B"/>
    <w:multiLevelType w:val="hybridMultilevel"/>
    <w:lvl w:ilvl="0">
      <w:lvlJc w:val="left"/>
      <w:lvlText w:val="(%1)"/>
      <w:numFmt w:val="decimal"/>
      <w:start w:val="1"/>
    </w:lvl>
    <w:lvl w:ilvl="1">
      <w:lvlJc w:val="left"/>
      <w:lvlText w:val="%2"/>
      <w:numFmt w:val="lowerLetter"/>
      <w:start w:val="1"/>
    </w:lvl>
  </w:abstractNum>
  <w:abstractNum w:abstractNumId="37">
    <w:nsid w:val="14E17E33"/>
    <w:multiLevelType w:val="hybridMultilevel"/>
    <w:lvl w:ilvl="0">
      <w:lvlJc w:val="left"/>
      <w:lvlText w:val="(%1)"/>
      <w:numFmt w:val="lowerRoman"/>
      <w:start w:val="1"/>
    </w:lvl>
  </w:abstractNum>
  <w:abstractNum w:abstractNumId="38">
    <w:nsid w:val="3222E7CD"/>
    <w:multiLevelType w:val="hybridMultilevel"/>
    <w:lvl w:ilvl="0">
      <w:lvlJc w:val="left"/>
      <w:lvlText w:val="(%1)"/>
      <w:numFmt w:val="lowerRoman"/>
      <w:start w:val="2"/>
    </w:lvl>
  </w:abstractNum>
  <w:abstractNum w:abstractNumId="39">
    <w:nsid w:val="74DE0EE3"/>
    <w:multiLevelType w:val="hybridMultilevel"/>
    <w:lvl w:ilvl="0">
      <w:lvlJc w:val="left"/>
      <w:lvlText w:val="(%1)"/>
      <w:numFmt w:val="lowerLetter"/>
      <w:start w:val="3"/>
    </w:lvl>
  </w:abstractNum>
  <w:abstractNum w:abstractNumId="40">
    <w:nsid w:val="68EBC550"/>
    <w:multiLevelType w:val="hybridMultilevel"/>
    <w:lvl w:ilvl="0">
      <w:lvlJc w:val="left"/>
      <w:lvlText w:val="(%1)"/>
      <w:numFmt w:val="lowerLetter"/>
      <w:start w:val="6"/>
    </w:lvl>
  </w:abstractNum>
  <w:abstractNum w:abstractNumId="41">
    <w:nsid w:val="2DF6D648"/>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42">
    <w:nsid w:val="46B7D447"/>
    <w:multiLevelType w:val="hybridMultilevel"/>
    <w:lvl w:ilvl="0">
      <w:lvlJc w:val="left"/>
      <w:lvlText w:val="(%1)"/>
      <w:numFmt w:val="lowerLetter"/>
      <w:start w:val="35"/>
    </w:lvl>
    <w:lvl w:ilvl="1">
      <w:lvlJc w:val="left"/>
      <w:lvlText w:val="(%2)"/>
      <w:numFmt w:val="lowerLetter"/>
      <w:start w:val="9"/>
    </w:lvl>
    <w:lvl w:ilvl="2">
      <w:lvlJc w:val="left"/>
      <w:lvlText w:val="(%3)"/>
      <w:numFmt w:val="upperLetter"/>
      <w:start w:val="2"/>
    </w:lvl>
  </w:abstractNum>
  <w:abstractNum w:abstractNumId="43">
    <w:nsid w:val="4A2AC315"/>
    <w:multiLevelType w:val="hybridMultilevel"/>
    <w:lvl w:ilvl="0">
      <w:lvlJc w:val="left"/>
      <w:lvlText w:val="(%1)"/>
      <w:numFmt w:val="lowerLetter"/>
      <w:start w:val="11"/>
    </w:lvl>
  </w:abstractNum>
  <w:abstractNum w:abstractNumId="44">
    <w:nsid w:val="39EE015C"/>
    <w:multiLevelType w:val="hybridMultilevel"/>
    <w:lvl w:ilvl="0">
      <w:lvlJc w:val="left"/>
      <w:lvlText w:val="(%1)"/>
      <w:numFmt w:val="lowerLetter"/>
      <w:start w:val="2"/>
    </w:lvl>
  </w:abstractNum>
  <w:abstractNum w:abstractNumId="45">
    <w:nsid w:val="57FC4FBB"/>
    <w:multiLevelType w:val="hybridMultilevel"/>
    <w:lvl w:ilvl="0">
      <w:lvlJc w:val="left"/>
      <w:lvlText w:val="(%1)"/>
      <w:numFmt w:val="lowerLetter"/>
      <w:start w:val="2"/>
    </w:lvl>
  </w:abstractNum>
  <w:abstractNum w:abstractNumId="46">
    <w:nsid w:val="CC1016F"/>
    <w:multiLevelType w:val="hybridMultilevel"/>
    <w:lvl w:ilvl="0">
      <w:lvlJc w:val="left"/>
      <w:lvlText w:val="(%1)"/>
      <w:numFmt w:val="lowerRoman"/>
      <w:start w:val="1"/>
    </w:lvl>
  </w:abstractNum>
  <w:abstractNum w:abstractNumId="47">
    <w:nsid w:val="43F18422"/>
    <w:multiLevelType w:val="hybridMultilevel"/>
    <w:lvl w:ilvl="0">
      <w:lvlJc w:val="left"/>
      <w:lvlText w:val="(%1)"/>
      <w:numFmt w:val="lowerLetter"/>
      <w:start w:val="4"/>
    </w:lvl>
  </w:abstractNum>
  <w:abstractNum w:abstractNumId="48">
    <w:nsid w:val="60EF0119"/>
    <w:multiLevelType w:val="hybridMultilevel"/>
    <w:lvl w:ilvl="0">
      <w:lvlJc w:val="left"/>
      <w:lvlText w:val="(%1)"/>
      <w:numFmt w:val="lowerLetter"/>
      <w:start w:val="2"/>
    </w:lvl>
  </w:abstractNum>
  <w:abstractNum w:abstractNumId="49">
    <w:nsid w:val="26F324BA"/>
    <w:multiLevelType w:val="hybridMultilevel"/>
    <w:lvl w:ilvl="0">
      <w:lvlJc w:val="left"/>
      <w:lvlText w:val="(%1)"/>
      <w:numFmt w:val="lowerLetter"/>
      <w:start w:val="2"/>
    </w:lvl>
  </w:abstractNum>
  <w:abstractNum w:abstractNumId="50">
    <w:nsid w:val="7F01579B"/>
    <w:multiLevelType w:val="hybridMultilevel"/>
    <w:lvl w:ilvl="0">
      <w:lvlJc w:val="left"/>
      <w:lvlText w:val="(%1)"/>
      <w:numFmt w:val="lowerLetter"/>
      <w:start w:val="5"/>
    </w:lvl>
  </w:abstractNum>
  <w:abstractNum w:abstractNumId="51">
    <w:nsid w:val="49DA307D"/>
    <w:multiLevelType w:val="hybridMultilevel"/>
    <w:lvl w:ilvl="0">
      <w:lvlJc w:val="left"/>
      <w:lvlText w:val="%1"/>
      <w:numFmt w:val="lowerLetter"/>
      <w:start w:val="1"/>
    </w:lvl>
    <w:lvl w:ilvl="1">
      <w:lvlJc w:val="left"/>
      <w:lvlText w:val="(%2)"/>
      <w:numFmt w:val="lowerLetter"/>
      <w:start w:val="1"/>
    </w:lvl>
  </w:abstractNum>
  <w:abstractNum w:abstractNumId="52">
    <w:nsid w:val="7055A5F5"/>
    <w:multiLevelType w:val="hybridMultilevel"/>
    <w:lvl w:ilvl="0">
      <w:lvlJc w:val="left"/>
      <w:lvlText w:val="(%1)"/>
      <w:numFmt w:val="lowerLetter"/>
      <w:start w:val="25"/>
    </w:lvl>
    <w:lvl w:ilvl="1">
      <w:lvlJc w:val="left"/>
      <w:lvlText w:val="(%2)"/>
      <w:numFmt w:val="lowerLetter"/>
      <w:start w:val="2"/>
    </w:lvl>
  </w:abstractNum>
  <w:abstractNum w:abstractNumId="53">
    <w:nsid w:val="5FB8370B"/>
    <w:multiLevelType w:val="hybridMultilevel"/>
    <w:lvl w:ilvl="0">
      <w:lvlJc w:val="left"/>
      <w:lvlText w:val="(%1)"/>
      <w:numFmt w:val="lowerLetter"/>
      <w:start w:val="2"/>
    </w:lvl>
  </w:abstractNum>
  <w:abstractNum w:abstractNumId="54">
    <w:nsid w:val="50801EE1"/>
    <w:multiLevelType w:val="hybridMultilevel"/>
    <w:lvl w:ilvl="0">
      <w:lvlJc w:val="left"/>
      <w:lvlText w:val="(%1)"/>
      <w:numFmt w:val="lowerLetter"/>
      <w:start w:val="2"/>
    </w:lvl>
  </w:abstractNum>
  <w:abstractNum w:abstractNumId="55">
    <w:nsid w:val="488AC1A"/>
    <w:multiLevelType w:val="hybridMultilevel"/>
    <w:lvl w:ilvl="0">
      <w:lvlJc w:val="left"/>
      <w:lvlText w:val="(%1)"/>
      <w:numFmt w:val="lowerLetter"/>
      <w:start w:val="4"/>
    </w:lvl>
  </w:abstractNum>
  <w:abstractNum w:abstractNumId="56">
    <w:nsid w:val="5FB8011C"/>
    <w:multiLevelType w:val="hybridMultilevel"/>
    <w:lvl w:ilvl="0">
      <w:lvlJc w:val="left"/>
      <w:lvlText w:val="(%1)"/>
      <w:numFmt w:val="lowerLetter"/>
      <w:start w:val="1"/>
    </w:lvl>
    <w:lvl w:ilvl="1">
      <w:lvlJc w:val="left"/>
      <w:lvlText w:val="(%2)"/>
      <w:numFmt w:val="lowerRoman"/>
      <w:start w:val="1"/>
    </w:lvl>
  </w:abstractNum>
  <w:abstractNum w:abstractNumId="57">
    <w:nsid w:val="6AA78F7F"/>
    <w:multiLevelType w:val="hybridMultilevel"/>
    <w:lvl w:ilvl="0">
      <w:lvlJc w:val="left"/>
      <w:lvlText w:val="%1"/>
      <w:numFmt w:val="lowerLetter"/>
      <w:start w:val="1"/>
    </w:lvl>
    <w:lvl w:ilvl="1">
      <w:lvlJc w:val="left"/>
      <w:lvlText w:val="(%2)"/>
      <w:numFmt w:val="lowerLetter"/>
      <w:start w:val="2"/>
    </w:lvl>
  </w:abstractNum>
  <w:abstractNum w:abstractNumId="58">
    <w:nsid w:val="7672BD23"/>
    <w:multiLevelType w:val="hybridMultilevel"/>
    <w:lvl w:ilvl="0">
      <w:lvlJc w:val="left"/>
      <w:lvlText w:val="(%1)"/>
      <w:numFmt w:val="lowerLetter"/>
      <w:start w:val="35"/>
    </w:lvl>
    <w:lvl w:ilvl="1">
      <w:lvlJc w:val="left"/>
      <w:lvlText w:val="(%2)"/>
      <w:numFmt w:val="lowerLetter"/>
      <w:start w:val="5"/>
    </w:lvl>
  </w:abstractNum>
  <w:abstractNum w:abstractNumId="59">
    <w:nsid w:val="6FC75AF8"/>
    <w:multiLevelType w:val="hybridMultilevel"/>
    <w:lvl w:ilvl="0">
      <w:lvlJc w:val="left"/>
      <w:lvlText w:val="(%1)"/>
      <w:numFmt w:val="lowerLetter"/>
      <w:start w:val="9"/>
    </w:lvl>
    <w:lvl w:ilvl="1">
      <w:lvlJc w:val="left"/>
      <w:lvlText w:val="(%2)"/>
      <w:numFmt w:val="lowerLetter"/>
      <w:start w:val="6"/>
    </w:lvl>
  </w:abstractNum>
  <w:abstractNum w:abstractNumId="60">
    <w:nsid w:val="6A5F7029"/>
    <w:multiLevelType w:val="hybridMultilevel"/>
    <w:lvl w:ilvl="0">
      <w:lvlJc w:val="left"/>
      <w:lvlText w:val="(%1)"/>
      <w:numFmt w:val="lowerLetter"/>
      <w:start w:val="24"/>
    </w:lvl>
    <w:lvl w:ilvl="1">
      <w:lvlJc w:val="left"/>
      <w:lvlText w:val="%2"/>
      <w:numFmt w:val="lowerLetter"/>
      <w:start w:val="1"/>
    </w:lvl>
  </w:abstractNum>
  <w:abstractNum w:abstractNumId="61">
    <w:nsid w:val="7D5E18F8"/>
    <w:multiLevelType w:val="hybridMultilevel"/>
    <w:lvl w:ilvl="0">
      <w:lvlJc w:val="left"/>
      <w:lvlText w:val="(%1)"/>
      <w:numFmt w:val="lowerRoman"/>
      <w:start w:val="1"/>
    </w:lvl>
  </w:abstractNum>
  <w:abstractNum w:abstractNumId="62">
    <w:nsid w:val="5F3534A4"/>
    <w:multiLevelType w:val="hybridMultilevel"/>
    <w:lvl w:ilvl="0">
      <w:lvlJc w:val="left"/>
      <w:lvlText w:val="(%1)"/>
      <w:numFmt w:val="lowerLetter"/>
      <w:start w:val="2"/>
    </w:lvl>
  </w:abstractNum>
  <w:abstractNum w:abstractNumId="63">
    <w:nsid w:val="73A1821B"/>
    <w:multiLevelType w:val="hybridMultilevel"/>
    <w:lvl w:ilvl="0">
      <w:lvlJc w:val="left"/>
      <w:lvlText w:val="(%1)"/>
      <w:numFmt w:val="lowerLetter"/>
      <w:start w:val="4"/>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2"/>
    </w:lvl>
  </w:abstractNum>
  <w:abstractNum w:abstractNumId="66">
    <w:nsid w:val="3FA62ACA"/>
    <w:multiLevelType w:val="hybridMultilevel"/>
    <w:lvl w:ilvl="0">
      <w:lvlJc w:val="left"/>
      <w:lvlText w:val="(%1)"/>
      <w:numFmt w:val="lowerRoman"/>
      <w:start w:val="2"/>
    </w:lvl>
    <w:lvl w:ilvl="1">
      <w:lvlJc w:val="left"/>
      <w:lvlText w:val="(%2)"/>
      <w:numFmt w:val="upperLetter"/>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upperLetter"/>
      <w:start w:val="3"/>
    </w:lvl>
  </w:abstractNum>
  <w:abstractNum w:abstractNumId="69">
    <w:nsid w:val="71C91298"/>
    <w:multiLevelType w:val="hybridMultilevel"/>
    <w:lvl w:ilvl="0">
      <w:lvlJc w:val="left"/>
      <w:lvlText w:val="(%1)"/>
      <w:numFmt w:val="lowerLetter"/>
      <w:start w:val="7"/>
    </w:lvl>
  </w:abstractNum>
  <w:abstractNum w:abstractNumId="70">
    <w:nsid w:val="9DAF632"/>
    <w:multiLevelType w:val="hybridMultilevel"/>
    <w:lvl w:ilvl="0">
      <w:lvlJc w:val="left"/>
      <w:lvlText w:val="(%1)"/>
      <w:numFmt w:val="lowerLetter"/>
      <w:start w:val="8"/>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lowerLetter"/>
      <w:start w:val="3"/>
    </w:lvl>
  </w:abstractNum>
  <w:abstractNum w:abstractNumId="73">
    <w:nsid w:val="5092CA79"/>
    <w:multiLevelType w:val="hybridMultilevel"/>
    <w:lvl w:ilvl="0">
      <w:lvlJc w:val="left"/>
      <w:lvlText w:val="(%1)"/>
      <w:numFmt w:val="lowerLetter"/>
      <w:start w:val="2"/>
    </w:lvl>
  </w:abstractNum>
  <w:abstractNum w:abstractNumId="74">
    <w:nsid w:val="1D545C4D"/>
    <w:multiLevelType w:val="hybridMultilevel"/>
    <w:lvl w:ilvl="0">
      <w:lvlJc w:val="left"/>
      <w:lvlText w:val="(%1)"/>
      <w:numFmt w:val="lowerLetter"/>
      <w:start w:val="35"/>
    </w:lvl>
  </w:abstractNum>
  <w:abstractNum w:abstractNumId="75">
    <w:nsid w:val="59ADEA3D"/>
    <w:multiLevelType w:val="hybridMultilevel"/>
    <w:lvl w:ilvl="0">
      <w:lvlJc w:val="left"/>
      <w:lvlText w:val="(%1)"/>
      <w:numFmt w:val="lowerLetter"/>
      <w:start w:val="2"/>
    </w:lvl>
  </w:abstractNum>
  <w:abstractNum w:abstractNumId="76">
    <w:nsid w:val="288F1A34"/>
    <w:multiLevelType w:val="hybridMultilevel"/>
    <w:lvl w:ilvl="0">
      <w:lvlJc w:val="left"/>
      <w:lvlText w:val="(%1)"/>
      <w:numFmt w:val="lowerLetter"/>
      <w:start w:val="1"/>
    </w:lvl>
  </w:abstractNum>
  <w:abstractNum w:abstractNumId="77">
    <w:nsid w:val="2A155DBC"/>
    <w:multiLevelType w:val="hybridMultilevel"/>
    <w:lvl w:ilvl="0">
      <w:lvlJc w:val="left"/>
      <w:lvlText w:val="(%1)"/>
      <w:numFmt w:val="lowerLetter"/>
      <w:start w:val="25"/>
    </w:lvl>
    <w:lvl w:ilvl="1">
      <w:lvlJc w:val="left"/>
      <w:lvlText w:val="(%2)"/>
      <w:numFmt w:val="lowerLetter"/>
      <w:start w:val="34"/>
    </w:lvl>
    <w:lvl w:ilvl="2">
      <w:lvlJc w:val="left"/>
      <w:lvlText w:val="(%3)"/>
      <w:numFmt w:val="lowerRoman"/>
    </w:lvl>
    <w:lvl w:ilvl="3">
      <w:lvlJc w:val="left"/>
      <w:lvlText w:val="(%4)"/>
      <w:numFmt w:val="lowerLetter"/>
      <w:start w:val="3"/>
    </w:lvl>
  </w:abstractNum>
  <w:abstractNum w:abstractNumId="78">
    <w:nsid w:val="1D9F6E5F"/>
    <w:multiLevelType w:val="hybridMultilevel"/>
    <w:lvl w:ilvl="0">
      <w:lvlJc w:val="left"/>
      <w:lvlText w:val="(%1)"/>
      <w:numFmt w:val="lowerLetter"/>
      <w:start w:val="5"/>
    </w:lvl>
  </w:abstractNum>
  <w:abstractNum w:abstractNumId="79">
    <w:nsid w:val="97E1B4E"/>
    <w:multiLevelType w:val="hybridMultilevel"/>
    <w:lvl w:ilvl="0">
      <w:lvlJc w:val="left"/>
      <w:lvlText w:val="(%1)"/>
      <w:numFmt w:val="lowerLetter"/>
      <w:start w:val="1"/>
    </w:lvl>
  </w:abstractNum>
  <w:abstractNum w:abstractNumId="80">
    <w:nsid w:val="51088277"/>
    <w:multiLevelType w:val="hybridMultilevel"/>
    <w:lvl w:ilvl="0">
      <w:lvlJc w:val="left"/>
      <w:lvlText w:val="(%1)"/>
      <w:numFmt w:val="lowerLetter"/>
      <w:start w:val="3"/>
    </w:lvl>
  </w:abstractNum>
  <w:abstractNum w:abstractNumId="81">
    <w:nsid w:val="1CA0C5FA"/>
    <w:multiLevelType w:val="hybridMultilevel"/>
    <w:lvl w:ilvl="0">
      <w:lvlJc w:val="left"/>
      <w:lvlText w:val="(%1)"/>
      <w:numFmt w:val="lowerRoman"/>
      <w:start w:val="1"/>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3"/>
    </w:lvl>
  </w:abstractNum>
  <w:abstractNum w:abstractNumId="84">
    <w:nsid w:val="7C58FD05"/>
    <w:multiLevelType w:val="hybridMultilevel"/>
    <w:lvl w:ilvl="0">
      <w:lvlJc w:val="left"/>
      <w:lvlText w:val="(%1)"/>
      <w:numFmt w:val="lowerLetter"/>
      <w:start w:val="2"/>
    </w:lvl>
  </w:abstractNum>
  <w:abstractNum w:abstractNumId="85">
    <w:nsid w:val="23D86AAC"/>
    <w:multiLevelType w:val="hybridMultilevel"/>
    <w:lvl w:ilvl="0">
      <w:lvlJc w:val="left"/>
      <w:lvlText w:val="(%1)"/>
      <w:numFmt w:val="lowerRoman"/>
      <w:start w:val="3"/>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6"/>
    </w:lvl>
  </w:abstractNum>
  <w:abstractNum w:abstractNumId="88">
    <w:nsid w:val="E7FFA2B"/>
    <w:multiLevelType w:val="hybridMultilevel"/>
    <w:lvl w:ilvl="0">
      <w:lvlJc w:val="left"/>
      <w:lvlText w:val="%1"/>
      <w:numFmt w:val="lowerLetter"/>
      <w:start w:val="1"/>
    </w:lvl>
    <w:lvl w:ilvl="1">
      <w:lvlJc w:val="left"/>
      <w:lvlText w:val="(%2)"/>
      <w:numFmt w:val="lowerLetter"/>
      <w:start w:val="1"/>
    </w:lvl>
  </w:abstractNum>
  <w:abstractNum w:abstractNumId="89">
    <w:nsid w:val="3C5991AA"/>
    <w:multiLevelType w:val="hybridMultilevel"/>
    <w:lvl w:ilvl="0">
      <w:lvlJc w:val="left"/>
      <w:lvlText w:val="(%1)"/>
      <w:numFmt w:val="lowerLetter"/>
      <w:start w:val="35"/>
    </w:lvl>
    <w:lvl w:ilvl="1">
      <w:lvlJc w:val="left"/>
      <w:lvlText w:val="(%2)"/>
      <w:numFmt w:val="lowerLetter"/>
      <w:start w:val="2"/>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5"/>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1)"/>
      <w:numFmt w:val="lowerLetter"/>
      <w:start w:val="3"/>
    </w:lvl>
  </w:abstractNum>
  <w:abstractNum w:abstractNumId="94">
    <w:nsid w:val="6C80EC70"/>
    <w:multiLevelType w:val="hybridMultilevel"/>
    <w:lvl w:ilvl="0">
      <w:lvlJc w:val="left"/>
      <w:lvlText w:val="(%1)"/>
      <w:numFmt w:val="lowerLetter"/>
      <w:start w:val="1"/>
    </w:lvl>
  </w:abstractNum>
  <w:abstractNum w:abstractNumId="95">
    <w:nsid w:val="379E21B5"/>
    <w:multiLevelType w:val="hybridMultilevel"/>
    <w:lvl w:ilvl="0">
      <w:lvlJc w:val="left"/>
      <w:lvlText w:val="(%1)"/>
      <w:numFmt w:val="lowerLetter"/>
      <w:start w:val="1"/>
    </w:lvl>
  </w:abstractNum>
  <w:abstractNum w:abstractNumId="96">
    <w:nsid w:val="69E373"/>
    <w:multiLevelType w:val="hybridMultilevel"/>
    <w:lvl w:ilvl="0">
      <w:lvlJc w:val="left"/>
      <w:lvlText w:val="%1"/>
      <w:numFmt w:val="decimal"/>
      <w:start w:val="1"/>
    </w:lvl>
    <w:lvl w:ilvl="1">
      <w:lvlJc w:val="left"/>
      <w:lvlText w:val="(%2)"/>
      <w:numFmt w:val="lowerLetter"/>
      <w:start w:val="1"/>
    </w:lvl>
  </w:abstractNum>
  <w:abstractNum w:abstractNumId="97">
    <w:nsid w:val="2C27173B"/>
    <w:multiLevelType w:val="hybridMultilevel"/>
    <w:lvl w:ilvl="0">
      <w:lvlJc w:val="left"/>
      <w:lvlText w:val="(%1)"/>
      <w:numFmt w:val="decimal"/>
      <w:start w:val="2"/>
    </w:lvl>
    <w:lvl w:ilvl="1">
      <w:lvlJc w:val="left"/>
      <w:lvlText w:val="(%2)"/>
      <w:numFmt w:val="lowerLetter"/>
      <w:start w:val="2"/>
    </w:lvl>
  </w:abstractNum>
  <w:abstractNum w:abstractNumId="98">
    <w:nsid w:val="4C9B0904"/>
    <w:multiLevelType w:val="hybridMultilevel"/>
    <w:lvl w:ilvl="0">
      <w:lvlJc w:val="left"/>
      <w:lvlText w:val="(%1)"/>
      <w:numFmt w:val="lowerLetter"/>
      <w:start w:val="1"/>
    </w:lvl>
  </w:abstractNum>
  <w:abstractNum w:abstractNumId="99">
    <w:nsid w:val="6AA7B75C"/>
    <w:multiLevelType w:val="hybridMultilevel"/>
    <w:lvl w:ilvl="0">
      <w:lvlJc w:val="left"/>
      <w:lvlText w:val="(%1)"/>
      <w:numFmt w:val="lowerLetter"/>
      <w:start w:val="3"/>
    </w:lvl>
  </w:abstractNum>
  <w:abstractNum w:abstractNumId="100">
    <w:nsid w:val="1DF029D3"/>
    <w:multiLevelType w:val="hybridMultilevel"/>
    <w:lvl w:ilvl="0">
      <w:lvlJc w:val="left"/>
      <w:lvlText w:val="(%1)"/>
      <w:numFmt w:val="lowerLetter"/>
      <w:start w:val="6"/>
    </w:lvl>
  </w:abstractNum>
  <w:abstractNum w:abstractNumId="101">
    <w:nsid w:val="5675FF36"/>
    <w:multiLevelType w:val="hybridMultilevel"/>
    <w:lvl w:ilvl="0">
      <w:lvlJc w:val="left"/>
      <w:lvlText w:val="(%1)"/>
      <w:numFmt w:val="lowerLetter"/>
      <w:start w:val="10"/>
    </w:lvl>
  </w:abstractNum>
  <w:abstractNum w:abstractNumId="102">
    <w:nsid w:val="3DD15094"/>
    <w:multiLevelType w:val="hybridMultilevel"/>
    <w:lvl w:ilvl="0">
      <w:lvlJc w:val="left"/>
      <w:lvlText w:val="(%1)"/>
      <w:numFmt w:val="lowerLetter"/>
      <w:start w:val="1"/>
    </w:lvl>
  </w:abstractNum>
  <w:abstractNum w:abstractNumId="103">
    <w:nsid w:val="3DB012B3"/>
    <w:multiLevelType w:val="hybridMultilevel"/>
    <w:lvl w:ilvl="0">
      <w:lvlJc w:val="left"/>
      <w:lvlText w:val="(%1)"/>
      <w:numFmt w:val="lowerLetter"/>
      <w:start w:val="1"/>
    </w:lvl>
  </w:abstractNum>
  <w:abstractNum w:abstractNumId="104">
    <w:nsid w:val="2708C9AF"/>
    <w:multiLevelType w:val="hybridMultilevel"/>
    <w:lvl w:ilvl="0">
      <w:lvlJc w:val="left"/>
      <w:lvlText w:val="(%1)"/>
      <w:numFmt w:val="lowerLetter"/>
      <w:start w:val="2"/>
    </w:lvl>
    <w:lvl w:ilvl="1">
      <w:lvlJc w:val="left"/>
      <w:lvlText w:val="(%2)"/>
      <w:numFmt w:val="lowerRoman"/>
      <w:start w:val="1"/>
    </w:lvl>
  </w:abstractNum>
  <w:abstractNum w:abstractNumId="105">
    <w:nsid w:val="5B25ACE2"/>
    <w:multiLevelType w:val="hybridMultilevel"/>
    <w:lvl w:ilvl="0">
      <w:lvlJc w:val="left"/>
      <w:lvlText w:val="(%1)"/>
      <w:numFmt w:val="lowerLetter"/>
      <w:start w:val="4"/>
    </w:lvl>
    <w:lvl w:ilvl="1">
      <w:lvlJc w:val="left"/>
      <w:lvlText w:val="(%2)"/>
      <w:numFmt w:val="lowerRoman"/>
      <w:start w:val="1"/>
    </w:lvl>
  </w:abstractNum>
  <w:abstractNum w:abstractNumId="106">
    <w:nsid w:val="175DFCF0"/>
    <w:multiLevelType w:val="hybridMultilevel"/>
    <w:lvl w:ilvl="0">
      <w:lvlJc w:val="left"/>
      <w:lvlText w:val="(%1)"/>
      <w:numFmt w:val="lowerLetter"/>
      <w:start w:val="7"/>
    </w:lvl>
  </w:abstractNum>
  <w:abstractNum w:abstractNumId="107">
    <w:nsid w:val="4F97E3E4"/>
    <w:multiLevelType w:val="hybridMultilevel"/>
    <w:lvl w:ilvl="0">
      <w:lvlJc w:val="left"/>
      <w:lvlText w:val="%1"/>
      <w:numFmt w:val="lowerLetter"/>
      <w:start w:val="1"/>
    </w:lvl>
    <w:lvl w:ilvl="1">
      <w:lvlJc w:val="left"/>
      <w:lvlText w:val="(%2)"/>
      <w:numFmt w:val="lowerLetter"/>
      <w:start w:val="1"/>
    </w:lvl>
  </w:abstractNum>
  <w:abstractNum w:abstractNumId="108">
    <w:nsid w:val="53B0A9E"/>
    <w:multiLevelType w:val="hybridMultilevel"/>
    <w:lvl w:ilvl="0">
      <w:lvlJc w:val="left"/>
      <w:lvlText w:val="(%1)"/>
      <w:numFmt w:val="lowerLetter"/>
      <w:start w:val="9"/>
    </w:lvl>
    <w:lvl w:ilvl="1">
      <w:lvlJc w:val="left"/>
      <w:lvlText w:val="(%2)"/>
      <w:numFmt w:val="lowerLetter"/>
      <w:start w:val="3"/>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lowerLetter"/>
      <w:start w:val="4"/>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2"/>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lowerRoman"/>
      <w:start w:val="1"/>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7">
    <w:nsid w:val="5D888A0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8">
    <w:nsid w:val="2A082C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9">
    <w:nsid w:val="5EC6AFD4"/>
    <w:multiLevelType w:val="hybridMultilevel"/>
    <w:lvl w:ilvl="0">
      <w:lvlJc w:val="left"/>
      <w:lvlText w:val="(%1)"/>
      <w:numFmt w:val="lowerRoman"/>
      <w:start w:val="1"/>
    </w:lvl>
  </w:abstractNum>
  <w:abstractNum w:abstractNumId="120">
    <w:nsid w:val="19E21BB2"/>
    <w:multiLevelType w:val="hybridMultilevel"/>
    <w:lvl w:ilvl="0">
      <w:lvlJc w:val="left"/>
      <w:lvlText w:val="(%1)"/>
      <w:numFmt w:val="lowerLetter"/>
      <w:start w:val="2"/>
    </w:lvl>
  </w:abstractNum>
  <w:abstractNum w:abstractNumId="121">
    <w:nsid w:val="75E0858A"/>
    <w:multiLevelType w:val="hybridMultilevel"/>
    <w:lvl w:ilvl="0">
      <w:lvlJc w:val="left"/>
      <w:lvlText w:val="(%1)"/>
      <w:numFmt w:val="lowerLetter"/>
      <w:start w:val="2"/>
    </w:lvl>
  </w:abstractNum>
  <w:abstractNum w:abstractNumId="122">
    <w:nsid w:val="57A61A29"/>
    <w:multiLevelType w:val="hybridMultilevel"/>
    <w:lvl w:ilvl="0">
      <w:lvlJc w:val="left"/>
      <w:lvlText w:val="(%1)"/>
      <w:numFmt w:val="lowerLetter"/>
      <w:start w:val="61"/>
    </w:lvl>
    <w:lvl w:ilvl="1">
      <w:lvlJc w:val="left"/>
      <w:lvlText w:val="%2"/>
      <w:numFmt w:val="lowerLetter"/>
      <w:start w:val="1"/>
    </w:lvl>
  </w:abstractNum>
  <w:abstractNum w:abstractNumId="123">
    <w:nsid w:val="5399C654"/>
    <w:multiLevelType w:val="hybridMultilevel"/>
    <w:lvl w:ilvl="0">
      <w:lvlJc w:val="left"/>
      <w:lvlText w:val="(%1)"/>
      <w:numFmt w:val="lowerLetter"/>
      <w:start w:val="35"/>
    </w:lvl>
    <w:lvl w:ilvl="1">
      <w:lvlJc w:val="left"/>
      <w:lvlText w:val="(%2)"/>
      <w:numFmt w:val="lowerLetter"/>
      <w:start w:val="3"/>
    </w:lvl>
  </w:abstractNum>
  <w:abstractNum w:abstractNumId="124">
    <w:nsid w:val="20EE1348"/>
    <w:multiLevelType w:val="hybridMultilevel"/>
    <w:lvl w:ilvl="0">
      <w:lvlJc w:val="left"/>
      <w:lvlText w:val="(%1)"/>
      <w:numFmt w:val="lowerLetter"/>
      <w:start w:val="5"/>
    </w:lvl>
  </w:abstractNum>
  <w:abstractNum w:abstractNumId="125">
    <w:nsid w:val="4427069A"/>
    <w:multiLevelType w:val="hybridMultilevel"/>
    <w:lvl w:ilvl="0">
      <w:lvlJc w:val="left"/>
      <w:lvlText w:val="(%1)"/>
      <w:numFmt w:val="lowerLetter"/>
      <w:start w:val="1"/>
    </w:lvl>
  </w:abstractNum>
  <w:abstractNum w:abstractNumId="126">
    <w:nsid w:val="B37E80A"/>
    <w:multiLevelType w:val="hybridMultilevel"/>
    <w:lvl w:ilvl="0">
      <w:lvlJc w:val="left"/>
      <w:lvlText w:val="(%1)"/>
      <w:numFmt w:val="lowerLetter"/>
      <w:start w:val="3"/>
    </w:lvl>
  </w:abstractNum>
  <w:abstractNum w:abstractNumId="127">
    <w:nsid w:val="2157F6BC"/>
    <w:multiLevelType w:val="hybridMultilevel"/>
    <w:lvl w:ilvl="0">
      <w:lvlJc w:val="left"/>
      <w:lvlText w:val="(%1)"/>
      <w:numFmt w:val="lowerLetter"/>
      <w:start w:val="2"/>
    </w:lvl>
    <w:lvl w:ilvl="1">
      <w:lvlJc w:val="left"/>
      <w:lvlText w:val="(%2)"/>
      <w:numFmt w:val="upperLetter"/>
      <w:start w:val="1"/>
    </w:lvl>
  </w:abstractNum>
  <w:abstractNum w:abstractNumId="128">
    <w:nsid w:val="704E1DD5"/>
    <w:multiLevelType w:val="hybridMultilevel"/>
    <w:lvl w:ilvl="0">
      <w:lvlJc w:val="left"/>
      <w:lvlText w:val="(%1)"/>
      <w:numFmt w:val="lowerRoman"/>
      <w:start w:val="2"/>
    </w:lvl>
    <w:lvl w:ilvl="1">
      <w:lvlJc w:val="left"/>
      <w:lvlText w:val="(%2)"/>
      <w:numFmt w:val="upperLetter"/>
      <w:start w:val="1"/>
    </w:lvl>
  </w:abstractNum>
  <w:abstractNum w:abstractNumId="129">
    <w:nsid w:val="57D2F10E"/>
    <w:multiLevelType w:val="hybridMultilevel"/>
    <w:lvl w:ilvl="0">
      <w:lvlJc w:val="left"/>
      <w:lvlText w:val="(%1)"/>
      <w:numFmt w:val="upperLetter"/>
      <w:start w:val="2"/>
    </w:lvl>
  </w:abstractNum>
  <w:abstractNum w:abstractNumId="130">
    <w:nsid w:val="BFFAE18"/>
    <w:multiLevelType w:val="hybridMultilevel"/>
    <w:lvl w:ilvl="0">
      <w:lvlJc w:val="left"/>
      <w:lvlText w:val="(%1)"/>
      <w:numFmt w:val="lowerRoman"/>
      <w:start w:val="3"/>
    </w:lvl>
  </w:abstractNum>
  <w:abstractNum w:abstractNumId="131">
    <w:nsid w:val="E3E47A8"/>
    <w:multiLevelType w:val="hybridMultilevel"/>
    <w:lvl w:ilvl="0">
      <w:lvlJc w:val="left"/>
      <w:lvlText w:val="(%1)"/>
      <w:numFmt w:val="lowerLetter"/>
      <w:start w:val="22"/>
    </w:lvl>
    <w:lvl w:ilvl="1">
      <w:lvlJc w:val="left"/>
      <w:lvlText w:val="(%2)"/>
      <w:numFmt w:val="lowerLetter"/>
      <w:start w:val="3"/>
    </w:lvl>
  </w:abstractNum>
  <w:abstractNum w:abstractNumId="132">
    <w:nsid w:val="2E48F044"/>
    <w:multiLevelType w:val="hybridMultilevel"/>
    <w:lvl w:ilvl="0">
      <w:lvlJc w:val="left"/>
      <w:lvlText w:val="(%1)"/>
      <w:numFmt w:val="lowerLetter"/>
      <w:start w:val="4"/>
    </w:lvl>
  </w:abstractNum>
  <w:abstractNum w:abstractNumId="133">
    <w:nsid w:val="49D0FEAC"/>
    <w:multiLevelType w:val="hybridMultilevel"/>
    <w:lvl w:ilvl="0">
      <w:lvlJc w:val="left"/>
      <w:lvlText w:val="(%1)"/>
      <w:numFmt w:val="lowerLetter"/>
      <w:start w:val="1"/>
    </w:lvl>
  </w:abstractNum>
  <w:abstractNum w:abstractNumId="134">
    <w:nsid w:val="4BEE5A5B"/>
    <w:multiLevelType w:val="hybridMultilevel"/>
    <w:lvl w:ilvl="0">
      <w:lvlJc w:val="left"/>
      <w:lvlText w:val="(%1)"/>
      <w:numFmt w:val="lowerLetter"/>
      <w:start w:val="5"/>
    </w:lvl>
  </w:abstractNum>
  <w:abstractNum w:abstractNumId="135">
    <w:nsid w:val="5551B9F3"/>
    <w:multiLevelType w:val="hybridMultilevel"/>
    <w:lvl w:ilvl="0">
      <w:lvlJc w:val="left"/>
      <w:lvlText w:val="(%1)"/>
      <w:numFmt w:val="upperLetter"/>
      <w:start w:val="2"/>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2022-05-28T01:54:06Z</dcterms:created>
  <dcterms:modified xsi:type="dcterms:W3CDTF">2022-05-28T01:54:06Z</dcterms:modified>
</cp:coreProperties>
</file>