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6247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24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3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EVP, CFO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38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23,760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5,376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109.69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6,535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24,919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(5)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3,064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110.03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22,802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22,802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22,802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6,535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-2750185</wp:posOffset>
            </wp:positionV>
            <wp:extent cx="29210" cy="2755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5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2019 (which were not derivative securities received under the Company's 2011 Equity Incentive Plan, exempt under Rule 16b-3).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February 11, 2022 in settlement of performance share units.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14, 2022.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15, 2022 and were settled in shares of ManpowerGroup common stock on a 1 for 1 basis upon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the Issuer to satisfy the tax withholding obligations on shares acquired on February 15, 2022 in settlement of restricted stock units.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15, 2022.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11, 2025 and will be settled in shares of ManpowerGroup common stock on a 1 for 1 basis.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11, 2027 and will be settled in shares of ManpowerGroup common stock on a 1 for 1 basis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352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902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-15875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3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2022-02-15T16:51:13Z</dcterms:created>
  <dcterms:modified xsi:type="dcterms:W3CDTF">2022-02-15T16:51:13Z</dcterms:modified>
</cp:coreProperties>
</file>