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April 19, 2013</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MANPOWERGROUP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w w:val="87"/>
              </w:rPr>
              <w:t>Wisconsin</w:t>
            </w:r>
          </w:p>
        </w:tc>
        <w:tc>
          <w:tcPr>
            <w:tcW w:w="2920" w:type="dxa"/>
            <w:vAlign w:val="bottom"/>
            <w:tcBorders>
              <w:bottom w:val="single" w:sz="8" w:color="auto"/>
            </w:tcBorders>
          </w:tcPr>
          <w:p>
            <w:pPr>
              <w:jc w:val="right"/>
              <w:ind w:right="1220"/>
              <w:spacing w:after="0"/>
              <w:rPr>
                <w:sz w:val="20"/>
                <w:szCs w:val="20"/>
                <w:color w:val="auto"/>
              </w:rPr>
            </w:pPr>
            <w:r>
              <w:rPr>
                <w:rFonts w:ascii="Arial" w:cs="Arial" w:eastAsia="Arial" w:hAnsi="Arial"/>
                <w:sz w:val="16"/>
                <w:szCs w:val="16"/>
                <w:b w:val="1"/>
                <w:bCs w:val="1"/>
                <w:color w:val="auto"/>
              </w:rPr>
              <w:t>1-10686</w:t>
            </w:r>
          </w:p>
        </w:tc>
        <w:tc>
          <w:tcPr>
            <w:tcW w:w="3700" w:type="dxa"/>
            <w:vAlign w:val="bottom"/>
            <w:tcBorders>
              <w:bottom w:val="single" w:sz="8" w:color="auto"/>
            </w:tcBorders>
          </w:tcPr>
          <w:p>
            <w:pPr>
              <w:jc w:val="right"/>
              <w:ind w:right="1400"/>
              <w:spacing w:after="0"/>
              <w:rPr>
                <w:sz w:val="20"/>
                <w:szCs w:val="20"/>
                <w:color w:val="auto"/>
              </w:rPr>
            </w:pPr>
            <w:r>
              <w:rPr>
                <w:rFonts w:ascii="Arial" w:cs="Arial" w:eastAsia="Arial" w:hAnsi="Arial"/>
                <w:sz w:val="16"/>
                <w:szCs w:val="16"/>
                <w:b w:val="1"/>
                <w:bCs w:val="1"/>
                <w:color w:val="auto"/>
              </w:rPr>
              <w:t>39-1672779</w:t>
            </w:r>
          </w:p>
        </w:tc>
      </w:tr>
      <w:tr>
        <w:trPr>
          <w:trHeight w:val="209"/>
        </w:trPr>
        <w:tc>
          <w:tcPr>
            <w:tcW w:w="4820" w:type="dxa"/>
            <w:vAlign w:val="bottom"/>
          </w:tcPr>
          <w:p>
            <w:pPr>
              <w:jc w:val="center"/>
              <w:ind w:right="120"/>
              <w:spacing w:after="0"/>
              <w:rPr>
                <w:sz w:val="20"/>
                <w:szCs w:val="20"/>
                <w:color w:val="auto"/>
              </w:rPr>
            </w:pPr>
            <w:r>
              <w:rPr>
                <w:rFonts w:ascii="Arial" w:cs="Arial" w:eastAsia="Arial" w:hAnsi="Arial"/>
                <w:sz w:val="16"/>
                <w:szCs w:val="16"/>
                <w:b w:val="1"/>
                <w:bCs w:val="1"/>
                <w:color w:val="auto"/>
                <w:w w:val="90"/>
              </w:rPr>
              <w:t>(State or other jurisdiction of incorporation)</w:t>
            </w:r>
          </w:p>
        </w:tc>
        <w:tc>
          <w:tcPr>
            <w:tcW w:w="2920" w:type="dxa"/>
            <w:vAlign w:val="bottom"/>
          </w:tcPr>
          <w:p>
            <w:pPr>
              <w:jc w:val="center"/>
              <w:ind w:right="140"/>
              <w:spacing w:after="0"/>
              <w:rPr>
                <w:sz w:val="20"/>
                <w:szCs w:val="20"/>
                <w:color w:val="auto"/>
              </w:rPr>
            </w:pPr>
            <w:r>
              <w:rPr>
                <w:rFonts w:ascii="Arial" w:cs="Arial" w:eastAsia="Arial" w:hAnsi="Arial"/>
                <w:sz w:val="16"/>
                <w:szCs w:val="16"/>
                <w:b w:val="1"/>
                <w:bCs w:val="1"/>
                <w:color w:val="auto"/>
                <w:w w:val="91"/>
              </w:rPr>
              <w:t>(Commission File Number)</w:t>
            </w:r>
          </w:p>
        </w:tc>
        <w:tc>
          <w:tcPr>
            <w:tcW w:w="3700" w:type="dxa"/>
            <w:vAlign w:val="bottom"/>
          </w:tcPr>
          <w:p>
            <w:pPr>
              <w:ind w:left="660"/>
              <w:spacing w:after="0"/>
              <w:rPr>
                <w:sz w:val="20"/>
                <w:szCs w:val="20"/>
                <w:color w:val="auto"/>
              </w:rPr>
            </w:pPr>
            <w:r>
              <w:rPr>
                <w:rFonts w:ascii="Arial" w:cs="Arial" w:eastAsia="Arial" w:hAnsi="Arial"/>
                <w:sz w:val="16"/>
                <w:szCs w:val="16"/>
                <w:b w:val="1"/>
                <w:bCs w:val="1"/>
                <w:color w:val="auto"/>
              </w:rPr>
              <w:t>(IRS Employer Identification No.)</w:t>
            </w:r>
          </w:p>
        </w:tc>
      </w:tr>
      <w:tr>
        <w:trPr>
          <w:trHeight w:val="592"/>
        </w:trPr>
        <w:tc>
          <w:tcPr>
            <w:tcW w:w="4820" w:type="dxa"/>
            <w:vAlign w:val="bottom"/>
          </w:tcPr>
          <w:p>
            <w:pPr>
              <w:jc w:val="center"/>
              <w:ind w:left="1220"/>
              <w:spacing w:after="0"/>
              <w:rPr>
                <w:sz w:val="20"/>
                <w:szCs w:val="20"/>
                <w:color w:val="auto"/>
              </w:rPr>
            </w:pPr>
            <w:r>
              <w:rPr>
                <w:rFonts w:ascii="Arial" w:cs="Arial" w:eastAsia="Arial" w:hAnsi="Arial"/>
                <w:sz w:val="16"/>
                <w:szCs w:val="16"/>
                <w:b w:val="1"/>
                <w:bCs w:val="1"/>
                <w:color w:val="auto"/>
                <w:w w:val="91"/>
              </w:rPr>
              <w:t>100 Manpower Place</w:t>
            </w:r>
          </w:p>
        </w:tc>
        <w:tc>
          <w:tcPr>
            <w:tcW w:w="29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13"/>
        </w:trPr>
        <w:tc>
          <w:tcPr>
            <w:tcW w:w="4820" w:type="dxa"/>
            <w:vAlign w:val="bottom"/>
            <w:tcBorders>
              <w:bottom w:val="single" w:sz="8" w:color="auto"/>
            </w:tcBorders>
          </w:tcPr>
          <w:p>
            <w:pPr>
              <w:jc w:val="center"/>
              <w:ind w:left="1240"/>
              <w:spacing w:after="0"/>
              <w:rPr>
                <w:sz w:val="20"/>
                <w:szCs w:val="20"/>
                <w:color w:val="auto"/>
              </w:rPr>
            </w:pPr>
            <w:r>
              <w:rPr>
                <w:rFonts w:ascii="Arial" w:cs="Arial" w:eastAsia="Arial" w:hAnsi="Arial"/>
                <w:sz w:val="16"/>
                <w:szCs w:val="16"/>
                <w:b w:val="1"/>
                <w:bCs w:val="1"/>
                <w:color w:val="auto"/>
                <w:w w:val="91"/>
              </w:rPr>
              <w:t>Milwaukee, Wisconsin</w:t>
            </w:r>
          </w:p>
        </w:tc>
        <w:tc>
          <w:tcPr>
            <w:tcW w:w="29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jc w:val="right"/>
              <w:ind w:right="2380"/>
              <w:spacing w:after="0"/>
              <w:rPr>
                <w:sz w:val="20"/>
                <w:szCs w:val="20"/>
                <w:color w:val="auto"/>
              </w:rPr>
            </w:pPr>
            <w:r>
              <w:rPr>
                <w:rFonts w:ascii="Arial" w:cs="Arial" w:eastAsia="Arial" w:hAnsi="Arial"/>
                <w:sz w:val="16"/>
                <w:szCs w:val="16"/>
                <w:b w:val="1"/>
                <w:bCs w:val="1"/>
                <w:color w:val="auto"/>
              </w:rPr>
              <w:t>53212</w:t>
            </w:r>
          </w:p>
        </w:tc>
      </w:tr>
      <w:tr>
        <w:trPr>
          <w:trHeight w:val="209"/>
        </w:trPr>
        <w:tc>
          <w:tcPr>
            <w:tcW w:w="4820" w:type="dxa"/>
            <w:vAlign w:val="bottom"/>
          </w:tcPr>
          <w:p>
            <w:pPr>
              <w:jc w:val="center"/>
              <w:ind w:left="1220"/>
              <w:spacing w:after="0"/>
              <w:rPr>
                <w:sz w:val="20"/>
                <w:szCs w:val="20"/>
                <w:color w:val="auto"/>
              </w:rPr>
            </w:pPr>
            <w:r>
              <w:rPr>
                <w:rFonts w:ascii="Arial" w:cs="Arial" w:eastAsia="Arial" w:hAnsi="Arial"/>
                <w:sz w:val="16"/>
                <w:szCs w:val="16"/>
                <w:b w:val="1"/>
                <w:bCs w:val="1"/>
                <w:color w:val="auto"/>
                <w:w w:val="88"/>
              </w:rPr>
              <w:t>(Address of principal executive offices)</w:t>
            </w:r>
          </w:p>
        </w:tc>
        <w:tc>
          <w:tcPr>
            <w:tcW w:w="2920" w:type="dxa"/>
            <w:vAlign w:val="bottom"/>
          </w:tcPr>
          <w:p>
            <w:pPr>
              <w:spacing w:after="0"/>
              <w:rPr>
                <w:sz w:val="18"/>
                <w:szCs w:val="18"/>
                <w:color w:val="auto"/>
              </w:rPr>
            </w:pPr>
          </w:p>
        </w:tc>
        <w:tc>
          <w:tcPr>
            <w:tcW w:w="3700" w:type="dxa"/>
            <w:vAlign w:val="bottom"/>
          </w:tcPr>
          <w:p>
            <w:pPr>
              <w:ind w:left="680"/>
              <w:spacing w:after="0"/>
              <w:rPr>
                <w:sz w:val="20"/>
                <w:szCs w:val="20"/>
                <w:color w:val="auto"/>
              </w:rPr>
            </w:pPr>
            <w:r>
              <w:rPr>
                <w:rFonts w:ascii="Arial" w:cs="Arial" w:eastAsia="Arial" w:hAnsi="Arial"/>
                <w:sz w:val="16"/>
                <w:szCs w:val="16"/>
                <w:b w:val="1"/>
                <w:bCs w:val="1"/>
                <w:color w:val="auto"/>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224"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420"/>
        <w:spacing w:after="0"/>
        <w:rPr>
          <w:sz w:val="20"/>
          <w:szCs w:val="20"/>
          <w:color w:val="auto"/>
        </w:rPr>
      </w:pPr>
      <w:r>
        <w:rPr>
          <w:rFonts w:ascii="Arial" w:cs="Arial" w:eastAsia="Arial" w:hAnsi="Arial"/>
          <w:sz w:val="16"/>
          <w:szCs w:val="16"/>
          <w:color w:val="auto"/>
        </w:rPr>
        <w:t>Written communications pursuant to Rule 425 under the Securities Act (17 CFR 230.425)</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Soliciting material pursuant to Rule 14a-12 under the Securities Act (17 CFR 240.14a-12)</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483870</wp:posOffset>
            </wp:positionV>
            <wp:extent cx="726694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15"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28"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On April 19, 2013, we issued a press release announcing our results of operations for the three months ended March 31, 2013. A copy of the press release is attached hereto as Exhibit 99.1 and is incorporated herein by reference.</w:t>
      </w:r>
    </w:p>
    <w:p>
      <w:pPr>
        <w:spacing w:after="0" w:line="172" w:lineRule="exact"/>
        <w:rPr>
          <w:sz w:val="20"/>
          <w:szCs w:val="20"/>
          <w:color w:val="auto"/>
        </w:rPr>
      </w:pPr>
    </w:p>
    <w:p>
      <w:pPr>
        <w:spacing w:after="0"/>
        <w:tabs>
          <w:tab w:leader="none" w:pos="154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Exhibits</w:t>
      </w:r>
      <w:r>
        <w:rPr>
          <w:rFonts w:ascii="Arial" w:cs="Arial" w:eastAsia="Arial" w:hAnsi="Arial"/>
          <w:sz w:val="14"/>
          <w:szCs w:val="14"/>
          <w:color w:val="auto"/>
        </w:rPr>
        <w:t>.</w:t>
      </w:r>
    </w:p>
    <w:p>
      <w:pPr>
        <w:spacing w:after="0" w:line="224"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580453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04535" cy="15240"/>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Press Release dated April 19, 2013</w:t>
      </w:r>
    </w:p>
    <w:p>
      <w:pPr>
        <w:spacing w:after="0" w:line="21"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4"/>
          <w:szCs w:val="14"/>
          <w:color w:val="auto"/>
        </w:rPr>
        <w:t>Presentation materials for April 19, 2013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475615</wp:posOffset>
            </wp:positionV>
            <wp:extent cx="726694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140"/>
          </w:cols>
          <w:pgMar w:left="240" w:top="339" w:right="5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6"/>
          <w:szCs w:val="16"/>
          <w:b w:val="1"/>
          <w:bCs w:val="1"/>
          <w:color w:val="auto"/>
        </w:rPr>
        <w:t>SIGNATURES</w:t>
      </w:r>
    </w:p>
    <w:p>
      <w:pPr>
        <w:spacing w:after="0" w:line="228"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9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MANPOWERGROUP INC.</w:t>
      </w:r>
    </w:p>
    <w:p>
      <w:pPr>
        <w:spacing w:after="0" w:line="200" w:lineRule="exact"/>
        <w:rPr>
          <w:sz w:val="20"/>
          <w:szCs w:val="20"/>
          <w:color w:val="auto"/>
        </w:rPr>
      </w:pPr>
    </w:p>
    <w:p>
      <w:pPr>
        <w:spacing w:after="0"/>
        <w:tabs>
          <w:tab w:leader="none" w:pos="3440" w:val="left"/>
          <w:tab w:leader="none" w:pos="3860" w:val="left"/>
        </w:tabs>
        <w:rPr>
          <w:sz w:val="20"/>
          <w:szCs w:val="20"/>
          <w:color w:val="auto"/>
        </w:rPr>
      </w:pPr>
      <w:r>
        <w:rPr>
          <w:rFonts w:ascii="Arial" w:cs="Arial" w:eastAsia="Arial" w:hAnsi="Arial"/>
          <w:sz w:val="16"/>
          <w:szCs w:val="16"/>
          <w:color w:val="auto"/>
        </w:rPr>
        <w:t>Dated: April 19,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13335</wp:posOffset>
            </wp:positionV>
            <wp:extent cx="203644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6445" cy="15240"/>
                    </a:xfrm>
                    <a:prstGeom prst="rect">
                      <a:avLst/>
                    </a:prstGeom>
                    <a:noFill/>
                  </pic:spPr>
                </pic:pic>
              </a:graphicData>
            </a:graphic>
          </wp:anchor>
        </w:drawing>
      </w:r>
    </w:p>
    <w:p>
      <w:pPr>
        <w:spacing w:after="0" w:line="1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Michael J. Van Handel</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Executive Vice President and</w:t>
      </w:r>
    </w:p>
    <w:p>
      <w:pPr>
        <w:spacing w:after="0" w:line="8"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475615</wp:posOffset>
            </wp:positionV>
            <wp:extent cx="726694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40"/>
          </w:cols>
          <w:pgMar w:left="240" w:top="555" w:right="419" w:bottom="1440" w:gutter="0" w:footer="0" w:header="0"/>
        </w:sectPr>
      </w:pPr>
    </w:p>
    <w:bookmarkStart w:id="3" w:name="page4"/>
    <w:bookmarkEnd w:id="3"/>
    <w:p>
      <w:pPr>
        <w:jc w:val="right"/>
        <w:ind w:right="3879"/>
        <w:spacing w:after="0"/>
        <w:rPr>
          <w:sz w:val="20"/>
          <w:szCs w:val="20"/>
          <w:color w:val="auto"/>
        </w:rPr>
      </w:pPr>
      <w:r>
        <w:rPr>
          <w:rFonts w:ascii="Arial" w:cs="Arial" w:eastAsia="Arial" w:hAnsi="Arial"/>
          <w:sz w:val="16"/>
          <w:szCs w:val="16"/>
          <w:b w:val="1"/>
          <w:bCs w:val="1"/>
          <w:color w:val="auto"/>
        </w:rPr>
        <w:t>EXHIBIT INDEX</w:t>
      </w:r>
    </w:p>
    <w:p>
      <w:pPr>
        <w:spacing w:after="0" w:line="224"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15875</wp:posOffset>
            </wp:positionV>
            <wp:extent cx="580453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04535" cy="15240"/>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Press Release dated April 19, 2013</w:t>
      </w:r>
    </w:p>
    <w:p>
      <w:pPr>
        <w:spacing w:after="0" w:line="21"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4"/>
          <w:szCs w:val="14"/>
          <w:color w:val="auto"/>
        </w:rPr>
        <w:t>Presentation materials for April 19, 2013 conference call</w:t>
      </w:r>
    </w:p>
    <w:p>
      <w:pPr>
        <w:sectPr>
          <w:pgSz w:w="11900" w:h="16838" w:orient="portrait"/>
          <w:cols w:equalWidth="0" w:num="1">
            <w:col w:w="10159"/>
          </w:cols>
          <w:pgMar w:left="300" w:top="339"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793115" cy="434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93115" cy="43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4"/>
          <w:szCs w:val="14"/>
          <w:b w:val="1"/>
          <w:bCs w:val="1"/>
          <w:color w:val="auto"/>
        </w:rPr>
        <w:t>Contact:</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Mike Van Handel</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+1.414.906.6305</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michael.vanhandel@manpowergroup.com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ManpowerGroup Reports 1</w:t>
      </w:r>
      <w:r>
        <w:rPr>
          <w:rFonts w:ascii="Arial" w:cs="Arial" w:eastAsia="Arial" w:hAnsi="Arial"/>
          <w:sz w:val="22"/>
          <w:szCs w:val="22"/>
          <w:b w:val="1"/>
          <w:bCs w:val="1"/>
          <w:color w:val="auto"/>
          <w:vertAlign w:val="superscript"/>
        </w:rPr>
        <w:t>st</w:t>
      </w:r>
      <w:r>
        <w:rPr>
          <w:rFonts w:ascii="Arial" w:cs="Arial" w:eastAsia="Arial" w:hAnsi="Arial"/>
          <w:sz w:val="16"/>
          <w:szCs w:val="16"/>
          <w:b w:val="1"/>
          <w:bCs w:val="1"/>
          <w:color w:val="auto"/>
        </w:rPr>
        <w:t xml:space="preserve"> Quarter 2013 Results</w:t>
      </w:r>
    </w:p>
    <w:p>
      <w:pPr>
        <w:spacing w:after="0" w:line="155" w:lineRule="exact"/>
        <w:rPr>
          <w:sz w:val="20"/>
          <w:szCs w:val="20"/>
          <w:color w:val="auto"/>
        </w:rPr>
      </w:pPr>
    </w:p>
    <w:p>
      <w:pPr>
        <w:ind w:right="400" w:firstLine="593"/>
        <w:spacing w:after="0" w:line="266" w:lineRule="auto"/>
        <w:rPr>
          <w:sz w:val="20"/>
          <w:szCs w:val="20"/>
          <w:color w:val="auto"/>
        </w:rPr>
      </w:pPr>
      <w:r>
        <w:rPr>
          <w:rFonts w:ascii="Arial" w:cs="Arial" w:eastAsia="Arial" w:hAnsi="Arial"/>
          <w:sz w:val="16"/>
          <w:szCs w:val="16"/>
          <w:b w:val="1"/>
          <w:bCs w:val="1"/>
          <w:color w:val="auto"/>
        </w:rPr>
        <w:t xml:space="preserve">MILWAUKEE, April 19, 2013 -- </w:t>
      </w:r>
      <w:r>
        <w:rPr>
          <w:rFonts w:ascii="Arial" w:cs="Arial" w:eastAsia="Arial" w:hAnsi="Arial"/>
          <w:sz w:val="16"/>
          <w:szCs w:val="16"/>
          <w:color w:val="auto"/>
        </w:rPr>
        <w:t>ManpowerGroup (NYSE: MAN) today reported that net earnings for the three months ended March 31, 2013 were $23.9</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or 31 cents per diluted share, compared to net earnings of $40.2 million, or 50 cents per diluted share, a year earlier. Revenues for the first quarter were $4.8 billion, a decrease of 6% from the prior year period.</w:t>
      </w:r>
    </w:p>
    <w:p>
      <w:pPr>
        <w:spacing w:after="0" w:line="161" w:lineRule="exact"/>
        <w:rPr>
          <w:sz w:val="20"/>
          <w:szCs w:val="20"/>
          <w:color w:val="auto"/>
        </w:rPr>
      </w:pPr>
    </w:p>
    <w:p>
      <w:pPr>
        <w:ind w:right="600"/>
        <w:spacing w:after="0" w:line="264" w:lineRule="auto"/>
        <w:rPr>
          <w:sz w:val="20"/>
          <w:szCs w:val="20"/>
          <w:color w:val="auto"/>
        </w:rPr>
      </w:pPr>
      <w:r>
        <w:rPr>
          <w:rFonts w:ascii="Arial" w:cs="Arial" w:eastAsia="Arial" w:hAnsi="Arial"/>
          <w:sz w:val="16"/>
          <w:szCs w:val="16"/>
          <w:color w:val="auto"/>
        </w:rPr>
        <w:t>Included in the first quarter results is a restructuring charge, primarily related to office consolidations and severance costs of $34.8 million ($25.3 million after tax or 32 cents per diluted share). Net earnings in the first quarter were negatively impacted by 1 cent per diluted share, as foreign currencies were slightly weaker compared to the prior year period.</w:t>
      </w:r>
    </w:p>
    <w:p>
      <w:pPr>
        <w:spacing w:after="0" w:line="162" w:lineRule="exact"/>
        <w:rPr>
          <w:sz w:val="20"/>
          <w:szCs w:val="20"/>
          <w:color w:val="auto"/>
        </w:rPr>
      </w:pPr>
    </w:p>
    <w:p>
      <w:pPr>
        <w:jc w:val="both"/>
        <w:ind w:right="540"/>
        <w:spacing w:after="0" w:line="282" w:lineRule="auto"/>
        <w:rPr>
          <w:sz w:val="20"/>
          <w:szCs w:val="20"/>
          <w:color w:val="auto"/>
        </w:rPr>
      </w:pPr>
      <w:r>
        <w:rPr>
          <w:rFonts w:ascii="Arial" w:cs="Arial" w:eastAsia="Arial" w:hAnsi="Arial"/>
          <w:sz w:val="15"/>
          <w:szCs w:val="15"/>
          <w:color w:val="auto"/>
        </w:rPr>
        <w:t>Jeffrey A. Joerres, ManpowerGroup Chairman and CEO, said, “The first quarter performance was largely attributed to slightly stronger than anticipated revenues and tax credits. Additionally, our recalibration of our cost base is advancing ahead of schedule. Those efforts, which are focused on simplifying our business, were initially rolled out in the fourth quarter of 2012 and continued into the first quarter, resulting in the restructuring charge in the quarter. Our team has done an outstanding job dealing with the high levels of uncertainty in Europe and has continued to address client and prospect needs with our unique suite of solutions.</w:t>
      </w:r>
    </w:p>
    <w:p>
      <w:pPr>
        <w:spacing w:after="0" w:line="150" w:lineRule="exact"/>
        <w:rPr>
          <w:sz w:val="20"/>
          <w:szCs w:val="20"/>
          <w:color w:val="auto"/>
        </w:rPr>
      </w:pPr>
    </w:p>
    <w:p>
      <w:pPr>
        <w:ind w:right="460"/>
        <w:spacing w:after="0" w:line="277" w:lineRule="auto"/>
        <w:rPr>
          <w:sz w:val="20"/>
          <w:szCs w:val="20"/>
          <w:color w:val="auto"/>
        </w:rPr>
      </w:pPr>
      <w:r>
        <w:rPr>
          <w:rFonts w:ascii="Arial" w:cs="Arial" w:eastAsia="Arial" w:hAnsi="Arial"/>
          <w:sz w:val="16"/>
          <w:szCs w:val="16"/>
          <w:color w:val="auto"/>
        </w:rPr>
        <w:t>“We anticipate second quarter earnings per share will range between 84 cents to 92 cents before restructuring charges. We do not expect changes in currency rates to have a significant impact in the quarter based on current exchange rates.”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In conjunction with its first quarter earnings release, ManpowerGroup will broadcast its conference call live over the Internet on April 19, 2013 at 7:30 a.m. CDT (8:30 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EDT). Interested parties are invited to listen to the webcast and view the presentation by logging on to </w:t>
      </w:r>
      <w:r>
        <w:rPr>
          <w:rFonts w:ascii="Arial" w:cs="Arial" w:eastAsia="Arial" w:hAnsi="Arial"/>
          <w:sz w:val="16"/>
          <w:szCs w:val="16"/>
          <w:u w:val="single" w:color="auto"/>
          <w:color w:val="auto"/>
        </w:rPr>
        <w:t>http://www.manpowergroup.com/investors</w:t>
      </w: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financial information referenced in the conference call can be found at </w:t>
      </w:r>
      <w:r>
        <w:rPr>
          <w:rFonts w:ascii="Arial" w:cs="Arial" w:eastAsia="Arial" w:hAnsi="Arial"/>
          <w:sz w:val="16"/>
          <w:szCs w:val="16"/>
          <w:u w:val="single" w:color="auto"/>
          <w:color w:val="auto"/>
        </w:rPr>
        <w:t>http://www.manpowergroup.com/investors</w:t>
      </w:r>
      <w:r>
        <w:rPr>
          <w:rFonts w:ascii="Arial" w:cs="Arial" w:eastAsia="Arial" w:hAnsi="Arial"/>
          <w:sz w:val="16"/>
          <w:szCs w:val="16"/>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25" w:lineRule="exact"/>
        <w:rPr>
          <w:sz w:val="20"/>
          <w:szCs w:val="20"/>
          <w:color w:val="auto"/>
        </w:rPr>
      </w:pPr>
    </w:p>
    <w:p>
      <w:pPr>
        <w:ind w:right="80"/>
        <w:spacing w:after="0" w:line="292" w:lineRule="auto"/>
        <w:rPr>
          <w:sz w:val="20"/>
          <w:szCs w:val="20"/>
          <w:color w:val="auto"/>
        </w:rPr>
      </w:pPr>
      <w:r>
        <w:rPr>
          <w:rFonts w:ascii="Arial" w:cs="Arial" w:eastAsia="Arial" w:hAnsi="Arial"/>
          <w:sz w:val="14"/>
          <w:szCs w:val="14"/>
          <w:color w:val="auto"/>
        </w:rPr>
        <w:t xml:space="preserve">ManpowerGroup™ (NYSE: MAN) is the world leader in innovative workforce solutions that ensure the talent sustainability of the world’s workforce for the good of companies, communities, countries, and individuals themselves. Specializing in solutions that help organizations achieve business agility and workforce flexibility, ManpowerGroup leverages its 65 years of world of work expertise to create the work models, design the people practices and access the talent sources its clients need for the future. From staffing, recruitment, workforce consulting, outsourcing and career management to assessment, training and development, ManpowerGroup delivers the talent to drive the innovation and productivity of organizations in a world where talentism is the dominant economic system. Every day, ManpowerGroup connects more than 630,000 people to work and builds their experience and employability through its relationships with 400,000 clients across 80 countries and territories. ManpowerGroup’s suite of solutions is offered through ManpowerGroup™ Solutions, Manpower®, Experis™ and Right Management®. ManpowerGroup was named one of the World’s Most Ethical Companies for the third consecutive year in 2013, confirming our position as the most trusted brand in the industry. See how ManpowerGroup makes powering the world of work humanly possible at </w:t>
      </w:r>
      <w:r>
        <w:rPr>
          <w:rFonts w:ascii="Arial" w:cs="Arial" w:eastAsia="Arial" w:hAnsi="Arial"/>
          <w:sz w:val="14"/>
          <w:szCs w:val="14"/>
          <w:u w:val="single" w:color="auto"/>
          <w:color w:val="auto"/>
        </w:rPr>
        <w:t>www.manpowergroup.com</w:t>
      </w:r>
      <w:r>
        <w:rPr>
          <w:rFonts w:ascii="Arial" w:cs="Arial" w:eastAsia="Arial" w:hAnsi="Arial"/>
          <w:sz w:val="14"/>
          <w:szCs w:val="14"/>
          <w:color w:val="auto"/>
        </w:rPr>
        <w:t xml:space="preserve">. Follow ManpowerGroup Chairman and CEO Jeff Joerres on Twitter: </w:t>
      </w:r>
      <w:r>
        <w:rPr>
          <w:rFonts w:ascii="Arial" w:cs="Arial" w:eastAsia="Arial" w:hAnsi="Arial"/>
          <w:sz w:val="14"/>
          <w:szCs w:val="14"/>
          <w:u w:val="single" w:color="auto"/>
          <w:color w:val="auto"/>
        </w:rPr>
        <w:t>Twitter.com/manpowergroupjj</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5"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2012, which information is incorporated herein by reference.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346075</wp:posOffset>
            </wp:positionV>
            <wp:extent cx="726694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5" w:name="page6"/>
    <w:bookmarkEnd w:id="5"/>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Results of Operations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 except per share data)</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6"/>
                <w:szCs w:val="16"/>
                <w:b w:val="1"/>
                <w:bCs w:val="1"/>
                <w:color w:val="auto"/>
                <w:w w:val="93"/>
              </w:rPr>
              <w:t>Three Months Ended March 31</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4,768.9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5,096.4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3,978.8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4,249.0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790.1</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847.4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735.7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753.6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93.8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11.8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-2.3%</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41.8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-54.5%</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Net earnings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0.31</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0.50</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-38.0%</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earnings per share -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0.31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0.50</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-38.0%</w:t>
            </w:r>
          </w:p>
        </w:tc>
        <w:tc>
          <w:tcPr>
            <w:tcW w:w="128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Weighted average shares - basic</w:t>
            </w:r>
          </w:p>
        </w:tc>
        <w:tc>
          <w:tcPr>
            <w:tcW w:w="24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77.1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80.2</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-3.9%</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Weighted average shares - diluted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78.2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80.9</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-3.3%</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180" w:hanging="4"/>
        <w:spacing w:after="0" w:line="264" w:lineRule="auto"/>
        <w:tabs>
          <w:tab w:leader="none" w:pos="222"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$5.3 million and $5.4 million for the three months ended March 31, 2013 and 2012, respectively. These fees are primarily based on revenues generated by the franchise offices, which were $234.7 million and $253.9 million for the three months ended March 31, 2013 and 2012,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321945</wp:posOffset>
            </wp:positionV>
            <wp:extent cx="726694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553" w:right="219" w:bottom="1440" w:gutter="0" w:footer="0" w:header="0"/>
        </w:sectPr>
      </w:pPr>
    </w:p>
    <w:bookmarkStart w:id="6" w:name="page7"/>
    <w:bookmarkEnd w:id="6"/>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Operating Unit Results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6"/>
                <w:szCs w:val="16"/>
                <w:b w:val="1"/>
                <w:bCs w:val="1"/>
                <w:color w:val="auto"/>
                <w:w w:val="93"/>
              </w:rPr>
              <w:t>Three Months Ended March 31</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4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States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735.8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386.9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402.5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1,138.3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Borders>
              <w:top w:val="single" w:sz="8" w:color="CCEEFF"/>
            </w:tcBorders>
          </w:tcPr>
          <w:p>
            <w:pPr>
              <w:ind w:left="6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1,145.2</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1,291.8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257.9</w:t>
            </w: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267.5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-3.6%</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Southern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195.2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1,596.5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1,754.5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Northern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1,370.3</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1,444.0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40"/>
              <w:spacing w:after="0"/>
              <w:rPr>
                <w:sz w:val="20"/>
                <w:szCs w:val="20"/>
                <w:color w:val="auto"/>
              </w:rPr>
            </w:pPr>
            <w:r>
              <w:rPr>
                <w:rFonts w:ascii="Arial" w:cs="Arial" w:eastAsia="Arial" w:hAnsi="Arial"/>
                <w:sz w:val="16"/>
                <w:szCs w:val="16"/>
                <w:color w:val="auto"/>
              </w:rPr>
              <w:t>APME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632.5</w:t>
            </w: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680.0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Right Management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4,768.9</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5,096.4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Operating Unit Profit:</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Americas: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7.4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6.9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Americas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22.2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-27.4%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France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5.5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161.9%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165.4%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Italy</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Other Southern Europe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-33.8%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Northern Europe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43.9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-75.8%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APME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Right Management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-18.4%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111.7</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Corporate expenses</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(26.3)</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 amortization expense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(9.0)</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Reclassification of French business tax</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17.4</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93.8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 (b)</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(11.8)</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82.0</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340" w:hanging="4"/>
        <w:spacing w:after="0" w:line="264" w:lineRule="auto"/>
        <w:tabs>
          <w:tab w:leader="none" w:pos="222"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$3.2 million for both the three months ended March 31, 2013 and 2012. These fees are primarily based on revenues generated by the franchise offices, which were $155.1 million and $164.4 million for the three months ended March 31, 2013 and 2012, respectively.</w:t>
      </w:r>
    </w:p>
    <w:p>
      <w:pPr>
        <w:spacing w:after="0" w:line="161" w:lineRule="exact"/>
        <w:rPr>
          <w:rFonts w:ascii="Arial" w:cs="Arial" w:eastAsia="Arial" w:hAnsi="Arial"/>
          <w:sz w:val="16"/>
          <w:szCs w:val="16"/>
          <w:color w:val="auto"/>
        </w:rPr>
      </w:pPr>
    </w:p>
    <w:p>
      <w:pPr>
        <w:ind w:left="224" w:hanging="224"/>
        <w:spacing w:after="0"/>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21" w:lineRule="exact"/>
        <w:rPr>
          <w:sz w:val="20"/>
          <w:szCs w:val="20"/>
          <w:color w:val="auto"/>
        </w:rPr>
      </w:pPr>
    </w:p>
    <w:tbl>
      <w:tblPr>
        <w:tblLayout w:type="fixed"/>
        <w:tblInd w:w="4" w:type="dxa"/>
        <w:tblCellMar>
          <w:top w:w="0" w:type="dxa"/>
          <w:left w:w="0" w:type="dxa"/>
          <w:bottom w:w="0" w:type="dxa"/>
          <w:right w:w="0" w:type="dxa"/>
        </w:tblCellMar>
      </w:tblPr>
      <w:tr>
        <w:trPr>
          <w:trHeight w:val="196"/>
        </w:trPr>
        <w:tc>
          <w:tcPr>
            <w:tcW w:w="60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3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2012</w:t>
            </w:r>
          </w:p>
        </w:tc>
        <w:tc>
          <w:tcPr>
            <w:tcW w:w="2880" w:type="dxa"/>
            <w:vAlign w:val="bottom"/>
          </w:tcPr>
          <w:p>
            <w:pPr>
              <w:spacing w:after="0"/>
              <w:rPr>
                <w:sz w:val="17"/>
                <w:szCs w:val="17"/>
                <w:color w:val="auto"/>
              </w:rPr>
            </w:pP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6"/>
              </w:rPr>
              <w:t>10.7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374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10.6</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82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(0.9)</w:t>
            </w:r>
          </w:p>
        </w:tc>
        <w:tc>
          <w:tcPr>
            <w:tcW w:w="260" w:type="dxa"/>
            <w:vAlign w:val="bottom"/>
          </w:tcPr>
          <w:p>
            <w:pPr>
              <w:spacing w:after="0"/>
              <w:rPr>
                <w:sz w:val="16"/>
                <w:szCs w:val="16"/>
                <w:color w:val="auto"/>
              </w:rPr>
            </w:pPr>
          </w:p>
        </w:tc>
        <w:tc>
          <w:tcPr>
            <w:tcW w:w="3740" w:type="dxa"/>
            <w:vAlign w:val="bottom"/>
            <w:gridSpan w:val="2"/>
          </w:tcPr>
          <w:p>
            <w:pPr>
              <w:jc w:val="right"/>
              <w:ind w:right="2820"/>
              <w:spacing w:after="0"/>
              <w:rPr>
                <w:sz w:val="20"/>
                <w:szCs w:val="20"/>
                <w:color w:val="auto"/>
              </w:rPr>
            </w:pPr>
            <w:r>
              <w:rPr>
                <w:rFonts w:ascii="Arial" w:cs="Arial" w:eastAsia="Arial" w:hAnsi="Arial"/>
                <w:sz w:val="16"/>
                <w:szCs w:val="16"/>
                <w:color w:val="auto"/>
              </w:rPr>
              <w:t>(1.8)</w:t>
            </w: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exchange loss (gain)</w:t>
            </w:r>
          </w:p>
        </w:tc>
        <w:tc>
          <w:tcPr>
            <w:tcW w:w="8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0.4</w:t>
            </w:r>
          </w:p>
        </w:tc>
        <w:tc>
          <w:tcPr>
            <w:tcW w:w="260" w:type="dxa"/>
            <w:vAlign w:val="bottom"/>
            <w:shd w:val="clear" w:color="auto" w:fill="CCEEFF"/>
          </w:tcPr>
          <w:p>
            <w:pPr>
              <w:spacing w:after="0"/>
              <w:rPr>
                <w:sz w:val="16"/>
                <w:szCs w:val="16"/>
                <w:color w:val="auto"/>
              </w:rPr>
            </w:pPr>
          </w:p>
        </w:tc>
        <w:tc>
          <w:tcPr>
            <w:tcW w:w="3740" w:type="dxa"/>
            <w:vAlign w:val="bottom"/>
            <w:gridSpan w:val="2"/>
            <w:shd w:val="clear" w:color="auto" w:fill="CCEEFF"/>
          </w:tcPr>
          <w:p>
            <w:pPr>
              <w:jc w:val="right"/>
              <w:ind w:right="2820"/>
              <w:spacing w:after="0"/>
              <w:rPr>
                <w:sz w:val="20"/>
                <w:szCs w:val="20"/>
                <w:color w:val="auto"/>
              </w:rPr>
            </w:pPr>
            <w:r>
              <w:rPr>
                <w:rFonts w:ascii="Arial" w:cs="Arial" w:eastAsia="Arial" w:hAnsi="Arial"/>
                <w:sz w:val="16"/>
                <w:szCs w:val="16"/>
                <w:color w:val="auto"/>
              </w:rPr>
              <w:t>(0.2)</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Miscellaneous expense, net</w:t>
            </w:r>
          </w:p>
        </w:tc>
        <w:tc>
          <w:tcPr>
            <w:tcW w:w="8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740" w:type="dxa"/>
            <w:vAlign w:val="bottom"/>
            <w:gridSpan w:val="2"/>
          </w:tcPr>
          <w:p>
            <w:pPr>
              <w:jc w:val="right"/>
              <w:ind w:right="2880"/>
              <w:spacing w:after="0"/>
              <w:rPr>
                <w:sz w:val="20"/>
                <w:szCs w:val="20"/>
                <w:color w:val="auto"/>
              </w:rPr>
            </w:pPr>
            <w:r>
              <w:rPr>
                <w:rFonts w:ascii="Arial" w:cs="Arial" w:eastAsia="Arial" w:hAnsi="Arial"/>
                <w:sz w:val="16"/>
                <w:szCs w:val="16"/>
                <w:color w:val="auto"/>
              </w:rPr>
              <w:t>3.2</w:t>
            </w:r>
          </w:p>
        </w:tc>
      </w:tr>
      <w:tr>
        <w:trPr>
          <w:trHeight w:val="24"/>
        </w:trPr>
        <w:tc>
          <w:tcPr>
            <w:tcW w:w="60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232"/>
        </w:trPr>
        <w:tc>
          <w:tcPr>
            <w:tcW w:w="60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11.5</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374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11.8</w:t>
            </w:r>
          </w:p>
        </w:tc>
      </w:tr>
      <w:tr>
        <w:trPr>
          <w:trHeight w:val="525"/>
        </w:trPr>
        <w:tc>
          <w:tcPr>
            <w:tcW w:w="6080" w:type="dxa"/>
            <w:vAlign w:val="bottom"/>
            <w:tcBorders>
              <w:top w:val="single" w:sz="8" w:color="CCEEFF"/>
              <w:bottom w:val="single" w:sz="8" w:color="808080"/>
            </w:tcBorders>
          </w:tcPr>
          <w:p>
            <w:pPr>
              <w:spacing w:after="0"/>
              <w:rPr>
                <w:sz w:val="24"/>
                <w:szCs w:val="24"/>
                <w:color w:val="auto"/>
              </w:rPr>
            </w:pPr>
          </w:p>
        </w:tc>
        <w:tc>
          <w:tcPr>
            <w:tcW w:w="820" w:type="dxa"/>
            <w:vAlign w:val="bottom"/>
            <w:tcBorders>
              <w:top w:val="single" w:sz="8" w:color="auto"/>
              <w:bottom w:val="single" w:sz="8" w:color="808080"/>
            </w:tcBorders>
          </w:tcPr>
          <w:p>
            <w:pPr>
              <w:spacing w:after="0"/>
              <w:rPr>
                <w:sz w:val="24"/>
                <w:szCs w:val="24"/>
                <w:color w:val="auto"/>
              </w:rPr>
            </w:pPr>
          </w:p>
        </w:tc>
        <w:tc>
          <w:tcPr>
            <w:tcW w:w="32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260" w:type="dxa"/>
            <w:vAlign w:val="bottom"/>
            <w:tcBorders>
              <w:top w:val="single" w:sz="8" w:color="auto"/>
              <w:bottom w:val="single" w:sz="8" w:color="808080"/>
            </w:tcBorders>
          </w:tcPr>
          <w:p>
            <w:pPr>
              <w:spacing w:after="0"/>
              <w:rPr>
                <w:sz w:val="24"/>
                <w:szCs w:val="24"/>
                <w:color w:val="auto"/>
              </w:rPr>
            </w:pPr>
          </w:p>
        </w:tc>
        <w:tc>
          <w:tcPr>
            <w:tcW w:w="860" w:type="dxa"/>
            <w:vAlign w:val="bottom"/>
            <w:tcBorders>
              <w:top w:val="single" w:sz="8" w:color="auto"/>
              <w:bottom w:val="single" w:sz="8" w:color="808080"/>
            </w:tcBorders>
          </w:tcPr>
          <w:p>
            <w:pPr>
              <w:spacing w:after="0"/>
              <w:rPr>
                <w:sz w:val="24"/>
                <w:szCs w:val="24"/>
                <w:color w:val="auto"/>
              </w:rPr>
            </w:pPr>
          </w:p>
        </w:tc>
        <w:tc>
          <w:tcPr>
            <w:tcW w:w="288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553" w:right="219" w:bottom="1440" w:gutter="0" w:footer="0" w:header="0"/>
        </w:sectPr>
      </w:pPr>
    </w:p>
    <w:bookmarkStart w:id="7" w:name="page8"/>
    <w:bookmarkEnd w:id="7"/>
    <w:p>
      <w:pPr>
        <w:jc w:val="center"/>
        <w:ind w:right="120"/>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Balance Sheets</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Mar. 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5"/>
              </w:rPr>
              <w:t>Dec. 31</w:t>
            </w:r>
          </w:p>
        </w:tc>
      </w:tr>
      <w:tr>
        <w:trPr>
          <w:trHeight w:val="213"/>
        </w:trPr>
        <w:tc>
          <w:tcPr>
            <w:tcW w:w="8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r>
      <w:tr>
        <w:trPr>
          <w:trHeight w:val="192"/>
        </w:trPr>
        <w:tc>
          <w:tcPr>
            <w:tcW w:w="8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6"/>
                <w:szCs w:val="16"/>
                <w:color w:val="auto"/>
              </w:rPr>
              <w:t>(Unaudited)</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583.4</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648.1</w:t>
            </w:r>
          </w:p>
        </w:tc>
      </w:tr>
      <w:tr>
        <w:trPr>
          <w:trHeight w:val="192"/>
        </w:trPr>
        <w:tc>
          <w:tcPr>
            <w:tcW w:w="8820" w:type="dxa"/>
            <w:vAlign w:val="bottom"/>
          </w:tcPr>
          <w:p>
            <w:pPr>
              <w:ind w:left="6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4,042.0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4,179.0</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180.4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172.9</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Future income tax benefits</w:t>
            </w:r>
          </w:p>
        </w:tc>
        <w:tc>
          <w:tcPr>
            <w:tcW w:w="1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60.6</w:t>
            </w:r>
          </w:p>
        </w:tc>
      </w:tr>
      <w:tr>
        <w:trPr>
          <w:trHeight w:val="24"/>
        </w:trPr>
        <w:tc>
          <w:tcPr>
            <w:tcW w:w="8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4,885.8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5,060.6</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Other assets: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Goodwill and other intangible assets, net</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1,352.8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1,371.9</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386.9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395.3</w:t>
            </w:r>
          </w:p>
        </w:tc>
      </w:tr>
      <w:tr>
        <w:trPr>
          <w:trHeight w:val="24"/>
        </w:trPr>
        <w:tc>
          <w:tcPr>
            <w:tcW w:w="8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assets</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1,739.7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1,767.2</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Property and equipment:</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Land, buildings, leasehold improvements and equipment</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690.9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704.1</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Less: accumulated depreciation and amortization</w:t>
            </w:r>
          </w:p>
        </w:tc>
        <w:tc>
          <w:tcPr>
            <w:tcW w:w="1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513.1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519.3</w:t>
            </w:r>
          </w:p>
        </w:tc>
      </w:tr>
      <w:tr>
        <w:trPr>
          <w:trHeight w:val="24"/>
        </w:trPr>
        <w:tc>
          <w:tcPr>
            <w:tcW w:w="8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property and equipment</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177.8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184.8</w:t>
            </w:r>
          </w:p>
        </w:tc>
      </w:tr>
      <w:tr>
        <w:trPr>
          <w:trHeight w:val="24"/>
        </w:trPr>
        <w:tc>
          <w:tcPr>
            <w:tcW w:w="88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8820" w:type="dxa"/>
            <w:vAlign w:val="bottom"/>
          </w:tcPr>
          <w:p>
            <w:pPr>
              <w:ind w:left="320"/>
              <w:spacing w:after="0"/>
              <w:rPr>
                <w:sz w:val="20"/>
                <w:szCs w:val="20"/>
                <w:color w:val="auto"/>
              </w:rPr>
            </w:pPr>
            <w:r>
              <w:rPr>
                <w:rFonts w:ascii="Arial" w:cs="Arial" w:eastAsia="Arial" w:hAnsi="Arial"/>
                <w:sz w:val="16"/>
                <w:szCs w:val="16"/>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6,803.3</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7,012.6</w:t>
            </w:r>
          </w:p>
        </w:tc>
      </w:tr>
      <w:tr>
        <w:trPr>
          <w:trHeight w:val="20"/>
        </w:trPr>
        <w:tc>
          <w:tcPr>
            <w:tcW w:w="8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0"/>
        </w:trPr>
        <w:tc>
          <w:tcPr>
            <w:tcW w:w="882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1,470.0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1,466.5</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Employee compensation payable</w:t>
            </w:r>
          </w:p>
        </w:tc>
        <w:tc>
          <w:tcPr>
            <w:tcW w:w="1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174.2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210.7</w:t>
            </w:r>
          </w:p>
        </w:tc>
      </w:tr>
      <w:tr>
        <w:trPr>
          <w:trHeight w:val="192"/>
        </w:trPr>
        <w:tc>
          <w:tcPr>
            <w:tcW w:w="8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Accrued liabilities</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493.9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533.8</w:t>
            </w:r>
          </w:p>
        </w:tc>
      </w:tr>
      <w:tr>
        <w:trPr>
          <w:trHeight w:val="192"/>
        </w:trPr>
        <w:tc>
          <w:tcPr>
            <w:tcW w:w="8820" w:type="dxa"/>
            <w:vAlign w:val="bottom"/>
          </w:tcPr>
          <w:p>
            <w:pPr>
              <w:ind w:left="60"/>
              <w:spacing w:after="0"/>
              <w:rPr>
                <w:sz w:val="20"/>
                <w:szCs w:val="20"/>
                <w:color w:val="auto"/>
              </w:rPr>
            </w:pPr>
            <w:r>
              <w:rPr>
                <w:rFonts w:ascii="Arial" w:cs="Arial" w:eastAsia="Arial" w:hAnsi="Arial"/>
                <w:sz w:val="16"/>
                <w:szCs w:val="16"/>
                <w:color w:val="auto"/>
              </w:rPr>
              <w:t>Accrued payroll taxes and insurance</w:t>
            </w:r>
          </w:p>
        </w:tc>
        <w:tc>
          <w:tcPr>
            <w:tcW w:w="1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597.3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685.7</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Value added taxes payable</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437.5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472.5</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Short-term borrowings and current maturities of long-term debt</w:t>
            </w:r>
          </w:p>
        </w:tc>
        <w:tc>
          <w:tcPr>
            <w:tcW w:w="1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302.2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308.0</w:t>
            </w:r>
          </w:p>
        </w:tc>
      </w:tr>
      <w:tr>
        <w:trPr>
          <w:trHeight w:val="24"/>
        </w:trPr>
        <w:tc>
          <w:tcPr>
            <w:tcW w:w="8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3,475.1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3,677.2</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Other liabilities: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Long-term debt</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448.9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462.1</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378.2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372.5</w:t>
            </w:r>
          </w:p>
        </w:tc>
      </w:tr>
      <w:tr>
        <w:trPr>
          <w:trHeight w:val="24"/>
        </w:trPr>
        <w:tc>
          <w:tcPr>
            <w:tcW w:w="8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liabilities</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827.1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834.6</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Common stock</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Capital in excess of par value</w:t>
            </w:r>
          </w:p>
        </w:tc>
        <w:tc>
          <w:tcPr>
            <w:tcW w:w="1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2,890.1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2,873.2</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Retained earnings</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1,125.4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1,101.5</w:t>
            </w:r>
          </w:p>
        </w:tc>
      </w:tr>
      <w:tr>
        <w:trPr>
          <w:trHeight w:val="192"/>
        </w:trPr>
        <w:tc>
          <w:tcPr>
            <w:tcW w:w="8820" w:type="dxa"/>
            <w:vAlign w:val="bottom"/>
          </w:tcPr>
          <w:p>
            <w:pPr>
              <w:ind w:left="60"/>
              <w:spacing w:after="0"/>
              <w:rPr>
                <w:sz w:val="20"/>
                <w:szCs w:val="20"/>
                <w:color w:val="auto"/>
              </w:rPr>
            </w:pPr>
            <w:r>
              <w:rPr>
                <w:rFonts w:ascii="Arial" w:cs="Arial" w:eastAsia="Arial" w:hAnsi="Arial"/>
                <w:sz w:val="16"/>
                <w:szCs w:val="16"/>
                <w:color w:val="auto"/>
              </w:rPr>
              <w:t>Accumulated other comprehensive (loss) income</w:t>
            </w:r>
          </w:p>
        </w:tc>
        <w:tc>
          <w:tcPr>
            <w:tcW w:w="18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34.4</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Treasury stock, at cost</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(1,508.6)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(1,509.4)</w:t>
            </w:r>
          </w:p>
        </w:tc>
      </w:tr>
      <w:tr>
        <w:trPr>
          <w:trHeight w:val="24"/>
        </w:trPr>
        <w:tc>
          <w:tcPr>
            <w:tcW w:w="88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8820" w:type="dxa"/>
            <w:vAlign w:val="bottom"/>
          </w:tcPr>
          <w:p>
            <w:pPr>
              <w:ind w:left="240"/>
              <w:spacing w:after="0"/>
              <w:rPr>
                <w:sz w:val="20"/>
                <w:szCs w:val="20"/>
                <w:color w:val="auto"/>
              </w:rPr>
            </w:pPr>
            <w:r>
              <w:rPr>
                <w:rFonts w:ascii="Arial" w:cs="Arial" w:eastAsia="Arial" w:hAnsi="Arial"/>
                <w:sz w:val="16"/>
                <w:szCs w:val="16"/>
                <w:color w:val="auto"/>
              </w:rPr>
              <w:t>Total shareholders' equity</w:t>
            </w:r>
          </w:p>
        </w:tc>
        <w:tc>
          <w:tcPr>
            <w:tcW w:w="1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2,501.1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2,500.8</w:t>
            </w:r>
          </w:p>
        </w:tc>
      </w:tr>
      <w:tr>
        <w:trPr>
          <w:trHeight w:val="24"/>
        </w:trPr>
        <w:tc>
          <w:tcPr>
            <w:tcW w:w="8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2"/>
        </w:trPr>
        <w:tc>
          <w:tcPr>
            <w:tcW w:w="88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liabilities and shareholders' equity</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6,803.3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7,012.6</w:t>
            </w:r>
          </w:p>
        </w:tc>
      </w:tr>
      <w:tr>
        <w:trPr>
          <w:trHeight w:val="525"/>
        </w:trPr>
        <w:tc>
          <w:tcPr>
            <w:tcW w:w="8820" w:type="dxa"/>
            <w:vAlign w:val="bottom"/>
            <w:tcBorders>
              <w:top w:val="single" w:sz="8" w:color="CCEEFF"/>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96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280" w:type="dxa"/>
            <w:vAlign w:val="bottom"/>
            <w:tcBorders>
              <w:top w:val="single" w:sz="8" w:color="auto"/>
              <w:bottom w:val="single" w:sz="8" w:color="808080"/>
            </w:tcBorders>
          </w:tcPr>
          <w:p>
            <w:pPr>
              <w:spacing w:after="0"/>
              <w:rPr>
                <w:sz w:val="24"/>
                <w:szCs w:val="24"/>
                <w:color w:val="auto"/>
              </w:rPr>
            </w:pPr>
          </w:p>
        </w:tc>
        <w:tc>
          <w:tcPr>
            <w:tcW w:w="84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8" w:name="page9"/>
    <w:bookmarkEnd w:id="8"/>
    <w:p>
      <w:pPr>
        <w:jc w:val="center"/>
        <w:ind w:right="120"/>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Cash Flows</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620" w:type="dxa"/>
            <w:vAlign w:val="bottom"/>
            <w:gridSpan w:val="7"/>
          </w:tcPr>
          <w:p>
            <w:pPr>
              <w:jc w:val="center"/>
              <w:ind w:right="120"/>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5"/>
              </w:rPr>
              <w:t>March 31</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gridSpan w:val="4"/>
          </w:tcPr>
          <w:p>
            <w:pPr>
              <w:jc w:val="center"/>
              <w:spacing w:after="0"/>
              <w:rPr>
                <w:sz w:val="20"/>
                <w:szCs w:val="20"/>
                <w:color w:val="auto"/>
              </w:rPr>
            </w:pPr>
            <w:r>
              <w:rPr>
                <w:rFonts w:ascii="Arial" w:cs="Arial" w:eastAsia="Arial" w:hAnsi="Arial"/>
                <w:sz w:val="16"/>
                <w:szCs w:val="16"/>
                <w:color w:val="auto"/>
                <w:w w:val="93"/>
              </w:rPr>
              <w:t>(Unaudited)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Net earnings</w:t>
            </w:r>
          </w:p>
        </w:tc>
        <w:tc>
          <w:tcPr>
            <w:tcW w:w="740" w:type="dxa"/>
            <w:vAlign w:val="bottom"/>
          </w:tcPr>
          <w:p>
            <w:pPr>
              <w:jc w:val="right"/>
              <w:ind w:right="582"/>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23.9</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earnings to net cash used in operating activities:</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Provision for doubtful accounts</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Excess tax benefit on exercise of share-based awards</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Other liabilities</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w w:val="86"/>
              </w:rPr>
              <w:t>(128.3)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(114.0)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used in operating activities</w:t>
            </w:r>
          </w:p>
        </w:tc>
        <w:tc>
          <w:tcPr>
            <w:tcW w:w="7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(62.3)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Capital expenditures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40"/>
              <w:spacing w:after="0"/>
              <w:rPr>
                <w:sz w:val="20"/>
                <w:szCs w:val="20"/>
                <w:color w:val="auto"/>
              </w:rPr>
            </w:pPr>
            <w:r>
              <w:rPr>
                <w:rFonts w:ascii="Arial" w:cs="Arial" w:eastAsia="Arial" w:hAnsi="Arial"/>
                <w:sz w:val="16"/>
                <w:szCs w:val="16"/>
                <w:color w:val="auto"/>
              </w:rPr>
              <w:t>Acquisitions of businesses, net of cash acquired</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sales of property and equipment</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ind w:left="460"/>
              <w:spacing w:after="0"/>
              <w:rPr>
                <w:sz w:val="20"/>
                <w:szCs w:val="20"/>
                <w:color w:val="auto"/>
              </w:rPr>
            </w:pPr>
            <w:r>
              <w:rPr>
                <w:rFonts w:ascii="Arial" w:cs="Arial" w:eastAsia="Arial" w:hAnsi="Arial"/>
                <w:sz w:val="16"/>
                <w:szCs w:val="16"/>
                <w:color w:val="auto"/>
              </w:rPr>
              <w:t>Cash used in investing activities</w:t>
            </w:r>
          </w:p>
        </w:tc>
        <w:tc>
          <w:tcPr>
            <w:tcW w:w="74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Net change in short-term borrowings</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long-term debt</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Repayments of long-term debt</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share-based awards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Other share-based award transactions, net</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provided by financing activities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Change in cash and cash equivalents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(64.7)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648.1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580.5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740" w:type="dxa"/>
            <w:vAlign w:val="bottom"/>
            <w:shd w:val="clear" w:color="auto" w:fill="CCEEFF"/>
          </w:tcPr>
          <w:p>
            <w:pPr>
              <w:jc w:val="right"/>
              <w:ind w:right="582"/>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583.4</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553" w:right="219" w:bottom="1440" w:gutter="0" w:footer="0" w:header="0"/>
        </w:sectPr>
      </w:pPr>
    </w:p>
    <w:bookmarkStart w:id="9" w:name="page10"/>
    <w:bookmarkEnd w:id="9"/>
    <w:p>
      <w:pPr>
        <w:ind w:left="924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165735</wp:posOffset>
            </wp:positionV>
            <wp:extent cx="7320280" cy="5883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0" w:num="1">
            <w:col w:w="10240"/>
          </w:cols>
          <w:pgMar w:left="1440" w:top="116" w:right="21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6036310</wp:posOffset>
            </wp:positionV>
            <wp:extent cx="726694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2019-12-06T04:35:36Z</dcterms:created>
  <dcterms:modified xsi:type="dcterms:W3CDTF">2019-12-06T04:35:36Z</dcterms:modified>
</cp:coreProperties>
</file>