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120650</wp:posOffset>
            </wp:positionV>
            <wp:extent cx="2928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8620" cy="342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TO</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TENDER OFFER STATEMENT UNDER SECTION 14(d)(1) or 13(e)(1)</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106045</wp:posOffset>
            </wp:positionV>
            <wp:extent cx="300545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5455" cy="342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RIGHT MANAGEMENT CONSULTANTS, INC.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106045</wp:posOffset>
            </wp:positionV>
            <wp:extent cx="300545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5455" cy="342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HOOSIER ACQUISITION CORP.,</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 wholly owned subsidiary of Manpower Inc.</w:t>
      </w:r>
    </w:p>
    <w:p>
      <w:pPr>
        <w:spacing w:after="0" w:line="36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MANPOWER INC.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Filing Persons -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131445</wp:posOffset>
            </wp:positionV>
            <wp:extent cx="30054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5455" cy="342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PAR VALUE $0.01 PER SHARE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106045</wp:posOffset>
            </wp:positionV>
            <wp:extent cx="30054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5455" cy="342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56418H 10 0</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106045</wp:posOffset>
            </wp:positionV>
            <wp:extent cx="30054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5455" cy="342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Michael J. Van Handel</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5301 North Ironwood Road</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Milwaukee, Wisconsin 53217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(414) 961-1000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(Name, address and telephone number of person authorized to receive</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notices and communication on behalf of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106045</wp:posOffset>
            </wp:positionV>
            <wp:extent cx="30054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5455" cy="342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Copies to:</w:t>
      </w:r>
    </w:p>
    <w:p>
      <w:pPr>
        <w:sectPr>
          <w:pgSz w:w="11900" w:h="16838" w:orient="portrait"/>
          <w:cols w:equalWidth="0" w:num="1">
            <w:col w:w="11280"/>
          </w:cols>
          <w:pgMar w:left="240" w:top="220" w:right="379" w:bottom="25" w:gutter="0" w:footer="0" w:header="0"/>
        </w:sectPr>
      </w:pPr>
    </w:p>
    <w:p>
      <w:pPr>
        <w:spacing w:after="0" w:line="245"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Kenneth C. Hunt</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Barry M. Abelson</w:t>
      </w:r>
    </w:p>
    <w:p>
      <w:pPr>
        <w:spacing w:after="0" w:line="86" w:lineRule="exact"/>
        <w:rPr>
          <w:sz w:val="24"/>
          <w:szCs w:val="24"/>
          <w:color w:val="auto"/>
        </w:rPr>
      </w:pPr>
    </w:p>
    <w:p>
      <w:pPr>
        <w:sectPr>
          <w:pgSz w:w="11900" w:h="16838" w:orient="portrait"/>
          <w:cols w:equalWidth="0" w:num="2">
            <w:col w:w="6080" w:space="720"/>
            <w:col w:w="4480"/>
          </w:cols>
          <w:pgMar w:left="240" w:top="220" w:right="379" w:bottom="25" w:gutter="0" w:footer="0" w:header="0"/>
          <w:type w:val="continuous"/>
        </w:sectPr>
      </w:pPr>
    </w:p>
    <w:p>
      <w:pPr>
        <w:ind w:left="1640"/>
        <w:spacing w:after="0"/>
        <w:rPr>
          <w:sz w:val="20"/>
          <w:szCs w:val="20"/>
          <w:color w:val="auto"/>
        </w:rPr>
      </w:pPr>
      <w:r>
        <w:rPr>
          <w:rFonts w:ascii="Arial" w:cs="Arial" w:eastAsia="Arial" w:hAnsi="Arial"/>
          <w:sz w:val="16"/>
          <w:szCs w:val="16"/>
          <w:color w:val="auto"/>
        </w:rPr>
        <w:t>Godfrey &amp; Kahn, S.C.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Pepper Hamilton LLP</w:t>
      </w:r>
    </w:p>
    <w:p>
      <w:pPr>
        <w:spacing w:after="0" w:line="86" w:lineRule="exact"/>
        <w:rPr>
          <w:sz w:val="24"/>
          <w:szCs w:val="24"/>
          <w:color w:val="auto"/>
        </w:rPr>
      </w:pPr>
    </w:p>
    <w:p>
      <w:pPr>
        <w:sectPr>
          <w:pgSz w:w="11900" w:h="16838" w:orient="portrait"/>
          <w:cols w:equalWidth="0" w:num="2">
            <w:col w:w="6080" w:space="720"/>
            <w:col w:w="4480"/>
          </w:cols>
          <w:pgMar w:left="240" w:top="220" w:right="379" w:bottom="25" w:gutter="0" w:footer="0" w:header="0"/>
          <w:type w:val="continuous"/>
        </w:sectPr>
      </w:pPr>
    </w:p>
    <w:p>
      <w:pPr>
        <w:ind w:left="1640"/>
        <w:spacing w:after="0"/>
        <w:rPr>
          <w:sz w:val="20"/>
          <w:szCs w:val="20"/>
          <w:color w:val="auto"/>
        </w:rPr>
      </w:pPr>
      <w:r>
        <w:rPr>
          <w:rFonts w:ascii="Arial" w:cs="Arial" w:eastAsia="Arial" w:hAnsi="Arial"/>
          <w:sz w:val="15"/>
          <w:szCs w:val="15"/>
          <w:color w:val="auto"/>
        </w:rPr>
        <w:t>780 North Water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3000 Two Logan Square</w:t>
      </w:r>
    </w:p>
    <w:p>
      <w:pPr>
        <w:spacing w:after="0" w:line="98" w:lineRule="exact"/>
        <w:rPr>
          <w:sz w:val="24"/>
          <w:szCs w:val="24"/>
          <w:color w:val="auto"/>
        </w:rPr>
      </w:pPr>
    </w:p>
    <w:p>
      <w:pPr>
        <w:sectPr>
          <w:pgSz w:w="11900" w:h="16838" w:orient="portrait"/>
          <w:cols w:equalWidth="0" w:num="2">
            <w:col w:w="6080" w:space="720"/>
            <w:col w:w="4480"/>
          </w:cols>
          <w:pgMar w:left="240" w:top="220" w:right="379" w:bottom="25" w:gutter="0" w:footer="0" w:header="0"/>
          <w:type w:val="continuous"/>
        </w:sectPr>
      </w:pPr>
    </w:p>
    <w:p>
      <w:pPr>
        <w:ind w:left="1640"/>
        <w:spacing w:after="0"/>
        <w:rPr>
          <w:sz w:val="20"/>
          <w:szCs w:val="20"/>
          <w:color w:val="auto"/>
        </w:rPr>
      </w:pPr>
      <w:r>
        <w:rPr>
          <w:rFonts w:ascii="Arial" w:cs="Arial" w:eastAsia="Arial" w:hAnsi="Arial"/>
          <w:sz w:val="16"/>
          <w:szCs w:val="16"/>
          <w:color w:val="auto"/>
        </w:rPr>
        <w:t>Milwaukee, Wisconsin 53202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Eighteenth and Arch Streets</w:t>
      </w:r>
    </w:p>
    <w:p>
      <w:pPr>
        <w:spacing w:after="0" w:line="97" w:lineRule="exact"/>
        <w:rPr>
          <w:sz w:val="24"/>
          <w:szCs w:val="24"/>
          <w:color w:val="auto"/>
        </w:rPr>
      </w:pPr>
    </w:p>
    <w:p>
      <w:pPr>
        <w:sectPr>
          <w:pgSz w:w="11900" w:h="16838" w:orient="portrait"/>
          <w:cols w:equalWidth="0" w:num="2">
            <w:col w:w="6080" w:space="720"/>
            <w:col w:w="4480"/>
          </w:cols>
          <w:pgMar w:left="240" w:top="220" w:right="379" w:bottom="25" w:gutter="0" w:footer="0" w:header="0"/>
          <w:type w:val="continuous"/>
        </w:sectPr>
      </w:pPr>
    </w:p>
    <w:p>
      <w:pPr>
        <w:ind w:left="1640"/>
        <w:spacing w:after="0"/>
        <w:rPr>
          <w:sz w:val="20"/>
          <w:szCs w:val="20"/>
          <w:color w:val="auto"/>
        </w:rPr>
      </w:pPr>
      <w:r>
        <w:rPr>
          <w:rFonts w:ascii="Arial" w:cs="Arial" w:eastAsia="Arial" w:hAnsi="Arial"/>
          <w:sz w:val="16"/>
          <w:szCs w:val="16"/>
          <w:color w:val="auto"/>
        </w:rPr>
        <w:t>(414) 273-3500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Philadelphia, Pennsylvania 19103-2799</w:t>
      </w:r>
    </w:p>
    <w:p>
      <w:pPr>
        <w:spacing w:after="0" w:line="97" w:lineRule="exact"/>
        <w:rPr>
          <w:sz w:val="24"/>
          <w:szCs w:val="24"/>
          <w:color w:val="auto"/>
        </w:rPr>
      </w:pPr>
    </w:p>
    <w:p>
      <w:pPr>
        <w:sectPr>
          <w:pgSz w:w="11900" w:h="16838" w:orient="portrait"/>
          <w:cols w:equalWidth="0" w:num="2">
            <w:col w:w="6080" w:space="720"/>
            <w:col w:w="4480"/>
          </w:cols>
          <w:pgMar w:left="240" w:top="220" w:right="379" w:bottom="25" w:gutter="0" w:footer="0" w:header="0"/>
          <w:type w:val="continuous"/>
        </w:sectPr>
      </w:pPr>
    </w:p>
    <w:p>
      <w:pPr>
        <w:ind w:left="6800"/>
        <w:spacing w:after="0"/>
        <w:rPr>
          <w:sz w:val="20"/>
          <w:szCs w:val="20"/>
          <w:color w:val="auto"/>
        </w:rPr>
      </w:pPr>
      <w:r>
        <w:rPr>
          <w:rFonts w:ascii="Arial" w:cs="Arial" w:eastAsia="Arial" w:hAnsi="Arial"/>
          <w:sz w:val="16"/>
          <w:szCs w:val="16"/>
          <w:color w:val="auto"/>
        </w:rPr>
        <w:t>(215) 981-4282</w:t>
      </w:r>
    </w:p>
    <w:p>
      <w:pPr>
        <w:sectPr>
          <w:pgSz w:w="11900" w:h="16838" w:orient="portrait"/>
          <w:cols w:equalWidth="0" w:num="1">
            <w:col w:w="11280"/>
          </w:cols>
          <w:pgMar w:left="240" w:top="220" w:right="379" w:bottom="25" w:gutter="0" w:footer="0" w:header="0"/>
          <w:type w:val="continuous"/>
        </w:sectPr>
      </w:pPr>
    </w:p>
    <w:p>
      <w:pPr>
        <w:spacing w:after="0" w:line="302" w:lineRule="exact"/>
        <w:rPr>
          <w:sz w:val="24"/>
          <w:szCs w:val="24"/>
          <w:color w:val="auto"/>
        </w:rPr>
      </w:pPr>
    </w:p>
    <w:p>
      <w:pPr>
        <w:ind w:left="1760" w:right="1720" w:hanging="3"/>
        <w:spacing w:after="0" w:line="268" w:lineRule="auto"/>
        <w:tabs>
          <w:tab w:leader="none" w:pos="186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w:t>
      </w:r>
    </w:p>
    <w:p>
      <w:pPr>
        <w:spacing w:after="0" w:line="267" w:lineRule="exact"/>
        <w:rPr>
          <w:sz w:val="24"/>
          <w:szCs w:val="24"/>
          <w:color w:val="auto"/>
        </w:rPr>
      </w:pPr>
    </w:p>
    <w:p>
      <w:pPr>
        <w:ind w:left="1820"/>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306" w:lineRule="exact"/>
        <w:rPr>
          <w:sz w:val="24"/>
          <w:szCs w:val="24"/>
          <w:color w:val="auto"/>
        </w:rPr>
      </w:pPr>
    </w:p>
    <w:p>
      <w:pPr>
        <w:ind w:left="1780"/>
        <w:spacing w:after="0"/>
        <w:rPr>
          <w:sz w:val="20"/>
          <w:szCs w:val="20"/>
          <w:color w:val="auto"/>
        </w:rPr>
      </w:pPr>
      <w:r>
        <w:rPr>
          <w:rFonts w:ascii="Arial" w:cs="Arial" w:eastAsia="Arial" w:hAnsi="Arial"/>
          <w:sz w:val="18"/>
          <w:szCs w:val="18"/>
          <w:color w:val="auto"/>
        </w:rPr>
        <w:t>x Third-party tender offer subject to Rule 14d-1.</w:t>
      </w:r>
    </w:p>
    <w:p>
      <w:pPr>
        <w:spacing w:after="0" w:line="36" w:lineRule="exact"/>
        <w:rPr>
          <w:sz w:val="24"/>
          <w:szCs w:val="24"/>
          <w:color w:val="auto"/>
        </w:rPr>
      </w:pPr>
    </w:p>
    <w:p>
      <w:pPr>
        <w:ind w:left="1880" w:hanging="110"/>
        <w:spacing w:after="0"/>
        <w:tabs>
          <w:tab w:leader="none" w:pos="1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Issuer tender offer subject to Rule 13e-41.</w:t>
      </w:r>
    </w:p>
    <w:p>
      <w:pPr>
        <w:spacing w:after="0" w:line="36" w:lineRule="exact"/>
        <w:rPr>
          <w:rFonts w:ascii="Arial" w:cs="Arial" w:eastAsia="Arial" w:hAnsi="Arial"/>
          <w:sz w:val="18"/>
          <w:szCs w:val="18"/>
          <w:color w:val="auto"/>
        </w:rPr>
      </w:pPr>
    </w:p>
    <w:p>
      <w:pPr>
        <w:ind w:left="1880" w:hanging="110"/>
        <w:spacing w:after="0"/>
        <w:tabs>
          <w:tab w:leader="none" w:pos="1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36" w:lineRule="exact"/>
        <w:rPr>
          <w:rFonts w:ascii="Arial" w:cs="Arial" w:eastAsia="Arial" w:hAnsi="Arial"/>
          <w:sz w:val="18"/>
          <w:szCs w:val="18"/>
          <w:color w:val="auto"/>
        </w:rPr>
      </w:pPr>
    </w:p>
    <w:p>
      <w:pPr>
        <w:ind w:left="1880" w:hanging="110"/>
        <w:spacing w:after="0"/>
        <w:tabs>
          <w:tab w:leader="none" w:pos="1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following box if the filing is a final amendment reporting the results of the tender offer</w:t>
      </w:r>
      <w:r>
        <w:rPr>
          <w:rFonts w:ascii="Arial" w:cs="Arial" w:eastAsia="Arial" w:hAnsi="Arial"/>
          <w:sz w:val="18"/>
          <w:szCs w:val="18"/>
          <w:color w:val="auto"/>
        </w:rPr>
        <w:t>: ¨</w:t>
      </w:r>
    </w:p>
    <w:p>
      <w:pPr>
        <w:spacing w:after="0" w:line="191" w:lineRule="exact"/>
        <w:rPr>
          <w:sz w:val="24"/>
          <w:szCs w:val="24"/>
          <w:color w:val="auto"/>
        </w:rPr>
      </w:pPr>
    </w:p>
    <w:p>
      <w:pPr>
        <w:ind w:firstLine="348"/>
        <w:spacing w:after="0" w:line="294" w:lineRule="auto"/>
        <w:rPr>
          <w:sz w:val="20"/>
          <w:szCs w:val="20"/>
          <w:color w:val="auto"/>
        </w:rPr>
      </w:pPr>
      <w:r>
        <w:rPr>
          <w:rFonts w:ascii="Arial" w:cs="Arial" w:eastAsia="Arial" w:hAnsi="Arial"/>
          <w:sz w:val="16"/>
          <w:szCs w:val="16"/>
          <w:color w:val="auto"/>
        </w:rPr>
        <w:t>This Amendment No. 2 amends and supplements the Tender Offer Statement on Schedule TO, as amended and supplemented (the "Schedule TO"), filed on December 19, 2003 by Manpower Inc., a Wisconsin corporation (Manpower), and Hoosier Acquisition Corp., a Pennsylvania corporation and wholly owned subsidiary of Manpower ("Purchaser"), relating to the commencement of an offer by Manpower, through Purchaser, to exchange outstanding shares of common stock, par value $0.01 per share, of Right Management Consultants, Inc., a Pennsylvania corporation ("Right"), for shares of common stock, par value $0.01 per share, of Manpower ("Manpower Common Stock"), based on the exchange rate described in the Prospectus referenced below (the "Offer").</w:t>
      </w:r>
    </w:p>
    <w:p>
      <w:pPr>
        <w:sectPr>
          <w:pgSz w:w="11900" w:h="16838" w:orient="portrait"/>
          <w:cols w:equalWidth="0" w:num="1">
            <w:col w:w="11280"/>
          </w:cols>
          <w:pgMar w:left="240" w:top="220" w:right="379" w:bottom="25" w:gutter="0" w:footer="0" w:header="0"/>
          <w:type w:val="continuous"/>
        </w:sectPr>
      </w:pPr>
    </w:p>
    <w:bookmarkStart w:id="1" w:name="page2"/>
    <w:bookmarkEnd w:id="1"/>
    <w:p>
      <w:pPr>
        <w:ind w:right="40" w:firstLine="351"/>
        <w:spacing w:after="0" w:line="291" w:lineRule="auto"/>
        <w:rPr>
          <w:sz w:val="20"/>
          <w:szCs w:val="20"/>
          <w:color w:val="auto"/>
        </w:rPr>
      </w:pPr>
      <w:r>
        <w:rPr>
          <w:rFonts w:ascii="Arial" w:cs="Arial" w:eastAsia="Arial" w:hAnsi="Arial"/>
          <w:sz w:val="16"/>
          <w:szCs w:val="16"/>
          <w:color w:val="auto"/>
        </w:rPr>
        <w:t>Manpower has filed a registration statement on Form S-4, as amended (the "Registration Statement") with the Securities and Exchange Commission relating to the shares of Manpower Common Stock to be issued to shareholders of Right in the Offer and the subsequent merger (the "Merger") of Purchaser into Right. The terms and conditions of the Offer and the Merger (as may from time to time be amended, supplemented or finalized) are described in the Prospectus which is a part of the Registration Statement (the "Prospectus"), and the related Letter of Transmittal, as amended (the "Letter of Transmittal"), which were annexed to the Schedule TO as Exhibits (a)(1) and (a)(2) thereto, respectively. On January 15, 2004, Manpower filed Amendment No. 2 to the Registration Statement, which is attached hereto as Exhibit (a)(1)(ii).</w:t>
      </w:r>
    </w:p>
    <w:p>
      <w:pPr>
        <w:spacing w:after="0" w:line="134"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All of the information in the Prospectus and the related Letter of Transmittal, and any prospectus supplement or other amendment thereto related to the Offer hereafter filed with the Securities and Exchange Commission by Manpower and Purchaser, is hereby incorporated by reference in answer to Items 1 through 11 of this Schedule TO.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 12 of the Schedule TO is hereby amended and supplemented to include the following exhibit:</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NUMBER</w:t>
            </w:r>
          </w:p>
        </w:tc>
        <w:tc>
          <w:tcPr>
            <w:tcW w:w="400" w:type="dxa"/>
            <w:vAlign w:val="bottom"/>
          </w:tcPr>
          <w:p>
            <w:pPr>
              <w:spacing w:after="0"/>
              <w:rPr>
                <w:sz w:val="16"/>
                <w:szCs w:val="16"/>
                <w:color w:val="auto"/>
              </w:rPr>
            </w:pPr>
          </w:p>
        </w:tc>
        <w:tc>
          <w:tcPr>
            <w:tcW w:w="6980" w:type="dxa"/>
            <w:vAlign w:val="bottom"/>
            <w:gridSpan w:val="2"/>
          </w:tcPr>
          <w:p>
            <w:pPr>
              <w:ind w:left="2860"/>
              <w:spacing w:after="0" w:line="190"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5"/>
        </w:trPr>
        <w:tc>
          <w:tcPr>
            <w:tcW w:w="780" w:type="dxa"/>
            <w:vAlign w:val="bottom"/>
          </w:tcPr>
          <w:p>
            <w:pPr>
              <w:spacing w:after="0"/>
              <w:rPr>
                <w:sz w:val="20"/>
                <w:szCs w:val="20"/>
                <w:color w:val="auto"/>
              </w:rPr>
            </w:pPr>
            <w:r>
              <w:rPr>
                <w:rFonts w:ascii="Arial" w:cs="Arial" w:eastAsia="Arial" w:hAnsi="Arial"/>
                <w:sz w:val="18"/>
                <w:szCs w:val="18"/>
                <w:color w:val="auto"/>
              </w:rPr>
              <w:t>(a)(1)(ii)</w:t>
            </w:r>
          </w:p>
        </w:tc>
        <w:tc>
          <w:tcPr>
            <w:tcW w:w="420" w:type="dxa"/>
            <w:vAlign w:val="bottom"/>
          </w:tcPr>
          <w:p>
            <w:pPr>
              <w:spacing w:after="0"/>
              <w:rPr>
                <w:sz w:val="24"/>
                <w:szCs w:val="24"/>
                <w:color w:val="auto"/>
              </w:rPr>
            </w:pPr>
          </w:p>
        </w:tc>
        <w:tc>
          <w:tcPr>
            <w:tcW w:w="7380" w:type="dxa"/>
            <w:vAlign w:val="bottom"/>
            <w:gridSpan w:val="3"/>
          </w:tcPr>
          <w:p>
            <w:pPr>
              <w:ind w:left="400"/>
              <w:spacing w:after="0"/>
              <w:rPr>
                <w:sz w:val="20"/>
                <w:szCs w:val="20"/>
                <w:color w:val="auto"/>
              </w:rPr>
            </w:pPr>
            <w:r>
              <w:rPr>
                <w:rFonts w:ascii="Arial" w:cs="Arial" w:eastAsia="Arial" w:hAnsi="Arial"/>
                <w:sz w:val="18"/>
                <w:szCs w:val="18"/>
                <w:color w:val="auto"/>
                <w:w w:val="87"/>
              </w:rPr>
              <w:t>Prospectus relating to shares of Manpower Common Stock to be issued in the Offer and the Merger</w:t>
            </w:r>
          </w:p>
        </w:tc>
      </w:tr>
      <w:tr>
        <w:trPr>
          <w:trHeight w:val="216"/>
        </w:trPr>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380" w:type="dxa"/>
            <w:vAlign w:val="bottom"/>
            <w:gridSpan w:val="3"/>
          </w:tcPr>
          <w:p>
            <w:pPr>
              <w:ind w:left="400"/>
              <w:spacing w:after="0"/>
              <w:rPr>
                <w:sz w:val="20"/>
                <w:szCs w:val="20"/>
                <w:color w:val="auto"/>
              </w:rPr>
            </w:pPr>
            <w:r>
              <w:rPr>
                <w:rFonts w:ascii="Arial" w:cs="Arial" w:eastAsia="Arial" w:hAnsi="Arial"/>
                <w:sz w:val="18"/>
                <w:szCs w:val="18"/>
                <w:color w:val="auto"/>
                <w:w w:val="91"/>
              </w:rPr>
              <w:t>(incorporated by reference to Amendment No. 2 to Manpower's Registration Statement on Form</w:t>
            </w:r>
          </w:p>
        </w:tc>
      </w:tr>
      <w:tr>
        <w:trPr>
          <w:trHeight w:val="222"/>
        </w:trPr>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380" w:type="dxa"/>
            <w:vAlign w:val="bottom"/>
            <w:gridSpan w:val="3"/>
          </w:tcPr>
          <w:p>
            <w:pPr>
              <w:ind w:left="400"/>
              <w:spacing w:after="0"/>
              <w:rPr>
                <w:sz w:val="20"/>
                <w:szCs w:val="20"/>
                <w:color w:val="auto"/>
              </w:rPr>
            </w:pPr>
            <w:r>
              <w:rPr>
                <w:rFonts w:ascii="Arial" w:cs="Arial" w:eastAsia="Arial" w:hAnsi="Arial"/>
                <w:sz w:val="18"/>
                <w:szCs w:val="18"/>
                <w:color w:val="auto"/>
              </w:rPr>
              <w:t>S-4 filed on January 15, 2004, File No. 333-111337).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gridSpan w:val="5"/>
          </w:tcPr>
          <w:p>
            <w:pPr>
              <w:spacing w:after="0"/>
              <w:rPr>
                <w:sz w:val="20"/>
                <w:szCs w:val="20"/>
                <w:color w:val="auto"/>
              </w:rPr>
            </w:pPr>
            <w:r>
              <w:rPr>
                <w:rFonts w:ascii="Arial" w:cs="Arial" w:eastAsia="Arial" w:hAnsi="Arial"/>
                <w:sz w:val="18"/>
                <w:szCs w:val="18"/>
                <w:color w:val="auto"/>
              </w:rPr>
              <w:t>Dated: January 15, 2004.</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05"/>
        </w:trPr>
        <w:tc>
          <w:tcPr>
            <w:tcW w:w="4220" w:type="dxa"/>
            <w:vAlign w:val="bottom"/>
            <w:gridSpan w:val="5"/>
          </w:tcPr>
          <w:p>
            <w:pPr>
              <w:ind w:left="20"/>
              <w:spacing w:after="0"/>
              <w:rPr>
                <w:sz w:val="20"/>
                <w:szCs w:val="20"/>
                <w:color w:val="auto"/>
              </w:rPr>
            </w:pPr>
            <w:r>
              <w:rPr>
                <w:rFonts w:ascii="Arial" w:cs="Arial" w:eastAsia="Arial" w:hAnsi="Arial"/>
                <w:sz w:val="18"/>
                <w:szCs w:val="18"/>
                <w:b w:val="1"/>
                <w:bCs w:val="1"/>
                <w:color w:val="auto"/>
              </w:rPr>
              <w:t>MANPOWER INC.</w:t>
            </w:r>
          </w:p>
        </w:tc>
        <w:tc>
          <w:tcPr>
            <w:tcW w:w="4460" w:type="dxa"/>
            <w:vAlign w:val="bottom"/>
            <w:gridSpan w:val="5"/>
          </w:tcPr>
          <w:p>
            <w:pPr>
              <w:ind w:left="260"/>
              <w:spacing w:after="0"/>
              <w:rPr>
                <w:sz w:val="20"/>
                <w:szCs w:val="20"/>
                <w:color w:val="auto"/>
              </w:rPr>
            </w:pPr>
            <w:r>
              <w:rPr>
                <w:rFonts w:ascii="Arial" w:cs="Arial" w:eastAsia="Arial" w:hAnsi="Arial"/>
                <w:sz w:val="18"/>
                <w:szCs w:val="18"/>
                <w:b w:val="1"/>
                <w:bCs w:val="1"/>
                <w:color w:val="auto"/>
              </w:rPr>
              <w:t>HOOSIER ACQUISITION CORP.</w:t>
            </w:r>
          </w:p>
        </w:tc>
      </w:tr>
      <w:tr>
        <w:trPr>
          <w:trHeight w:val="745"/>
        </w:trPr>
        <w:tc>
          <w:tcPr>
            <w:tcW w:w="4220" w:type="dxa"/>
            <w:vAlign w:val="bottom"/>
            <w:gridSpan w:val="5"/>
          </w:tcPr>
          <w:p>
            <w:pPr>
              <w:ind w:left="20"/>
              <w:spacing w:after="0"/>
              <w:rPr>
                <w:sz w:val="20"/>
                <w:szCs w:val="20"/>
                <w:color w:val="auto"/>
              </w:rPr>
            </w:pPr>
            <w:r>
              <w:rPr>
                <w:rFonts w:ascii="Arial" w:cs="Arial" w:eastAsia="Arial" w:hAnsi="Arial"/>
                <w:sz w:val="18"/>
                <w:szCs w:val="18"/>
                <w:color w:val="auto"/>
              </w:rPr>
              <w:t>By: /s/ Michael J. Van Handel</w:t>
            </w:r>
          </w:p>
        </w:tc>
        <w:tc>
          <w:tcPr>
            <w:tcW w:w="4460" w:type="dxa"/>
            <w:vAlign w:val="bottom"/>
            <w:gridSpan w:val="5"/>
          </w:tcPr>
          <w:p>
            <w:pPr>
              <w:ind w:left="260"/>
              <w:spacing w:after="0"/>
              <w:rPr>
                <w:sz w:val="20"/>
                <w:szCs w:val="20"/>
                <w:color w:val="auto"/>
              </w:rPr>
            </w:pPr>
            <w:r>
              <w:rPr>
                <w:rFonts w:ascii="Arial" w:cs="Arial" w:eastAsia="Arial" w:hAnsi="Arial"/>
                <w:sz w:val="18"/>
                <w:szCs w:val="18"/>
                <w:color w:val="auto"/>
              </w:rPr>
              <w:t>By: /s/ Michael J. Van Handel</w:t>
            </w:r>
          </w:p>
        </w:tc>
      </w:tr>
      <w:tr>
        <w:trPr>
          <w:trHeight w:val="20"/>
        </w:trPr>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4220" w:type="dxa"/>
            <w:vAlign w:val="bottom"/>
            <w:gridSpan w:val="5"/>
          </w:tcPr>
          <w:p>
            <w:pPr>
              <w:ind w:left="20"/>
              <w:spacing w:after="0"/>
              <w:rPr>
                <w:sz w:val="20"/>
                <w:szCs w:val="20"/>
                <w:color w:val="auto"/>
              </w:rPr>
            </w:pPr>
            <w:r>
              <w:rPr>
                <w:rFonts w:ascii="Arial" w:cs="Arial" w:eastAsia="Arial" w:hAnsi="Arial"/>
                <w:sz w:val="18"/>
                <w:szCs w:val="18"/>
                <w:color w:val="auto"/>
              </w:rPr>
              <w:t>Name: Michael J. Van Handel</w:t>
            </w:r>
          </w:p>
        </w:tc>
        <w:tc>
          <w:tcPr>
            <w:tcW w:w="4460" w:type="dxa"/>
            <w:vAlign w:val="bottom"/>
            <w:gridSpan w:val="5"/>
          </w:tcPr>
          <w:p>
            <w:pPr>
              <w:ind w:left="260"/>
              <w:spacing w:after="0"/>
              <w:rPr>
                <w:sz w:val="20"/>
                <w:szCs w:val="20"/>
                <w:color w:val="auto"/>
              </w:rPr>
            </w:pPr>
            <w:r>
              <w:rPr>
                <w:rFonts w:ascii="Arial" w:cs="Arial" w:eastAsia="Arial" w:hAnsi="Arial"/>
                <w:sz w:val="18"/>
                <w:szCs w:val="18"/>
                <w:color w:val="auto"/>
              </w:rPr>
              <w:t>Name: Michael J. Van Handel</w:t>
            </w:r>
          </w:p>
        </w:tc>
      </w:tr>
      <w:tr>
        <w:trPr>
          <w:trHeight w:val="20"/>
        </w:trPr>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4220" w:type="dxa"/>
            <w:vAlign w:val="bottom"/>
            <w:gridSpan w:val="5"/>
          </w:tcPr>
          <w:p>
            <w:pPr>
              <w:ind w:left="20"/>
              <w:spacing w:after="0"/>
              <w:rPr>
                <w:sz w:val="20"/>
                <w:szCs w:val="20"/>
                <w:color w:val="auto"/>
              </w:rPr>
            </w:pPr>
            <w:r>
              <w:rPr>
                <w:rFonts w:ascii="Arial" w:cs="Arial" w:eastAsia="Arial" w:hAnsi="Arial"/>
                <w:sz w:val="18"/>
                <w:szCs w:val="18"/>
                <w:color w:val="auto"/>
                <w:w w:val="90"/>
              </w:rPr>
              <w:t>Title: Executive Vice President and Chief Financial Officer</w:t>
            </w:r>
          </w:p>
        </w:tc>
        <w:tc>
          <w:tcPr>
            <w:tcW w:w="4460" w:type="dxa"/>
            <w:vAlign w:val="bottom"/>
            <w:gridSpan w:val="5"/>
          </w:tcPr>
          <w:p>
            <w:pPr>
              <w:ind w:left="260"/>
              <w:spacing w:after="0"/>
              <w:rPr>
                <w:sz w:val="20"/>
                <w:szCs w:val="20"/>
                <w:color w:val="auto"/>
              </w:rPr>
            </w:pPr>
            <w:r>
              <w:rPr>
                <w:rFonts w:ascii="Arial" w:cs="Arial" w:eastAsia="Arial" w:hAnsi="Arial"/>
                <w:sz w:val="18"/>
                <w:szCs w:val="18"/>
                <w:color w:val="auto"/>
                <w:w w:val="90"/>
              </w:rPr>
              <w:t>Title: Executive Vice President and Chief Financial Officer</w:t>
            </w: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281"/>
        </w:trPr>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80" w:type="dxa"/>
            <w:vAlign w:val="bottom"/>
            <w:gridSpan w:val="2"/>
          </w:tcPr>
          <w:p>
            <w:pPr>
              <w:ind w:left="2280"/>
              <w:spacing w:after="0"/>
              <w:rPr>
                <w:sz w:val="20"/>
                <w:szCs w:val="20"/>
                <w:color w:val="auto"/>
              </w:rPr>
            </w:pPr>
            <w:r>
              <w:rPr>
                <w:rFonts w:ascii="Arial" w:cs="Arial" w:eastAsia="Arial" w:hAnsi="Arial"/>
                <w:sz w:val="22"/>
                <w:szCs w:val="22"/>
                <w:b w:val="1"/>
                <w:bCs w:val="1"/>
                <w:color w:val="auto"/>
              </w:rPr>
              <w:t>EXHIBITS</w:t>
            </w:r>
          </w:p>
        </w:tc>
      </w:tr>
      <w:tr>
        <w:trPr>
          <w:trHeight w:val="421"/>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0"/>
        </w:trPr>
        <w:tc>
          <w:tcPr>
            <w:tcW w:w="120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NUMBER</w:t>
            </w:r>
          </w:p>
        </w:tc>
        <w:tc>
          <w:tcPr>
            <w:tcW w:w="400" w:type="dxa"/>
            <w:vAlign w:val="bottom"/>
          </w:tcPr>
          <w:p>
            <w:pPr>
              <w:spacing w:after="0"/>
              <w:rPr>
                <w:sz w:val="16"/>
                <w:szCs w:val="16"/>
                <w:color w:val="auto"/>
              </w:rPr>
            </w:pPr>
          </w:p>
        </w:tc>
        <w:tc>
          <w:tcPr>
            <w:tcW w:w="6980" w:type="dxa"/>
            <w:vAlign w:val="bottom"/>
            <w:gridSpan w:val="2"/>
          </w:tcPr>
          <w:p>
            <w:pPr>
              <w:ind w:left="2860"/>
              <w:spacing w:after="0" w:line="190"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5"/>
        </w:trPr>
        <w:tc>
          <w:tcPr>
            <w:tcW w:w="780" w:type="dxa"/>
            <w:vAlign w:val="bottom"/>
          </w:tcPr>
          <w:p>
            <w:pPr>
              <w:spacing w:after="0"/>
              <w:rPr>
                <w:sz w:val="20"/>
                <w:szCs w:val="20"/>
                <w:color w:val="auto"/>
              </w:rPr>
            </w:pPr>
            <w:r>
              <w:rPr>
                <w:rFonts w:ascii="Arial" w:cs="Arial" w:eastAsia="Arial" w:hAnsi="Arial"/>
                <w:sz w:val="18"/>
                <w:szCs w:val="18"/>
                <w:color w:val="auto"/>
              </w:rPr>
              <w:t>(a)(1)(ii)</w:t>
            </w:r>
          </w:p>
        </w:tc>
        <w:tc>
          <w:tcPr>
            <w:tcW w:w="420" w:type="dxa"/>
            <w:vAlign w:val="bottom"/>
          </w:tcPr>
          <w:p>
            <w:pPr>
              <w:spacing w:after="0"/>
              <w:rPr>
                <w:sz w:val="24"/>
                <w:szCs w:val="24"/>
                <w:color w:val="auto"/>
              </w:rPr>
            </w:pPr>
          </w:p>
        </w:tc>
        <w:tc>
          <w:tcPr>
            <w:tcW w:w="7380" w:type="dxa"/>
            <w:vAlign w:val="bottom"/>
            <w:gridSpan w:val="3"/>
          </w:tcPr>
          <w:p>
            <w:pPr>
              <w:ind w:left="400"/>
              <w:spacing w:after="0"/>
              <w:rPr>
                <w:sz w:val="20"/>
                <w:szCs w:val="20"/>
                <w:color w:val="auto"/>
              </w:rPr>
            </w:pPr>
            <w:r>
              <w:rPr>
                <w:rFonts w:ascii="Arial" w:cs="Arial" w:eastAsia="Arial" w:hAnsi="Arial"/>
                <w:sz w:val="18"/>
                <w:szCs w:val="18"/>
                <w:color w:val="auto"/>
                <w:w w:val="87"/>
              </w:rPr>
              <w:t>Prospectus relating to shares of Manpower Common Stock to be issued in the Offer and the Merger</w:t>
            </w:r>
          </w:p>
        </w:tc>
      </w:tr>
      <w:tr>
        <w:trPr>
          <w:trHeight w:val="216"/>
        </w:trPr>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380" w:type="dxa"/>
            <w:vAlign w:val="bottom"/>
            <w:gridSpan w:val="3"/>
          </w:tcPr>
          <w:p>
            <w:pPr>
              <w:ind w:left="400"/>
              <w:spacing w:after="0"/>
              <w:rPr>
                <w:sz w:val="20"/>
                <w:szCs w:val="20"/>
                <w:color w:val="auto"/>
              </w:rPr>
            </w:pPr>
            <w:r>
              <w:rPr>
                <w:rFonts w:ascii="Arial" w:cs="Arial" w:eastAsia="Arial" w:hAnsi="Arial"/>
                <w:sz w:val="18"/>
                <w:szCs w:val="18"/>
                <w:color w:val="auto"/>
                <w:w w:val="91"/>
              </w:rPr>
              <w:t>(incorporated by reference to Amendment No. 2 to Manpower's Registration Statement on Form</w:t>
            </w:r>
          </w:p>
        </w:tc>
      </w:tr>
      <w:tr>
        <w:trPr>
          <w:trHeight w:val="222"/>
        </w:trPr>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380" w:type="dxa"/>
            <w:vAlign w:val="bottom"/>
            <w:gridSpan w:val="3"/>
          </w:tcPr>
          <w:p>
            <w:pPr>
              <w:ind w:left="400"/>
              <w:spacing w:after="0"/>
              <w:rPr>
                <w:sz w:val="20"/>
                <w:szCs w:val="20"/>
                <w:color w:val="auto"/>
              </w:rPr>
            </w:pPr>
            <w:r>
              <w:rPr>
                <w:rFonts w:ascii="Arial" w:cs="Arial" w:eastAsia="Arial" w:hAnsi="Arial"/>
                <w:sz w:val="18"/>
                <w:szCs w:val="18"/>
                <w:color w:val="auto"/>
              </w:rPr>
              <w:t>S-4 filed on January 15, 2004, File No. 333-111337).</w:t>
            </w:r>
          </w:p>
        </w:tc>
      </w:tr>
    </w:tbl>
    <w:p>
      <w:pPr>
        <w:spacing w:after="0" w:line="1" w:lineRule="exact"/>
        <w:rPr>
          <w:sz w:val="20"/>
          <w:szCs w:val="20"/>
          <w:color w:val="auto"/>
        </w:rPr>
      </w:pP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2019-12-16T06:44:17Z</dcterms:created>
  <dcterms:modified xsi:type="dcterms:W3CDTF">2019-12-16T06:44:17Z</dcterms:modified>
</cp:coreProperties>
</file>