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 10-K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x ANNUAL REPORT PURSUANT TO SECTION 13 OR 15(d) OF THE SECURITIES EXCHANGE ACT OF 1934:</w:t>
      </w: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fiscal year ended December 31, 2015</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255" w:lineRule="exact"/>
        <w:rPr>
          <w:sz w:val="24"/>
          <w:szCs w:val="24"/>
          <w:color w:val="auto"/>
        </w:rPr>
      </w:pPr>
    </w:p>
    <w:p>
      <w:pPr>
        <w:ind w:left="1460" w:hanging="186"/>
        <w:spacing w:after="0"/>
        <w:tabs>
          <w:tab w:leader="none" w:pos="1460" w:val="left"/>
        </w:tabs>
        <w:numPr>
          <w:ilvl w:val="0"/>
          <w:numId w:val="1"/>
        </w:numPr>
        <w:rPr>
          <w:rFonts w:ascii="Arial" w:cs="Arial" w:eastAsia="Arial" w:hAnsi="Arial"/>
          <w:sz w:val="21"/>
          <w:szCs w:val="21"/>
          <w:color w:val="auto"/>
        </w:rPr>
      </w:pPr>
      <w:r>
        <w:rPr>
          <w:rFonts w:ascii="Arial" w:cs="Arial" w:eastAsia="Arial" w:hAnsi="Arial"/>
          <w:sz w:val="17"/>
          <w:szCs w:val="17"/>
          <w:color w:val="auto"/>
        </w:rPr>
        <w:t>TRANSITION REPORT PURSUANT TO SECTION 13 OR 15(d) OF 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1-10686</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MANPOWERGROUP INC.</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472" w:right="339" w:bottom="1440" w:gutter="0" w:footer="0" w:header="0"/>
        </w:sectPr>
      </w:pPr>
    </w:p>
    <w:p>
      <w:pPr>
        <w:spacing w:after="0" w:line="153"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WISCONSIN</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85" w:lineRule="exact"/>
        <w:rPr>
          <w:sz w:val="24"/>
          <w:szCs w:val="24"/>
          <w:color w:val="auto"/>
        </w:rPr>
      </w:pPr>
    </w:p>
    <w:p>
      <w:pPr>
        <w:sectPr>
          <w:pgSz w:w="11900" w:h="16838" w:orient="portrait"/>
          <w:cols w:equalWidth="0" w:num="2">
            <w:col w:w="7400" w:space="720"/>
            <w:col w:w="3200"/>
          </w:cols>
          <w:pgMar w:left="240" w:top="472" w:right="339" w:bottom="1440" w:gutter="0" w:footer="0" w:header="0"/>
          <w:type w:val="continuous"/>
        </w:sect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140" w:space="720"/>
            <w:col w:w="3460"/>
          </w:cols>
          <w:pgMar w:left="240" w:top="472" w:right="339" w:bottom="1440" w:gutter="0" w:footer="0" w:header="0"/>
          <w:type w:val="continuous"/>
        </w:sectPr>
      </w:pPr>
    </w:p>
    <w:p>
      <w:pPr>
        <w:spacing w:after="0" w:line="13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97" w:lineRule="exact"/>
        <w:rPr>
          <w:sz w:val="24"/>
          <w:szCs w:val="24"/>
          <w:color w:val="auto"/>
        </w:rPr>
      </w:pPr>
    </w:p>
    <w:p>
      <w:pPr>
        <w:sectPr>
          <w:pgSz w:w="11900" w:h="16838" w:orient="portrait"/>
          <w:cols w:equalWidth="0" w:num="2">
            <w:col w:w="7620" w:space="720"/>
            <w:col w:w="2980"/>
          </w:cols>
          <w:pgMar w:left="240" w:top="472" w:right="339" w:bottom="1440" w:gutter="0" w:footer="0" w:header="0"/>
          <w:type w:val="continuous"/>
        </w:sectPr>
      </w:pPr>
    </w:p>
    <w:p>
      <w:pPr>
        <w:ind w:left="13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59" w:lineRule="exact"/>
        <w:rPr>
          <w:sz w:val="24"/>
          <w:szCs w:val="24"/>
          <w:color w:val="auto"/>
        </w:rPr>
      </w:pPr>
    </w:p>
    <w:p>
      <w:pPr>
        <w:sectPr>
          <w:pgSz w:w="11900" w:h="16838" w:orient="portrait"/>
          <w:cols w:equalWidth="0" w:num="2">
            <w:col w:w="7420" w:space="720"/>
            <w:col w:w="3180"/>
          </w:cols>
          <w:pgMar w:left="240" w:top="472"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20"/>
          </w:cols>
          <w:pgMar w:left="240" w:top="472" w:right="339" w:bottom="1440" w:gutter="0" w:footer="0" w:header="0"/>
          <w:type w:val="continuous"/>
        </w:sectPr>
      </w:pPr>
    </w:p>
    <w:p>
      <w:pPr>
        <w:spacing w:after="0" w:line="153" w:lineRule="exact"/>
        <w:rPr>
          <w:sz w:val="24"/>
          <w:szCs w:val="24"/>
          <w:color w:val="auto"/>
        </w:rPr>
      </w:pPr>
    </w:p>
    <w:p>
      <w:pPr>
        <w:ind w:left="22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Exchange on which registered</w:t>
      </w:r>
    </w:p>
    <w:p>
      <w:pPr>
        <w:spacing w:after="0" w:line="86" w:lineRule="exact"/>
        <w:rPr>
          <w:sz w:val="24"/>
          <w:szCs w:val="24"/>
          <w:color w:val="auto"/>
        </w:rPr>
      </w:pPr>
    </w:p>
    <w:p>
      <w:pPr>
        <w:sectPr>
          <w:pgSz w:w="11900" w:h="16838" w:orient="portrait"/>
          <w:cols w:equalWidth="0" w:num="2">
            <w:col w:w="6340" w:space="720"/>
            <w:col w:w="4260"/>
          </w:cols>
          <w:pgMar w:left="240" w:top="472" w:right="339" w:bottom="1440" w:gutter="0" w:footer="0" w:header="0"/>
          <w:type w:val="continuous"/>
        </w:sectPr>
      </w:pPr>
    </w:p>
    <w:p>
      <w:pPr>
        <w:ind w:left="170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59" w:lineRule="exact"/>
        <w:rPr>
          <w:sz w:val="24"/>
          <w:szCs w:val="24"/>
          <w:color w:val="auto"/>
        </w:rPr>
      </w:pPr>
    </w:p>
    <w:p>
      <w:pPr>
        <w:sectPr>
          <w:pgSz w:w="11900" w:h="16838" w:orient="portrait"/>
          <w:cols w:equalWidth="0" w:num="2">
            <w:col w:w="6820" w:space="720"/>
            <w:col w:w="3780"/>
          </w:cols>
          <w:pgMar w:left="240" w:top="472" w:right="33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36" w:lineRule="exact"/>
        <w:rPr>
          <w:sz w:val="24"/>
          <w:szCs w:val="24"/>
          <w:color w:val="auto"/>
        </w:rPr>
      </w:pPr>
    </w:p>
    <w:p>
      <w:pPr>
        <w:ind w:left="180" w:right="1300"/>
        <w:spacing w:after="0" w:line="292" w:lineRule="auto"/>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x No </w:t>
      </w:r>
      <w:r>
        <w:rPr>
          <w:rFonts w:ascii="Arial" w:cs="Arial" w:eastAsia="Arial" w:hAnsi="Arial"/>
          <w:sz w:val="20"/>
          <w:szCs w:val="20"/>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Arial" w:cs="Arial" w:eastAsia="Arial" w:hAnsi="Arial"/>
          <w:sz w:val="20"/>
          <w:szCs w:val="20"/>
          <w:color w:val="auto"/>
        </w:rPr>
        <w:t>□</w:t>
      </w:r>
      <w:r>
        <w:rPr>
          <w:rFonts w:ascii="Arial" w:cs="Arial" w:eastAsia="Arial" w:hAnsi="Arial"/>
          <w:sz w:val="17"/>
          <w:szCs w:val="17"/>
          <w:color w:val="auto"/>
        </w:rPr>
        <w:t xml:space="preserve"> No x</w:t>
      </w:r>
    </w:p>
    <w:p>
      <w:pPr>
        <w:sectPr>
          <w:pgSz w:w="11900" w:h="16838" w:orient="portrait"/>
          <w:cols w:equalWidth="0" w:num="1">
            <w:col w:w="11320"/>
          </w:cols>
          <w:pgMar w:left="240" w:top="472" w:right="339" w:bottom="1440" w:gutter="0" w:footer="0" w:header="0"/>
          <w:type w:val="continuous"/>
        </w:sectPr>
      </w:pPr>
    </w:p>
    <w:p>
      <w:pPr>
        <w:spacing w:after="0" w:line="1" w:lineRule="exact"/>
        <w:rPr>
          <w:sz w:val="24"/>
          <w:szCs w:val="24"/>
          <w:color w:val="auto"/>
        </w:rPr>
      </w:pPr>
    </w:p>
    <w:p>
      <w:pPr>
        <w:ind w:right="200" w:firstLine="180"/>
        <w:spacing w:after="0" w:line="286"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Arial" w:cs="Arial" w:eastAsia="Arial" w:hAnsi="Arial"/>
          <w:sz w:val="21"/>
          <w:szCs w:val="21"/>
          <w:color w:val="auto"/>
        </w:rPr>
        <w:t>□</w:t>
      </w:r>
    </w:p>
    <w:p>
      <w:pPr>
        <w:spacing w:after="0" w:line="2" w:lineRule="exact"/>
        <w:rPr>
          <w:sz w:val="24"/>
          <w:szCs w:val="24"/>
          <w:color w:val="auto"/>
        </w:rPr>
      </w:pPr>
    </w:p>
    <w:p>
      <w:pPr>
        <w:ind w:right="220" w:firstLine="486"/>
        <w:spacing w:after="0" w:line="286"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Arial" w:cs="Arial" w:eastAsia="Arial" w:hAnsi="Arial"/>
          <w:sz w:val="21"/>
          <w:szCs w:val="21"/>
          <w:color w:val="auto"/>
        </w:rPr>
        <w:t>□</w:t>
      </w:r>
    </w:p>
    <w:p>
      <w:pPr>
        <w:spacing w:after="0" w:line="2" w:lineRule="exact"/>
        <w:rPr>
          <w:sz w:val="24"/>
          <w:szCs w:val="24"/>
          <w:color w:val="auto"/>
        </w:rPr>
      </w:pPr>
    </w:p>
    <w:p>
      <w:pPr>
        <w:jc w:val="both"/>
        <w:ind w:firstLine="486"/>
        <w:spacing w:after="0" w:line="286"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21"/>
          <w:szCs w:val="21"/>
          <w:color w:val="auto"/>
        </w:rPr>
        <w:t>□</w:t>
      </w:r>
    </w:p>
    <w:p>
      <w:pPr>
        <w:spacing w:after="0" w:line="2" w:lineRule="exact"/>
        <w:rPr>
          <w:sz w:val="24"/>
          <w:szCs w:val="24"/>
          <w:color w:val="auto"/>
        </w:rPr>
      </w:pPr>
    </w:p>
    <w:p>
      <w:pPr>
        <w:ind w:right="120" w:firstLine="486"/>
        <w:spacing w:after="0" w:line="280" w:lineRule="auto"/>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x Accelerated filer </w:t>
      </w:r>
      <w:r>
        <w:rPr>
          <w:rFonts w:ascii="Arial" w:cs="Arial" w:eastAsia="Arial" w:hAnsi="Arial"/>
          <w:sz w:val="21"/>
          <w:szCs w:val="21"/>
          <w:color w:val="auto"/>
        </w:rPr>
        <w:t>□</w:t>
      </w:r>
      <w:r>
        <w:rPr>
          <w:rFonts w:ascii="Arial" w:cs="Arial" w:eastAsia="Arial" w:hAnsi="Arial"/>
          <w:sz w:val="18"/>
          <w:szCs w:val="18"/>
          <w:color w:val="auto"/>
        </w:rPr>
        <w:t xml:space="preserve"> Non-accelerated filer </w:t>
      </w:r>
      <w:r>
        <w:rPr>
          <w:rFonts w:ascii="Arial" w:cs="Arial" w:eastAsia="Arial" w:hAnsi="Arial"/>
          <w:sz w:val="21"/>
          <w:szCs w:val="21"/>
          <w:color w:val="auto"/>
        </w:rPr>
        <w:t>□</w:t>
      </w:r>
      <w:r>
        <w:rPr>
          <w:rFonts w:ascii="Arial" w:cs="Arial" w:eastAsia="Arial" w:hAnsi="Arial"/>
          <w:sz w:val="18"/>
          <w:szCs w:val="18"/>
          <w:color w:val="auto"/>
        </w:rPr>
        <w:t xml:space="preserve"> Smaller reporting company </w:t>
      </w:r>
      <w:r>
        <w:rPr>
          <w:rFonts w:ascii="Arial" w:cs="Arial" w:eastAsia="Arial" w:hAnsi="Arial"/>
          <w:sz w:val="21"/>
          <w:szCs w:val="21"/>
          <w:color w:val="auto"/>
        </w:rPr>
        <w:t>□</w:t>
      </w:r>
    </w:p>
    <w:p>
      <w:pPr>
        <w:spacing w:after="0" w:line="2" w:lineRule="exact"/>
        <w:rPr>
          <w:sz w:val="24"/>
          <w:szCs w:val="24"/>
          <w:color w:val="auto"/>
        </w:rPr>
      </w:pPr>
    </w:p>
    <w:p>
      <w:pPr>
        <w:ind w:left="500"/>
        <w:spacing w:after="0"/>
        <w:tabs>
          <w:tab w:leader="none" w:pos="882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Arial" w:cs="Arial" w:eastAsia="Arial" w:hAnsi="Arial"/>
          <w:sz w:val="21"/>
          <w:szCs w:val="21"/>
          <w:color w:val="auto"/>
        </w:rPr>
        <w:t>□</w:t>
      </w:r>
      <w:r>
        <w:rPr>
          <w:rFonts w:ascii="Arial" w:cs="Arial" w:eastAsia="Arial" w:hAnsi="Arial"/>
          <w:sz w:val="18"/>
          <w:szCs w:val="18"/>
          <w:color w:val="auto"/>
        </w:rPr>
        <w:tab/>
        <w:t>No x</w:t>
      </w:r>
    </w:p>
    <w:p>
      <w:pPr>
        <w:spacing w:after="0" w:line="29" w:lineRule="exact"/>
        <w:rPr>
          <w:sz w:val="24"/>
          <w:szCs w:val="24"/>
          <w:color w:val="auto"/>
        </w:rPr>
      </w:pPr>
    </w:p>
    <w:p>
      <w:pPr>
        <w:ind w:right="340" w:firstLine="486"/>
        <w:spacing w:after="0" w:line="265" w:lineRule="auto"/>
        <w:rPr>
          <w:sz w:val="20"/>
          <w:szCs w:val="20"/>
          <w:color w:val="auto"/>
        </w:rPr>
      </w:pPr>
      <w:r>
        <w:rPr>
          <w:rFonts w:ascii="Arial" w:cs="Arial" w:eastAsia="Arial" w:hAnsi="Arial"/>
          <w:sz w:val="18"/>
          <w:szCs w:val="18"/>
          <w:color w:val="auto"/>
        </w:rPr>
        <w:t>The aggregate market value of the voting stock held by nonaffiliates of the registrant was $6,874,139,738 as of June 30, 2015. As of February 17, 2016, there were 72,294,774 of the registrant’s shares of common stock outstanding.</w:t>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ind w:right="240" w:firstLine="486"/>
        <w:spacing w:after="0" w:line="277" w:lineRule="auto"/>
        <w:rPr>
          <w:sz w:val="20"/>
          <w:szCs w:val="20"/>
          <w:color w:val="auto"/>
        </w:rPr>
      </w:pPr>
      <w:r>
        <w:rPr>
          <w:rFonts w:ascii="Arial" w:cs="Arial" w:eastAsia="Arial" w:hAnsi="Arial"/>
          <w:sz w:val="18"/>
          <w:szCs w:val="18"/>
          <w:color w:val="auto"/>
        </w:rPr>
        <w:t>Parts I and II incorporate information by reference from the Annual Report to Shareholders for the fiscal year ended December 31, 2015. Part III is incorporated by reference from the Proxy Statement for the Annual Meeting of Shareholders to be held on May 3, 2016.</w:t>
      </w:r>
    </w:p>
    <w:p>
      <w:pPr>
        <w:sectPr>
          <w:pgSz w:w="11900" w:h="16838" w:orient="portrait"/>
          <w:cols w:equalWidth="0" w:num="1">
            <w:col w:w="11320"/>
          </w:cols>
          <w:pgMar w:left="240" w:top="472"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terms “we,” “our,” “us,” or “the Company” refer to ManpowerGroup Inc. and its consolidated subsidiaries.</w:t>
      </w:r>
    </w:p>
    <w:p>
      <w:pPr>
        <w:spacing w:after="0" w:line="200" w:lineRule="exact"/>
        <w:rPr>
          <w:sz w:val="20"/>
          <w:szCs w:val="20"/>
          <w:color w:val="auto"/>
        </w:rPr>
      </w:pP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225"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ManpowerGroup Inc. is a world leader in innovative workforce solutions and services. Our global network of over 2,900 offices in 80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166"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77" w:lineRule="exact"/>
        <w:rPr>
          <w:sz w:val="20"/>
          <w:szCs w:val="20"/>
          <w:color w:val="auto"/>
        </w:rPr>
      </w:pPr>
    </w:p>
    <w:p>
      <w:pPr>
        <w:ind w:right="220" w:firstLine="8"/>
        <w:spacing w:after="0" w:line="266"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Recruitment and Assessment </w:t>
      </w:r>
      <w:r>
        <w:rPr>
          <w:rFonts w:ascii="Arial" w:cs="Arial" w:eastAsia="Arial" w:hAnsi="Arial"/>
          <w:sz w:val="18"/>
          <w:szCs w:val="18"/>
          <w:color w:val="auto"/>
        </w:rPr>
        <w:t>– By leveraging our trusted brands, industry knowledge and expertise, we identify the right talent in the right place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quickly access the people they need when they need them. Through our industry-leading assessments, we gain a deeper understanding of the people we serve to correctly identify candidates’ potential, resulting in a better cultural match.</w:t>
      </w:r>
    </w:p>
    <w:p>
      <w:pPr>
        <w:spacing w:after="0" w:line="176" w:lineRule="exact"/>
        <w:rPr>
          <w:rFonts w:ascii="Arial" w:cs="Arial" w:eastAsia="Arial" w:hAnsi="Arial"/>
          <w:sz w:val="18"/>
          <w:szCs w:val="18"/>
          <w:color w:val="auto"/>
        </w:rPr>
      </w:pPr>
    </w:p>
    <w:p>
      <w:pPr>
        <w:ind w:right="160" w:firstLine="8"/>
        <w:spacing w:after="0" w:line="266"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 Our unique insights into evolving employer needs and our expertise in training and development help us prepare candidates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associates to succeed in today’s competitive marketplace. We offer an extensive portfolio of training courses and leadership development solutions that help clients maximize talent and optimize performance.</w:t>
      </w:r>
    </w:p>
    <w:p>
      <w:pPr>
        <w:spacing w:after="0" w:line="176" w:lineRule="exact"/>
        <w:rPr>
          <w:rFonts w:ascii="Arial" w:cs="Arial" w:eastAsia="Arial" w:hAnsi="Arial"/>
          <w:sz w:val="18"/>
          <w:szCs w:val="18"/>
          <w:color w:val="auto"/>
        </w:rPr>
      </w:pPr>
    </w:p>
    <w:p>
      <w:pPr>
        <w:ind w:right="40"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Career Management </w:t>
      </w:r>
      <w:r>
        <w:rPr>
          <w:rFonts w:ascii="Arial" w:cs="Arial" w:eastAsia="Arial" w:hAnsi="Arial"/>
          <w:sz w:val="18"/>
          <w:szCs w:val="18"/>
          <w:color w:val="auto"/>
        </w:rPr>
        <w:t>– We understand the human side of business to help individuals and organizations unleash human potential to enhance skills,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and successfully manage career changes and workforce transitions.</w:t>
      </w:r>
    </w:p>
    <w:p>
      <w:pPr>
        <w:spacing w:after="0" w:line="161" w:lineRule="exact"/>
        <w:rPr>
          <w:rFonts w:ascii="Arial" w:cs="Arial" w:eastAsia="Arial" w:hAnsi="Arial"/>
          <w:sz w:val="18"/>
          <w:szCs w:val="18"/>
          <w:color w:val="auto"/>
        </w:rPr>
      </w:pPr>
    </w:p>
    <w:p>
      <w:pPr>
        <w:ind w:right="600"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Outsourcing </w:t>
      </w:r>
      <w:r>
        <w:rPr>
          <w:rFonts w:ascii="Arial" w:cs="Arial" w:eastAsia="Arial" w:hAnsi="Arial"/>
          <w:sz w:val="18"/>
          <w:szCs w:val="18"/>
          <w:color w:val="auto"/>
        </w:rPr>
        <w:t>– We provide clients with outsourcing services related to human resources functions primarily in the areas of large-scale recruiting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workforce-intensive initiatives that are outcome-based, thereby sharing in the risk and reward with our clients.</w:t>
      </w:r>
    </w:p>
    <w:p>
      <w:pPr>
        <w:spacing w:after="0" w:line="161" w:lineRule="exact"/>
        <w:rPr>
          <w:rFonts w:ascii="Arial" w:cs="Arial" w:eastAsia="Arial" w:hAnsi="Arial"/>
          <w:sz w:val="18"/>
          <w:szCs w:val="18"/>
          <w:color w:val="auto"/>
        </w:rPr>
      </w:pPr>
    </w:p>
    <w:p>
      <w:pPr>
        <w:ind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Workforce Consulting </w:t>
      </w:r>
      <w:r>
        <w:rPr>
          <w:rFonts w:ascii="Arial" w:cs="Arial" w:eastAsia="Arial" w:hAnsi="Arial"/>
          <w:sz w:val="18"/>
          <w:szCs w:val="18"/>
          <w:color w:val="auto"/>
        </w:rPr>
        <w:t>– We help clients create and align their workforce strategy to achieve their business strategy, increase business agility and flexibility,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accelerate personal and business success.</w:t>
      </w:r>
    </w:p>
    <w:p>
      <w:pPr>
        <w:spacing w:after="0" w:line="16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This comprehensive and diverse business mix helps us to partially mitigate the cyclical effects of the economies in which we operate. Our family of brands and offerings includes:</w:t>
      </w:r>
    </w:p>
    <w:p>
      <w:pPr>
        <w:spacing w:after="0" w:line="166" w:lineRule="exact"/>
        <w:rPr>
          <w:sz w:val="20"/>
          <w:szCs w:val="20"/>
          <w:color w:val="auto"/>
        </w:rPr>
      </w:pPr>
    </w:p>
    <w:p>
      <w:pPr>
        <w:ind w:right="300" w:firstLine="8"/>
        <w:spacing w:after="0" w:line="282"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Manpower </w:t>
      </w:r>
      <w:r>
        <w:rPr>
          <w:rFonts w:ascii="Arial" w:cs="Arial" w:eastAsia="Arial" w:hAnsi="Arial"/>
          <w:sz w:val="18"/>
          <w:szCs w:val="18"/>
          <w:color w:val="auto"/>
        </w:rPr>
        <w:t>– We are a global leader in contingent staffing and permanent recruitment. We provide businesses with rapid access to a highly qualified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 pool of candidates to give them the flexibility and agility they need to respond to changing business needs.</w:t>
      </w:r>
    </w:p>
    <w:p>
      <w:pPr>
        <w:spacing w:after="0" w:line="161" w:lineRule="exact"/>
        <w:rPr>
          <w:rFonts w:ascii="Arial" w:cs="Arial" w:eastAsia="Arial" w:hAnsi="Arial"/>
          <w:sz w:val="18"/>
          <w:szCs w:val="18"/>
          <w:color w:val="auto"/>
        </w:rPr>
      </w:pPr>
    </w:p>
    <w:p>
      <w:pPr>
        <w:ind w:right="220" w:firstLine="8"/>
        <w:spacing w:after="0" w:line="347" w:lineRule="auto"/>
        <w:tabs>
          <w:tab w:leader="none" w:pos="10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Experis </w:t>
      </w:r>
      <w:r>
        <w:rPr>
          <w:rFonts w:ascii="Arial" w:cs="Arial" w:eastAsia="Arial" w:hAnsi="Arial"/>
          <w:sz w:val="16"/>
          <w:szCs w:val="16"/>
          <w:color w:val="auto"/>
        </w:rPr>
        <w:t>– We are a global leader in professional resourcing and project-based solutions. With operations in over 50 countries and territories, we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57 million hours of professional talent in 2015 specializing in Information Technology (IT), Engineering, Finance and Accounting, and Healthcare.</w:t>
      </w:r>
    </w:p>
    <w:p>
      <w:pPr>
        <w:spacing w:after="0" w:line="116" w:lineRule="exact"/>
        <w:rPr>
          <w:rFonts w:ascii="Arial" w:cs="Arial" w:eastAsia="Arial" w:hAnsi="Arial"/>
          <w:sz w:val="16"/>
          <w:szCs w:val="16"/>
          <w:color w:val="auto"/>
        </w:rPr>
      </w:pPr>
    </w:p>
    <w:p>
      <w:pPr>
        <w:ind w:right="200" w:firstLine="8"/>
        <w:spacing w:after="0" w:line="266"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Right Management </w:t>
      </w:r>
      <w:r>
        <w:rPr>
          <w:rFonts w:ascii="Arial" w:cs="Arial" w:eastAsia="Arial" w:hAnsi="Arial"/>
          <w:sz w:val="18"/>
          <w:szCs w:val="18"/>
          <w:color w:val="auto"/>
        </w:rPr>
        <w:t>– We are a global career expert dedicated to helping organizations and individuals become more agile and innovative. By leveraging</w:t>
      </w:r>
      <w:r>
        <w:rPr>
          <w:rFonts w:ascii="Arial" w:cs="Arial" w:eastAsia="Arial" w:hAnsi="Arial"/>
          <w:sz w:val="18"/>
          <w:szCs w:val="18"/>
          <w:b w:val="1"/>
          <w:bCs w:val="1"/>
          <w:color w:val="auto"/>
        </w:rPr>
        <w:t xml:space="preserve"> </w:t>
      </w:r>
      <w:r>
        <w:rPr>
          <w:rFonts w:ascii="Arial" w:cs="Arial" w:eastAsia="Arial" w:hAnsi="Arial"/>
          <w:sz w:val="18"/>
          <w:szCs w:val="18"/>
          <w:color w:val="auto"/>
        </w:rPr>
        <w:t>our expertise in assessment, development and coaching, we provide tailored solutions that deliver organizational efficiency, individual development, and career management, to increase productivity and optimize business performance.</w:t>
      </w:r>
    </w:p>
    <w:p>
      <w:pPr>
        <w:spacing w:after="0" w:line="176" w:lineRule="exact"/>
        <w:rPr>
          <w:rFonts w:ascii="Arial" w:cs="Arial" w:eastAsia="Arial" w:hAnsi="Arial"/>
          <w:sz w:val="18"/>
          <w:szCs w:val="18"/>
          <w:color w:val="auto"/>
        </w:rPr>
      </w:pPr>
    </w:p>
    <w:p>
      <w:pPr>
        <w:ind w:right="180" w:firstLine="8"/>
        <w:spacing w:after="0" w:line="314" w:lineRule="auto"/>
        <w:tabs>
          <w:tab w:leader="none" w:pos="10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ManpowerGroup Solutions </w:t>
      </w:r>
      <w:r>
        <w:rPr>
          <w:rFonts w:ascii="Arial" w:cs="Arial" w:eastAsia="Arial" w:hAnsi="Arial"/>
          <w:sz w:val="16"/>
          <w:szCs w:val="16"/>
          <w:color w:val="auto"/>
        </w:rPr>
        <w:t>– ManpowerGroup Solutions is a leader in outcome-based, talent-driven solutions. Our offerings include best-in-class Talent</w:t>
      </w:r>
      <w:r>
        <w:rPr>
          <w:rFonts w:ascii="Arial" w:cs="Arial" w:eastAsia="Arial" w:hAnsi="Arial"/>
          <w:sz w:val="16"/>
          <w:szCs w:val="16"/>
          <w:b w:val="1"/>
          <w:bCs w:val="1"/>
          <w:color w:val="auto"/>
        </w:rPr>
        <w:t xml:space="preserve"> </w:t>
      </w:r>
      <w:r>
        <w:rPr>
          <w:rFonts w:ascii="Arial" w:cs="Arial" w:eastAsia="Arial" w:hAnsi="Arial"/>
          <w:sz w:val="16"/>
          <w:szCs w:val="16"/>
          <w:color w:val="auto"/>
        </w:rPr>
        <w:t>Based Outsourcing (TBO), TAPFIN - Managed Service Provider (MSP), Recruitment Process Outsourcing (RPO) and Proservia. Proservia is a recognized leader within the Digital Services market and IT Infrastructure sector throughout Europe, specializing in infrastructure management and user support.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firstLine="486"/>
        <w:spacing w:after="0" w:line="273" w:lineRule="auto"/>
        <w:rPr>
          <w:sz w:val="20"/>
          <w:szCs w:val="20"/>
          <w:color w:val="auto"/>
        </w:rPr>
      </w:pPr>
      <w:r>
        <w:rPr>
          <w:rFonts w:ascii="Arial" w:cs="Arial" w:eastAsia="Arial" w:hAnsi="Arial"/>
          <w:sz w:val="17"/>
          <w:szCs w:val="17"/>
          <w:color w:val="auto"/>
        </w:rPr>
        <w:t>Our leadership position allows us to be a center for quality employment opportunities for people at all points in their career paths. In 2015, the 3.4 million people whom we connected to opportunities and purpose worked to help our more than 400,000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and our predecessors, have been in business since 1948, with shares listed on the New York Stock Exchange since 1967.</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Internet address is www.manpowergroup.com. We make available free of charge through our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8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articles of incorporation and bylaws;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ManpowerGroup code of business conduct and ethics;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anti-corruption policy;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charters of the Audit, Executive Compensation and Human Resources and Nominating and Governance Committees of the Board of Directors;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policy on services provided by independent auditors;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regular update on corporate social responsibility.</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while demand for our outplacement services typically declines. Correspondingly, during periods of weak economic growth or economic contraction, the demand for our staffing services typically declines, while demand for our outplacement services typically accelerates.</w:t>
      </w:r>
    </w:p>
    <w:p>
      <w:pPr>
        <w:spacing w:after="0" w:line="18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last several years, secular trends toward greater workforce flexibility have had a favorable impact on demand for our innovative workforce solutions and services around the world. As companies attempt to increase the variability of their cost base, the workforce solutions we provide help them to effectively address the fluctuating demand for their products or services. As the economy recovers, we plan to play an increasing role, as the need for a robust workforce strategy and talent acquisition plan will continue to be critical due to the deep staff cuts that many companies, particularly large organizations, have made during periods of slow economic growth.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3" w:name="page4"/>
    <w:bookmarkEnd w:id="3"/>
    <w:p>
      <w:pPr>
        <w:ind w:firstLine="486"/>
        <w:spacing w:after="0" w:line="255" w:lineRule="auto"/>
        <w:rPr>
          <w:sz w:val="20"/>
          <w:szCs w:val="20"/>
          <w:color w:val="auto"/>
        </w:rPr>
      </w:pPr>
      <w:r>
        <w:rPr>
          <w:rFonts w:ascii="Arial" w:cs="Arial" w:eastAsia="Arial" w:hAnsi="Arial"/>
          <w:sz w:val="18"/>
          <w:szCs w:val="18"/>
          <w:color w:val="auto"/>
        </w:rPr>
        <w:t>Our portfolio of recruitment services includes permanent, temporary and contract recruitment of professionals, as well as administrative and industrial positions. All of these services are provided under our Manpower and Experis brands. We have provided services under our core Manpower brand for over 65 years with a primary focus on the areas of office, call center and industrial services and solutions. We provide services under our Experis brand, particularly in the areas of IT, Engineering, Finance and Accounting, and Healthcare, that include high-impact solutions, and accelerate organizations’ growth by attracting, assessing and placing specialized expertise to deliver in-demand talent for mission-critical positions. Our experience and expertise allow us to accurately assess candidates’ workplace potential and technical skills to match them to the needs of our clients. We plan to continue to build our brand and attract the talent our clients need as skills shortages arise.</w:t>
      </w:r>
    </w:p>
    <w:p>
      <w:pPr>
        <w:spacing w:after="0" w:line="189"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ManpowerGroup Solutions specializes in the delivery of customized workforce strategies and outcome-based solutions. Through our RPO offering, we manage customized, large-scale recruiting and workforce productivity initiatives for clients through an exclusive outsourcing contract.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TBO and Proservia services also include management of financial and administrative processes, including call center and customer service activities and accounting and payroll.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provide services as Manpower, Experis and ManpowerGroup Solutions through both branch and franchise offices. The total Americas segment had 674 branch and 180 franchise offices. In the United States, where we realized 67% of the Americas’ revenue, we had 436 branch and 164 franchise offices as of December 31, 2015, as well as on-site locations at clients with significant permanent, temporary and contract recruitment requirements. In Other Americas, the largest operations of which include Mexico and Argentina, we had 238 branch offices and 16 franchise offices. We provide a number of central support services to our branches and franchises, which enable us to maintain consistent service quality throughout the region regardless of whether an office is a branch or franchise. In the United States, we provide client invoicing and payroll processing of our contingent workers for all branch offices and some of our franchise offices through administrative centers managed by our Milwaukee headquarters.</w:t>
      </w:r>
    </w:p>
    <w:p>
      <w:pPr>
        <w:spacing w:after="0" w:line="178"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franchise agreements provide the franchisee with the right to use the Manpower® service mark in a specifically defined exclusive territory. In the United States, franchise fees generally range from 2% to 3% of franchise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 with appropriate prices and terms.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Manpower and Experis operations provide a variety of workforce solutions and services, including permanent, temporary and contract recruitment, assessment and selection and training. During 2015 in this segment, approximately 38% of temporary and contract recruitment revenues were derived from placing industrial staff, 25% from placing office staff, and 37% from placing professional and technical staff. For our United States operations in 2015, approximately 43% of the temporary and contract recruitment revenues were derived from placing industrial staff, 16% from placing office staff, and 41% from placing professional and technical staff.</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ManpowerGroup Solutions operations provide a variety of outcome-based solutions including TBO, MSP and RPO. We also conduct business in the Americas under our Right Management brand as discussed further at the end of this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Southern Europe segment had 1,072 branch offices as of December 31, 2015. Our largest operations in this segment are in France (68% of the segment revenue) and Italy (18% of the segment revenue).</w:t>
      </w:r>
    </w:p>
    <w:p>
      <w:pPr>
        <w:spacing w:after="0" w:line="18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conduct our operations in France and the surrounding region as a leading workforce solutions and service provider through 570 branch offices under the name of Manpower, Experis or ManpowerGroup Solutions, including Proservia, and 122 branch offices under the name Supplay. The employment services market in France calls for a wide range of our services including permanent, temporary and contract recruitment, assessment and selection, and training. The temporary recruitment market is predominately focused on recruitment for industrial positions. In 2015, we derived approximately 82% of our temporary recruitment revenues in France from the supply of industrial and construction workers, 16% from the supply of office staff, and 2% from the supply of professional and technical staff.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ind w:right="20" w:firstLine="486"/>
        <w:spacing w:after="0" w:line="257" w:lineRule="auto"/>
        <w:rPr>
          <w:sz w:val="20"/>
          <w:szCs w:val="20"/>
          <w:color w:val="auto"/>
        </w:rPr>
      </w:pPr>
      <w:r>
        <w:rPr>
          <w:rFonts w:ascii="Arial" w:cs="Arial" w:eastAsia="Arial" w:hAnsi="Arial"/>
          <w:sz w:val="18"/>
          <w:szCs w:val="18"/>
          <w:color w:val="auto"/>
        </w:rPr>
        <w:t>In Italy, we are a leading workforce solutions and services provider. As of December 31, 2015, ManpowerGroup Italy conducted operations through a network of 233 branch offices. It provides a comprehensive suite of workforce solutions and services offered through Manpower, Experis or ManpowerGroup Solutions, including permanent, temporary and contract recruitment, assessment and selection, training and outsourcing. In 2015, approximately 67% of our temporary and contract recruitment revenues in Italy were derived from placing industrial staff, 7% from placing office staff, including contact center staff, and 26% from placing professional and technical staff.</w:t>
      </w:r>
    </w:p>
    <w:p>
      <w:pPr>
        <w:spacing w:after="0" w:line="188"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For our Southern Europe operations in total during 2015, approximately 74% of temporary and contract recruitment revenues were derived from placing industrial staff, 15% from placing office staff, and 11% from placing professional and technical staff.</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Southern Europe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Our largest operations in Northern Europe are in the United Kingdom, the Nordics, Germany and the Netherlands, providing a comprehensive suite of workforce solutions and services through Manpower, Experis and ManpowerGroup Solutions, including Proservia. Collectively, we operate through 668 branch offices and 49 franchise offices in this region. The franchise offices are in Switzerland, where we own 49% of the franchise.</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United Kingdom, where we have the largest operation in this segment, we are a leading provider of workforce solutions and services. As of December 31, 2015, we conducted operations in the United Kingdom as Manpower, Experis and ManpowerGroup Solutions through a network of 84 branch offices and also provided on-site services to clients who have significant permanent, temporary and contract recruitment requirements. During 2015, approximately 29% of our United Kingdom operation’s temporary recruitment revenues were derived from the supply of industrial staff, 22% from the supply of office staff, and 49% from the supply of professional and technical staff.</w:t>
      </w:r>
    </w:p>
    <w:p>
      <w:pPr>
        <w:spacing w:after="0" w:line="188"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We also own Brook Street Bureau PLC, or Brook Street, which operates through a total of 89 branch offices, separate from our other brands in the United Kingdom.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4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For our Northern Europe operations in total during 2015, approximately 39% of temporary and contract recruitment revenues were derived from placing industrial staff, 26% from placing office staff, and 35% from placing professional and technical staff.</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Northern Europe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operate through 183 branch offices in the Asia Pacific Middle East (APME) region. The largest of these operations are located in Australia, China, India and Japan, all of which operate through branch offices. Our APME operations provide a variety of workforce solutions and services offered through Manpower, Experis and ManpowerGroup Solutions, including permanent, temporary and contract recruitment, assessment and selection, training and outsourcing. During 2015, approximately 15% of our APME temporary and contract recruitment revenues were derived from placing industrial staff, 47% from placing office staff, and 38% from placing professional and technical staff.</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APME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Right Management is a global expert in talent and career management workforce solutions. We design and deliver solutions to align talent strategy with business strategy. Our expertise spans Talent Assessment, Leader Development, Organizational Effectiveness, Employee Engagement, and Workforce Transition and Outplacement. With 108 offices in more than 50 countries and territories, we partner with companies of all sizes to help grow and engage their talent, increase productivity and optimize business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44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Adecco, S.A. (Switzerland) and Randstad Holding N.V. (Netherlands). We also compete against a variety of regional or specialized companies such as Recruit Holdings Co., Ltd., Kelly Services, Inc., Robert Half Inc., Kforce Inc., PageGroup, Korn/Ferry International and Alexander Mann. It is a highly competitive industry, reflecting several trends in the global marketplace such as the notably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17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presence in each market, and large national/multinational client relationships, which comprised approximately 58% of our revenues in 2015. These large national and multinational clients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 Client relationships with small- and medium-size businesses tend to rely less upon longer-term contracts, and the competitors for this business are primarily locally-owned businesses.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employment services industry is closely regulated in all of the major markets in which we operate, except the United States and Canada.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Employment services firms are generally subject to one or more of the following types of government regulation:</w:t>
      </w:r>
    </w:p>
    <w:p>
      <w:pPr>
        <w:spacing w:after="0" w:line="21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8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many countries, including the United States and the United Kingdom, workforce solutions and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88"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84" w:right="299" w:bottom="1440" w:gutter="0" w:footer="0" w:header="0"/>
        </w:sectPr>
      </w:pPr>
    </w:p>
    <w:bookmarkStart w:id="7" w:name="page8"/>
    <w:bookmarkEnd w:id="7"/>
    <w:p>
      <w:pPr>
        <w:ind w:right="200" w:firstLine="486"/>
        <w:spacing w:after="0" w:line="273"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outplacement and consulting services generally are not subjected to governmental regulation in the markets in which we operate.</w:t>
      </w:r>
    </w:p>
    <w:p>
      <w:pPr>
        <w:spacing w:after="0" w:line="225"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Also see Item 7. “Management’s Discussion and Analysis of Financial Condition and Results of Operations—Legal Regulations.”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225" w:lineRule="exact"/>
        <w:rPr>
          <w:sz w:val="20"/>
          <w:szCs w:val="20"/>
          <w:color w:val="auto"/>
        </w:rPr>
      </w:pPr>
    </w:p>
    <w:p>
      <w:pPr>
        <w:ind w:right="60" w:firstLine="486"/>
        <w:spacing w:after="0" w:line="219" w:lineRule="auto"/>
        <w:rPr>
          <w:sz w:val="20"/>
          <w:szCs w:val="20"/>
          <w:color w:val="auto"/>
        </w:rPr>
      </w:pPr>
      <w:r>
        <w:rPr>
          <w:rFonts w:ascii="Arial" w:cs="Arial" w:eastAsia="Arial" w:hAnsi="Arial"/>
          <w:sz w:val="18"/>
          <w:szCs w:val="18"/>
          <w:color w:val="auto"/>
        </w:rPr>
        <w:t>We maintain a number of registered trademarks, trade names and service marks in the United States and various other countries. We believe that many of these marks and trade names, including ManpowerGroup</w:t>
      </w:r>
      <w:r>
        <w:rPr>
          <w:rFonts w:ascii="Arial" w:cs="Arial" w:eastAsia="Arial" w:hAnsi="Arial"/>
          <w:sz w:val="25"/>
          <w:szCs w:val="25"/>
          <w:color w:val="auto"/>
          <w:vertAlign w:val="superscript"/>
        </w:rPr>
        <w:t>®</w:t>
      </w:r>
      <w:r>
        <w:rPr>
          <w:rFonts w:ascii="Arial" w:cs="Arial" w:eastAsia="Arial" w:hAnsi="Arial"/>
          <w:sz w:val="18"/>
          <w:szCs w:val="18"/>
          <w:color w:val="auto"/>
        </w:rPr>
        <w:t>, ManpowerGroup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Solutions, Manpower</w:t>
      </w:r>
      <w:r>
        <w:rPr>
          <w:rFonts w:ascii="Arial" w:cs="Arial" w:eastAsia="Arial" w:hAnsi="Arial"/>
          <w:sz w:val="25"/>
          <w:szCs w:val="25"/>
          <w:color w:val="auto"/>
          <w:vertAlign w:val="superscript"/>
        </w:rPr>
        <w:t>®</w:t>
      </w:r>
      <w:r>
        <w:rPr>
          <w:rFonts w:ascii="Arial" w:cs="Arial" w:eastAsia="Arial" w:hAnsi="Arial"/>
          <w:sz w:val="18"/>
          <w:szCs w:val="18"/>
          <w:color w:val="auto"/>
        </w:rPr>
        <w:t>, Experis</w:t>
      </w:r>
      <w:r>
        <w:rPr>
          <w:rFonts w:ascii="Arial" w:cs="Arial" w:eastAsia="Arial" w:hAnsi="Arial"/>
          <w:sz w:val="25"/>
          <w:szCs w:val="25"/>
          <w:color w:val="auto"/>
          <w:vertAlign w:val="superscript"/>
        </w:rPr>
        <w:t>®</w:t>
      </w:r>
      <w:r>
        <w:rPr>
          <w:rFonts w:ascii="Arial" w:cs="Arial" w:eastAsia="Arial" w:hAnsi="Arial"/>
          <w:sz w:val="18"/>
          <w:szCs w:val="18"/>
          <w:color w:val="auto"/>
        </w:rPr>
        <w:t>, Right Management</w:t>
      </w:r>
      <w:r>
        <w:rPr>
          <w:rFonts w:ascii="Arial" w:cs="Arial" w:eastAsia="Arial" w:hAnsi="Arial"/>
          <w:sz w:val="25"/>
          <w:szCs w:val="25"/>
          <w:color w:val="auto"/>
          <w:vertAlign w:val="superscript"/>
        </w:rPr>
        <w:t>®</w:t>
      </w:r>
      <w:r>
        <w:rPr>
          <w:rFonts w:ascii="Arial" w:cs="Arial" w:eastAsia="Arial" w:hAnsi="Arial"/>
          <w:sz w:val="18"/>
          <w:szCs w:val="18"/>
          <w:color w:val="auto"/>
        </w:rPr>
        <w:t>, Brook Street</w:t>
      </w:r>
      <w:r>
        <w:rPr>
          <w:rFonts w:ascii="Arial" w:cs="Arial" w:eastAsia="Arial" w:hAnsi="Arial"/>
          <w:sz w:val="25"/>
          <w:szCs w:val="25"/>
          <w:color w:val="auto"/>
          <w:vertAlign w:val="superscript"/>
        </w:rPr>
        <w:t>®</w:t>
      </w:r>
      <w:r>
        <w:rPr>
          <w:rFonts w:ascii="Arial" w:cs="Arial" w:eastAsia="Arial" w:hAnsi="Arial"/>
          <w:sz w:val="18"/>
          <w:szCs w:val="18"/>
          <w:color w:val="auto"/>
        </w:rPr>
        <w:t>, and Proservia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had approximately 27,000 full-time equivalent employees as of December 31, 2015. In addition, we estimate that we recruit on behalf of our clients approximately 3.4 million permanent, temporary and contract workers on a worldwide basis each year.</w:t>
      </w:r>
    </w:p>
    <w:p>
      <w:pPr>
        <w:spacing w:after="0" w:line="17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225"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Note 14 to our consolidated financial statements sets forth the information required for each segment and geographical area for the years ended December 31, 2015, 2014 and 2013. Such note is found in our 2015 Annual Report to Shareholders and is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248"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volatile or uncertain economic conditions;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economic recovery may be short-lived and uneven, and may not result in increased demand for our services;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timely respond to the needs of our clients;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worldwide employment services industry;</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effectively implement our business strategy or achieve our objectives;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loss or reduction in revenues from one or more large clients;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meeting contractual obligations if we or third parties fail to deliver on performance commitments;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to keep pace with technological change and marketplace demand in the development and implementation of our services and solutions;</w:t>
      </w:r>
    </w:p>
    <w:p>
      <w:pPr>
        <w:spacing w:after="0" w:line="236" w:lineRule="exact"/>
        <w:rPr>
          <w:rFonts w:ascii="Arial" w:cs="Arial" w:eastAsia="Arial" w:hAnsi="Arial"/>
          <w:sz w:val="17"/>
          <w:szCs w:val="17"/>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implement strategic technology investments;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in labor markets that limits our ability to attract, train and retain the personnel necessary to meet our clients’ staffing needs;</w:t>
      </w:r>
    </w:p>
    <w:p>
      <w:pPr>
        <w:spacing w:after="0" w:line="236" w:lineRule="exact"/>
        <w:rPr>
          <w:rFonts w:ascii="Arial" w:cs="Arial" w:eastAsia="Arial" w:hAnsi="Arial"/>
          <w:sz w:val="17"/>
          <w:szCs w:val="17"/>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improper disclosure or loss of sensitive or confidential company, employee, associate or client data, including personal data;</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unrest, natural disasters, health crises, infrastructure disruptions, and other risks beyond our control;</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legal regulations in places we do business;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prohibition or restriction of employment services or the imposition of additional licensing or tax requirements;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anti-corruption and bribery laws;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employment-related legal claims from clients or third parties;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liability resulting from competition law;</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preserve our reputation in the marketplace;</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client attitudes toward the use of our services;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0" w:right="279" w:bottom="1440" w:gutter="0" w:footer="0" w:header="0"/>
        </w:sectPr>
      </w:pPr>
    </w:p>
    <w:bookmarkStart w:id="9" w:name="page10"/>
    <w:bookmarkEnd w:id="9"/>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effective internal controls;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or disruptions resulting from acquisitions we complete;</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and increased costs from outsourcing various aspects of our business;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ability to protect our thought leadership and other intellectual property;</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effects on our operating flexibility resulting from our debt levels;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restrictive covenants under our revolving credit facilities and other debt instruments;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credit on terms acceptable to us or at all;</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subsidiaries and their ability to distribute cash to our parent company may vary;</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secure guarantees or letters of credit on acceptable terms;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legislation;</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under Wisconsin law and our articles of incorporation and bylaws could make the takeover of our company more difficult;</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225"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7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 or stock price.</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results of operations could be adversely affected by volatile or uncertain economic conditions.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Our business is affected by global macroeconomic conditions, which have recently included considerable uncertainty and volatility. In particular, economic conditions have been unstable and difficult to predict globally, with many regions experiencing volatile growth patterns.</w:t>
      </w:r>
    </w:p>
    <w:p>
      <w:pPr>
        <w:spacing w:after="0" w:line="14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are particularly susceptible to changes in economic conditions in Europe, which represents two of our operating segments and approximately 64% of our revenue. During 2015, the various economies in Europe experienced uneven and choppy growth characteristics, and there is a risk that some or many of the European economies may be hampered by events which emerged in 2015, including the refugee situation or the impact of terrorist activity, or by other political or economic developments, any of which could have a material adverse effect on our business and operating results.</w:t>
      </w:r>
    </w:p>
    <w:p>
      <w:pPr>
        <w:spacing w:after="0" w:line="154"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In addition, because we operate globally, an economic slowdown in one or more regions outside Europe, including in emerging markets, could adversely affect our results of operations as well. There are a number of recent global economic developments that could contribute to such a slowdown, including the rapid decline in oil prices as well as a strengthening US dollar.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ind w:right="60" w:firstLine="648"/>
        <w:spacing w:after="0" w:line="276" w:lineRule="auto"/>
        <w:rPr>
          <w:sz w:val="20"/>
          <w:szCs w:val="20"/>
          <w:color w:val="auto"/>
        </w:rPr>
      </w:pPr>
      <w:r>
        <w:rPr>
          <w:rFonts w:ascii="Arial" w:cs="Arial" w:eastAsia="Arial" w:hAnsi="Arial"/>
          <w:sz w:val="17"/>
          <w:szCs w:val="17"/>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This situation can be exacerbated by uncertain and volatile economic conditions, which may cause clients to reduce or defer projects for which they utilize our services, thereby negatively affecting demand for them. When it is difficult for us to accurately forecast future demand, we may not be able to determine the optimal level of personnel and office investments necessary to profitably operate our business or take advantage of growth opportunities.</w:t>
      </w:r>
    </w:p>
    <w:p>
      <w:pPr>
        <w:spacing w:after="0" w:line="173" w:lineRule="exact"/>
        <w:rPr>
          <w:sz w:val="20"/>
          <w:szCs w:val="20"/>
          <w:color w:val="auto"/>
        </w:rPr>
      </w:pPr>
    </w:p>
    <w:p>
      <w:pPr>
        <w:jc w:val="both"/>
        <w:ind w:firstLine="810"/>
        <w:spacing w:after="0" w:line="297" w:lineRule="auto"/>
        <w:rPr>
          <w:sz w:val="20"/>
          <w:szCs w:val="20"/>
          <w:color w:val="auto"/>
        </w:rPr>
      </w:pPr>
      <w:r>
        <w:rPr>
          <w:rFonts w:ascii="Arial" w:cs="Arial" w:eastAsia="Arial" w:hAnsi="Arial"/>
          <w:sz w:val="16"/>
          <w:szCs w:val="16"/>
          <w:color w:val="auto"/>
        </w:rPr>
        <w:t>Furthermore, our profitability is sensitive to decreases in demand. When demand drops or remains low, our operating profit is typically impacted unfavorably as we experience a deleveraging of our selling and administrative expense base as expenses may not decline as quickly as revenues. In periods of decline, we may not be able to reduce selling and administrative expenses without negatively impacting the long-term potential of our branch network and brands. Additionally, during periods of decline or uncertainty, companies may slow the rate at which they pay their vendors, or they may become unable to pay their obligations. If our clients become unable to pay amounts owed to us, or pay us more slowly, then our cash flow and profitability may suffer.</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There is a risk that any economic recovery may be short-lived and uneven, and may not result in increased demand for our services.</w:t>
      </w:r>
    </w:p>
    <w:p>
      <w:pPr>
        <w:spacing w:after="0" w:line="25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During periods of economic contraction or weak economic growth, the demand for our staffing services typically declines, and these declines may be prolonged even if other economic indicators turn positive. Our business declined during the global economic downturn, as clients required fewer of our workforce solutions and services, and there is a risk that even if overall global economic conditions improve, we will continue to experience declines in all, or in portions, of our business. Recoveries are difficult to predict, and may be short-lived, slow or uneven, with some regions, or countries within a region, continuing to experience declines or weakness in economic activity while others improve. Differing economic conditions and patterns of economic growth or contraction in the geographical regions in which we operate may affect demand for our solutions and services. Even if global economic conditions improve, it may not result in uniform, or any, increases in demand for our solutions and services within the markets where our business is concentrated.</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lack the speed and agility to respond to the needs of our clients.</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There is a risk we may not be able to respond with sufficient speed and agility to the needs of our clients, which may change rapidly as their businesses evolve. The size and breadth of our organization, comprising approximately 27,000 employees based out of over 2,900 offices in 80 countries and territories, may make it difficult for us to effectively manage our resources and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meeting the needs of our current and prospective clients, or our competitors are more agile or effective at doing so, our business and financial results could be materially adversely affected.</w:t>
      </w:r>
    </w:p>
    <w:p>
      <w:pPr>
        <w:spacing w:after="0" w:line="175"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6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global competitors, including Adecco S.A. and Randstad Holding N.V.,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adversely affect our profitability. This may worsen as clients increasingly take advantage of low-cost alternatives including using their own in-house resources rather than engaging a third party.</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We may be unable to effectively implement our business strategy, and there can be no assurance that we will achieve our objectives.</w:t>
      </w:r>
    </w:p>
    <w:p>
      <w:pPr>
        <w:spacing w:after="0" w:line="252"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Our business strategy focuses on growing revenues while improving our operating profits. An important element of our strategy is our effort to diversify our revenues beyond our core staffing and employment services through the sale of innovative workforce solutions designed to achieve higher operating margins. These workforce solutions are often unique, non-repeatable and tailored to a client’s needs, and present costs, risk and complexity that may be difficult to calculate. These solutions may be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120"/>
        <w:spacing w:after="0" w:line="259" w:lineRule="auto"/>
        <w:rPr>
          <w:sz w:val="20"/>
          <w:szCs w:val="20"/>
          <w:color w:val="auto"/>
        </w:rPr>
      </w:pPr>
      <w:r>
        <w:rPr>
          <w:rFonts w:ascii="Arial" w:cs="Arial" w:eastAsia="Arial" w:hAnsi="Arial"/>
          <w:sz w:val="18"/>
          <w:szCs w:val="18"/>
          <w:color w:val="auto"/>
        </w:rPr>
        <w:t>unprofitable if we are not able to accurately anticipate these costs and risks in our pricing for these solutions. For example, we may fail to structure and price our solutions in a manner that successfully recovers our initial investments, or properly compensates us for regulatory or compliance-related risks. Furthermore, we may not create an adequate delivery model for new workforce solutions, effectively manage our solutions, or obtain adequate insurance coverage in amount or scope to cover potential risks arising from the solutions we provide.</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business strategy also includes continuing efforts to optimize our organizational structure, programs, technology and delivery of services to make us a more agile and effective competitor, to reduce the cost of operating our business and to increase our operating profit and operating profit margin. We may not be successful in these efforts and, we may fail to prevent the return of costs previously eliminated as part of our simplification efforts. Additionally, the reductions in personnel and other changes we made in connection with the implementation of our simplification efforts could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A loss or reduction in revenues from one or more large client accounts could have a material adverse effect on our business.</w:t>
      </w:r>
    </w:p>
    <w:p>
      <w:pPr>
        <w:spacing w:after="0" w:line="24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presence in each market, and large national/multinational client relationships, which comprised approximately 58% of our revenues in 2015. These large national and multinational clients will frequently enter into non-exclusive arrangements with several firms, and the client is generally able to terminate our contracts on short notice without penalty. The deterioration of the financial condition or business prospects of these large national and multinational clients, or a change in their strategy around the use of our services, could reduce their need for our services and result in a significant decrease in the revenues and earnings we derive from them. A loss or reduction in revenues from one or more of our large national and multinational clients could have a material adverse effect on our business.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performance on contracts may be adversely affected if we or third parties fail to deliver on commitments.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contracts are increasingly complex and, in some instances, require that we partner with other parties to provide the workforce solutions required by our clients.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adversely affected, which may have a material and adverse impact on our client relations, revenues and profitability.</w:t>
      </w:r>
    </w:p>
    <w:p>
      <w:pPr>
        <w:spacing w:after="0" w:line="184"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success depends on our ability to keep pace with rapid technological changes in the development and implementation of our services and solutions. Our business is reliant on a variety of technologies, including those which support applicant on-boarding and tracking systems, order management, billing,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it could have a significant impact on our operations. Additionally, some of our important client relationships may be dependent on the continued performance of individual managers or field personnel, and there is a risk that loss of those individuals could jeopardize key client relationships. Our simplification efforts have included reductions of our workforce, at the staff and officer level, in both our headquarters and throughout our country operations. There is a risk that this simplification and the resultant reductions in personnel could materially adversely affect operational performance, and therefore our business and financial results. In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280"/>
        <w:spacing w:after="0" w:line="308" w:lineRule="auto"/>
        <w:rPr>
          <w:sz w:val="20"/>
          <w:szCs w:val="20"/>
          <w:color w:val="auto"/>
        </w:rPr>
      </w:pPr>
      <w:r>
        <w:rPr>
          <w:rFonts w:ascii="Arial" w:cs="Arial" w:eastAsia="Arial" w:hAnsi="Arial"/>
          <w:sz w:val="17"/>
          <w:szCs w:val="17"/>
          <w:color w:val="auto"/>
        </w:rPr>
        <w:t>addition, it is part of our strategy to maintain a lean corporate structure and small executive team in order to manage our operating margins. There is a risk that we will not have developed sufficient executive talent internally in order to address any key leadership vacancies that might arise.</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needs.</w:t>
      </w:r>
    </w:p>
    <w:p>
      <w:pPr>
        <w:spacing w:after="0" w:line="21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business depends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We could be harmed by improper disclosure or loss of sensitive or confidential company, employee, associate or client data, including personal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w:t>
      </w:r>
    </w:p>
    <w:p>
      <w:pPr>
        <w:spacing w:after="0" w:line="21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connection with the operation of our business, we store, process and transmit a large amount of data, including personnel and payment information, about our employees, clients, associates and candidates, a portion of which is confidential and/or personally sensitive. In doing so, we rely on our own technology and systems, and those of third party vendors we use for a variety of processes, including cloud-based technology and systems. We and our third party vendors have established policies and procedures to help protect the security and privacy of this information. Unauthorized disclosure or loss of sensitive or confidential data may occur through a variety of methods. These include, but are not limited to, systems failure, employee negligence, fraud or misappropriation, or unauthorized access to or through our information systems, whether by our employees or third parties, including a cyberattack by computer programmers, hackers, members of organized crime and/or state-sponsored organizations, who may develop and deploy viruses, worms or other malicious software programs.</w:t>
      </w:r>
    </w:p>
    <w:p>
      <w:pPr>
        <w:spacing w:after="0" w:line="192"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Such disclosure, loss or breach could harm our reputation and subject us to significant monetary damages, litigation, regulatory enforcement actions, fines, criminal prosecution, or other liability under our contracts and laws that protect sensitive or personal data and confidential information, resulting in increased costs or loss of revenues. It is possible that security controls over sensitive or confidential data and other practices we and our third party vendors follow may not prevent the improper access to, disclosure of, or loss of such information. The potential risk of security breaches and cyberattacks may increase as we continue to introduce new services and offerings, such as mobile technology. Further, data privacy is subject to frequently changing rules and regulations, which sometimes conflict among the various jurisdictions and countries in which we provide services. Any failure or perceived failure to successfully manage the collection, use, disclosure, or security of personal information or other privacy related matters, or any failure to comply with changing regulatory requirements in this area, could result in legal liability or impairment to our reputation in the marketplace. In addition, our liability insurance might not be sufficient in scope or amount to cover us against claims related to security breaches, cyberattacks and other related data disclosure, loss or breach.</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global operations subject us to certain risks beyond our control.</w:t>
      </w:r>
    </w:p>
    <w:p>
      <w:pPr>
        <w:spacing w:after="0" w:line="22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With operations in 80 countries and territories around the world, we are subject to numerous risks outside of our control, including risks arising from political unrest and other political events, hostilities, and strikes and other worker unrest, natural disasters, acts of war, terrorism, international conflict, severe weather conditions, pandemics and other global health emergencies, disruptions of infrastructure and utilities, cyberattacks, and other events beyond our control. Although it is not possible to predict such events or their consequences, these events could materially adversely affect our reputation, business and financial results.</w:t>
      </w:r>
    </w:p>
    <w:p>
      <w:pPr>
        <w:spacing w:after="0" w:line="184" w:lineRule="exact"/>
        <w:rPr>
          <w:sz w:val="20"/>
          <w:szCs w:val="20"/>
          <w:color w:val="auto"/>
        </w:rPr>
      </w:pPr>
    </w:p>
    <w:p>
      <w:pPr>
        <w:ind w:right="580" w:firstLine="486"/>
        <w:spacing w:after="0" w:line="282"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66"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In many jurisdictions in which we operate, such as France and Germany, the employment services industry is heavily regulated. For example, governmental regulations in Germany restrict the length of contracts and the industries in which our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3" w:name="page14"/>
    <w:bookmarkEnd w:id="13"/>
    <w:p>
      <w:pPr>
        <w:jc w:val="both"/>
        <w:ind w:right="580"/>
        <w:spacing w:after="0" w:line="264" w:lineRule="auto"/>
        <w:rPr>
          <w:sz w:val="20"/>
          <w:szCs w:val="20"/>
          <w:color w:val="auto"/>
        </w:rPr>
      </w:pPr>
      <w:r>
        <w:rPr>
          <w:rFonts w:ascii="Arial" w:cs="Arial" w:eastAsia="Arial" w:hAnsi="Arial"/>
          <w:sz w:val="18"/>
          <w:szCs w:val="18"/>
          <w:color w:val="auto"/>
        </w:rPr>
        <w:t>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countries in which we operate may, among other things:</w:t>
      </w:r>
    </w:p>
    <w:p>
      <w:pPr>
        <w:spacing w:after="0" w:line="225" w:lineRule="exact"/>
        <w:rPr>
          <w:sz w:val="20"/>
          <w:szCs w:val="20"/>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taxes, such as sales or value-added taxes.</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Any future regulations may have a material adverse effect on our business and financial results because they may make it more difficult or expensive for us to continue to provide employment services, particularly if we cannot pass along increases in costs to our clients.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Failure to comply with antibribery and corruption laws could adversely affect our business.</w:t>
      </w:r>
    </w:p>
    <w:p>
      <w:pPr>
        <w:spacing w:after="0" w:line="229"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are additionally subject to numerous legal and regulatory requirements that prohibit bribery and corrupt acts. These include the Foreign Corrupt Practices Act and the UK Bribery Act 2010, as well as similar legislation in many of the countries in which we operate. We have in place a global anticorruption compliance program designed to ensure compliance with these laws and regulations. However, there are no assurances our compliance program will be effective. In many countries where we operate, practices in the local business community may not conform to international business standards and could violate anticorruption law or regulations. Furthermore, we remain subject to the risk that a full-time, temporary or contract employee could engage in business practices that are prohibited by our policies and these laws and regulations. Any such violations could adversely affect our business.</w:t>
      </w:r>
    </w:p>
    <w:p>
      <w:pPr>
        <w:spacing w:after="0" w:line="161"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b w:val="1"/>
          <w:bCs w:val="1"/>
          <w:color w:val="auto"/>
        </w:rPr>
        <w:t>We may be exposed to employment-related claims and costs from clients or third parties that could materially adversely affect our business, financial condition and results of operations.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in the business of employing people and placing them in the workplaces of other businesses. Risks relating to these activities include:</w:t>
      </w:r>
    </w:p>
    <w:p>
      <w:pPr>
        <w:spacing w:after="0" w:line="237" w:lineRule="exact"/>
        <w:rPr>
          <w:sz w:val="20"/>
          <w:szCs w:val="20"/>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arising out of the actions or inactions of our associates, including matters for which we may have indemnified a client;</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related to the employment of undocumented or illegal workers;</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violations of employee pay and benefits requirements such as violations of wage and hour requirements;</w:t>
      </w:r>
    </w:p>
    <w:p>
      <w:pPr>
        <w:spacing w:after="0" w:line="225" w:lineRule="exact"/>
        <w:rPr>
          <w:rFonts w:ascii="Arial" w:cs="Arial" w:eastAsia="Arial" w:hAnsi="Arial"/>
          <w:sz w:val="18"/>
          <w:szCs w:val="18"/>
          <w:color w:val="auto"/>
        </w:rPr>
      </w:pPr>
    </w:p>
    <w:p>
      <w:pPr>
        <w:ind w:right="120" w:firstLine="494"/>
        <w:spacing w:after="0" w:line="277" w:lineRule="auto"/>
        <w:tabs>
          <w:tab w:leader="none" w:pos="59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retroactive entitlement to employee benefits, including healthcare coverage as may be required under the US Patient Protection and Affordable Care Act passed in 2010;</w:t>
      </w:r>
    </w:p>
    <w:p>
      <w:pPr>
        <w:spacing w:after="0" w:line="170" w:lineRule="exact"/>
        <w:rPr>
          <w:rFonts w:ascii="Arial" w:cs="Arial" w:eastAsia="Arial" w:hAnsi="Arial"/>
          <w:sz w:val="18"/>
          <w:szCs w:val="18"/>
          <w:color w:val="auto"/>
        </w:rPr>
      </w:pPr>
    </w:p>
    <w:p>
      <w:pPr>
        <w:ind w:right="160" w:firstLine="494"/>
        <w:spacing w:after="0" w:line="277" w:lineRule="auto"/>
        <w:tabs>
          <w:tab w:leader="none" w:pos="594" w:val="left"/>
        </w:tabs>
        <w:numPr>
          <w:ilvl w:val="0"/>
          <w:numId w:val="9"/>
        </w:numPr>
        <w:rPr>
          <w:rFonts w:ascii="Arial" w:cs="Arial" w:eastAsia="Arial" w:hAnsi="Arial"/>
          <w:sz w:val="18"/>
          <w:szCs w:val="18"/>
          <w:color w:val="auto"/>
        </w:rPr>
      </w:pPr>
      <w:r>
        <w:rPr>
          <w:rFonts w:ascii="Arial" w:cs="Arial" w:eastAsia="Arial" w:hAnsi="Arial"/>
          <w:sz w:val="18"/>
          <w:szCs w:val="18"/>
          <w:color w:val="auto"/>
        </w:rPr>
        <w:t>errors and omissions of our associates and other individuals working on our behalf in performing their jobs, including accountants, IT professionals and other technical workers; and</w:t>
      </w:r>
    </w:p>
    <w:p>
      <w:pPr>
        <w:spacing w:after="0" w:line="170" w:lineRule="exact"/>
        <w:rPr>
          <w:rFonts w:ascii="Arial" w:cs="Arial" w:eastAsia="Arial" w:hAnsi="Arial"/>
          <w:sz w:val="18"/>
          <w:szCs w:val="18"/>
          <w:color w:val="auto"/>
        </w:rPr>
      </w:pPr>
    </w:p>
    <w:p>
      <w:pPr>
        <w:ind w:right="160" w:firstLine="494"/>
        <w:spacing w:after="0" w:line="277" w:lineRule="auto"/>
        <w:tabs>
          <w:tab w:leader="none" w:pos="594"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7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In the past several years, we devoted considerable time and expense to resolve several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California-based “wage and hour” claims that asserted deficiencies in our payroll practices, and we cannot be certain we will not experience similar claims in the future.</w:t>
      </w:r>
    </w:p>
    <w:p>
      <w:pPr>
        <w:spacing w:after="0" w:line="170"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business exposes us to competition law risk.</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and there is a risk that we will be subject to regulatory investigation by relevant authorities. For example, in 2009, we were fined by the French Competition Council following a 2004 investigation, and in 2013 we were informed that the French competition authority had commenced an investigation, which remains ongoing, into us and a number of our competitors in France.</w:t>
      </w:r>
    </w:p>
    <w:p>
      <w:pPr>
        <w:spacing w:after="0" w:line="19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There is no assurance we will successfully defend against such regulatory inquiries, and they may consume substantial amounts of our financial and managerial resources, and result in adverse publicity, even if successfully resolved. An unfavorable outcome with respect to these matters and any future matters could, individually or in the aggregate, result in substantial liabilities that have a material adverse effect upon our business, financial condition or results of operations.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ability to attract and retain business and employees may depend on our reputation in the marketplace.</w:t>
      </w:r>
    </w:p>
    <w:p>
      <w:pPr>
        <w:spacing w:after="0" w:line="229"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We believe the ManpowerGroup brand name and our reputation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adversaries in legal proceedings, government regulators, as well as members of the investment community or the media. There is a risk that negative information about ManpowerGroup, even if based on rumor or misunderstanding, could adversely affect our business. Damage to our reputation could be difficult, expensive and time-consuming to repair, could make potential or existing clients reluctant to select us for new engagements, resulting in a loss of business, and could adversely affect our recruitment and retention efforts. Damage to our reputation could also reduce the value and effectiveness of the ManpowerGroup brand name and could reduce investor confidence in us, materially adversely affecting our share price.</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Changes in sentiment toward the staffing industry could affect the marketplace for our services.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 and financial condition.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results of operations and share price could be adversely affected if we are unable to maintain effective internal controls.</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on a timely basis, be unable to properly report on our business and our results of operations, or be required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340"/>
        <w:spacing w:after="0" w:line="277" w:lineRule="auto"/>
        <w:rPr>
          <w:sz w:val="20"/>
          <w:szCs w:val="20"/>
          <w:color w:val="auto"/>
        </w:rPr>
      </w:pPr>
      <w:r>
        <w:rPr>
          <w:rFonts w:ascii="Arial" w:cs="Arial" w:eastAsia="Arial" w:hAnsi="Arial"/>
          <w:sz w:val="18"/>
          <w:szCs w:val="18"/>
          <w:color w:val="auto"/>
        </w:rPr>
        <w:t>restate our financial statements, and our results of operations, the market price of our securities and our ability to obtain new business could be materially adversely affected.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229"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During 2015, approximately 84% of our revenues were generated outside of the United States, the majority of which were generated in Europe. Furthermore, $855.1 million of our outstanding indebtedness as of December 31, 2015 was denominated in foreign currencies.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business, financial condition, cash flow and results of operations. Furthermore, the volatility of currencies may make year-over-year comparability difficult.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229"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From time to time, we make acquisitions of other companies or operating assets or enter into operating joint ventures. These activities involve significant risks, including:</w:t>
      </w:r>
    </w:p>
    <w:p>
      <w:pPr>
        <w:spacing w:after="0" w:line="170" w:lineRule="exact"/>
        <w:rPr>
          <w:sz w:val="20"/>
          <w:szCs w:val="20"/>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225" w:lineRule="exact"/>
        <w:rPr>
          <w:rFonts w:ascii="Arial" w:cs="Arial" w:eastAsia="Arial" w:hAnsi="Arial"/>
          <w:sz w:val="18"/>
          <w:szCs w:val="18"/>
          <w:color w:val="auto"/>
        </w:rPr>
      </w:pPr>
    </w:p>
    <w:p>
      <w:pPr>
        <w:ind w:right="280" w:firstLine="494"/>
        <w:spacing w:after="0" w:line="277" w:lineRule="auto"/>
        <w:tabs>
          <w:tab w:leader="none" w:pos="5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any companies or assets that we acquire, or joint ventures that we form, to meet performance expectations, which could trigger payment obligations;</w:t>
      </w:r>
    </w:p>
    <w:p>
      <w:pPr>
        <w:spacing w:after="0" w:line="170"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over-valuation by us of any companies or assets that we acquire, or joint ventures that we form;</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effectively monitor compliance with corporate policies as well as regulatory requirements;</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liabilities incurred by the acquired companies prior to the acquisitions; and</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In addition, future acquisitions could materially adversely affect our business, financial condition, results of operations and liquidity. Possible impairment losses on goodwill and intangible assets with an indefinite life, or restructuring charges could also occur.</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Outsourcing certain aspects of our business could result in disruption and increased costs.</w:t>
      </w:r>
    </w:p>
    <w:p>
      <w:pPr>
        <w:spacing w:after="0" w:line="229"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outsourced certain aspects of our business to third party vendors that subject us to risks, including disruptions in our business and increased costs. For example, we rely on third parties to host and manage certain aspects of our data center information and technology infrastructure, to develop and maintain new technology for attracting, onboarding, managing, and analyzing our workforce, and to provide certain back office support. Accordingly, we are subject to the risks associated with our vendors’ ability to provide these services to meet our needs. Additionally, we replace these vendors from time to time, and there is a risk that we might suffer interruptions in service as we transition from one third party provider to another.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our outsourced services is more than expected, or if the vendor or we are unable to adequately protect our data and information is lost, or our ability to deliver our services is interrupted, then our business and financial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left="500"/>
        <w:spacing w:after="0"/>
        <w:rPr>
          <w:sz w:val="20"/>
          <w:szCs w:val="20"/>
          <w:color w:val="auto"/>
        </w:rPr>
      </w:pPr>
      <w:r>
        <w:rPr>
          <w:rFonts w:ascii="Arial" w:cs="Arial" w:eastAsia="Arial" w:hAnsi="Arial"/>
          <w:sz w:val="17"/>
          <w:szCs w:val="17"/>
          <w:b w:val="1"/>
          <w:bCs w:val="1"/>
          <w:color w:val="auto"/>
        </w:rPr>
        <w:t>We have only a limited ability to protect our thought leadership and other intellectual property, which is important to our success.</w:t>
      </w:r>
    </w:p>
    <w:p>
      <w:pPr>
        <w:spacing w:after="0" w:line="24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and other contractual agreements, and patent, copyright, and trademark laws to protect our intellectual property rights. Our intellectual property rights may not prevent competitors from independently developing products, services and solutions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178"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maintain debt that could adversely affect our operating flexibility and put us at a competitive disadvantage.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2015, we had $855.1 million of total debt. Our level of debt and the limitations imposed on us by our credit agreements could have important consequences for investors, including the following:</w:t>
      </w:r>
    </w:p>
    <w:p>
      <w:pPr>
        <w:spacing w:after="0" w:line="170" w:lineRule="exact"/>
        <w:rPr>
          <w:sz w:val="20"/>
          <w:szCs w:val="20"/>
          <w:color w:val="auto"/>
        </w:rPr>
      </w:pPr>
    </w:p>
    <w:p>
      <w:pPr>
        <w:ind w:right="260" w:firstLine="548"/>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170" w:lineRule="exact"/>
        <w:rPr>
          <w:rFonts w:ascii="Arial" w:cs="Arial" w:eastAsia="Arial" w:hAnsi="Arial"/>
          <w:sz w:val="18"/>
          <w:szCs w:val="18"/>
          <w:color w:val="auto"/>
        </w:rPr>
      </w:pPr>
    </w:p>
    <w:p>
      <w:pPr>
        <w:ind w:left="660" w:hanging="11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borrowings under our revolving credit facilities are at a variable interest rate, making us more vulnerable to increases in interest rates; and</w:t>
      </w:r>
    </w:p>
    <w:p>
      <w:pPr>
        <w:spacing w:after="0" w:line="236" w:lineRule="exact"/>
        <w:rPr>
          <w:rFonts w:ascii="Arial" w:cs="Arial" w:eastAsia="Arial" w:hAnsi="Arial"/>
          <w:sz w:val="17"/>
          <w:szCs w:val="17"/>
          <w:color w:val="auto"/>
        </w:rPr>
      </w:pPr>
    </w:p>
    <w:p>
      <w:pPr>
        <w:ind w:right="180" w:firstLine="548"/>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166" w:lineRule="exact"/>
        <w:rPr>
          <w:sz w:val="20"/>
          <w:szCs w:val="20"/>
          <w:color w:val="auto"/>
        </w:rPr>
      </w:pPr>
    </w:p>
    <w:p>
      <w:pPr>
        <w:ind w:right="340" w:firstLine="486"/>
        <w:spacing w:after="0" w:line="282"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66"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lenders under our and our subsidiaries’ credit facilities may be unwilling or unable to extend credit to us on acceptable terms or at all.</w:t>
      </w:r>
    </w:p>
    <w:p>
      <w:pPr>
        <w:spacing w:after="0" w:line="252"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17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183" w:lineRule="exact"/>
        <w:rPr>
          <w:sz w:val="20"/>
          <w:szCs w:val="20"/>
          <w:color w:val="auto"/>
        </w:rPr>
      </w:pPr>
    </w:p>
    <w:p>
      <w:pPr>
        <w:ind w:right="260" w:firstLine="486"/>
        <w:spacing w:after="0" w:line="282"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6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600"/>
        <w:spacing w:after="0" w:line="342" w:lineRule="auto"/>
        <w:rPr>
          <w:sz w:val="20"/>
          <w:szCs w:val="20"/>
          <w:color w:val="auto"/>
        </w:rPr>
      </w:pPr>
      <w:r>
        <w:rPr>
          <w:rFonts w:ascii="Arial" w:cs="Arial" w:eastAsia="Arial" w:hAnsi="Arial"/>
          <w:sz w:val="16"/>
          <w:szCs w:val="16"/>
          <w:color w:val="auto"/>
        </w:rPr>
        <w:t>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 or other costs.</w:t>
      </w:r>
    </w:p>
    <w:p>
      <w:pPr>
        <w:spacing w:after="0" w:line="120" w:lineRule="exact"/>
        <w:rPr>
          <w:sz w:val="20"/>
          <w:szCs w:val="20"/>
          <w:color w:val="auto"/>
        </w:rPr>
      </w:pPr>
    </w:p>
    <w:p>
      <w:pPr>
        <w:ind w:right="380" w:firstLine="486"/>
        <w:spacing w:after="0" w:line="282" w:lineRule="auto"/>
        <w:rPr>
          <w:sz w:val="20"/>
          <w:szCs w:val="20"/>
          <w:color w:val="auto"/>
        </w:rPr>
      </w:pPr>
      <w:r>
        <w:rPr>
          <w:rFonts w:ascii="Arial" w:cs="Arial" w:eastAsia="Arial" w:hAnsi="Arial"/>
          <w:sz w:val="18"/>
          <w:szCs w:val="18"/>
          <w:b w:val="1"/>
          <w:bCs w:val="1"/>
          <w:color w:val="auto"/>
        </w:rPr>
        <w:t>Our inability to secure guarantees or letters of credit on acceptable terms may substantially increase our cost of doing business in various countries.</w:t>
      </w:r>
    </w:p>
    <w:p>
      <w:pPr>
        <w:spacing w:after="0" w:line="16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a number of countries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167" w:lineRule="exact"/>
        <w:rPr>
          <w:sz w:val="20"/>
          <w:szCs w:val="20"/>
          <w:color w:val="auto"/>
        </w:rPr>
      </w:pPr>
    </w:p>
    <w:p>
      <w:pPr>
        <w:ind w:right="320" w:firstLine="486"/>
        <w:spacing w:after="0" w:line="282" w:lineRule="auto"/>
        <w:rPr>
          <w:sz w:val="20"/>
          <w:szCs w:val="20"/>
          <w:color w:val="auto"/>
        </w:rPr>
      </w:pPr>
      <w:r>
        <w:rPr>
          <w:rFonts w:ascii="Arial" w:cs="Arial" w:eastAsia="Arial" w:hAnsi="Arial"/>
          <w:sz w:val="18"/>
          <w:szCs w:val="18"/>
          <w:b w:val="1"/>
          <w:bCs w:val="1"/>
          <w:color w:val="auto"/>
        </w:rPr>
        <w:t>We could be subject to changes in tax rates, adoption of new United States or international tax legislation or tax audits that could result in additional income tax liabilities.</w:t>
      </w:r>
    </w:p>
    <w:p>
      <w:pPr>
        <w:spacing w:after="0" w:line="16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subject to income taxes in the United States and other jurisdictions where we have operations. The tax bases and rates in these respective tax jurisdictions may significantly change due to economic and political conditions. Our future effective tax rate could be affected by changes in earnings in countries with differing tax rates, changes in the valuation of deferred tax assets and liabilities or changes in the respective tax laws. In addition, tax accounting may involve complex matters and requires our judgment to determine our worldwide provision for income taxes and tax assets and liabilities including matters related to our intercompany transactions. We are routinely subject to income tax examination by the United States Internal Revenue Service and other Tax Authorities, and these audits may result in an additional tax liability. If any of these instances lead to an increase in our effective tax rates, it could have a material adverse effect on our financial results.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229"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The market price for our common stock has been and may continue to be volatile. For example, during 2015, the price of our common stock as reported on the New York Stock Exchange ranged from a high of $96.56 to a low of $63.79. Our stock price can fluctuate as a result of a variety of factors, including factors listed in these “Risk Factors” and others, many of which are beyond our control. These factors include:</w:t>
      </w:r>
    </w:p>
    <w:p>
      <w:pPr>
        <w:spacing w:after="0" w:line="166" w:lineRule="exact"/>
        <w:rPr>
          <w:sz w:val="20"/>
          <w:szCs w:val="20"/>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investor sentiment regarding the company or the economy in general.</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52"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81" w:lineRule="exact"/>
        <w:rPr>
          <w:sz w:val="20"/>
          <w:szCs w:val="20"/>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22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 addition, the Wisconsin control share acquisition statute and Wisconsin’s “fair price” and “business combination” provisions, in addition to other provisions of Wisconsin law, limit the ability of an acquiring person to engage in certain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18" w:name="page19"/>
    <w:bookmarkEnd w:id="18"/>
    <w:p>
      <w:pPr>
        <w:ind w:right="280"/>
        <w:spacing w:after="0" w:line="264" w:lineRule="auto"/>
        <w:rPr>
          <w:sz w:val="20"/>
          <w:szCs w:val="20"/>
          <w:color w:val="auto"/>
        </w:rPr>
      </w:pPr>
      <w:r>
        <w:rPr>
          <w:rFonts w:ascii="Arial" w:cs="Arial" w:eastAsia="Arial" w:hAnsi="Arial"/>
          <w:sz w:val="18"/>
          <w:szCs w:val="18"/>
          <w:color w:val="auto"/>
        </w:rPr>
        <w:t>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3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383"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200" w:lineRule="exact"/>
        <w:rPr>
          <w:sz w:val="20"/>
          <w:szCs w:val="20"/>
          <w:color w:val="auto"/>
        </w:rPr>
      </w:pPr>
    </w:p>
    <w:p>
      <w:pPr>
        <w:spacing w:after="0" w:line="26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584"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800" w:type="dxa"/>
            <w:vAlign w:val="bottom"/>
          </w:tcPr>
          <w:p>
            <w:pPr>
              <w:jc w:val="center"/>
              <w:ind w:right="2510"/>
              <w:spacing w:after="0"/>
              <w:rPr>
                <w:sz w:val="20"/>
                <w:szCs w:val="20"/>
                <w:color w:val="auto"/>
              </w:rPr>
            </w:pPr>
            <w:r>
              <w:rPr>
                <w:rFonts w:ascii="Arial" w:cs="Arial" w:eastAsia="Arial" w:hAnsi="Arial"/>
                <w:sz w:val="18"/>
                <w:szCs w:val="18"/>
                <w:b w:val="1"/>
                <w:bCs w:val="1"/>
                <w:color w:val="auto"/>
              </w:rPr>
              <w:t>EXECUTIVE OFFICERS OF MANPOWERGROUP</w:t>
            </w:r>
          </w:p>
        </w:tc>
      </w:tr>
      <w:tr>
        <w:trPr>
          <w:trHeight w:val="234"/>
        </w:trPr>
        <w:tc>
          <w:tcPr>
            <w:tcW w:w="2620" w:type="dxa"/>
            <w:vAlign w:val="bottom"/>
          </w:tcPr>
          <w:p>
            <w:pPr>
              <w:spacing w:after="0"/>
              <w:rPr>
                <w:sz w:val="20"/>
                <w:szCs w:val="20"/>
                <w:color w:val="auto"/>
              </w:rPr>
            </w:pPr>
          </w:p>
        </w:tc>
        <w:tc>
          <w:tcPr>
            <w:tcW w:w="8800" w:type="dxa"/>
            <w:vAlign w:val="bottom"/>
          </w:tcPr>
          <w:p>
            <w:pPr>
              <w:jc w:val="center"/>
              <w:ind w:right="2510"/>
              <w:spacing w:after="0"/>
              <w:rPr>
                <w:sz w:val="20"/>
                <w:szCs w:val="20"/>
                <w:color w:val="auto"/>
              </w:rPr>
            </w:pPr>
            <w:r>
              <w:rPr>
                <w:rFonts w:ascii="Arial" w:cs="Arial" w:eastAsia="Arial" w:hAnsi="Arial"/>
                <w:sz w:val="18"/>
                <w:szCs w:val="18"/>
                <w:b w:val="1"/>
                <w:bCs w:val="1"/>
                <w:color w:val="auto"/>
                <w:w w:val="90"/>
              </w:rPr>
              <w:t>(as of February 17, 2016)</w:t>
            </w:r>
          </w:p>
        </w:tc>
      </w:tr>
      <w:tr>
        <w:trPr>
          <w:trHeight w:val="810"/>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Name of Officer</w:t>
            </w:r>
          </w:p>
        </w:tc>
        <w:tc>
          <w:tcPr>
            <w:tcW w:w="8800" w:type="dxa"/>
            <w:vAlign w:val="bottom"/>
          </w:tcPr>
          <w:p>
            <w:pPr>
              <w:ind w:left="440"/>
              <w:spacing w:after="0"/>
              <w:rPr>
                <w:sz w:val="20"/>
                <w:szCs w:val="20"/>
                <w:color w:val="auto"/>
              </w:rPr>
            </w:pPr>
            <w:r>
              <w:rPr>
                <w:rFonts w:ascii="Arial" w:cs="Arial" w:eastAsia="Arial" w:hAnsi="Arial"/>
                <w:sz w:val="18"/>
                <w:szCs w:val="18"/>
                <w:b w:val="1"/>
                <w:bCs w:val="1"/>
                <w:color w:val="auto"/>
              </w:rPr>
              <w:t>Office</w:t>
            </w:r>
          </w:p>
        </w:tc>
      </w:tr>
      <w:tr>
        <w:trPr>
          <w:trHeight w:val="34"/>
        </w:trPr>
        <w:tc>
          <w:tcPr>
            <w:tcW w:w="262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r>
      <w:tr>
        <w:trPr>
          <w:trHeight w:val="499"/>
        </w:trPr>
        <w:tc>
          <w:tcPr>
            <w:tcW w:w="2620" w:type="dxa"/>
            <w:vAlign w:val="bottom"/>
          </w:tcPr>
          <w:p>
            <w:pPr>
              <w:ind w:left="40"/>
              <w:spacing w:after="0"/>
              <w:rPr>
                <w:sz w:val="20"/>
                <w:szCs w:val="20"/>
                <w:color w:val="auto"/>
              </w:rPr>
            </w:pPr>
            <w:r>
              <w:rPr>
                <w:rFonts w:ascii="Arial" w:cs="Arial" w:eastAsia="Arial" w:hAnsi="Arial"/>
                <w:sz w:val="18"/>
                <w:szCs w:val="18"/>
                <w:color w:val="auto"/>
              </w:rPr>
              <w:t>Jonas Prising</w:t>
            </w:r>
          </w:p>
        </w:tc>
        <w:tc>
          <w:tcPr>
            <w:tcW w:w="8800" w:type="dxa"/>
            <w:vAlign w:val="bottom"/>
          </w:tcPr>
          <w:p>
            <w:pPr>
              <w:ind w:left="420"/>
              <w:spacing w:after="0"/>
              <w:rPr>
                <w:sz w:val="20"/>
                <w:szCs w:val="20"/>
                <w:color w:val="auto"/>
              </w:rPr>
            </w:pPr>
            <w:r>
              <w:rPr>
                <w:rFonts w:ascii="Arial" w:cs="Arial" w:eastAsia="Arial" w:hAnsi="Arial"/>
                <w:sz w:val="18"/>
                <w:szCs w:val="18"/>
                <w:color w:val="auto"/>
                <w:w w:val="94"/>
              </w:rPr>
              <w:t>Chairman of ManpowerGroup as of December 31, 2015. Chief Executive Officer of ManpowerGroup since May</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color w:val="auto"/>
              </w:rPr>
              <w:t>Age 51</w:t>
            </w:r>
          </w:p>
        </w:tc>
        <w:tc>
          <w:tcPr>
            <w:tcW w:w="8800" w:type="dxa"/>
            <w:vAlign w:val="bottom"/>
          </w:tcPr>
          <w:p>
            <w:pPr>
              <w:ind w:left="420"/>
              <w:spacing w:after="0"/>
              <w:rPr>
                <w:sz w:val="20"/>
                <w:szCs w:val="20"/>
                <w:color w:val="auto"/>
              </w:rPr>
            </w:pPr>
            <w:r>
              <w:rPr>
                <w:rFonts w:ascii="Arial" w:cs="Arial" w:eastAsia="Arial" w:hAnsi="Arial"/>
                <w:sz w:val="18"/>
                <w:szCs w:val="18"/>
                <w:color w:val="auto"/>
                <w:w w:val="97"/>
              </w:rPr>
              <w:t>2014. ManpowerGroup President from November 2012 to May 2014. Executive Vice President, President of</w:t>
            </w:r>
          </w:p>
        </w:tc>
      </w:tr>
      <w:tr>
        <w:trPr>
          <w:trHeight w:val="216"/>
        </w:trPr>
        <w:tc>
          <w:tcPr>
            <w:tcW w:w="26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w w:val="91"/>
              </w:rPr>
              <w:t>ManpowerGroup - the Americas from January 2009 to October 2012. Executive Vice President, President – United</w:t>
            </w:r>
          </w:p>
        </w:tc>
      </w:tr>
      <w:tr>
        <w:trPr>
          <w:trHeight w:val="216"/>
        </w:trPr>
        <w:tc>
          <w:tcPr>
            <w:tcW w:w="26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w w:val="92"/>
              </w:rPr>
              <w:t>States and Canadian Operations from January 2006 to December 2008. A director of ManpowerGroup since May</w:t>
            </w:r>
          </w:p>
        </w:tc>
      </w:tr>
      <w:tr>
        <w:trPr>
          <w:trHeight w:val="230"/>
        </w:trPr>
        <w:tc>
          <w:tcPr>
            <w:tcW w:w="26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w w:val="96"/>
              </w:rPr>
              <w:t>2014. An employee of ManpowerGroup since May 1999. A director of Kohl's Corporation since August 2015.</w:t>
            </w: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Darryl Green</w:t>
            </w:r>
          </w:p>
        </w:tc>
        <w:tc>
          <w:tcPr>
            <w:tcW w:w="8800" w:type="dxa"/>
            <w:vAlign w:val="bottom"/>
          </w:tcPr>
          <w:p>
            <w:pPr>
              <w:ind w:left="420"/>
              <w:spacing w:after="0"/>
              <w:rPr>
                <w:sz w:val="20"/>
                <w:szCs w:val="20"/>
                <w:color w:val="auto"/>
              </w:rPr>
            </w:pPr>
            <w:r>
              <w:rPr>
                <w:rFonts w:ascii="Arial" w:cs="Arial" w:eastAsia="Arial" w:hAnsi="Arial"/>
                <w:sz w:val="18"/>
                <w:szCs w:val="18"/>
                <w:color w:val="auto"/>
                <w:w w:val="97"/>
              </w:rPr>
              <w:t>President and Chief Operating Officer of ManpowerGroup since May 2014. ManpowerGroup President from</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color w:val="auto"/>
              </w:rPr>
              <w:t>Age 55</w:t>
            </w:r>
          </w:p>
        </w:tc>
        <w:tc>
          <w:tcPr>
            <w:tcW w:w="8800" w:type="dxa"/>
            <w:vAlign w:val="bottom"/>
          </w:tcPr>
          <w:p>
            <w:pPr>
              <w:ind w:left="420"/>
              <w:spacing w:after="0"/>
              <w:rPr>
                <w:sz w:val="20"/>
                <w:szCs w:val="20"/>
                <w:color w:val="auto"/>
              </w:rPr>
            </w:pPr>
            <w:r>
              <w:rPr>
                <w:rFonts w:ascii="Arial" w:cs="Arial" w:eastAsia="Arial" w:hAnsi="Arial"/>
                <w:sz w:val="18"/>
                <w:szCs w:val="18"/>
                <w:color w:val="auto"/>
                <w:w w:val="91"/>
              </w:rPr>
              <w:t>November 2012 to May 2014. Executive Vice President, President of Asia Pacific and Middle East Operations from</w:t>
            </w:r>
          </w:p>
        </w:tc>
      </w:tr>
      <w:tr>
        <w:trPr>
          <w:trHeight w:val="216"/>
        </w:trPr>
        <w:tc>
          <w:tcPr>
            <w:tcW w:w="26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w w:val="93"/>
              </w:rPr>
              <w:t>January 2009 to October 2012. Executive Vice President, President – Asia-Pacific Operations from May 2007 to</w:t>
            </w:r>
          </w:p>
        </w:tc>
      </w:tr>
      <w:tr>
        <w:trPr>
          <w:trHeight w:val="230"/>
        </w:trPr>
        <w:tc>
          <w:tcPr>
            <w:tcW w:w="26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December 2008. An employee of ManpowerGroup since May 2007.</w:t>
            </w:r>
          </w:p>
        </w:tc>
      </w:tr>
      <w:tr>
        <w:trPr>
          <w:trHeight w:val="580"/>
        </w:trPr>
        <w:tc>
          <w:tcPr>
            <w:tcW w:w="2620" w:type="dxa"/>
            <w:vAlign w:val="bottom"/>
          </w:tcPr>
          <w:p>
            <w:pPr>
              <w:ind w:left="40"/>
              <w:spacing w:after="0"/>
              <w:rPr>
                <w:sz w:val="20"/>
                <w:szCs w:val="20"/>
                <w:color w:val="auto"/>
              </w:rPr>
            </w:pPr>
            <w:r>
              <w:rPr>
                <w:rFonts w:ascii="Arial" w:cs="Arial" w:eastAsia="Arial" w:hAnsi="Arial"/>
                <w:sz w:val="18"/>
                <w:szCs w:val="18"/>
                <w:color w:val="auto"/>
              </w:rPr>
              <w:t>Michael J. Van Handel</w:t>
            </w:r>
          </w:p>
        </w:tc>
        <w:tc>
          <w:tcPr>
            <w:tcW w:w="8800" w:type="dxa"/>
            <w:vAlign w:val="bottom"/>
          </w:tcPr>
          <w:p>
            <w:pPr>
              <w:ind w:left="420"/>
              <w:spacing w:after="0"/>
              <w:rPr>
                <w:sz w:val="20"/>
                <w:szCs w:val="20"/>
                <w:color w:val="auto"/>
              </w:rPr>
            </w:pPr>
            <w:r>
              <w:rPr>
                <w:rFonts w:ascii="Arial" w:cs="Arial" w:eastAsia="Arial" w:hAnsi="Arial"/>
                <w:sz w:val="18"/>
                <w:szCs w:val="18"/>
                <w:color w:val="auto"/>
                <w:w w:val="98"/>
              </w:rPr>
              <w:t>Senior Executive Vice President of ManpowerGroup since February 2016. Executive Vice President, Chief</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color w:val="auto"/>
              </w:rPr>
              <w:t>Age 56</w:t>
            </w:r>
          </w:p>
        </w:tc>
        <w:tc>
          <w:tcPr>
            <w:tcW w:w="8800" w:type="dxa"/>
            <w:vAlign w:val="bottom"/>
          </w:tcPr>
          <w:p>
            <w:pPr>
              <w:ind w:left="420"/>
              <w:spacing w:after="0"/>
              <w:rPr>
                <w:sz w:val="20"/>
                <w:szCs w:val="20"/>
                <w:color w:val="auto"/>
              </w:rPr>
            </w:pPr>
            <w:r>
              <w:rPr>
                <w:rFonts w:ascii="Arial" w:cs="Arial" w:eastAsia="Arial" w:hAnsi="Arial"/>
                <w:sz w:val="18"/>
                <w:szCs w:val="18"/>
                <w:color w:val="auto"/>
                <w:w w:val="98"/>
              </w:rPr>
              <w:t>Financial Officer of ManpowerGroup from January 2008 to February 2016. Executive Vice President, Chief</w:t>
            </w:r>
          </w:p>
        </w:tc>
      </w:tr>
      <w:tr>
        <w:trPr>
          <w:trHeight w:val="216"/>
        </w:trPr>
        <w:tc>
          <w:tcPr>
            <w:tcW w:w="26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w w:val="96"/>
              </w:rPr>
              <w:t>Financial Officer and Secretary from April 2002 to January 2008. An employee of ManpowerGroup since May</w:t>
            </w:r>
          </w:p>
        </w:tc>
      </w:tr>
      <w:tr>
        <w:trPr>
          <w:trHeight w:val="216"/>
        </w:trPr>
        <w:tc>
          <w:tcPr>
            <w:tcW w:w="26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w w:val="93"/>
              </w:rPr>
              <w:t>1989. A director of BMO Financial Corp since 2006. A director of Cellular Dynamics International, Inc. from 2010</w:t>
            </w:r>
          </w:p>
        </w:tc>
      </w:tr>
      <w:tr>
        <w:trPr>
          <w:trHeight w:val="230"/>
        </w:trPr>
        <w:tc>
          <w:tcPr>
            <w:tcW w:w="26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to 2015.</w:t>
            </w: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John T. McGinnis</w:t>
            </w:r>
          </w:p>
        </w:tc>
        <w:tc>
          <w:tcPr>
            <w:tcW w:w="8800" w:type="dxa"/>
            <w:vAlign w:val="bottom"/>
          </w:tcPr>
          <w:p>
            <w:pPr>
              <w:ind w:left="420"/>
              <w:spacing w:after="0"/>
              <w:rPr>
                <w:sz w:val="20"/>
                <w:szCs w:val="20"/>
                <w:color w:val="auto"/>
              </w:rPr>
            </w:pPr>
            <w:r>
              <w:rPr>
                <w:rFonts w:ascii="Arial" w:cs="Arial" w:eastAsia="Arial" w:hAnsi="Arial"/>
                <w:sz w:val="18"/>
                <w:szCs w:val="18"/>
                <w:color w:val="auto"/>
                <w:w w:val="95"/>
              </w:rPr>
              <w:t>Executive Vice President, Chief Financial Officer of ManpowerGroup since February 2016. Global Controller of</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color w:val="auto"/>
              </w:rPr>
              <w:t>Age 49</w:t>
            </w:r>
          </w:p>
        </w:tc>
        <w:tc>
          <w:tcPr>
            <w:tcW w:w="8800" w:type="dxa"/>
            <w:vAlign w:val="bottom"/>
          </w:tcPr>
          <w:p>
            <w:pPr>
              <w:ind w:left="420"/>
              <w:spacing w:after="0"/>
              <w:rPr>
                <w:sz w:val="20"/>
                <w:szCs w:val="20"/>
                <w:color w:val="auto"/>
              </w:rPr>
            </w:pPr>
            <w:r>
              <w:rPr>
                <w:rFonts w:ascii="Arial" w:cs="Arial" w:eastAsia="Arial" w:hAnsi="Arial"/>
                <w:sz w:val="18"/>
                <w:szCs w:val="18"/>
                <w:color w:val="auto"/>
                <w:w w:val="96"/>
              </w:rPr>
              <w:t>Morgan Stanley from January 2014 to February 2016. Chief Financial Officer, HSBC North America from July</w:t>
            </w:r>
          </w:p>
        </w:tc>
      </w:tr>
      <w:tr>
        <w:trPr>
          <w:trHeight w:val="216"/>
        </w:trPr>
        <w:tc>
          <w:tcPr>
            <w:tcW w:w="26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w w:val="92"/>
              </w:rPr>
              <w:t>2012 to January 2014. Chief Financial Officer, HSBC Bank USA from July 2010 to January 2014. An employee of</w:t>
            </w:r>
          </w:p>
        </w:tc>
      </w:tr>
      <w:tr>
        <w:trPr>
          <w:trHeight w:val="230"/>
        </w:trPr>
        <w:tc>
          <w:tcPr>
            <w:tcW w:w="26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ManpowerGroup since February 2016.</w:t>
            </w: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Mara E. Swan</w:t>
            </w:r>
          </w:p>
        </w:tc>
        <w:tc>
          <w:tcPr>
            <w:tcW w:w="8800" w:type="dxa"/>
            <w:vAlign w:val="bottom"/>
          </w:tcPr>
          <w:p>
            <w:pPr>
              <w:ind w:left="420"/>
              <w:spacing w:after="0"/>
              <w:rPr>
                <w:sz w:val="20"/>
                <w:szCs w:val="20"/>
                <w:color w:val="auto"/>
              </w:rPr>
            </w:pPr>
            <w:r>
              <w:rPr>
                <w:rFonts w:ascii="Arial" w:cs="Arial" w:eastAsia="Arial" w:hAnsi="Arial"/>
                <w:sz w:val="18"/>
                <w:szCs w:val="18"/>
                <w:color w:val="auto"/>
                <w:w w:val="91"/>
              </w:rPr>
              <w:t>Executive Vice President - Global Strategy and Talent since January 2009. Senior Vice President of Global Human</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color w:val="auto"/>
              </w:rPr>
              <w:t>Age 56</w:t>
            </w:r>
          </w:p>
        </w:tc>
        <w:tc>
          <w:tcPr>
            <w:tcW w:w="8800" w:type="dxa"/>
            <w:vAlign w:val="bottom"/>
          </w:tcPr>
          <w:p>
            <w:pPr>
              <w:ind w:left="420"/>
              <w:spacing w:after="0"/>
              <w:rPr>
                <w:sz w:val="20"/>
                <w:szCs w:val="20"/>
                <w:color w:val="auto"/>
              </w:rPr>
            </w:pPr>
            <w:r>
              <w:rPr>
                <w:rFonts w:ascii="Arial" w:cs="Arial" w:eastAsia="Arial" w:hAnsi="Arial"/>
                <w:sz w:val="18"/>
                <w:szCs w:val="18"/>
                <w:color w:val="auto"/>
                <w:w w:val="92"/>
              </w:rPr>
              <w:t>Resources from August 2005 to December 2008. An employee of ManpowerGroup since August 2005. A director</w:t>
            </w:r>
          </w:p>
        </w:tc>
      </w:tr>
      <w:tr>
        <w:trPr>
          <w:trHeight w:val="230"/>
        </w:trPr>
        <w:tc>
          <w:tcPr>
            <w:tcW w:w="26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of GOJO Industries since November 2012.</w:t>
            </w: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Sriram “Ram” Chandrashekar</w:t>
            </w:r>
          </w:p>
        </w:tc>
        <w:tc>
          <w:tcPr>
            <w:tcW w:w="8800" w:type="dxa"/>
            <w:vAlign w:val="bottom"/>
          </w:tcPr>
          <w:p>
            <w:pPr>
              <w:ind w:left="420"/>
              <w:spacing w:after="0"/>
              <w:rPr>
                <w:sz w:val="20"/>
                <w:szCs w:val="20"/>
                <w:color w:val="auto"/>
              </w:rPr>
            </w:pPr>
            <w:r>
              <w:rPr>
                <w:rFonts w:ascii="Arial" w:cs="Arial" w:eastAsia="Arial" w:hAnsi="Arial"/>
                <w:sz w:val="18"/>
                <w:szCs w:val="18"/>
                <w:color w:val="auto"/>
                <w:w w:val="93"/>
              </w:rPr>
              <w:t>Executive Vice President, Operational Excellence and IT, and President of Asia Pacific Middle East Region since</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color w:val="auto"/>
              </w:rPr>
              <w:t>Age 49</w:t>
            </w:r>
          </w:p>
        </w:tc>
        <w:tc>
          <w:tcPr>
            <w:tcW w:w="8800" w:type="dxa"/>
            <w:vAlign w:val="bottom"/>
          </w:tcPr>
          <w:p>
            <w:pPr>
              <w:ind w:left="420"/>
              <w:spacing w:after="0"/>
              <w:rPr>
                <w:sz w:val="20"/>
                <w:szCs w:val="20"/>
                <w:color w:val="auto"/>
              </w:rPr>
            </w:pPr>
            <w:r>
              <w:rPr>
                <w:rFonts w:ascii="Arial" w:cs="Arial" w:eastAsia="Arial" w:hAnsi="Arial"/>
                <w:sz w:val="18"/>
                <w:szCs w:val="18"/>
                <w:color w:val="auto"/>
                <w:w w:val="91"/>
              </w:rPr>
              <w:t>February 2014. Senior Vice President of Operational Excellence and IT from October 2012 to February 2014. Chief</w:t>
            </w:r>
          </w:p>
        </w:tc>
      </w:tr>
      <w:tr>
        <w:trPr>
          <w:trHeight w:val="216"/>
        </w:trPr>
        <w:tc>
          <w:tcPr>
            <w:tcW w:w="26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Operating Officer of Asia Pacific Middle East Region from April 2008 to October 2012. An employee of</w:t>
            </w:r>
          </w:p>
        </w:tc>
      </w:tr>
      <w:tr>
        <w:trPr>
          <w:trHeight w:val="230"/>
        </w:trPr>
        <w:tc>
          <w:tcPr>
            <w:tcW w:w="26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ManpowerGroup since April 2008.</w:t>
            </w: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Richard D. Buchband</w:t>
            </w:r>
          </w:p>
        </w:tc>
        <w:tc>
          <w:tcPr>
            <w:tcW w:w="8800" w:type="dxa"/>
            <w:vAlign w:val="bottom"/>
          </w:tcPr>
          <w:p>
            <w:pPr>
              <w:ind w:left="420"/>
              <w:spacing w:after="0"/>
              <w:rPr>
                <w:sz w:val="20"/>
                <w:szCs w:val="20"/>
                <w:color w:val="auto"/>
              </w:rPr>
            </w:pPr>
            <w:r>
              <w:rPr>
                <w:rFonts w:ascii="Arial" w:cs="Arial" w:eastAsia="Arial" w:hAnsi="Arial"/>
                <w:sz w:val="18"/>
                <w:szCs w:val="18"/>
                <w:color w:val="auto"/>
                <w:w w:val="94"/>
              </w:rPr>
              <w:t>Senior Vice President, General Counsel and Secretary of ManpowerGroup since January 2013. Prior to joining</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color w:val="auto"/>
              </w:rPr>
              <w:t>Age 52</w:t>
            </w:r>
          </w:p>
        </w:tc>
        <w:tc>
          <w:tcPr>
            <w:tcW w:w="8800" w:type="dxa"/>
            <w:vAlign w:val="bottom"/>
          </w:tcPr>
          <w:p>
            <w:pPr>
              <w:ind w:left="420"/>
              <w:spacing w:after="0"/>
              <w:rPr>
                <w:sz w:val="20"/>
                <w:szCs w:val="20"/>
                <w:color w:val="auto"/>
              </w:rPr>
            </w:pPr>
            <w:r>
              <w:rPr>
                <w:rFonts w:ascii="Arial" w:cs="Arial" w:eastAsia="Arial" w:hAnsi="Arial"/>
                <w:sz w:val="18"/>
                <w:szCs w:val="18"/>
                <w:color w:val="auto"/>
                <w:w w:val="92"/>
              </w:rPr>
              <w:t>ManpowerGroup, a partner and Associate General Counsel for Accenture plc from 2006 to 2011. An employee of</w:t>
            </w:r>
          </w:p>
        </w:tc>
      </w:tr>
      <w:tr>
        <w:trPr>
          <w:trHeight w:val="230"/>
        </w:trPr>
        <w:tc>
          <w:tcPr>
            <w:tcW w:w="26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ManpowerGroup since January 2013.</w:t>
            </w:r>
          </w:p>
        </w:tc>
      </w:tr>
      <w:tr>
        <w:trPr>
          <w:trHeight w:val="486"/>
        </w:trPr>
        <w:tc>
          <w:tcPr>
            <w:tcW w:w="2620" w:type="dxa"/>
            <w:vAlign w:val="bottom"/>
          </w:tcPr>
          <w:p>
            <w:pPr>
              <w:spacing w:after="0"/>
              <w:rPr>
                <w:sz w:val="24"/>
                <w:szCs w:val="24"/>
                <w:color w:val="auto"/>
              </w:rPr>
            </w:pPr>
          </w:p>
        </w:tc>
        <w:tc>
          <w:tcPr>
            <w:tcW w:w="8800" w:type="dxa"/>
            <w:vAlign w:val="bottom"/>
          </w:tcPr>
          <w:p>
            <w:pPr>
              <w:jc w:val="center"/>
              <w:ind w:right="2530"/>
              <w:spacing w:after="0"/>
              <w:rPr>
                <w:sz w:val="20"/>
                <w:szCs w:val="20"/>
                <w:color w:val="auto"/>
              </w:rPr>
            </w:pPr>
            <w:r>
              <w:rPr>
                <w:rFonts w:ascii="Arial" w:cs="Arial" w:eastAsia="Arial" w:hAnsi="Arial"/>
                <w:sz w:val="18"/>
                <w:szCs w:val="18"/>
                <w:color w:val="auto"/>
                <w:w w:val="89"/>
              </w:rPr>
              <w:t>20</w:t>
            </w:r>
          </w:p>
        </w:tc>
      </w:tr>
    </w:tbl>
    <w:p>
      <w:pPr>
        <w:sectPr>
          <w:pgSz w:w="11900" w:h="16838" w:orient="portrait"/>
          <w:cols w:equalWidth="0" w:num="1">
            <w:col w:w="11420"/>
          </w:cols>
          <w:pgMar w:left="240" w:top="580" w:right="239" w:bottom="1440" w:gutter="0" w:footer="0" w:header="0"/>
        </w:sectPr>
      </w:pPr>
    </w:p>
    <w:bookmarkStart w:id="20" w:name="page21"/>
    <w:bookmarkEnd w:id="20"/>
    <w:p>
      <w:pPr>
        <w:ind w:left="472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in 2015:</w:t>
      </w:r>
    </w:p>
    <w:p>
      <w:pPr>
        <w:spacing w:after="0" w:line="17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preparation of a comfort letter for our debt offering.</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580" w:right="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October 2015 and December 2012, the Board of Directors authorized the repurchase of 6.0 million and 8.0 million shares of our common stock, respectively. Share repurchases may be made from time to time through a variety of methods, including open market purchases, block transactions, privately negotiated transactions or similar facilities. As of December 31, 2015, there were 5.3 million shares remaining authorized for repurchase under the 2015 authorization and no shares remaining under the 2012 authorization. As of December 31, 2015, there were also a nominal amount of shares we repurchased under the 2015 authorization that did not settle until early January 2016 and which are not included as share repurchases in 2015. The following table shows the total amount of shares repurchased under this authorization during the fourth quarter of 2015.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264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number of</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price paid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announced plan or</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 plan or</w:t>
            </w:r>
          </w:p>
        </w:tc>
      </w:tr>
      <w:tr>
        <w:trPr>
          <w:trHeight w:val="234"/>
        </w:trPr>
        <w:tc>
          <w:tcPr>
            <w:tcW w:w="2640" w:type="dxa"/>
            <w:vAlign w:val="bottom"/>
          </w:tcPr>
          <w:p>
            <w:pPr>
              <w:spacing w:after="0"/>
              <w:rPr>
                <w:sz w:val="20"/>
                <w:szCs w:val="20"/>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 purchased</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programs</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r>
      <w:tr>
        <w:trPr>
          <w:trHeight w:val="34"/>
        </w:trPr>
        <w:tc>
          <w:tcPr>
            <w:tcW w:w="26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1 - 31, 2015</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6,000,000</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November 1 - 30, 2015</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179,592</w:t>
            </w:r>
          </w:p>
        </w:tc>
        <w:tc>
          <w:tcPr>
            <w:tcW w:w="4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89.44</w:t>
            </w:r>
          </w:p>
        </w:tc>
        <w:tc>
          <w:tcPr>
            <w:tcW w:w="12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179,592</w:t>
            </w:r>
          </w:p>
        </w:tc>
        <w:tc>
          <w:tcPr>
            <w:tcW w:w="1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5,820,408</w:t>
            </w:r>
          </w:p>
        </w:tc>
      </w:tr>
      <w:tr>
        <w:trPr>
          <w:trHeight w:val="27"/>
        </w:trPr>
        <w:tc>
          <w:tcPr>
            <w:tcW w:w="2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1 - 31, 2015</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502,625</w:t>
            </w:r>
          </w:p>
        </w:tc>
        <w:tc>
          <w:tcPr>
            <w:tcW w:w="4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85.64</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477,360</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5,343,048</w:t>
            </w:r>
          </w:p>
        </w:tc>
      </w:tr>
      <w:tr>
        <w:trPr>
          <w:trHeight w:val="27"/>
        </w:trPr>
        <w:tc>
          <w:tcPr>
            <w:tcW w:w="26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right="60" w:hanging="252"/>
        <w:spacing w:after="0" w:line="277" w:lineRule="auto"/>
        <w:tabs>
          <w:tab w:leader="none" w:pos="2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25,265 shares of common stock withheld by ManpowerGroup to satisfy tax withholding obligations on shares acquired by certain officers in settlement of restricted stock.</w:t>
      </w:r>
    </w:p>
    <w:p>
      <w:pPr>
        <w:spacing w:after="0" w:line="17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remaining information required by this Item is set forth in our Annual Report to Shareholders for the fiscal year ended December 31, 2015, under the heading “Note 15—Quarterly Data” (page 82) and “Corporate Information” (pages 85 to 86), which information is hereby incorporated herein by reference.</w:t>
      </w:r>
    </w:p>
    <w:p>
      <w:pPr>
        <w:spacing w:after="0" w:line="3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2015, under the heading “Selected Financial Data” (page 83), which information is hereby incorporated herein by reference.</w:t>
      </w:r>
    </w:p>
    <w:p>
      <w:pPr>
        <w:spacing w:after="0" w:line="3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2015, under the heading “Management’s Discussion and Analysis of Financial Condition and Results of Operations” (pages 14 to 41), which information is hereby incorporated herein by reference.</w:t>
      </w:r>
    </w:p>
    <w:p>
      <w:pPr>
        <w:spacing w:after="0" w:line="3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2015, under the heading “Significant Matters Affecting Results of Operations” (pages 37 to 41), which information is hereby incorporated herein by reference.</w:t>
      </w:r>
    </w:p>
    <w:p>
      <w:pPr>
        <w:spacing w:after="0" w:line="35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set forth in the financial statements and the notes thereto (pages 45 to 82) contained in our Annual Report to Shareholders for the fiscal year ended December 31, 2015, which information is hereby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were effective as of the end of the period covered by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Management Report on Internal Control Over Financial Reporting is set forth on page 42 in our Annual Report to Shareholders for the fiscal year ended December 31, 2015, which information is hereby incorporated herein by reference. The Independent Registered Public Accounting Firm’s report with respect to the effectiveness of internal control over financial reporting is included on page 44 of our Annual Report to Shareholders for the year ended December 31, 2015, which information is hereby incorporated herein by reference.</w:t>
      </w:r>
    </w:p>
    <w:p>
      <w:pPr>
        <w:spacing w:after="0" w:line="18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3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796" w:right="279" w:bottom="1440" w:gutter="0" w:footer="0" w:header="0"/>
        </w:sectPr>
      </w:pPr>
    </w:p>
    <w:bookmarkStart w:id="23" w:name="page24"/>
    <w:bookmarkEnd w:id="23"/>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ManpowerGroup” in Part I after Item 4.</w:t>
      </w:r>
    </w:p>
    <w:p>
      <w:pPr>
        <w:spacing w:after="0" w:line="225" w:lineRule="exact"/>
        <w:rPr>
          <w:rFonts w:ascii="Arial" w:cs="Arial" w:eastAsia="Arial" w:hAnsi="Arial"/>
          <w:sz w:val="18"/>
          <w:szCs w:val="18"/>
          <w:color w:val="auto"/>
        </w:rPr>
      </w:pPr>
    </w:p>
    <w:p>
      <w:pPr>
        <w:ind w:left="740" w:right="240" w:hanging="327"/>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May 3, 2016 under the caption “Election of Directors,” which information is hereby incorporated herein by reference.</w:t>
      </w:r>
    </w:p>
    <w:p>
      <w:pPr>
        <w:spacing w:after="0" w:line="170" w:lineRule="exact"/>
        <w:rPr>
          <w:rFonts w:ascii="Arial" w:cs="Arial" w:eastAsia="Arial" w:hAnsi="Arial"/>
          <w:sz w:val="18"/>
          <w:szCs w:val="18"/>
          <w:color w:val="auto"/>
        </w:rPr>
      </w:pPr>
    </w:p>
    <w:p>
      <w:pPr>
        <w:ind w:left="740" w:right="60" w:hanging="327"/>
        <w:spacing w:after="0" w:line="26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directors has determined that each of Gina R. Boswell, chairman of the audit committee, Roberto Mendoza and Paul Read is an “audit committee financial expert.” Ms. Boswell, Mr. Mendoza and Mr. Read are all “independent” as that term is used in Item 7(d)(3)(iv) of Schedule 14A under the Securities Exchange Act of 1934.</w:t>
      </w:r>
    </w:p>
    <w:p>
      <w:pPr>
        <w:spacing w:after="0" w:line="181" w:lineRule="exact"/>
        <w:rPr>
          <w:rFonts w:ascii="Arial" w:cs="Arial" w:eastAsia="Arial" w:hAnsi="Arial"/>
          <w:sz w:val="18"/>
          <w:szCs w:val="18"/>
          <w:color w:val="auto"/>
        </w:rPr>
      </w:pPr>
    </w:p>
    <w:p>
      <w:pPr>
        <w:ind w:left="740" w:right="200" w:hanging="327"/>
        <w:spacing w:after="0" w:line="342"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Audit Committee. The information required by this Item is set forth in our Proxy Statement for the Annual Meeting of Shareholders to be held on May 3, 2016 under the caption “Meetings and Committees of the Board,” which information is hereby incorporated herein by reference.</w:t>
      </w:r>
    </w:p>
    <w:p>
      <w:pPr>
        <w:spacing w:after="0" w:line="123" w:lineRule="exact"/>
        <w:rPr>
          <w:rFonts w:ascii="Arial" w:cs="Arial" w:eastAsia="Arial" w:hAnsi="Arial"/>
          <w:sz w:val="16"/>
          <w:szCs w:val="16"/>
          <w:color w:val="auto"/>
        </w:rPr>
      </w:pPr>
    </w:p>
    <w:p>
      <w:pPr>
        <w:ind w:left="740" w:hanging="327"/>
        <w:spacing w:after="0" w:line="26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May 3, 2016 under the caption “Section 16(a) Beneficial Ownership Reporting Compliance,” which information is hereby incorporated herein by reference.</w:t>
      </w:r>
    </w:p>
    <w:p>
      <w:pPr>
        <w:spacing w:after="0" w:line="181" w:lineRule="exact"/>
        <w:rPr>
          <w:rFonts w:ascii="Arial" w:cs="Arial" w:eastAsia="Arial" w:hAnsi="Arial"/>
          <w:sz w:val="18"/>
          <w:szCs w:val="18"/>
          <w:color w:val="auto"/>
        </w:rPr>
      </w:pPr>
    </w:p>
    <w:p>
      <w:pPr>
        <w:ind w:left="740" w:right="20" w:hanging="327"/>
        <w:spacing w:after="0" w:line="276"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38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3, 2016, under the caption “Executive and Director Compensation”; under the caption “Executive Compensation and Human Resources Committee Interlocks and Insider Participation”; and under the caption “Report of the Executive Compensation and Human Resources Committee of the Board of Directors,” which information is hereby incorporated herein by reference.</w:t>
      </w:r>
    </w:p>
    <w:p>
      <w:pPr>
        <w:spacing w:after="0" w:line="39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3, 2016, under the caption “Security Ownership of Certain Beneficial Owners,” under the caption “Beneficial Ownership of Directors and Executive Officers” and under the caption "Re-approval of the Material Terms of the Performance Goals Under the 2011 Equity Incentive Plan of ManpowerGroup Inc. - Equity Compensation Plan Information," which information is hereby incorporated herein by reference.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ind w:right="280" w:firstLine="486"/>
        <w:spacing w:after="0" w:line="277" w:lineRule="auto"/>
        <w:rPr>
          <w:sz w:val="20"/>
          <w:szCs w:val="20"/>
          <w:color w:val="auto"/>
        </w:rPr>
      </w:pPr>
      <w:r>
        <w:rPr>
          <w:rFonts w:ascii="Arial" w:cs="Arial" w:eastAsia="Arial" w:hAnsi="Arial"/>
          <w:sz w:val="18"/>
          <w:szCs w:val="18"/>
          <w:color w:val="auto"/>
        </w:rPr>
        <w:t>The following table sets forth information as of December 31, 2015 about shares of our common stock outstanding and available for issuance under our existing equity compensation plans.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27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average contractual</w:t>
            </w:r>
          </w:p>
        </w:tc>
        <w:tc>
          <w:tcPr>
            <w:tcW w:w="27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 of</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remaining</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2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Weighted-average exercise price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outstanding options,</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available for future issuance under</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to be issued upon exercise of</w:t>
            </w:r>
          </w:p>
        </w:tc>
        <w:tc>
          <w:tcPr>
            <w:tcW w:w="140" w:type="dxa"/>
            <w:vAlign w:val="bottom"/>
          </w:tcPr>
          <w:p>
            <w:pPr>
              <w:spacing w:after="0"/>
              <w:rPr>
                <w:sz w:val="18"/>
                <w:szCs w:val="18"/>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of</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 and rights</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 plans as</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outstanding options, warrants</w:t>
            </w:r>
          </w:p>
        </w:tc>
        <w:tc>
          <w:tcPr>
            <w:tcW w:w="2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outstanding options, warrants and</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as of December 31,</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of December 31, 2015</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and rights as</w:t>
            </w:r>
          </w:p>
        </w:tc>
        <w:tc>
          <w:tcPr>
            <w:tcW w:w="140" w:type="dxa"/>
            <w:vAlign w:val="bottom"/>
          </w:tcPr>
          <w:p>
            <w:pPr>
              <w:spacing w:after="0"/>
              <w:rPr>
                <w:sz w:val="18"/>
                <w:szCs w:val="18"/>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rights as of December 31, 2015</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 securities reflected in</w:t>
            </w:r>
          </w:p>
        </w:tc>
      </w:tr>
      <w:tr>
        <w:trPr>
          <w:trHeight w:val="268"/>
        </w:trPr>
        <w:tc>
          <w:tcPr>
            <w:tcW w:w="15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Borders>
              <w:bottom w:val="single" w:sz="8" w:color="CCEEFF"/>
            </w:tcBorders>
          </w:tcPr>
          <w:p>
            <w:pPr>
              <w:spacing w:after="0"/>
              <w:rPr>
                <w:sz w:val="23"/>
                <w:szCs w:val="2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December 31, 2015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Borders>
              <w:bottom w:val="single" w:sz="8" w:color="CCEEFF"/>
            </w:tcBorders>
          </w:tcPr>
          <w:p>
            <w:pPr>
              <w:spacing w:after="0"/>
              <w:rPr>
                <w:sz w:val="23"/>
                <w:szCs w:val="23"/>
                <w:color w:val="auto"/>
              </w:rPr>
            </w:pPr>
          </w:p>
        </w:tc>
        <w:tc>
          <w:tcPr>
            <w:tcW w:w="27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the first column)</w:t>
            </w:r>
            <w:r>
              <w:rPr>
                <w:rFonts w:ascii="Arial" w:cs="Arial" w:eastAsia="Arial" w:hAnsi="Arial"/>
                <w:sz w:val="25"/>
                <w:szCs w:val="25"/>
                <w:b w:val="1"/>
                <w:bCs w:val="1"/>
                <w:color w:val="auto"/>
                <w:w w:val="87"/>
                <w:vertAlign w:val="superscript"/>
              </w:rPr>
              <w:t>(1)</w:t>
            </w:r>
          </w:p>
        </w:tc>
      </w:tr>
      <w:tr>
        <w:trPr>
          <w:trHeight w:val="229"/>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r>
      <w:tr>
        <w:trPr>
          <w:trHeight w:val="216"/>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compensation plans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16"/>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 by</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37"/>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2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2,505,301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69.91</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4,442,210</w:t>
            </w:r>
          </w:p>
        </w:tc>
      </w:tr>
      <w:tr>
        <w:trPr>
          <w:trHeight w:val="229"/>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w w:val="97"/>
              </w:rPr>
              <w:t>compensation plans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not approved by</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security holders</w:t>
            </w:r>
          </w:p>
        </w:tc>
        <w:tc>
          <w:tcPr>
            <w:tcW w:w="2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4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2,505,301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69.91</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2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4,442,210</w:t>
            </w:r>
          </w:p>
        </w:tc>
      </w:tr>
      <w:tr>
        <w:trPr>
          <w:trHeight w:val="27"/>
        </w:trPr>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number of shares remaining available for future issuance under the following plans: 1990 Employee Stock Purchase Plan – 169,701 shares; Savings Related Share Option Scheme – 702,524 shares; and 2011 Equity Incentive Plan – 3,569,985 shares.</w:t>
      </w:r>
    </w:p>
    <w:p>
      <w:pPr>
        <w:spacing w:after="0" w:line="3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3, 2016, under the caption “Board Independence and Related Party Transactions” and “Meetings and Committees of the Board,” which information is hereby incorporated herein by reference.</w:t>
      </w:r>
    </w:p>
    <w:p>
      <w:pPr>
        <w:spacing w:after="0" w:line="3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3, 2016, under the captions “Audit Fees,” “Audit-Related Fees,” “Tax Fees,” “All Other Fees” and “Approval Procedures” in the Audit Committee Report, which information is hereby incorporated herein by reference.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020" w:type="dxa"/>
            <w:vAlign w:val="bottom"/>
          </w:tcPr>
          <w:p>
            <w:pPr>
              <w:ind w:left="4200"/>
              <w:spacing w:after="0"/>
              <w:rPr>
                <w:sz w:val="20"/>
                <w:szCs w:val="20"/>
                <w:color w:val="auto"/>
              </w:rPr>
            </w:pPr>
            <w:r>
              <w:rPr>
                <w:rFonts w:ascii="Arial" w:cs="Arial" w:eastAsia="Arial" w:hAnsi="Arial"/>
                <w:sz w:val="18"/>
                <w:szCs w:val="18"/>
                <w:b w:val="1"/>
                <w:bCs w:val="1"/>
                <w:color w:val="auto"/>
              </w:rPr>
              <w:t>PART IV</w:t>
            </w:r>
          </w:p>
        </w:tc>
        <w:tc>
          <w:tcPr>
            <w:tcW w:w="200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8020" w:type="dxa"/>
            <w:vAlign w:val="bottom"/>
          </w:tcPr>
          <w:p>
            <w:pPr>
              <w:ind w:left="60"/>
              <w:spacing w:after="0"/>
              <w:rPr>
                <w:sz w:val="20"/>
                <w:szCs w:val="20"/>
                <w:color w:val="auto"/>
              </w:rPr>
            </w:pPr>
            <w:r>
              <w:rPr>
                <w:rFonts w:ascii="Arial" w:cs="Arial" w:eastAsia="Arial" w:hAnsi="Arial"/>
                <w:sz w:val="18"/>
                <w:szCs w:val="18"/>
                <w:b w:val="1"/>
                <w:bCs w:val="1"/>
                <w:color w:val="auto"/>
              </w:rPr>
              <w:t>Exhibits and Financial Statement Schedules.</w:t>
            </w:r>
          </w:p>
        </w:tc>
        <w:tc>
          <w:tcPr>
            <w:tcW w:w="2000" w:type="dxa"/>
            <w:vAlign w:val="bottom"/>
          </w:tcPr>
          <w:p>
            <w:pPr>
              <w:spacing w:after="0"/>
              <w:rPr>
                <w:sz w:val="24"/>
                <w:szCs w:val="24"/>
                <w:color w:val="auto"/>
              </w:rPr>
            </w:pPr>
          </w:p>
        </w:tc>
      </w:tr>
      <w:tr>
        <w:trPr>
          <w:trHeight w:val="432"/>
        </w:trPr>
        <w:tc>
          <w:tcPr>
            <w:tcW w:w="9180" w:type="dxa"/>
            <w:vAlign w:val="bottom"/>
            <w:gridSpan w:val="2"/>
          </w:tcPr>
          <w:p>
            <w:pPr>
              <w:spacing w:after="0"/>
              <w:rPr>
                <w:sz w:val="20"/>
                <w:szCs w:val="20"/>
                <w:color w:val="auto"/>
              </w:rPr>
            </w:pPr>
            <w:r>
              <w:rPr>
                <w:rFonts w:ascii="Arial" w:cs="Arial" w:eastAsia="Arial" w:hAnsi="Arial"/>
                <w:sz w:val="18"/>
                <w:szCs w:val="18"/>
                <w:color w:val="auto"/>
              </w:rPr>
              <w:t>(a)(1) Financial Statements.</w:t>
            </w:r>
          </w:p>
        </w:tc>
        <w:tc>
          <w:tcPr>
            <w:tcW w:w="2000" w:type="dxa"/>
            <w:vAlign w:val="bottom"/>
          </w:tcPr>
          <w:p>
            <w:pPr>
              <w:spacing w:after="0"/>
              <w:rPr>
                <w:sz w:val="24"/>
                <w:szCs w:val="24"/>
                <w:color w:val="auto"/>
              </w:rPr>
            </w:pPr>
          </w:p>
        </w:tc>
      </w:tr>
      <w:tr>
        <w:trPr>
          <w:trHeight w:val="360"/>
        </w:trPr>
        <w:tc>
          <w:tcPr>
            <w:tcW w:w="11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00" w:type="dxa"/>
            <w:vAlign w:val="bottom"/>
          </w:tcPr>
          <w:p>
            <w:pPr>
              <w:ind w:left="720"/>
              <w:spacing w:after="0"/>
              <w:rPr>
                <w:sz w:val="20"/>
                <w:szCs w:val="20"/>
                <w:color w:val="auto"/>
              </w:rPr>
            </w:pPr>
            <w:r>
              <w:rPr>
                <w:rFonts w:ascii="Arial" w:cs="Arial" w:eastAsia="Arial" w:hAnsi="Arial"/>
                <w:sz w:val="18"/>
                <w:szCs w:val="18"/>
                <w:b w:val="1"/>
                <w:bCs w:val="1"/>
                <w:color w:val="auto"/>
                <w:w w:val="91"/>
              </w:rPr>
              <w:t>Page Number(s)</w:t>
            </w:r>
          </w:p>
        </w:tc>
      </w:tr>
      <w:tr>
        <w:trPr>
          <w:trHeight w:val="216"/>
        </w:trPr>
        <w:tc>
          <w:tcPr>
            <w:tcW w:w="116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000" w:type="dxa"/>
            <w:vAlign w:val="bottom"/>
          </w:tcPr>
          <w:p>
            <w:pPr>
              <w:ind w:left="660"/>
              <w:spacing w:after="0"/>
              <w:rPr>
                <w:sz w:val="20"/>
                <w:szCs w:val="20"/>
                <w:color w:val="auto"/>
              </w:rPr>
            </w:pPr>
            <w:r>
              <w:rPr>
                <w:rFonts w:ascii="Arial" w:cs="Arial" w:eastAsia="Arial" w:hAnsi="Arial"/>
                <w:sz w:val="18"/>
                <w:szCs w:val="18"/>
                <w:b w:val="1"/>
                <w:bCs w:val="1"/>
                <w:color w:val="auto"/>
                <w:w w:val="90"/>
              </w:rPr>
              <w:t>in Annual Report</w:t>
            </w:r>
          </w:p>
        </w:tc>
      </w:tr>
      <w:tr>
        <w:trPr>
          <w:trHeight w:val="234"/>
        </w:trPr>
        <w:tc>
          <w:tcPr>
            <w:tcW w:w="116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2000" w:type="dxa"/>
            <w:vAlign w:val="bottom"/>
          </w:tcPr>
          <w:p>
            <w:pPr>
              <w:ind w:left="720"/>
              <w:spacing w:after="0"/>
              <w:rPr>
                <w:sz w:val="20"/>
                <w:szCs w:val="20"/>
                <w:color w:val="auto"/>
              </w:rPr>
            </w:pPr>
            <w:r>
              <w:rPr>
                <w:rFonts w:ascii="Arial" w:cs="Arial" w:eastAsia="Arial" w:hAnsi="Arial"/>
                <w:sz w:val="18"/>
                <w:szCs w:val="18"/>
                <w:b w:val="1"/>
                <w:bCs w:val="1"/>
                <w:color w:val="auto"/>
                <w:w w:val="91"/>
              </w:rPr>
              <w:t>to Shareholders</w:t>
            </w:r>
          </w:p>
        </w:tc>
      </w:tr>
      <w:tr>
        <w:trPr>
          <w:trHeight w:val="270"/>
        </w:trPr>
        <w:tc>
          <w:tcPr>
            <w:tcW w:w="9180" w:type="dxa"/>
            <w:vAlign w:val="bottom"/>
            <w:gridSpan w:val="2"/>
          </w:tcPr>
          <w:p>
            <w:pPr>
              <w:ind w:left="40"/>
              <w:spacing w:after="0"/>
              <w:rPr>
                <w:sz w:val="20"/>
                <w:szCs w:val="20"/>
                <w:color w:val="auto"/>
              </w:rPr>
            </w:pPr>
            <w:r>
              <w:rPr>
                <w:rFonts w:ascii="Arial" w:cs="Arial" w:eastAsia="Arial" w:hAnsi="Arial"/>
                <w:sz w:val="18"/>
                <w:szCs w:val="18"/>
                <w:color w:val="auto"/>
                <w:w w:val="96"/>
              </w:rPr>
              <w:t>Consolidated Financial Statements (data incorporated by reference from the attached Annual Report to Shareholders):</w:t>
            </w:r>
          </w:p>
        </w:tc>
        <w:tc>
          <w:tcPr>
            <w:tcW w:w="2000" w:type="dxa"/>
            <w:vAlign w:val="bottom"/>
          </w:tcPr>
          <w:p>
            <w:pPr>
              <w:spacing w:after="0"/>
              <w:rPr>
                <w:sz w:val="23"/>
                <w:szCs w:val="23"/>
                <w:color w:val="auto"/>
              </w:rPr>
            </w:pPr>
          </w:p>
        </w:tc>
      </w:tr>
      <w:tr>
        <w:trPr>
          <w:trHeight w:val="540"/>
        </w:trPr>
        <w:tc>
          <w:tcPr>
            <w:tcW w:w="9180" w:type="dxa"/>
            <w:vAlign w:val="bottom"/>
            <w:gridSpan w:val="2"/>
          </w:tcPr>
          <w:p>
            <w:pPr>
              <w:ind w:left="600"/>
              <w:spacing w:after="0"/>
              <w:rPr>
                <w:sz w:val="20"/>
                <w:szCs w:val="20"/>
                <w:color w:val="auto"/>
              </w:rPr>
            </w:pPr>
            <w:r>
              <w:rPr>
                <w:rFonts w:ascii="Arial" w:cs="Arial" w:eastAsia="Arial" w:hAnsi="Arial"/>
                <w:sz w:val="18"/>
                <w:szCs w:val="18"/>
                <w:color w:val="auto"/>
              </w:rPr>
              <w:t>Reports of Independent Registered Public Accounting Firm</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1"/>
              </w:rPr>
              <w:t>43-44</w:t>
            </w:r>
          </w:p>
        </w:tc>
      </w:tr>
      <w:tr>
        <w:trPr>
          <w:trHeight w:val="540"/>
        </w:trPr>
        <w:tc>
          <w:tcPr>
            <w:tcW w:w="9180" w:type="dxa"/>
            <w:vAlign w:val="bottom"/>
            <w:gridSpan w:val="2"/>
          </w:tcPr>
          <w:p>
            <w:pPr>
              <w:ind w:left="600"/>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89"/>
              </w:rPr>
              <w:t>45</w:t>
            </w:r>
          </w:p>
        </w:tc>
      </w:tr>
      <w:tr>
        <w:trPr>
          <w:trHeight w:val="540"/>
        </w:trPr>
        <w:tc>
          <w:tcPr>
            <w:tcW w:w="9180" w:type="dxa"/>
            <w:vAlign w:val="bottom"/>
            <w:gridSpan w:val="2"/>
          </w:tcPr>
          <w:p>
            <w:pPr>
              <w:ind w:left="600"/>
              <w:spacing w:after="0"/>
              <w:rPr>
                <w:sz w:val="20"/>
                <w:szCs w:val="20"/>
                <w:color w:val="auto"/>
              </w:rPr>
            </w:pPr>
            <w:r>
              <w:rPr>
                <w:rFonts w:ascii="Arial" w:cs="Arial" w:eastAsia="Arial" w:hAnsi="Arial"/>
                <w:sz w:val="18"/>
                <w:szCs w:val="18"/>
                <w:color w:val="auto"/>
                <w:w w:val="98"/>
              </w:rPr>
              <w:t>Consolidated Statements of Comprehensive Income for the years ended December 31, 2015, 2014 and 2013</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89"/>
              </w:rPr>
              <w:t>45</w:t>
            </w:r>
          </w:p>
        </w:tc>
      </w:tr>
      <w:tr>
        <w:trPr>
          <w:trHeight w:val="540"/>
        </w:trPr>
        <w:tc>
          <w:tcPr>
            <w:tcW w:w="9180" w:type="dxa"/>
            <w:vAlign w:val="bottom"/>
            <w:gridSpan w:val="2"/>
          </w:tcPr>
          <w:p>
            <w:pPr>
              <w:ind w:left="600"/>
              <w:spacing w:after="0"/>
              <w:rPr>
                <w:sz w:val="20"/>
                <w:szCs w:val="20"/>
                <w:color w:val="auto"/>
              </w:rPr>
            </w:pPr>
            <w:r>
              <w:rPr>
                <w:rFonts w:ascii="Arial" w:cs="Arial" w:eastAsia="Arial" w:hAnsi="Arial"/>
                <w:sz w:val="18"/>
                <w:szCs w:val="18"/>
                <w:color w:val="auto"/>
              </w:rPr>
              <w:t>Consolidated Balance Sheets as of December 31, 2015 and 2014</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89"/>
              </w:rPr>
              <w:t>46</w:t>
            </w:r>
          </w:p>
        </w:tc>
      </w:tr>
      <w:tr>
        <w:trPr>
          <w:trHeight w:val="540"/>
        </w:trPr>
        <w:tc>
          <w:tcPr>
            <w:tcW w:w="9180" w:type="dxa"/>
            <w:vAlign w:val="bottom"/>
            <w:gridSpan w:val="2"/>
          </w:tcPr>
          <w:p>
            <w:pPr>
              <w:ind w:left="600"/>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89"/>
              </w:rPr>
              <w:t>47</w:t>
            </w:r>
          </w:p>
        </w:tc>
      </w:tr>
      <w:tr>
        <w:trPr>
          <w:trHeight w:val="540"/>
        </w:trPr>
        <w:tc>
          <w:tcPr>
            <w:tcW w:w="9180" w:type="dxa"/>
            <w:vAlign w:val="bottom"/>
            <w:gridSpan w:val="2"/>
          </w:tcPr>
          <w:p>
            <w:pPr>
              <w:ind w:left="600"/>
              <w:spacing w:after="0"/>
              <w:rPr>
                <w:sz w:val="20"/>
                <w:szCs w:val="20"/>
                <w:color w:val="auto"/>
              </w:rPr>
            </w:pPr>
            <w:r>
              <w:rPr>
                <w:rFonts w:ascii="Arial" w:cs="Arial" w:eastAsia="Arial" w:hAnsi="Arial"/>
                <w:sz w:val="18"/>
                <w:szCs w:val="18"/>
                <w:color w:val="auto"/>
              </w:rPr>
              <w:t>Consolidated Statements of Shareholders’ Equity for the years ended December 31, 2015, 2014 and 2013</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89"/>
              </w:rPr>
              <w:t>48</w:t>
            </w:r>
          </w:p>
        </w:tc>
      </w:tr>
      <w:tr>
        <w:trPr>
          <w:trHeight w:val="540"/>
        </w:trPr>
        <w:tc>
          <w:tcPr>
            <w:tcW w:w="9180" w:type="dxa"/>
            <w:vAlign w:val="bottom"/>
            <w:gridSpan w:val="2"/>
          </w:tcPr>
          <w:p>
            <w:pPr>
              <w:ind w:left="600"/>
              <w:spacing w:after="0"/>
              <w:rPr>
                <w:sz w:val="20"/>
                <w:szCs w:val="20"/>
                <w:color w:val="auto"/>
              </w:rPr>
            </w:pPr>
            <w:r>
              <w:rPr>
                <w:rFonts w:ascii="Arial" w:cs="Arial" w:eastAsia="Arial" w:hAnsi="Arial"/>
                <w:sz w:val="18"/>
                <w:szCs w:val="18"/>
                <w:color w:val="auto"/>
              </w:rPr>
              <w:t>Notes to Consolidated Financial Statements</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1"/>
              </w:rPr>
              <w:t>49-82</w:t>
            </w:r>
          </w:p>
        </w:tc>
      </w:tr>
      <w:tr>
        <w:trPr>
          <w:trHeight w:val="459"/>
        </w:trPr>
        <w:tc>
          <w:tcPr>
            <w:tcW w:w="9180" w:type="dxa"/>
            <w:vAlign w:val="bottom"/>
            <w:gridSpan w:val="2"/>
          </w:tcPr>
          <w:p>
            <w:pPr>
              <w:spacing w:after="0"/>
              <w:rPr>
                <w:sz w:val="20"/>
                <w:szCs w:val="20"/>
                <w:color w:val="auto"/>
              </w:rPr>
            </w:pPr>
            <w:r>
              <w:rPr>
                <w:rFonts w:ascii="Arial" w:cs="Arial" w:eastAsia="Arial" w:hAnsi="Arial"/>
                <w:sz w:val="18"/>
                <w:szCs w:val="18"/>
                <w:color w:val="auto"/>
              </w:rPr>
              <w:t>(a)(2) Financial Statement Schedule.</w:t>
            </w:r>
          </w:p>
        </w:tc>
        <w:tc>
          <w:tcPr>
            <w:tcW w:w="2000" w:type="dxa"/>
            <w:vAlign w:val="bottom"/>
          </w:tcPr>
          <w:p>
            <w:pPr>
              <w:spacing w:after="0"/>
              <w:rPr>
                <w:sz w:val="24"/>
                <w:szCs w:val="24"/>
                <w:color w:val="auto"/>
              </w:rPr>
            </w:pPr>
          </w:p>
        </w:tc>
      </w:tr>
      <w:tr>
        <w:trPr>
          <w:trHeight w:val="432"/>
        </w:trPr>
        <w:tc>
          <w:tcPr>
            <w:tcW w:w="9180" w:type="dxa"/>
            <w:vAlign w:val="bottom"/>
            <w:gridSpan w:val="2"/>
          </w:tcPr>
          <w:p>
            <w:pPr>
              <w:ind w:left="6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2000" w:type="dxa"/>
            <w:vAlign w:val="bottom"/>
          </w:tcPr>
          <w:p>
            <w:pPr>
              <w:spacing w:after="0"/>
              <w:rPr>
                <w:sz w:val="24"/>
                <w:szCs w:val="24"/>
                <w:color w:val="auto"/>
              </w:rPr>
            </w:pPr>
          </w:p>
        </w:tc>
      </w:tr>
      <w:tr>
        <w:trPr>
          <w:trHeight w:val="432"/>
        </w:trPr>
        <w:tc>
          <w:tcPr>
            <w:tcW w:w="9180" w:type="dxa"/>
            <w:vAlign w:val="bottom"/>
            <w:gridSpan w:val="2"/>
          </w:tcPr>
          <w:p>
            <w:pPr>
              <w:ind w:left="60"/>
              <w:spacing w:after="0"/>
              <w:rPr>
                <w:sz w:val="20"/>
                <w:szCs w:val="20"/>
                <w:color w:val="auto"/>
              </w:rPr>
            </w:pPr>
            <w:r>
              <w:rPr>
                <w:rFonts w:ascii="Arial" w:cs="Arial" w:eastAsia="Arial" w:hAnsi="Arial"/>
                <w:sz w:val="18"/>
                <w:szCs w:val="18"/>
                <w:color w:val="auto"/>
              </w:rPr>
              <w:t>SCHEDULE II—Valuation and Qualifying Accounts</w:t>
            </w:r>
          </w:p>
        </w:tc>
        <w:tc>
          <w:tcPr>
            <w:tcW w:w="200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w w:val="97"/>
              </w:rPr>
              <w:t>(a)(3) Exhibits.</w:t>
            </w:r>
          </w:p>
        </w:tc>
        <w:tc>
          <w:tcPr>
            <w:tcW w:w="80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 below.</w:t>
      </w:r>
    </w:p>
    <w:p>
      <w:pPr>
        <w:spacing w:after="0" w:line="225"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580" w:right="4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5"/>
              </w:rPr>
              <w:t>(c) Exhibits.</w:t>
            </w:r>
          </w:p>
        </w:tc>
        <w:tc>
          <w:tcPr>
            <w:tcW w:w="10440" w:type="dxa"/>
            <w:vAlign w:val="bottom"/>
          </w:tcPr>
          <w:p>
            <w:pPr>
              <w:spacing w:after="0"/>
              <w:rPr>
                <w:sz w:val="20"/>
                <w:szCs w:val="20"/>
                <w:color w:val="auto"/>
              </w:rPr>
            </w:pPr>
          </w:p>
        </w:tc>
      </w:tr>
      <w:tr>
        <w:trPr>
          <w:trHeight w:val="364"/>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0440" w:type="dxa"/>
            <w:vAlign w:val="bottom"/>
          </w:tcPr>
          <w:p>
            <w:pPr>
              <w:ind w:left="40"/>
              <w:spacing w:after="0"/>
              <w:rPr>
                <w:sz w:val="20"/>
                <w:szCs w:val="20"/>
                <w:color w:val="auto"/>
              </w:rPr>
            </w:pPr>
            <w:r>
              <w:rPr>
                <w:rFonts w:ascii="Arial" w:cs="Arial" w:eastAsia="Arial" w:hAnsi="Arial"/>
                <w:sz w:val="18"/>
                <w:szCs w:val="18"/>
                <w:color w:val="auto"/>
                <w:w w:val="94"/>
              </w:rPr>
              <w:t>Amended and Restated Articles of Incorporation of ManpowerGroup Inc., incorporated by reference to the Company’s Quarterly Report on</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Form 10-Q for the quarter ended June 30, 2013.</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0440" w:type="dxa"/>
            <w:vAlign w:val="bottom"/>
          </w:tcPr>
          <w:p>
            <w:pPr>
              <w:ind w:left="40"/>
              <w:spacing w:after="0"/>
              <w:rPr>
                <w:sz w:val="20"/>
                <w:szCs w:val="20"/>
                <w:color w:val="auto"/>
              </w:rPr>
            </w:pPr>
            <w:r>
              <w:rPr>
                <w:rFonts w:ascii="Arial" w:cs="Arial" w:eastAsia="Arial" w:hAnsi="Arial"/>
                <w:sz w:val="18"/>
                <w:szCs w:val="18"/>
                <w:color w:val="auto"/>
                <w:w w:val="92"/>
              </w:rPr>
              <w:t>Amended and Restated By-laws of ManpowerGroup Inc., incorporated by reference to the Company’s Quarterly Report on Form 10-Q for the</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quarter ended March 31, 2014.</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4.1</w:t>
            </w:r>
          </w:p>
        </w:tc>
        <w:tc>
          <w:tcPr>
            <w:tcW w:w="10440" w:type="dxa"/>
            <w:vAlign w:val="bottom"/>
          </w:tcPr>
          <w:p>
            <w:pPr>
              <w:ind w:left="40"/>
              <w:spacing w:after="0"/>
              <w:rPr>
                <w:sz w:val="20"/>
                <w:szCs w:val="20"/>
                <w:color w:val="auto"/>
              </w:rPr>
            </w:pPr>
            <w:r>
              <w:rPr>
                <w:rFonts w:ascii="Arial" w:cs="Arial" w:eastAsia="Arial" w:hAnsi="Arial"/>
                <w:sz w:val="18"/>
                <w:szCs w:val="18"/>
                <w:color w:val="auto"/>
                <w:w w:val="93"/>
              </w:rPr>
              <w:t>Fiscal and Paying Agency Agreement between the Company and Citibank, N.A., as Fiscal Agent, Principal Paying Agent and Registrar and</w:t>
            </w:r>
          </w:p>
        </w:tc>
      </w:tr>
      <w:tr>
        <w:trPr>
          <w:trHeight w:val="216"/>
        </w:trPr>
        <w:tc>
          <w:tcPr>
            <w:tcW w:w="920" w:type="dxa"/>
            <w:vAlign w:val="bottom"/>
          </w:tcPr>
          <w:p>
            <w:pPr>
              <w:spacing w:after="0"/>
              <w:rPr>
                <w:sz w:val="18"/>
                <w:szCs w:val="18"/>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w w:val="96"/>
              </w:rPr>
              <w:t>Transfer Agent, dated as of June 22, 2012 (including the form of Note attached thereto as Schedule I), incorporated by reference to the</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Company’s Quarterly Report on Form 10-Q for the quarter ended June 30, 2012.</w:t>
            </w:r>
          </w:p>
        </w:tc>
      </w:tr>
      <w:tr>
        <w:trPr>
          <w:trHeight w:val="539"/>
        </w:trPr>
        <w:tc>
          <w:tcPr>
            <w:tcW w:w="920" w:type="dxa"/>
            <w:vAlign w:val="bottom"/>
          </w:tcPr>
          <w:p>
            <w:pPr>
              <w:ind w:left="40"/>
              <w:spacing w:after="0"/>
              <w:rPr>
                <w:sz w:val="20"/>
                <w:szCs w:val="20"/>
                <w:color w:val="auto"/>
              </w:rPr>
            </w:pPr>
            <w:r>
              <w:rPr>
                <w:rFonts w:ascii="Arial" w:cs="Arial" w:eastAsia="Arial" w:hAnsi="Arial"/>
                <w:sz w:val="18"/>
                <w:szCs w:val="18"/>
                <w:color w:val="auto"/>
              </w:rPr>
              <w:t>4.2</w:t>
            </w:r>
          </w:p>
        </w:tc>
        <w:tc>
          <w:tcPr>
            <w:tcW w:w="10440" w:type="dxa"/>
            <w:vAlign w:val="bottom"/>
          </w:tcPr>
          <w:p>
            <w:pPr>
              <w:ind w:left="40"/>
              <w:spacing w:after="0"/>
              <w:rPr>
                <w:sz w:val="20"/>
                <w:szCs w:val="20"/>
                <w:color w:val="auto"/>
              </w:rPr>
            </w:pPr>
            <w:r>
              <w:rPr>
                <w:rFonts w:ascii="Arial" w:cs="Arial" w:eastAsia="Arial" w:hAnsi="Arial"/>
                <w:sz w:val="18"/>
                <w:szCs w:val="18"/>
                <w:color w:val="auto"/>
                <w:w w:val="93"/>
              </w:rPr>
              <w:t>Fiscal and Paying Agency Agreement between the Company and Citibank, N.A., as Fiscal Agent, Principal Paying Agent and Registrar and</w:t>
            </w:r>
          </w:p>
        </w:tc>
      </w:tr>
      <w:tr>
        <w:trPr>
          <w:trHeight w:val="216"/>
        </w:trPr>
        <w:tc>
          <w:tcPr>
            <w:tcW w:w="920" w:type="dxa"/>
            <w:vAlign w:val="bottom"/>
          </w:tcPr>
          <w:p>
            <w:pPr>
              <w:spacing w:after="0"/>
              <w:rPr>
                <w:sz w:val="18"/>
                <w:szCs w:val="18"/>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w w:val="92"/>
              </w:rPr>
              <w:t>Transfer Agent, dated as of September 11, 2015 (including the form of Note attached thereto as Schedule I), incorporated by reference to the</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Company’s Current Report on Form 8-K dated September 11, 2015.</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0440" w:type="dxa"/>
            <w:vAlign w:val="bottom"/>
          </w:tcPr>
          <w:p>
            <w:pPr>
              <w:ind w:left="40"/>
              <w:spacing w:after="0"/>
              <w:rPr>
                <w:sz w:val="20"/>
                <w:szCs w:val="20"/>
                <w:color w:val="auto"/>
              </w:rPr>
            </w:pPr>
            <w:r>
              <w:rPr>
                <w:rFonts w:ascii="Arial" w:cs="Arial" w:eastAsia="Arial" w:hAnsi="Arial"/>
                <w:sz w:val="18"/>
                <w:szCs w:val="18"/>
                <w:color w:val="auto"/>
                <w:w w:val="90"/>
              </w:rPr>
              <w:t>Amended and Restated Manpower Inc. Senior Management Performance-Based Deferred Compensation Plan, incorporated by reference to the</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Company’s Annual Report on Form 10-K for the year ended December 31, 2005. **</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0440" w:type="dxa"/>
            <w:vAlign w:val="bottom"/>
          </w:tcPr>
          <w:p>
            <w:pPr>
              <w:ind w:left="40"/>
              <w:spacing w:after="0"/>
              <w:rPr>
                <w:sz w:val="20"/>
                <w:szCs w:val="20"/>
                <w:color w:val="auto"/>
              </w:rPr>
            </w:pPr>
            <w:r>
              <w:rPr>
                <w:rFonts w:ascii="Arial" w:cs="Arial" w:eastAsia="Arial" w:hAnsi="Arial"/>
                <w:sz w:val="18"/>
                <w:szCs w:val="18"/>
                <w:color w:val="auto"/>
                <w:w w:val="90"/>
              </w:rPr>
              <w:t>Amended and Restated Five-Year Credit Agreement dated as of September 11, 2015 among the Company, a syndicate of lenders and Citibank,</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w w:val="99"/>
              </w:rPr>
              <w:t>N.A., as Administrative Agent, incorporated by reference to the Company’s Current Report on Form 8-K dated September 11, 2015.</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0440" w:type="dxa"/>
            <w:vAlign w:val="bottom"/>
          </w:tcPr>
          <w:p>
            <w:pPr>
              <w:ind w:left="40"/>
              <w:spacing w:after="0"/>
              <w:rPr>
                <w:sz w:val="20"/>
                <w:szCs w:val="20"/>
                <w:color w:val="auto"/>
              </w:rPr>
            </w:pPr>
            <w:r>
              <w:rPr>
                <w:rFonts w:ascii="Arial" w:cs="Arial" w:eastAsia="Arial" w:hAnsi="Arial"/>
                <w:sz w:val="18"/>
                <w:szCs w:val="18"/>
                <w:color w:val="auto"/>
                <w:w w:val="90"/>
              </w:rPr>
              <w:t>Manpower Savings Related Share Option Scheme incorporated by reference to the Company’s Annual Report on Form 10-K for the year ended</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December 31, 2010. **</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10440" w:type="dxa"/>
            <w:vAlign w:val="bottom"/>
          </w:tcPr>
          <w:p>
            <w:pPr>
              <w:ind w:left="40"/>
              <w:spacing w:after="0"/>
              <w:rPr>
                <w:sz w:val="20"/>
                <w:szCs w:val="20"/>
                <w:color w:val="auto"/>
              </w:rPr>
            </w:pPr>
            <w:r>
              <w:rPr>
                <w:rFonts w:ascii="Arial" w:cs="Arial" w:eastAsia="Arial" w:hAnsi="Arial"/>
                <w:sz w:val="18"/>
                <w:szCs w:val="18"/>
                <w:color w:val="auto"/>
                <w:w w:val="91"/>
              </w:rPr>
              <w:t>Manpower 1990 Employee Stock Purchase Plan (Amended and Restated effective April 26, 2005), incorporated by reference to the Company’s</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Quarterly Report on Form 10-Q for the quarter ended March 31, 2005. **</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10440" w:type="dxa"/>
            <w:vAlign w:val="bottom"/>
          </w:tcPr>
          <w:p>
            <w:pPr>
              <w:ind w:left="40"/>
              <w:spacing w:after="0"/>
              <w:rPr>
                <w:sz w:val="20"/>
                <w:szCs w:val="20"/>
                <w:color w:val="auto"/>
              </w:rPr>
            </w:pPr>
            <w:r>
              <w:rPr>
                <w:rFonts w:ascii="Arial" w:cs="Arial" w:eastAsia="Arial" w:hAnsi="Arial"/>
                <w:sz w:val="18"/>
                <w:szCs w:val="18"/>
                <w:color w:val="auto"/>
                <w:w w:val="90"/>
              </w:rPr>
              <w:t>Manpower Retirement Plan, as amended and restated effective as of March 1, 1989, incorporated by reference to Form 10-K of Manpower PLC,</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SEC File No. 0-9890, filed for the fiscal year ended October 31, 1989. **</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10440" w:type="dxa"/>
            <w:vAlign w:val="bottom"/>
          </w:tcPr>
          <w:p>
            <w:pPr>
              <w:ind w:left="40"/>
              <w:spacing w:after="0"/>
              <w:rPr>
                <w:sz w:val="20"/>
                <w:szCs w:val="20"/>
                <w:color w:val="auto"/>
              </w:rPr>
            </w:pPr>
            <w:r>
              <w:rPr>
                <w:rFonts w:ascii="Arial" w:cs="Arial" w:eastAsia="Arial" w:hAnsi="Arial"/>
                <w:sz w:val="18"/>
                <w:szCs w:val="18"/>
                <w:color w:val="auto"/>
                <w:w w:val="91"/>
              </w:rPr>
              <w:t>Manpower Inc. Corporate Senior Management Annual Incentive Pool Plan, incorporated by reference to Appendix C to the Proxy Statement on</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Schedule 14A filed on March 23, 2011 in connection with the 2011 Annual Meeting of the Shareholders of the Company.**</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10.7(a)</w:t>
            </w:r>
          </w:p>
        </w:tc>
        <w:tc>
          <w:tcPr>
            <w:tcW w:w="10440" w:type="dxa"/>
            <w:vAlign w:val="bottom"/>
          </w:tcPr>
          <w:p>
            <w:pPr>
              <w:ind w:left="40"/>
              <w:spacing w:after="0"/>
              <w:rPr>
                <w:sz w:val="20"/>
                <w:szCs w:val="20"/>
                <w:color w:val="auto"/>
              </w:rPr>
            </w:pPr>
            <w:r>
              <w:rPr>
                <w:rFonts w:ascii="Arial" w:cs="Arial" w:eastAsia="Arial" w:hAnsi="Arial"/>
                <w:sz w:val="18"/>
                <w:szCs w:val="18"/>
                <w:color w:val="auto"/>
                <w:w w:val="95"/>
              </w:rPr>
              <w:t>Compensation Agreement between Jeffrey A. Joerres and the Company dated as of February 20, 2014, incorporated by reference to the</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Company’s Annual Report on Form 10-K for the year ended December 31, 2013. **</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10.7(b)</w:t>
            </w:r>
          </w:p>
        </w:tc>
        <w:tc>
          <w:tcPr>
            <w:tcW w:w="10440" w:type="dxa"/>
            <w:vAlign w:val="bottom"/>
          </w:tcPr>
          <w:p>
            <w:pPr>
              <w:ind w:left="40"/>
              <w:spacing w:after="0"/>
              <w:rPr>
                <w:sz w:val="20"/>
                <w:szCs w:val="20"/>
                <w:color w:val="auto"/>
              </w:rPr>
            </w:pPr>
            <w:r>
              <w:rPr>
                <w:rFonts w:ascii="Arial" w:cs="Arial" w:eastAsia="Arial" w:hAnsi="Arial"/>
                <w:sz w:val="18"/>
                <w:szCs w:val="18"/>
                <w:color w:val="auto"/>
                <w:w w:val="96"/>
              </w:rPr>
              <w:t>Letter Amendment to Compensation Agreement between Jeffrey A. Joerres and the Company dated as of May 1, 2014, incorporated by</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reference to the Company’s Quarterly Report on Form 10-Q for the quarter ended June 30, 2014. **</w:t>
            </w:r>
          </w:p>
        </w:tc>
      </w:tr>
      <w:tr>
        <w:trPr>
          <w:trHeight w:val="554"/>
        </w:trPr>
        <w:tc>
          <w:tcPr>
            <w:tcW w:w="920" w:type="dxa"/>
            <w:vAlign w:val="bottom"/>
          </w:tcPr>
          <w:p>
            <w:pPr>
              <w:ind w:left="40"/>
              <w:spacing w:after="0"/>
              <w:rPr>
                <w:sz w:val="20"/>
                <w:szCs w:val="20"/>
                <w:color w:val="auto"/>
              </w:rPr>
            </w:pPr>
            <w:r>
              <w:rPr>
                <w:rFonts w:ascii="Arial" w:cs="Arial" w:eastAsia="Arial" w:hAnsi="Arial"/>
                <w:sz w:val="18"/>
                <w:szCs w:val="18"/>
                <w:color w:val="auto"/>
              </w:rPr>
              <w:t>10.7(c)</w:t>
            </w:r>
          </w:p>
        </w:tc>
        <w:tc>
          <w:tcPr>
            <w:tcW w:w="10440" w:type="dxa"/>
            <w:vAlign w:val="bottom"/>
          </w:tcPr>
          <w:p>
            <w:pPr>
              <w:ind w:left="40"/>
              <w:spacing w:after="0"/>
              <w:rPr>
                <w:sz w:val="20"/>
                <w:szCs w:val="20"/>
                <w:color w:val="auto"/>
              </w:rPr>
            </w:pPr>
            <w:r>
              <w:rPr>
                <w:rFonts w:ascii="Arial" w:cs="Arial" w:eastAsia="Arial" w:hAnsi="Arial"/>
                <w:sz w:val="18"/>
                <w:szCs w:val="18"/>
                <w:color w:val="auto"/>
              </w:rPr>
              <w:t>Letter Amendment to Compensation Agreement between Jeffrey A. Joerres and the Company dated as of February 11, 2015. **</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10.7(d)</w:t>
            </w:r>
          </w:p>
        </w:tc>
        <w:tc>
          <w:tcPr>
            <w:tcW w:w="10440" w:type="dxa"/>
            <w:vAlign w:val="bottom"/>
          </w:tcPr>
          <w:p>
            <w:pPr>
              <w:ind w:left="40"/>
              <w:spacing w:after="0"/>
              <w:rPr>
                <w:sz w:val="20"/>
                <w:szCs w:val="20"/>
                <w:color w:val="auto"/>
              </w:rPr>
            </w:pPr>
            <w:r>
              <w:rPr>
                <w:rFonts w:ascii="Arial" w:cs="Arial" w:eastAsia="Arial" w:hAnsi="Arial"/>
                <w:sz w:val="18"/>
                <w:szCs w:val="18"/>
                <w:color w:val="auto"/>
                <w:w w:val="90"/>
              </w:rPr>
              <w:t>Severance Agreement between Jeffrey A. Joerres and the Company dated as of February 20, 2014, incorporated by reference to the Company’s</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Annual Report on Form 10-K for the year ended December 31, 2013. **</w:t>
            </w:r>
          </w:p>
        </w:tc>
      </w:tr>
      <w:tr>
        <w:trPr>
          <w:trHeight w:val="526"/>
        </w:trPr>
        <w:tc>
          <w:tcPr>
            <w:tcW w:w="920" w:type="dxa"/>
            <w:vAlign w:val="bottom"/>
          </w:tcPr>
          <w:p>
            <w:pPr>
              <w:ind w:left="40"/>
              <w:spacing w:after="0"/>
              <w:rPr>
                <w:sz w:val="20"/>
                <w:szCs w:val="20"/>
                <w:color w:val="auto"/>
              </w:rPr>
            </w:pPr>
            <w:r>
              <w:rPr>
                <w:rFonts w:ascii="Arial" w:cs="Arial" w:eastAsia="Arial" w:hAnsi="Arial"/>
                <w:sz w:val="18"/>
                <w:szCs w:val="18"/>
                <w:color w:val="auto"/>
              </w:rPr>
              <w:t>10.8(a)</w:t>
            </w:r>
          </w:p>
        </w:tc>
        <w:tc>
          <w:tcPr>
            <w:tcW w:w="10440" w:type="dxa"/>
            <w:vAlign w:val="bottom"/>
          </w:tcPr>
          <w:p>
            <w:pPr>
              <w:ind w:left="40"/>
              <w:spacing w:after="0"/>
              <w:rPr>
                <w:sz w:val="20"/>
                <w:szCs w:val="20"/>
                <w:color w:val="auto"/>
              </w:rPr>
            </w:pPr>
            <w:r>
              <w:rPr>
                <w:rFonts w:ascii="Arial" w:cs="Arial" w:eastAsia="Arial" w:hAnsi="Arial"/>
                <w:sz w:val="18"/>
                <w:szCs w:val="18"/>
                <w:color w:val="auto"/>
                <w:w w:val="92"/>
              </w:rPr>
              <w:t>Compensation Agreement between Michael J. Van Handel and the Company dated as of February 20, 2014, incorporated by reference to the</w:t>
            </w:r>
          </w:p>
        </w:tc>
      </w:tr>
      <w:tr>
        <w:trPr>
          <w:trHeight w:val="230"/>
        </w:trPr>
        <w:tc>
          <w:tcPr>
            <w:tcW w:w="920" w:type="dxa"/>
            <w:vAlign w:val="bottom"/>
          </w:tcPr>
          <w:p>
            <w:pPr>
              <w:spacing w:after="0"/>
              <w:rPr>
                <w:sz w:val="20"/>
                <w:szCs w:val="20"/>
                <w:color w:val="auto"/>
              </w:rPr>
            </w:pPr>
          </w:p>
        </w:tc>
        <w:tc>
          <w:tcPr>
            <w:tcW w:w="10440" w:type="dxa"/>
            <w:vAlign w:val="bottom"/>
          </w:tcPr>
          <w:p>
            <w:pPr>
              <w:ind w:left="40"/>
              <w:spacing w:after="0"/>
              <w:rPr>
                <w:sz w:val="20"/>
                <w:szCs w:val="20"/>
                <w:color w:val="auto"/>
              </w:rPr>
            </w:pPr>
            <w:r>
              <w:rPr>
                <w:rFonts w:ascii="Arial" w:cs="Arial" w:eastAsia="Arial" w:hAnsi="Arial"/>
                <w:sz w:val="18"/>
                <w:szCs w:val="18"/>
                <w:color w:val="auto"/>
              </w:rPr>
              <w:t>Company’s Annual Report on Form 10-K for the year ended December 31, 2013. **</w:t>
            </w:r>
          </w:p>
        </w:tc>
      </w:tr>
      <w:tr>
        <w:trPr>
          <w:trHeight w:val="756"/>
        </w:trPr>
        <w:tc>
          <w:tcPr>
            <w:tcW w:w="92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360"/>
          </w:cols>
          <w:pgMar w:left="240" w:top="584" w:right="299" w:bottom="1440" w:gutter="0" w:footer="0" w:header="0"/>
        </w:sectPr>
      </w:pPr>
    </w:p>
    <w:bookmarkStart w:id="27" w:name="page28"/>
    <w:bookmarkEnd w:id="27"/>
    <w:p>
      <w:pPr>
        <w:ind w:left="920" w:right="620" w:hanging="917"/>
        <w:spacing w:after="0" w:line="277" w:lineRule="auto"/>
        <w:tabs>
          <w:tab w:leader="none" w:pos="900" w:val="left"/>
        </w:tabs>
        <w:rPr>
          <w:sz w:val="20"/>
          <w:szCs w:val="20"/>
          <w:color w:val="auto"/>
        </w:rPr>
      </w:pPr>
      <w:r>
        <w:rPr>
          <w:rFonts w:ascii="Arial" w:cs="Arial" w:eastAsia="Arial" w:hAnsi="Arial"/>
          <w:sz w:val="18"/>
          <w:szCs w:val="18"/>
          <w:color w:val="auto"/>
        </w:rPr>
        <w:t>10.8(b)</w:t>
      </w:r>
      <w:r>
        <w:rPr>
          <w:sz w:val="20"/>
          <w:szCs w:val="20"/>
          <w:color w:val="auto"/>
        </w:rPr>
        <w:tab/>
      </w:r>
      <w:r>
        <w:rPr>
          <w:rFonts w:ascii="Arial" w:cs="Arial" w:eastAsia="Arial" w:hAnsi="Arial"/>
          <w:sz w:val="18"/>
          <w:szCs w:val="18"/>
          <w:color w:val="auto"/>
        </w:rPr>
        <w:t>Severance Agreement between Michael J. Van Handel and the Company dated as of February 20, 2014, incorporated by reference to the Company’s Annual Report on Form 10-K for the year ended December 31, 2013. **</w:t>
      </w:r>
    </w:p>
    <w:p>
      <w:pPr>
        <w:spacing w:after="0" w:line="279" w:lineRule="exact"/>
        <w:rPr>
          <w:sz w:val="20"/>
          <w:szCs w:val="20"/>
          <w:color w:val="auto"/>
        </w:rPr>
      </w:pPr>
    </w:p>
    <w:p>
      <w:pPr>
        <w:ind w:left="920" w:hanging="917"/>
        <w:spacing w:after="0" w:line="277" w:lineRule="auto"/>
        <w:tabs>
          <w:tab w:leader="none" w:pos="900" w:val="left"/>
        </w:tabs>
        <w:rPr>
          <w:sz w:val="20"/>
          <w:szCs w:val="20"/>
          <w:color w:val="auto"/>
        </w:rPr>
      </w:pPr>
      <w:r>
        <w:rPr>
          <w:rFonts w:ascii="Arial" w:cs="Arial" w:eastAsia="Arial" w:hAnsi="Arial"/>
          <w:sz w:val="18"/>
          <w:szCs w:val="18"/>
          <w:color w:val="auto"/>
        </w:rPr>
        <w:t>10.9(c)</w:t>
      </w:r>
      <w:r>
        <w:rPr>
          <w:sz w:val="20"/>
          <w:szCs w:val="20"/>
          <w:color w:val="auto"/>
        </w:rPr>
        <w:tab/>
      </w:r>
      <w:r>
        <w:rPr>
          <w:rFonts w:ascii="Arial" w:cs="Arial" w:eastAsia="Arial" w:hAnsi="Arial"/>
          <w:sz w:val="18"/>
          <w:szCs w:val="18"/>
          <w:color w:val="auto"/>
        </w:rPr>
        <w:t>Letter Agreement between Darryl Green and the Company dated as of April 4, 2007, incorporated by reference to the Company’s Annual Report on Form 10-K for the fiscal year ended December 31, 2007. **</w:t>
      </w:r>
    </w:p>
    <w:p>
      <w:pPr>
        <w:spacing w:after="0" w:line="292" w:lineRule="exact"/>
        <w:rPr>
          <w:sz w:val="20"/>
          <w:szCs w:val="20"/>
          <w:color w:val="auto"/>
        </w:rPr>
      </w:pPr>
    </w:p>
    <w:p>
      <w:pPr>
        <w:ind w:left="920" w:right="80" w:hanging="917"/>
        <w:spacing w:after="0" w:line="264" w:lineRule="auto"/>
        <w:tabs>
          <w:tab w:leader="none" w:pos="900" w:val="left"/>
        </w:tabs>
        <w:rPr>
          <w:sz w:val="20"/>
          <w:szCs w:val="20"/>
          <w:color w:val="auto"/>
        </w:rPr>
      </w:pPr>
      <w:r>
        <w:rPr>
          <w:rFonts w:ascii="Arial" w:cs="Arial" w:eastAsia="Arial" w:hAnsi="Arial"/>
          <w:sz w:val="18"/>
          <w:szCs w:val="18"/>
          <w:color w:val="auto"/>
        </w:rPr>
        <w:t>10.10(a)</w:t>
      </w:r>
      <w:r>
        <w:rPr>
          <w:sz w:val="20"/>
          <w:szCs w:val="20"/>
          <w:color w:val="auto"/>
        </w:rPr>
        <w:tab/>
      </w:r>
      <w:r>
        <w:rPr>
          <w:rFonts w:ascii="Arial" w:cs="Arial" w:eastAsia="Arial" w:hAnsi="Arial"/>
          <w:sz w:val="18"/>
          <w:szCs w:val="18"/>
          <w:color w:val="auto"/>
        </w:rPr>
        <w:t>Terms and Conditions Regarding the Grant of Awards to Non-Employee Directors under the 2003 Equity Incentive Plan of Manpower Inc. (Amended and Restated Effective February 16, 2011), incorporated by reference to the Company’s Current Report on Form 8-K dated February 16, 2011. **</w:t>
      </w:r>
    </w:p>
    <w:p>
      <w:pPr>
        <w:spacing w:after="0" w:line="289" w:lineRule="exact"/>
        <w:rPr>
          <w:sz w:val="20"/>
          <w:szCs w:val="20"/>
          <w:color w:val="auto"/>
        </w:rPr>
      </w:pPr>
    </w:p>
    <w:p>
      <w:pPr>
        <w:ind w:left="920" w:right="620" w:hanging="917"/>
        <w:spacing w:after="0" w:line="277" w:lineRule="auto"/>
        <w:tabs>
          <w:tab w:leader="none" w:pos="900" w:val="left"/>
        </w:tabs>
        <w:rPr>
          <w:sz w:val="20"/>
          <w:szCs w:val="20"/>
          <w:color w:val="auto"/>
        </w:rPr>
      </w:pPr>
      <w:r>
        <w:rPr>
          <w:rFonts w:ascii="Arial" w:cs="Arial" w:eastAsia="Arial" w:hAnsi="Arial"/>
          <w:sz w:val="18"/>
          <w:szCs w:val="18"/>
          <w:color w:val="auto"/>
        </w:rPr>
        <w:t>10.10(b)</w:t>
      </w:r>
      <w:r>
        <w:rPr>
          <w:sz w:val="20"/>
          <w:szCs w:val="20"/>
          <w:color w:val="auto"/>
        </w:rPr>
        <w:tab/>
      </w:r>
      <w:r>
        <w:rPr>
          <w:rFonts w:ascii="Arial" w:cs="Arial" w:eastAsia="Arial" w:hAnsi="Arial"/>
          <w:sz w:val="18"/>
          <w:szCs w:val="18"/>
          <w:color w:val="auto"/>
        </w:rPr>
        <w:t>Terms and Conditions Regarding the Grant of Awards to Non-Employee Directors Under the 2011 Equity Incentive Plan (Amended and Restated January 1, 2016). **</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10.10(c)</w:t>
      </w:r>
      <w:r>
        <w:rPr>
          <w:sz w:val="20"/>
          <w:szCs w:val="20"/>
          <w:color w:val="auto"/>
        </w:rPr>
        <w:tab/>
      </w:r>
      <w:r>
        <w:rPr>
          <w:rFonts w:ascii="Arial" w:cs="Arial" w:eastAsia="Arial" w:hAnsi="Arial"/>
          <w:sz w:val="16"/>
          <w:szCs w:val="16"/>
          <w:color w:val="auto"/>
        </w:rPr>
        <w:t>ManpowerGroup Inc. Compensation for Non-Employee Directors (Amended and Restated Effective January 1, 2016). **</w:t>
      </w:r>
    </w:p>
    <w:p>
      <w:pPr>
        <w:spacing w:after="0" w:line="347" w:lineRule="exact"/>
        <w:rPr>
          <w:sz w:val="20"/>
          <w:szCs w:val="20"/>
          <w:color w:val="auto"/>
        </w:rPr>
      </w:pPr>
    </w:p>
    <w:p>
      <w:pPr>
        <w:ind w:left="920" w:hanging="917"/>
        <w:spacing w:after="0" w:line="277" w:lineRule="auto"/>
        <w:tabs>
          <w:tab w:leader="none" w:pos="900" w:val="left"/>
        </w:tabs>
        <w:rPr>
          <w:sz w:val="20"/>
          <w:szCs w:val="20"/>
          <w:color w:val="auto"/>
        </w:rPr>
      </w:pPr>
      <w:r>
        <w:rPr>
          <w:rFonts w:ascii="Arial" w:cs="Arial" w:eastAsia="Arial" w:hAnsi="Arial"/>
          <w:sz w:val="18"/>
          <w:szCs w:val="18"/>
          <w:color w:val="auto"/>
        </w:rPr>
        <w:t>10.10(d)</w:t>
      </w:r>
      <w:r>
        <w:rPr>
          <w:sz w:val="20"/>
          <w:szCs w:val="20"/>
          <w:color w:val="auto"/>
        </w:rPr>
        <w:tab/>
      </w:r>
      <w:r>
        <w:rPr>
          <w:rFonts w:ascii="Arial" w:cs="Arial" w:eastAsia="Arial" w:hAnsi="Arial"/>
          <w:sz w:val="18"/>
          <w:szCs w:val="18"/>
          <w:color w:val="auto"/>
        </w:rPr>
        <w:t>Amended and Restated Severance Agreement between Jonas Prising and the Company dated as of May 1, 2014, incorporated by reference to the Company’s Quarterly Report on Form 10-Q for the quarter ended June 30, 2014. **</w:t>
      </w:r>
    </w:p>
    <w:p>
      <w:pPr>
        <w:spacing w:after="0" w:line="279" w:lineRule="exact"/>
        <w:rPr>
          <w:sz w:val="20"/>
          <w:szCs w:val="20"/>
          <w:color w:val="auto"/>
        </w:rPr>
      </w:pPr>
    </w:p>
    <w:p>
      <w:pPr>
        <w:ind w:left="920" w:right="160" w:hanging="917"/>
        <w:spacing w:after="0" w:line="277" w:lineRule="auto"/>
        <w:tabs>
          <w:tab w:leader="none" w:pos="900" w:val="left"/>
        </w:tabs>
        <w:rPr>
          <w:sz w:val="20"/>
          <w:szCs w:val="20"/>
          <w:color w:val="auto"/>
        </w:rPr>
      </w:pPr>
      <w:r>
        <w:rPr>
          <w:rFonts w:ascii="Arial" w:cs="Arial" w:eastAsia="Arial" w:hAnsi="Arial"/>
          <w:sz w:val="18"/>
          <w:szCs w:val="18"/>
          <w:color w:val="auto"/>
        </w:rPr>
        <w:t>10.10(g)</w:t>
      </w:r>
      <w:r>
        <w:rPr>
          <w:sz w:val="20"/>
          <w:szCs w:val="20"/>
          <w:color w:val="auto"/>
        </w:rPr>
        <w:tab/>
      </w:r>
      <w:r>
        <w:rPr>
          <w:rFonts w:ascii="Arial" w:cs="Arial" w:eastAsia="Arial" w:hAnsi="Arial"/>
          <w:sz w:val="18"/>
          <w:szCs w:val="18"/>
          <w:color w:val="auto"/>
        </w:rPr>
        <w:t>Amended and Restated Severance Agreement between Mara Swan and the Company dated as of February 10, 2015, incorporated by reference to the Company’s Current Report on Form 8-K dated February 10, 2015. **</w:t>
      </w:r>
    </w:p>
    <w:p>
      <w:pPr>
        <w:spacing w:after="0" w:line="292" w:lineRule="exact"/>
        <w:rPr>
          <w:sz w:val="20"/>
          <w:szCs w:val="20"/>
          <w:color w:val="auto"/>
        </w:rPr>
      </w:pPr>
    </w:p>
    <w:p>
      <w:pPr>
        <w:ind w:left="920" w:right="360" w:hanging="917"/>
        <w:spacing w:after="0" w:line="277" w:lineRule="auto"/>
        <w:tabs>
          <w:tab w:leader="none" w:pos="900" w:val="left"/>
        </w:tabs>
        <w:rPr>
          <w:sz w:val="20"/>
          <w:szCs w:val="20"/>
          <w:color w:val="auto"/>
        </w:rPr>
      </w:pPr>
      <w:r>
        <w:rPr>
          <w:rFonts w:ascii="Arial" w:cs="Arial" w:eastAsia="Arial" w:hAnsi="Arial"/>
          <w:sz w:val="18"/>
          <w:szCs w:val="18"/>
          <w:color w:val="auto"/>
        </w:rPr>
        <w:t>10.10(h)</w:t>
      </w:r>
      <w:r>
        <w:rPr>
          <w:sz w:val="20"/>
          <w:szCs w:val="20"/>
          <w:color w:val="auto"/>
        </w:rPr>
        <w:tab/>
      </w:r>
      <w:r>
        <w:rPr>
          <w:rFonts w:ascii="Arial" w:cs="Arial" w:eastAsia="Arial" w:hAnsi="Arial"/>
          <w:sz w:val="18"/>
          <w:szCs w:val="18"/>
          <w:color w:val="auto"/>
        </w:rPr>
        <w:t>Severance Agreement dated August 13, 2013 between the Company and Darryl Green, incorporated by reference to the Company’s Current Report on Form 8-K dated August 13, 2013. **</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10.10(i)</w:t>
      </w:r>
      <w:r>
        <w:rPr>
          <w:sz w:val="20"/>
          <w:szCs w:val="20"/>
          <w:color w:val="auto"/>
        </w:rPr>
        <w:tab/>
      </w:r>
      <w:r>
        <w:rPr>
          <w:rFonts w:ascii="Arial" w:cs="Arial" w:eastAsia="Arial" w:hAnsi="Arial"/>
          <w:sz w:val="16"/>
          <w:szCs w:val="16"/>
          <w:color w:val="auto"/>
        </w:rPr>
        <w:t>Severance Agreement dated December 14, 2015 between the Company and Richard Buchband. **</w:t>
      </w:r>
    </w:p>
    <w:p>
      <w:pPr>
        <w:spacing w:after="0" w:line="333" w:lineRule="exact"/>
        <w:rPr>
          <w:sz w:val="20"/>
          <w:szCs w:val="20"/>
          <w:color w:val="auto"/>
        </w:rPr>
      </w:pPr>
    </w:p>
    <w:p>
      <w:pPr>
        <w:ind w:left="920" w:right="240" w:hanging="917"/>
        <w:spacing w:after="0" w:line="277" w:lineRule="auto"/>
        <w:tabs>
          <w:tab w:leader="none" w:pos="900" w:val="left"/>
        </w:tabs>
        <w:rPr>
          <w:sz w:val="20"/>
          <w:szCs w:val="20"/>
          <w:color w:val="auto"/>
        </w:rPr>
      </w:pPr>
      <w:r>
        <w:rPr>
          <w:rFonts w:ascii="Arial" w:cs="Arial" w:eastAsia="Arial" w:hAnsi="Arial"/>
          <w:sz w:val="18"/>
          <w:szCs w:val="18"/>
          <w:color w:val="auto"/>
        </w:rPr>
        <w:t>10.10(j)</w:t>
      </w:r>
      <w:r>
        <w:rPr>
          <w:sz w:val="20"/>
          <w:szCs w:val="20"/>
          <w:color w:val="auto"/>
        </w:rPr>
        <w:tab/>
      </w:r>
      <w:r>
        <w:rPr>
          <w:rFonts w:ascii="Arial" w:cs="Arial" w:eastAsia="Arial" w:hAnsi="Arial"/>
          <w:sz w:val="18"/>
          <w:szCs w:val="18"/>
          <w:color w:val="auto"/>
        </w:rPr>
        <w:t>2003 Equity Incentive Plan of Manpower Inc. (Amended and Restated Effective April 28, 2009), incorporated by reference to the Company’s Registration Statement on Form S-8 dated September 4, 2009. **</w:t>
      </w:r>
    </w:p>
    <w:p>
      <w:pPr>
        <w:spacing w:after="0" w:line="279" w:lineRule="exact"/>
        <w:rPr>
          <w:sz w:val="20"/>
          <w:szCs w:val="20"/>
          <w:color w:val="auto"/>
        </w:rPr>
      </w:pPr>
    </w:p>
    <w:p>
      <w:pPr>
        <w:ind w:left="920" w:right="60" w:hanging="917"/>
        <w:spacing w:after="0" w:line="277" w:lineRule="auto"/>
        <w:tabs>
          <w:tab w:leader="none" w:pos="900" w:val="left"/>
        </w:tabs>
        <w:rPr>
          <w:sz w:val="20"/>
          <w:szCs w:val="20"/>
          <w:color w:val="auto"/>
        </w:rPr>
      </w:pPr>
      <w:r>
        <w:rPr>
          <w:rFonts w:ascii="Arial" w:cs="Arial" w:eastAsia="Arial" w:hAnsi="Arial"/>
          <w:sz w:val="18"/>
          <w:szCs w:val="18"/>
          <w:color w:val="auto"/>
        </w:rPr>
        <w:t>10.10(k)</w:t>
      </w:r>
      <w:r>
        <w:rPr>
          <w:sz w:val="20"/>
          <w:szCs w:val="20"/>
          <w:color w:val="auto"/>
        </w:rPr>
        <w:tab/>
      </w:r>
      <w:r>
        <w:rPr>
          <w:rFonts w:ascii="Arial" w:cs="Arial" w:eastAsia="Arial" w:hAnsi="Arial"/>
          <w:sz w:val="18"/>
          <w:szCs w:val="18"/>
          <w:color w:val="auto"/>
        </w:rPr>
        <w:t>Amendment of Manpower Inc. 2003 Equity Incentive Plan, incorporated by reference to the Company’s Quarterly Report on Form 10-Q for the quarter ended March 31, 2010. **</w:t>
      </w:r>
    </w:p>
    <w:p>
      <w:pPr>
        <w:spacing w:after="0" w:line="292" w:lineRule="exact"/>
        <w:rPr>
          <w:sz w:val="20"/>
          <w:szCs w:val="20"/>
          <w:color w:val="auto"/>
        </w:rPr>
      </w:pPr>
    </w:p>
    <w:p>
      <w:pPr>
        <w:ind w:left="920" w:right="240" w:hanging="917"/>
        <w:spacing w:after="0" w:line="277" w:lineRule="auto"/>
        <w:tabs>
          <w:tab w:leader="none" w:pos="900" w:val="left"/>
        </w:tabs>
        <w:rPr>
          <w:sz w:val="20"/>
          <w:szCs w:val="20"/>
          <w:color w:val="auto"/>
        </w:rPr>
      </w:pPr>
      <w:r>
        <w:rPr>
          <w:rFonts w:ascii="Arial" w:cs="Arial" w:eastAsia="Arial" w:hAnsi="Arial"/>
          <w:sz w:val="18"/>
          <w:szCs w:val="18"/>
          <w:color w:val="auto"/>
        </w:rPr>
        <w:t>10.10(l)</w:t>
      </w:r>
      <w:r>
        <w:rPr>
          <w:sz w:val="20"/>
          <w:szCs w:val="20"/>
          <w:color w:val="auto"/>
        </w:rPr>
        <w:tab/>
      </w:r>
      <w:r>
        <w:rPr>
          <w:rFonts w:ascii="Arial" w:cs="Arial" w:eastAsia="Arial" w:hAnsi="Arial"/>
          <w:sz w:val="18"/>
          <w:szCs w:val="18"/>
          <w:color w:val="auto"/>
        </w:rPr>
        <w:t>2011 Equity Incentive Plan of Manpower Inc. (Amended and Restated Effective April 29, 2014), incorporated by reference to the Company’s Quarterly Report on Form 10-Q for the quarter ended June 30, 2014. **</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10.10(m)</w:t>
      </w:r>
      <w:r>
        <w:rPr>
          <w:sz w:val="20"/>
          <w:szCs w:val="20"/>
          <w:color w:val="auto"/>
        </w:rPr>
        <w:tab/>
      </w:r>
      <w:r>
        <w:rPr>
          <w:rFonts w:ascii="Arial" w:cs="Arial" w:eastAsia="Arial" w:hAnsi="Arial"/>
          <w:sz w:val="16"/>
          <w:szCs w:val="16"/>
          <w:color w:val="auto"/>
        </w:rPr>
        <w:t>Form of Indemnification Agreement, incorporated by reference to the Company’s Current Report on Form 8-K dated October 31, 2006.</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10.11(a)</w:t>
      </w:r>
      <w:r>
        <w:rPr>
          <w:sz w:val="20"/>
          <w:szCs w:val="20"/>
          <w:color w:val="auto"/>
        </w:rPr>
        <w:tab/>
      </w:r>
      <w:r>
        <w:rPr>
          <w:rFonts w:ascii="Arial" w:cs="Arial" w:eastAsia="Arial" w:hAnsi="Arial"/>
          <w:sz w:val="16"/>
          <w:szCs w:val="16"/>
          <w:color w:val="auto"/>
        </w:rPr>
        <w:t>Form of Career Share Unit Agreement, incorporated by reference to the Company’s Quarterly Report on Form 10-Q for the quarter ended March</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 2009. **</w:t>
      </w:r>
    </w:p>
    <w:p>
      <w:pPr>
        <w:spacing w:after="0" w:line="319" w:lineRule="exact"/>
        <w:rPr>
          <w:sz w:val="20"/>
          <w:szCs w:val="20"/>
          <w:color w:val="auto"/>
        </w:rPr>
      </w:pPr>
    </w:p>
    <w:p>
      <w:pPr>
        <w:ind w:left="920" w:right="80" w:hanging="917"/>
        <w:spacing w:after="0" w:line="277" w:lineRule="auto"/>
        <w:tabs>
          <w:tab w:leader="none" w:pos="90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8"/>
          <w:szCs w:val="18"/>
          <w:color w:val="auto"/>
        </w:rPr>
        <w:t>Form of Stock Option Agreement under 2011 Equity Incentive Plan, incorporated by reference to the Company’s Quarterly Report on Form 10-Q for the quarter ended March 31, 2012. **</w:t>
      </w:r>
    </w:p>
    <w:p>
      <w:pPr>
        <w:spacing w:after="0" w:line="279"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10.11(c)</w:t>
      </w:r>
      <w:r>
        <w:rPr>
          <w:sz w:val="20"/>
          <w:szCs w:val="20"/>
          <w:color w:val="auto"/>
        </w:rPr>
        <w:tab/>
      </w:r>
      <w:r>
        <w:rPr>
          <w:rFonts w:ascii="Arial" w:cs="Arial" w:eastAsia="Arial" w:hAnsi="Arial"/>
          <w:sz w:val="18"/>
          <w:szCs w:val="18"/>
          <w:color w:val="auto"/>
        </w:rPr>
        <w:t>Form of Restricted Stock Unit Agreement under 2011 Equity Incentive Plan, incorporated by reference to the Company’s Quarterly Report on Form 10-Q for the quarter ended March 31, 2012. **</w:t>
      </w:r>
    </w:p>
    <w:p>
      <w:pPr>
        <w:spacing w:after="0" w:line="292" w:lineRule="exact"/>
        <w:rPr>
          <w:sz w:val="20"/>
          <w:szCs w:val="20"/>
          <w:color w:val="auto"/>
        </w:rPr>
      </w:pPr>
    </w:p>
    <w:p>
      <w:pPr>
        <w:ind w:left="920" w:right="80" w:hanging="917"/>
        <w:spacing w:after="0" w:line="277" w:lineRule="auto"/>
        <w:tabs>
          <w:tab w:leader="none" w:pos="900" w:val="left"/>
        </w:tabs>
        <w:rPr>
          <w:sz w:val="20"/>
          <w:szCs w:val="20"/>
          <w:color w:val="auto"/>
        </w:rPr>
      </w:pPr>
      <w:r>
        <w:rPr>
          <w:rFonts w:ascii="Arial" w:cs="Arial" w:eastAsia="Arial" w:hAnsi="Arial"/>
          <w:sz w:val="18"/>
          <w:szCs w:val="18"/>
          <w:color w:val="auto"/>
        </w:rPr>
        <w:t>10.11(d)</w:t>
      </w:r>
      <w:r>
        <w:rPr>
          <w:sz w:val="20"/>
          <w:szCs w:val="20"/>
          <w:color w:val="auto"/>
        </w:rPr>
        <w:tab/>
      </w:r>
      <w:r>
        <w:rPr>
          <w:rFonts w:ascii="Arial" w:cs="Arial" w:eastAsia="Arial" w:hAnsi="Arial"/>
          <w:sz w:val="18"/>
          <w:szCs w:val="18"/>
          <w:color w:val="auto"/>
        </w:rPr>
        <w:t>Form of Amendment to the 2012 and 2013 Performance Share Unit Agreements for Jeffrey A. Joerres and Michael J. Van Handel, incorporated by reference to the Company’s Quarterly Report on Form 10-Q for the quarter ended June 30, 2014. **</w:t>
      </w:r>
    </w:p>
    <w:p>
      <w:pPr>
        <w:sectPr>
          <w:pgSz w:w="11900" w:h="16838" w:orient="portrait"/>
          <w:cols w:equalWidth="0" w:num="1">
            <w:col w:w="11340"/>
          </w:cols>
          <w:pgMar w:left="280" w:top="746" w:right="2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40"/>
          </w:cols>
          <w:pgMar w:left="280" w:top="746" w:right="279" w:bottom="1440" w:gutter="0" w:footer="0" w:header="0"/>
          <w:type w:val="continuous"/>
        </w:sectPr>
      </w:pPr>
    </w:p>
    <w:bookmarkStart w:id="28" w:name="page29"/>
    <w:bookmarkEnd w:id="28"/>
    <w:p>
      <w:pPr>
        <w:ind w:left="925" w:right="140" w:hanging="917"/>
        <w:spacing w:after="0" w:line="277" w:lineRule="auto"/>
        <w:tabs>
          <w:tab w:leader="none" w:pos="905" w:val="left"/>
        </w:tabs>
        <w:rPr>
          <w:sz w:val="20"/>
          <w:szCs w:val="20"/>
          <w:color w:val="auto"/>
        </w:rPr>
      </w:pPr>
      <w:r>
        <w:rPr>
          <w:rFonts w:ascii="Arial" w:cs="Arial" w:eastAsia="Arial" w:hAnsi="Arial"/>
          <w:sz w:val="18"/>
          <w:szCs w:val="18"/>
          <w:color w:val="auto"/>
        </w:rPr>
        <w:t>10.11(e)</w:t>
      </w:r>
      <w:r>
        <w:rPr>
          <w:sz w:val="20"/>
          <w:szCs w:val="20"/>
          <w:color w:val="auto"/>
        </w:rPr>
        <w:tab/>
      </w:r>
      <w:r>
        <w:rPr>
          <w:rFonts w:ascii="Arial" w:cs="Arial" w:eastAsia="Arial" w:hAnsi="Arial"/>
          <w:sz w:val="18"/>
          <w:szCs w:val="18"/>
          <w:color w:val="auto"/>
        </w:rPr>
        <w:t>Amendment to the 2012 and 2013 Stock Option and Restricted Stock Unit Agreements for Jeffrey A. Joerres, incorporated by reference to the Company’s Quarterly Report on Form 10-Q for the quarter ended June 30, 2014. **</w:t>
      </w:r>
    </w:p>
    <w:p>
      <w:pPr>
        <w:spacing w:after="0" w:line="292" w:lineRule="exact"/>
        <w:rPr>
          <w:sz w:val="20"/>
          <w:szCs w:val="20"/>
          <w:color w:val="auto"/>
        </w:rPr>
      </w:pPr>
    </w:p>
    <w:p>
      <w:pPr>
        <w:ind w:left="925" w:right="80" w:hanging="917"/>
        <w:spacing w:after="0" w:line="277" w:lineRule="auto"/>
        <w:tabs>
          <w:tab w:leader="none" w:pos="905" w:val="left"/>
        </w:tabs>
        <w:rPr>
          <w:sz w:val="20"/>
          <w:szCs w:val="20"/>
          <w:color w:val="auto"/>
        </w:rPr>
      </w:pPr>
      <w:r>
        <w:rPr>
          <w:rFonts w:ascii="Arial" w:cs="Arial" w:eastAsia="Arial" w:hAnsi="Arial"/>
          <w:sz w:val="18"/>
          <w:szCs w:val="18"/>
          <w:color w:val="auto"/>
        </w:rPr>
        <w:t>10.11(f)</w:t>
      </w:r>
      <w:r>
        <w:rPr>
          <w:sz w:val="20"/>
          <w:szCs w:val="20"/>
          <w:color w:val="auto"/>
        </w:rPr>
        <w:tab/>
      </w:r>
      <w:r>
        <w:rPr>
          <w:rFonts w:ascii="Arial" w:cs="Arial" w:eastAsia="Arial" w:hAnsi="Arial"/>
          <w:sz w:val="18"/>
          <w:szCs w:val="18"/>
          <w:color w:val="auto"/>
        </w:rPr>
        <w:t>Form of 2014 Career Share Agreement under the 2011 Equity Incentive Plan, incorporated by reference to the Company’s Quarterly Report on Form 10-Q for the quarter ended March 31, 2014. **</w:t>
      </w:r>
    </w:p>
    <w:p>
      <w:pPr>
        <w:spacing w:after="0" w:line="292" w:lineRule="exact"/>
        <w:rPr>
          <w:sz w:val="20"/>
          <w:szCs w:val="20"/>
          <w:color w:val="auto"/>
        </w:rPr>
      </w:pPr>
    </w:p>
    <w:p>
      <w:pPr>
        <w:ind w:left="925" w:right="40" w:hanging="917"/>
        <w:spacing w:after="0" w:line="277" w:lineRule="auto"/>
        <w:tabs>
          <w:tab w:leader="none" w:pos="905" w:val="left"/>
        </w:tabs>
        <w:rPr>
          <w:sz w:val="20"/>
          <w:szCs w:val="20"/>
          <w:color w:val="auto"/>
        </w:rPr>
      </w:pPr>
      <w:r>
        <w:rPr>
          <w:rFonts w:ascii="Arial" w:cs="Arial" w:eastAsia="Arial" w:hAnsi="Arial"/>
          <w:sz w:val="18"/>
          <w:szCs w:val="18"/>
          <w:color w:val="auto"/>
        </w:rPr>
        <w:t>10.11(g)</w:t>
      </w:r>
      <w:r>
        <w:rPr>
          <w:sz w:val="20"/>
          <w:szCs w:val="20"/>
          <w:color w:val="auto"/>
        </w:rPr>
        <w:tab/>
      </w:r>
      <w:r>
        <w:rPr>
          <w:rFonts w:ascii="Arial" w:cs="Arial" w:eastAsia="Arial" w:hAnsi="Arial"/>
          <w:sz w:val="18"/>
          <w:szCs w:val="18"/>
          <w:color w:val="auto"/>
        </w:rPr>
        <w:t>Form of 2014 Performance Share Unit Agreement under the 2011 Equity Incentive Plan, incorporated by reference to the Company’s Quarterly Report on Form 10-Q for the quarter ended March 31, 2014. **</w:t>
      </w:r>
    </w:p>
    <w:p>
      <w:pPr>
        <w:spacing w:after="0" w:line="292" w:lineRule="exact"/>
        <w:rPr>
          <w:sz w:val="20"/>
          <w:szCs w:val="20"/>
          <w:color w:val="auto"/>
        </w:rPr>
      </w:pPr>
    </w:p>
    <w:p>
      <w:pPr>
        <w:ind w:left="925" w:right="200" w:hanging="917"/>
        <w:spacing w:after="0" w:line="277" w:lineRule="auto"/>
        <w:tabs>
          <w:tab w:leader="none" w:pos="905" w:val="left"/>
        </w:tabs>
        <w:rPr>
          <w:sz w:val="20"/>
          <w:szCs w:val="20"/>
          <w:color w:val="auto"/>
        </w:rPr>
      </w:pPr>
      <w:r>
        <w:rPr>
          <w:rFonts w:ascii="Arial" w:cs="Arial" w:eastAsia="Arial" w:hAnsi="Arial"/>
          <w:sz w:val="18"/>
          <w:szCs w:val="18"/>
          <w:color w:val="auto"/>
        </w:rPr>
        <w:t>10.11(h)</w:t>
      </w:r>
      <w:r>
        <w:rPr>
          <w:sz w:val="20"/>
          <w:szCs w:val="20"/>
          <w:color w:val="auto"/>
        </w:rPr>
        <w:tab/>
      </w:r>
      <w:r>
        <w:rPr>
          <w:rFonts w:ascii="Arial" w:cs="Arial" w:eastAsia="Arial" w:hAnsi="Arial"/>
          <w:sz w:val="18"/>
          <w:szCs w:val="18"/>
          <w:color w:val="auto"/>
        </w:rPr>
        <w:t>Form of 2014 Performance Share Unit Agreement for Mr. Joerres and Mr. Van Handel under the 2011 Equity Incentive Plan, incorporated by reference to the Company’s Quarterly Report on Form 10-Q for the quarter ended March 31, 2014. **</w:t>
      </w:r>
    </w:p>
    <w:p>
      <w:pPr>
        <w:spacing w:after="0" w:line="279" w:lineRule="exact"/>
        <w:rPr>
          <w:sz w:val="20"/>
          <w:szCs w:val="20"/>
          <w:color w:val="auto"/>
        </w:rPr>
      </w:pPr>
    </w:p>
    <w:p>
      <w:pPr>
        <w:ind w:left="925" w:right="340" w:hanging="917"/>
        <w:spacing w:after="0" w:line="277" w:lineRule="auto"/>
        <w:tabs>
          <w:tab w:leader="none" w:pos="905" w:val="left"/>
        </w:tabs>
        <w:rPr>
          <w:sz w:val="20"/>
          <w:szCs w:val="20"/>
          <w:color w:val="auto"/>
        </w:rPr>
      </w:pPr>
      <w:r>
        <w:rPr>
          <w:rFonts w:ascii="Arial" w:cs="Arial" w:eastAsia="Arial" w:hAnsi="Arial"/>
          <w:sz w:val="18"/>
          <w:szCs w:val="18"/>
          <w:color w:val="auto"/>
        </w:rPr>
        <w:t>10.11(i)</w:t>
      </w:r>
      <w:r>
        <w:rPr>
          <w:sz w:val="20"/>
          <w:szCs w:val="20"/>
          <w:color w:val="auto"/>
        </w:rPr>
        <w:tab/>
      </w:r>
      <w:r>
        <w:rPr>
          <w:rFonts w:ascii="Arial" w:cs="Arial" w:eastAsia="Arial" w:hAnsi="Arial"/>
          <w:sz w:val="18"/>
          <w:szCs w:val="18"/>
          <w:color w:val="auto"/>
        </w:rPr>
        <w:t>2014 Restricted Stock Unit Agreement for Mr. Joerres, incorporated by reference to the Company’s Quarterly Report on Form 10-Q for the quarter ended March 31, 2014. **</w:t>
      </w:r>
    </w:p>
    <w:p>
      <w:pPr>
        <w:spacing w:after="0" w:line="279" w:lineRule="exact"/>
        <w:rPr>
          <w:sz w:val="20"/>
          <w:szCs w:val="20"/>
          <w:color w:val="auto"/>
        </w:rPr>
      </w:pPr>
    </w:p>
    <w:p>
      <w:pPr>
        <w:ind w:left="925" w:right="380" w:hanging="917"/>
        <w:spacing w:after="0" w:line="277" w:lineRule="auto"/>
        <w:tabs>
          <w:tab w:leader="none" w:pos="905" w:val="left"/>
        </w:tabs>
        <w:rPr>
          <w:sz w:val="20"/>
          <w:szCs w:val="20"/>
          <w:color w:val="auto"/>
        </w:rPr>
      </w:pPr>
      <w:r>
        <w:rPr>
          <w:rFonts w:ascii="Arial" w:cs="Arial" w:eastAsia="Arial" w:hAnsi="Arial"/>
          <w:sz w:val="18"/>
          <w:szCs w:val="18"/>
          <w:color w:val="auto"/>
        </w:rPr>
        <w:t>10.11(j)</w:t>
      </w:r>
      <w:r>
        <w:rPr>
          <w:sz w:val="20"/>
          <w:szCs w:val="20"/>
          <w:color w:val="auto"/>
        </w:rPr>
        <w:tab/>
      </w:r>
      <w:r>
        <w:rPr>
          <w:rFonts w:ascii="Arial" w:cs="Arial" w:eastAsia="Arial" w:hAnsi="Arial"/>
          <w:sz w:val="18"/>
          <w:szCs w:val="18"/>
          <w:color w:val="auto"/>
        </w:rPr>
        <w:t>2014 Stock Option Agreement for Mr. Joerres, incorporated by reference to the Company’s Quarterly Report on Form 10-Q for the quarter ended March 31, 2014. **</w:t>
      </w:r>
    </w:p>
    <w:p>
      <w:pPr>
        <w:spacing w:after="0" w:line="279" w:lineRule="exact"/>
        <w:rPr>
          <w:sz w:val="20"/>
          <w:szCs w:val="20"/>
          <w:color w:val="auto"/>
        </w:rPr>
      </w:pPr>
    </w:p>
    <w:p>
      <w:pPr>
        <w:ind w:left="925" w:hanging="917"/>
        <w:spacing w:after="0" w:line="277" w:lineRule="auto"/>
        <w:tabs>
          <w:tab w:leader="none" w:pos="905" w:val="left"/>
        </w:tabs>
        <w:rPr>
          <w:sz w:val="20"/>
          <w:szCs w:val="20"/>
          <w:color w:val="auto"/>
        </w:rPr>
      </w:pPr>
      <w:r>
        <w:rPr>
          <w:rFonts w:ascii="Arial" w:cs="Arial" w:eastAsia="Arial" w:hAnsi="Arial"/>
          <w:sz w:val="18"/>
          <w:szCs w:val="18"/>
          <w:color w:val="auto"/>
        </w:rPr>
        <w:t>10.11(k)</w:t>
      </w:r>
      <w:r>
        <w:rPr>
          <w:sz w:val="20"/>
          <w:szCs w:val="20"/>
          <w:color w:val="auto"/>
        </w:rPr>
        <w:tab/>
      </w:r>
      <w:r>
        <w:rPr>
          <w:rFonts w:ascii="Arial" w:cs="Arial" w:eastAsia="Arial" w:hAnsi="Arial"/>
          <w:sz w:val="18"/>
          <w:szCs w:val="18"/>
          <w:color w:val="auto"/>
        </w:rPr>
        <w:t>2013 Performance Share Unit Agreement for Ram Chandrashekar dated February 13, 2013, incorporated by reference to the Company's Annual Report on Form 10-K for the year ended December 31, 2014. **</w:t>
      </w:r>
    </w:p>
    <w:p>
      <w:pPr>
        <w:spacing w:after="0" w:line="279" w:lineRule="exact"/>
        <w:rPr>
          <w:sz w:val="20"/>
          <w:szCs w:val="20"/>
          <w:color w:val="auto"/>
        </w:rPr>
      </w:pPr>
    </w:p>
    <w:p>
      <w:pPr>
        <w:ind w:left="925" w:right="340" w:hanging="917"/>
        <w:spacing w:after="0" w:line="277" w:lineRule="auto"/>
        <w:tabs>
          <w:tab w:leader="none" w:pos="905"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Severance Agreement between Ram Chandrashekar and the Company dated October 29, 2015, incorporated by reference to the Company's Quarterly Report on Form 10-Q for the quarter ended September 30, 2015. **</w:t>
      </w:r>
    </w:p>
    <w:p>
      <w:pPr>
        <w:spacing w:after="0" w:line="279" w:lineRule="exact"/>
        <w:rPr>
          <w:sz w:val="20"/>
          <w:szCs w:val="20"/>
          <w:color w:val="auto"/>
        </w:rPr>
      </w:pPr>
    </w:p>
    <w:p>
      <w:pPr>
        <w:ind w:left="925" w:right="280" w:hanging="917"/>
        <w:spacing w:after="0" w:line="277" w:lineRule="auto"/>
        <w:tabs>
          <w:tab w:leader="none" w:pos="905" w:val="left"/>
        </w:tabs>
        <w:rPr>
          <w:sz w:val="20"/>
          <w:szCs w:val="20"/>
          <w:color w:val="auto"/>
        </w:rPr>
      </w:pPr>
      <w:r>
        <w:rPr>
          <w:rFonts w:ascii="Arial" w:cs="Arial" w:eastAsia="Arial" w:hAnsi="Arial"/>
          <w:sz w:val="18"/>
          <w:szCs w:val="18"/>
          <w:color w:val="auto"/>
        </w:rPr>
        <w:t>10.12(b)</w:t>
      </w:r>
      <w:r>
        <w:rPr>
          <w:sz w:val="20"/>
          <w:szCs w:val="20"/>
          <w:color w:val="auto"/>
        </w:rPr>
        <w:tab/>
      </w:r>
      <w:r>
        <w:rPr>
          <w:rFonts w:ascii="Arial" w:cs="Arial" w:eastAsia="Arial" w:hAnsi="Arial"/>
          <w:sz w:val="18"/>
          <w:szCs w:val="18"/>
          <w:color w:val="auto"/>
        </w:rPr>
        <w:t>Letter Agreement between Ram Chandrashekar and the Company dated March 8, 2013, incorporated by reference to the Company's Annual Report on Form 10-K for the year ended December 31, 2014. **</w:t>
      </w:r>
    </w:p>
    <w:p>
      <w:pPr>
        <w:spacing w:after="0" w:line="279" w:lineRule="exact"/>
        <w:rPr>
          <w:sz w:val="20"/>
          <w:szCs w:val="20"/>
          <w:color w:val="auto"/>
        </w:rPr>
      </w:pPr>
    </w:p>
    <w:p>
      <w:pPr>
        <w:ind w:left="5"/>
        <w:spacing w:after="0"/>
        <w:tabs>
          <w:tab w:leader="none" w:pos="905"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333" w:lineRule="exact"/>
        <w:rPr>
          <w:sz w:val="20"/>
          <w:szCs w:val="20"/>
          <w:color w:val="auto"/>
        </w:rPr>
      </w:pPr>
    </w:p>
    <w:p>
      <w:pPr>
        <w:ind w:left="925" w:right="560" w:hanging="925"/>
        <w:spacing w:after="0" w:line="277" w:lineRule="auto"/>
        <w:tabs>
          <w:tab w:leader="none" w:pos="9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2015 Annual Report to Shareholders. Pursuant to Item 601(b)(13) of Regulation S-K, the portions of the Annual Report incorporated by reference in this Form 10-K are filed as an exhibit hereto.</w:t>
      </w:r>
    </w:p>
    <w:p>
      <w:pPr>
        <w:spacing w:after="0" w:line="292"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100" w:type="dxa"/>
            <w:vAlign w:val="bottom"/>
          </w:tcPr>
          <w:p>
            <w:pPr>
              <w:ind w:left="300"/>
              <w:spacing w:after="0"/>
              <w:rPr>
                <w:sz w:val="20"/>
                <w:szCs w:val="20"/>
                <w:color w:val="auto"/>
              </w:rPr>
            </w:pPr>
            <w:r>
              <w:rPr>
                <w:rFonts w:ascii="Arial" w:cs="Arial" w:eastAsia="Arial" w:hAnsi="Arial"/>
                <w:sz w:val="18"/>
                <w:szCs w:val="18"/>
                <w:color w:val="auto"/>
              </w:rPr>
              <w:t>Subsidiaries of the Company.</w:t>
            </w:r>
          </w:p>
        </w:tc>
      </w:tr>
      <w:tr>
        <w:trPr>
          <w:trHeight w:val="540"/>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10100" w:type="dxa"/>
            <w:vAlign w:val="bottom"/>
          </w:tcPr>
          <w:p>
            <w:pPr>
              <w:ind w:left="300"/>
              <w:spacing w:after="0"/>
              <w:rPr>
                <w:sz w:val="20"/>
                <w:szCs w:val="20"/>
                <w:color w:val="auto"/>
              </w:rPr>
            </w:pPr>
            <w:r>
              <w:rPr>
                <w:rFonts w:ascii="Arial" w:cs="Arial" w:eastAsia="Arial" w:hAnsi="Arial"/>
                <w:sz w:val="18"/>
                <w:szCs w:val="18"/>
                <w:color w:val="auto"/>
              </w:rPr>
              <w:t>Consent of Deloitte &amp; Touche LLP.</w:t>
            </w:r>
          </w:p>
        </w:tc>
      </w:tr>
      <w:tr>
        <w:trPr>
          <w:trHeight w:val="540"/>
        </w:trPr>
        <w:tc>
          <w:tcPr>
            <w:tcW w:w="620" w:type="dxa"/>
            <w:vAlign w:val="bottom"/>
          </w:tcPr>
          <w:p>
            <w:pPr>
              <w:spacing w:after="0"/>
              <w:rPr>
                <w:sz w:val="20"/>
                <w:szCs w:val="20"/>
                <w:color w:val="auto"/>
              </w:rPr>
            </w:pPr>
            <w:r>
              <w:rPr>
                <w:rFonts w:ascii="Arial" w:cs="Arial" w:eastAsia="Arial" w:hAnsi="Arial"/>
                <w:sz w:val="18"/>
                <w:szCs w:val="18"/>
                <w:color w:val="auto"/>
              </w:rPr>
              <w:t>24</w:t>
            </w:r>
          </w:p>
        </w:tc>
        <w:tc>
          <w:tcPr>
            <w:tcW w:w="10100" w:type="dxa"/>
            <w:vAlign w:val="bottom"/>
          </w:tcPr>
          <w:p>
            <w:pPr>
              <w:ind w:left="300"/>
              <w:spacing w:after="0"/>
              <w:rPr>
                <w:sz w:val="20"/>
                <w:szCs w:val="20"/>
                <w:color w:val="auto"/>
              </w:rPr>
            </w:pPr>
            <w:r>
              <w:rPr>
                <w:rFonts w:ascii="Arial" w:cs="Arial" w:eastAsia="Arial" w:hAnsi="Arial"/>
                <w:sz w:val="18"/>
                <w:szCs w:val="18"/>
                <w:color w:val="auto"/>
              </w:rPr>
              <w:t>Power of Attorney.</w:t>
            </w:r>
          </w:p>
        </w:tc>
      </w:tr>
      <w:tr>
        <w:trPr>
          <w:trHeight w:val="540"/>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tcPr>
          <w:p>
            <w:pPr>
              <w:ind w:left="300"/>
              <w:spacing w:after="0"/>
              <w:rPr>
                <w:sz w:val="20"/>
                <w:szCs w:val="20"/>
                <w:color w:val="auto"/>
              </w:rPr>
            </w:pPr>
            <w:r>
              <w:rPr>
                <w:rFonts w:ascii="Arial" w:cs="Arial" w:eastAsia="Arial" w:hAnsi="Arial"/>
                <w:sz w:val="18"/>
                <w:szCs w:val="18"/>
                <w:color w:val="auto"/>
                <w:w w:val="98"/>
              </w:rPr>
              <w:t>Certification of Jonas Prising, Chief Executive Officer, pursuant to Section 13a-14(a) of the Securities Exchange Act of 1934.</w:t>
            </w:r>
          </w:p>
        </w:tc>
      </w:tr>
      <w:tr>
        <w:trPr>
          <w:trHeight w:val="526"/>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Certification of John T. McGinnis, Executive Vice President and Chief Financial Officer, pursuant to Section 13a-14(a) of the Securities</w:t>
            </w:r>
          </w:p>
        </w:tc>
      </w:tr>
      <w:tr>
        <w:trPr>
          <w:trHeight w:val="230"/>
        </w:trPr>
        <w:tc>
          <w:tcPr>
            <w:tcW w:w="620" w:type="dxa"/>
            <w:vAlign w:val="bottom"/>
          </w:tcPr>
          <w:p>
            <w:pPr>
              <w:spacing w:after="0"/>
              <w:rPr>
                <w:sz w:val="20"/>
                <w:szCs w:val="20"/>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Exchange Act of 1934.</w:t>
            </w:r>
          </w:p>
        </w:tc>
      </w:tr>
      <w:tr>
        <w:trPr>
          <w:trHeight w:val="540"/>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tcPr>
          <w:p>
            <w:pPr>
              <w:ind w:left="300"/>
              <w:spacing w:after="0"/>
              <w:rPr>
                <w:sz w:val="20"/>
                <w:szCs w:val="20"/>
                <w:color w:val="auto"/>
              </w:rPr>
            </w:pPr>
            <w:r>
              <w:rPr>
                <w:rFonts w:ascii="Arial" w:cs="Arial" w:eastAsia="Arial" w:hAnsi="Arial"/>
                <w:sz w:val="18"/>
                <w:szCs w:val="18"/>
                <w:color w:val="auto"/>
              </w:rPr>
              <w:t>Statement of Jonas Prising, Chief Executive Officer, pursuant to 18 U.S.C. ss. 1350.</w:t>
            </w:r>
          </w:p>
        </w:tc>
      </w:tr>
      <w:tr>
        <w:trPr>
          <w:trHeight w:val="540"/>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tcPr>
          <w:p>
            <w:pPr>
              <w:ind w:left="300"/>
              <w:spacing w:after="0"/>
              <w:rPr>
                <w:sz w:val="20"/>
                <w:szCs w:val="20"/>
                <w:color w:val="auto"/>
              </w:rPr>
            </w:pPr>
            <w:r>
              <w:rPr>
                <w:rFonts w:ascii="Arial" w:cs="Arial" w:eastAsia="Arial" w:hAnsi="Arial"/>
                <w:sz w:val="18"/>
                <w:szCs w:val="18"/>
                <w:color w:val="auto"/>
              </w:rPr>
              <w:t>Statement of John T. McGinnis, Executive Vice President and Chief Financial Officer, pursuant to 18 U.S.C. ss. 1350.</w:t>
            </w:r>
          </w:p>
        </w:tc>
      </w:tr>
      <w:tr>
        <w:trPr>
          <w:trHeight w:val="756"/>
        </w:trPr>
        <w:tc>
          <w:tcPr>
            <w:tcW w:w="620" w:type="dxa"/>
            <w:vAlign w:val="bottom"/>
          </w:tcPr>
          <w:p>
            <w:pPr>
              <w:spacing w:after="0"/>
              <w:rPr>
                <w:sz w:val="24"/>
                <w:szCs w:val="24"/>
                <w:color w:val="auto"/>
              </w:rPr>
            </w:pPr>
          </w:p>
        </w:tc>
        <w:tc>
          <w:tcPr>
            <w:tcW w:w="10100" w:type="dxa"/>
            <w:vAlign w:val="bottom"/>
          </w:tcPr>
          <w:p>
            <w:pPr>
              <w:ind w:left="496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85"/>
          </w:cols>
          <w:pgMar w:left="275" w:top="746" w:right="339" w:bottom="1440" w:gutter="0" w:footer="0" w:header="0"/>
        </w:sectPr>
      </w:pPr>
    </w:p>
    <w:bookmarkStart w:id="29" w:name="page30"/>
    <w:bookmarkEnd w:id="29"/>
    <w:p>
      <w:pPr>
        <w:ind w:left="925" w:hanging="925"/>
        <w:spacing w:after="0" w:line="273" w:lineRule="auto"/>
        <w:tabs>
          <w:tab w:leader="none" w:pos="92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year ended December 31, 2015, formatted in XBRL (Extensible Business Reporting Language): (i) Consolidated Balance Sheets, (ii) Consolidated Statements of Operations, (iii) Consolidated Statements of Comprehensive Income, (iv) Consolidated Statements of Cash Flows, (v) Consolidated Statements of Shareholders’ Equity, (vi) Notes to Consolidated Financial Statements and (vii) Schedule II – Valuation and Qualifying Accounts.</w:t>
      </w:r>
    </w:p>
    <w:p>
      <w:pPr>
        <w:spacing w:after="0" w:line="2" w:lineRule="exact"/>
        <w:rPr>
          <w:sz w:val="20"/>
          <w:szCs w:val="20"/>
          <w:color w:val="auto"/>
        </w:rPr>
      </w:pPr>
    </w:p>
    <w:p>
      <w:pPr>
        <w:ind w:left="25"/>
        <w:spacing w:after="0"/>
        <w:tabs>
          <w:tab w:leader="none" w:pos="36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52" w:lineRule="exact"/>
        <w:rPr>
          <w:sz w:val="20"/>
          <w:szCs w:val="20"/>
          <w:color w:val="auto"/>
        </w:rPr>
      </w:pPr>
    </w:p>
    <w:p>
      <w:pPr>
        <w:jc w:val="center"/>
        <w:ind w:right="-20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5"/>
          </w:cols>
          <w:pgMar w:left="275" w:top="746" w:right="45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MANPOWERGROUP INC.</w:t>
      </w:r>
    </w:p>
    <w:p>
      <w:pPr>
        <w:spacing w:after="0" w:line="333" w:lineRule="exact"/>
        <w:rPr>
          <w:sz w:val="20"/>
          <w:szCs w:val="20"/>
          <w:color w:val="auto"/>
        </w:rPr>
      </w:pPr>
    </w:p>
    <w:p>
      <w:pPr>
        <w:ind w:left="61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Jonas Prising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pacing w:after="0" w:line="319" w:lineRule="exact"/>
        <w:rPr>
          <w:sz w:val="20"/>
          <w:szCs w:val="20"/>
          <w:color w:val="auto"/>
        </w:rPr>
      </w:pPr>
    </w:p>
    <w:p>
      <w:pPr>
        <w:ind w:left="6100"/>
        <w:spacing w:after="0"/>
        <w:tabs>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2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w:t>
            </w:r>
          </w:p>
        </w:tc>
        <w:tc>
          <w:tcPr>
            <w:tcW w:w="5460" w:type="dxa"/>
            <w:vAlign w:val="bottom"/>
            <w:gridSpan w:val="2"/>
          </w:tcPr>
          <w:p>
            <w:pPr>
              <w:ind w:left="2440"/>
              <w:spacing w:after="0"/>
              <w:rPr>
                <w:sz w:val="20"/>
                <w:szCs w:val="20"/>
                <w:color w:val="auto"/>
              </w:rPr>
            </w:pPr>
            <w:r>
              <w:rPr>
                <w:rFonts w:ascii="Arial" w:cs="Arial" w:eastAsia="Arial" w:hAnsi="Arial"/>
                <w:sz w:val="18"/>
                <w:szCs w:val="18"/>
                <w:b w:val="1"/>
                <w:bCs w:val="1"/>
                <w:color w:val="auto"/>
              </w:rPr>
              <w:t>Title</w:t>
            </w:r>
          </w:p>
        </w:tc>
        <w:tc>
          <w:tcPr>
            <w:tcW w:w="2020" w:type="dxa"/>
            <w:vAlign w:val="bottom"/>
          </w:tcPr>
          <w:p>
            <w:pPr>
              <w:ind w:left="820"/>
              <w:spacing w:after="0"/>
              <w:rPr>
                <w:sz w:val="20"/>
                <w:szCs w:val="20"/>
                <w:color w:val="auto"/>
              </w:rPr>
            </w:pPr>
            <w:r>
              <w:rPr>
                <w:rFonts w:ascii="Arial" w:cs="Arial" w:eastAsia="Arial" w:hAnsi="Arial"/>
                <w:sz w:val="18"/>
                <w:szCs w:val="18"/>
                <w:b w:val="1"/>
                <w:bCs w:val="1"/>
                <w:color w:val="auto"/>
              </w:rPr>
              <w:t>Date</w:t>
            </w:r>
          </w:p>
        </w:tc>
      </w:tr>
      <w:tr>
        <w:trPr>
          <w:trHeight w:val="34"/>
        </w:trPr>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473"/>
        </w:trPr>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Jonas Prising</w:t>
            </w:r>
          </w:p>
        </w:tc>
        <w:tc>
          <w:tcPr>
            <w:tcW w:w="2520" w:type="dxa"/>
            <w:vAlign w:val="bottom"/>
            <w:gridSpan w:val="3"/>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Chairman, Chief Executive Officer and a Director</w:t>
            </w:r>
          </w:p>
        </w:tc>
        <w:tc>
          <w:tcPr>
            <w:tcW w:w="2020" w:type="dxa"/>
            <w:vAlign w:val="bottom"/>
          </w:tcPr>
          <w:p>
            <w:pPr>
              <w:ind w:left="160"/>
              <w:spacing w:after="0"/>
              <w:rPr>
                <w:sz w:val="20"/>
                <w:szCs w:val="20"/>
                <w:color w:val="auto"/>
              </w:rPr>
            </w:pPr>
            <w:r>
              <w:rPr>
                <w:rFonts w:ascii="Arial" w:cs="Arial" w:eastAsia="Arial" w:hAnsi="Arial"/>
                <w:sz w:val="18"/>
                <w:szCs w:val="18"/>
                <w:color w:val="auto"/>
              </w:rPr>
              <w:t>February 22, 2016</w:t>
            </w:r>
          </w:p>
        </w:tc>
      </w:tr>
      <w:tr>
        <w:trPr>
          <w:trHeight w:val="237"/>
        </w:trPr>
        <w:tc>
          <w:tcPr>
            <w:tcW w:w="20" w:type="dxa"/>
            <w:vAlign w:val="bottom"/>
          </w:tcPr>
          <w:p>
            <w:pPr>
              <w:spacing w:after="0"/>
              <w:rPr>
                <w:sz w:val="20"/>
                <w:szCs w:val="20"/>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Jonas Prising</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John T. McGinnis</w:t>
            </w:r>
          </w:p>
        </w:tc>
        <w:tc>
          <w:tcPr>
            <w:tcW w:w="2180" w:type="dxa"/>
            <w:vAlign w:val="bottom"/>
            <w:gridSpan w:val="2"/>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020" w:type="dxa"/>
            <w:vAlign w:val="bottom"/>
          </w:tcPr>
          <w:p>
            <w:pPr>
              <w:ind w:left="160"/>
              <w:spacing w:after="0"/>
              <w:rPr>
                <w:sz w:val="20"/>
                <w:szCs w:val="20"/>
                <w:color w:val="auto"/>
              </w:rPr>
            </w:pPr>
            <w:r>
              <w:rPr>
                <w:rFonts w:ascii="Arial" w:cs="Arial" w:eastAsia="Arial" w:hAnsi="Arial"/>
                <w:sz w:val="18"/>
                <w:szCs w:val="18"/>
                <w:color w:val="auto"/>
              </w:rPr>
              <w:t>February 22, 2016</w:t>
            </w:r>
          </w:p>
        </w:tc>
      </w:tr>
      <w:tr>
        <w:trPr>
          <w:trHeight w:val="237"/>
        </w:trPr>
        <w:tc>
          <w:tcPr>
            <w:tcW w:w="20" w:type="dxa"/>
            <w:vAlign w:val="bottom"/>
          </w:tcPr>
          <w:p>
            <w:pPr>
              <w:spacing w:after="0"/>
              <w:rPr>
                <w:sz w:val="20"/>
                <w:szCs w:val="20"/>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John T. McGinnis</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2020" w:type="dxa"/>
            <w:vAlign w:val="bottom"/>
          </w:tcPr>
          <w:p>
            <w:pPr>
              <w:spacing w:after="0"/>
              <w:rPr>
                <w:sz w:val="20"/>
                <w:szCs w:val="20"/>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Directors: Gina R. Boswell, Cari M. Dominguez, William Downe, John F. Ferraro, Patricia A. Hemingway Hall, Roberto Mendoza, Ulice Payne, Jr., Paul Read, Elizabeth P. Sartain, John R. Walter and Edward J. Zore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February 22, 2016</w:t>
      </w:r>
    </w:p>
    <w:p>
      <w:pPr>
        <w:spacing w:after="0" w:line="33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Buchband</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54" w:lineRule="exact"/>
        <w:rPr>
          <w:sz w:val="20"/>
          <w:szCs w:val="20"/>
          <w:color w:val="auto"/>
        </w:rPr>
      </w:pPr>
    </w:p>
    <w:p>
      <w:pPr>
        <w:ind w:left="5620" w:right="4760" w:hanging="5612"/>
        <w:spacing w:after="0" w:line="871" w:lineRule="auto"/>
        <w:tabs>
          <w:tab w:leader="none" w:pos="274"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Pursuant to authority granted by powers of attorney, copies of which are filed herewith. 31</w:t>
      </w:r>
    </w:p>
    <w:p>
      <w:pPr>
        <w:sectPr>
          <w:pgSz w:w="11900" w:h="16838" w:orient="portrait"/>
          <w:cols w:equalWidth="0" w:num="1">
            <w:col w:w="11320"/>
          </w:cols>
          <w:pgMar w:left="240" w:top="580" w:right="3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ManpowerGroup Inc.</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audited the consolidated financial statements of ManpowerGroup Inc. and subsidiaries (the "Company") as of December 31, 2015 and 2014, and for each of the three years in the period ended December 31, 2015, and the Company’s internal control over financial reporting as of December 31, 2015, and have issued our reports thereon dated February 22, 2016; such consolidated financial statements and reports are included in your 2015 Annual Report to Shareholders and are incorporated herein by reference. Our audits also included the consolidated financial statement schedule of the Company listed in Item</w:t>
      </w:r>
    </w:p>
    <w:p>
      <w:pPr>
        <w:spacing w:after="0" w:line="2" w:lineRule="exact"/>
        <w:rPr>
          <w:sz w:val="20"/>
          <w:szCs w:val="20"/>
          <w:color w:val="auto"/>
        </w:rPr>
      </w:pPr>
    </w:p>
    <w:p>
      <w:pPr>
        <w:ind w:right="20" w:firstLine="8"/>
        <w:spacing w:after="0" w:line="255"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2016</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580" w:right="319" w:bottom="1440" w:gutter="0" w:footer="0" w:header="0"/>
        </w:sectPr>
      </w:pPr>
    </w:p>
    <w:bookmarkStart w:id="32" w:name="page33"/>
    <w:bookmarkEnd w:id="32"/>
    <w:p>
      <w:pPr>
        <w:ind w:left="316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years ended December 31, 2015, 2014 and 2013,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Balance at</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Provisions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Charged to</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Reclassifications</w:t>
            </w: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of Year</w:t>
            </w: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Write-Offs</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28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of Year</w:t>
            </w:r>
          </w:p>
        </w:tc>
      </w:tr>
      <w:tr>
        <w:trPr>
          <w:trHeight w:val="34"/>
        </w:trPr>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43"/>
        </w:trPr>
        <w:tc>
          <w:tcPr>
            <w:tcW w:w="1740" w:type="dxa"/>
            <w:vAlign w:val="bottom"/>
          </w:tcPr>
          <w:p>
            <w:pPr>
              <w:jc w:val="right"/>
              <w:ind w:right="65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r>
      <w:tr>
        <w:trPr>
          <w:trHeight w:val="675"/>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10.10(b)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Regarding the Grant of Awards</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to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Employee Directors under the 2011 Equity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January 1, 2016)</w:t>
      </w:r>
    </w:p>
    <w:p>
      <w:pPr>
        <w:spacing w:after="0" w:line="22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225" w:lineRule="exact"/>
        <w:rPr>
          <w:sz w:val="20"/>
          <w:szCs w:val="20"/>
          <w:color w:val="auto"/>
        </w:rPr>
      </w:pPr>
    </w:p>
    <w:p>
      <w:pPr>
        <w:ind w:left="1300" w:right="420" w:hanging="644"/>
        <w:spacing w:after="0" w:line="258"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Trading Price” shall mean, with respect to any period, the average of the Market Prices on the last trading day of each full or partial calendar quarter included within such period.</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Plan” shall mean the 2011 Equity Incentive Plan of ManpowerGroup Inc.</w:t>
      </w:r>
    </w:p>
    <w:p>
      <w:pPr>
        <w:spacing w:after="0" w:line="9" w:lineRule="exact"/>
        <w:rPr>
          <w:rFonts w:ascii="Arial" w:cs="Arial" w:eastAsia="Arial" w:hAnsi="Arial"/>
          <w:sz w:val="18"/>
          <w:szCs w:val="18"/>
          <w:color w:val="auto"/>
        </w:rPr>
      </w:pPr>
    </w:p>
    <w:p>
      <w:pPr>
        <w:ind w:left="1300" w:right="340" w:hanging="644"/>
        <w:spacing w:after="0" w:line="26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“Retainer” shall mean the annual cash retainer and the additional cash retainer for committee chairs payable to a Director as established from time to time by the Board of Directors.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terms used below which are not otherwise defined above will have the meanings assigned to them in the Equity Plan.</w:t>
      </w:r>
    </w:p>
    <w:p>
      <w:pPr>
        <w:spacing w:after="0" w:line="22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Right to Elect Deferred Stock in Lieu of Retainer.</w:t>
      </w:r>
    </w:p>
    <w:p>
      <w:pPr>
        <w:spacing w:after="0" w:line="229"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w:t>
      </w:r>
    </w:p>
    <w:p>
      <w:pPr>
        <w:ind w:right="20" w:firstLine="8"/>
        <w:spacing w:after="0" w:line="287"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before the December 31 immediately preceding the beginning of the Election Period for an individual serving as a Director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 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16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Annual Grant of Deferred Stock or Restricted Stock.</w:t>
      </w:r>
    </w:p>
    <w:p>
      <w:pPr>
        <w:spacing w:after="0" w:line="229" w:lineRule="exact"/>
        <w:rPr>
          <w:rFonts w:ascii="Arial" w:cs="Arial" w:eastAsia="Arial" w:hAnsi="Arial"/>
          <w:sz w:val="18"/>
          <w:szCs w:val="18"/>
          <w:color w:val="auto"/>
        </w:rPr>
      </w:pPr>
    </w:p>
    <w:p>
      <w:pPr>
        <w:ind w:left="1300" w:hanging="644"/>
        <w:spacing w:after="0" w:line="269"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Grant of Deferred Stock. </w:t>
      </w:r>
      <w:r>
        <w:rPr>
          <w:rFonts w:ascii="Arial" w:cs="Arial" w:eastAsia="Arial" w:hAnsi="Arial"/>
          <w:sz w:val="17"/>
          <w:szCs w:val="17"/>
          <w:color w:val="auto"/>
        </w:rPr>
        <w:t>Each individual serving as a Director on the first day of each calendar year shall be granted on that day,</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and specifically without further action of the Board of Directors, a number of shares of Deferred Stock equal to $140,000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 (i) $140,000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w:t>
      </w:r>
    </w:p>
    <w:p>
      <w:pPr>
        <w:sectPr>
          <w:pgSz w:w="11900" w:h="16838" w:orient="portrait"/>
          <w:cols w:equalWidth="0" w:num="1">
            <w:col w:w="11420"/>
          </w:cols>
          <w:pgMar w:left="240" w:top="796" w:right="239" w:bottom="1440" w:gutter="0" w:footer="0" w:header="0"/>
        </w:sectPr>
      </w:pPr>
    </w:p>
    <w:bookmarkStart w:id="34" w:name="page35"/>
    <w:bookmarkEnd w:id="34"/>
    <w:p>
      <w:pPr>
        <w:ind w:left="1292" w:right="20"/>
        <w:spacing w:after="0" w:line="323" w:lineRule="auto"/>
        <w:rPr>
          <w:sz w:val="20"/>
          <w:szCs w:val="20"/>
          <w:color w:val="auto"/>
        </w:rPr>
      </w:pPr>
      <w:r>
        <w:rPr>
          <w:rFonts w:ascii="Arial" w:cs="Arial" w:eastAsia="Arial" w:hAnsi="Arial"/>
          <w:sz w:val="17"/>
          <w:szCs w:val="17"/>
          <w:color w:val="auto"/>
        </w:rPr>
        <w:t>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150" w:lineRule="exact"/>
        <w:rPr>
          <w:sz w:val="20"/>
          <w:szCs w:val="20"/>
          <w:color w:val="auto"/>
        </w:rPr>
      </w:pPr>
    </w:p>
    <w:p>
      <w:pPr>
        <w:ind w:left="1292" w:right="60" w:hanging="644"/>
        <w:spacing w:after="0" w:line="268" w:lineRule="auto"/>
        <w:tabs>
          <w:tab w:leader="none" w:pos="1292"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Alternative Grant of Restricted Stock. </w:t>
      </w:r>
      <w:r>
        <w:rPr>
          <w:rFonts w:ascii="Arial" w:cs="Arial" w:eastAsia="Arial" w:hAnsi="Arial"/>
          <w:sz w:val="17"/>
          <w:szCs w:val="17"/>
          <w:color w:val="auto"/>
        </w:rPr>
        <w:t>Instead of receiving a grant of Deferred Stock under this paragraph 3, a Director shall have the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elect to 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 (ii) 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 first day of the full calendar quarter 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p>
    <w:p>
      <w:pPr>
        <w:spacing w:after="0" w:line="181" w:lineRule="exact"/>
        <w:rPr>
          <w:rFonts w:ascii="Arial" w:cs="Arial" w:eastAsia="Arial" w:hAnsi="Arial"/>
          <w:sz w:val="17"/>
          <w:szCs w:val="17"/>
          <w:color w:val="auto"/>
        </w:rPr>
      </w:pPr>
    </w:p>
    <w:p>
      <w:pPr>
        <w:ind w:left="652" w:hanging="652"/>
        <w:spacing w:after="0"/>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Deferred Stock: General Provisions.</w:t>
      </w:r>
    </w:p>
    <w:p>
      <w:pPr>
        <w:spacing w:after="0" w:line="229" w:lineRule="exact"/>
        <w:rPr>
          <w:rFonts w:ascii="Arial" w:cs="Arial" w:eastAsia="Arial" w:hAnsi="Arial"/>
          <w:sz w:val="18"/>
          <w:szCs w:val="18"/>
          <w:color w:val="auto"/>
        </w:rPr>
      </w:pPr>
    </w:p>
    <w:p>
      <w:pPr>
        <w:ind w:left="1292" w:hanging="644"/>
        <w:spacing w:after="0" w:line="270" w:lineRule="auto"/>
        <w:tabs>
          <w:tab w:leader="none" w:pos="1292"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Shares. </w:t>
      </w:r>
      <w:r>
        <w:rPr>
          <w:rFonts w:ascii="Arial" w:cs="Arial" w:eastAsia="Arial" w:hAnsi="Arial"/>
          <w:sz w:val="17"/>
          <w:szCs w:val="17"/>
          <w:color w:val="auto"/>
        </w:rPr>
        <w:t>The Company shall settle Deferred Stock granted under these Terms and Conditions in Shares. Shares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in 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 this paragraph would otherwise occur outside of a “Trading Window” (as defined in the ManpowerGroup Inc. Statement of Policy on Securities Trading), then the Company may delay the distribution of such Shares until the beginning of the next Trading Window.</w:t>
      </w:r>
    </w:p>
    <w:p>
      <w:pPr>
        <w:spacing w:after="0" w:line="177" w:lineRule="exact"/>
        <w:rPr>
          <w:rFonts w:ascii="Arial" w:cs="Arial" w:eastAsia="Arial" w:hAnsi="Arial"/>
          <w:sz w:val="17"/>
          <w:szCs w:val="17"/>
          <w:color w:val="auto"/>
        </w:rPr>
      </w:pPr>
    </w:p>
    <w:p>
      <w:pPr>
        <w:ind w:left="1292" w:right="20" w:hanging="644"/>
        <w:spacing w:after="0" w:line="287" w:lineRule="auto"/>
        <w:tabs>
          <w:tab w:leader="none" w:pos="1292"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Dividends and Distributions</w:t>
      </w:r>
      <w:r>
        <w:rPr>
          <w:rFonts w:ascii="Arial" w:cs="Arial" w:eastAsia="Arial" w:hAnsi="Arial"/>
          <w:sz w:val="16"/>
          <w:szCs w:val="16"/>
          <w:color w:val="auto"/>
        </w:rPr>
        <w:t>. On the first day of each calendar year, each Director shall be granted, automatically and specifically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action of 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shall be granted, automatically and specifically without further action of the Board of Directors, on the day following the date of such cessation, a number of shares of Deferred Stock equal to (i) the total amount of dividends which would have been received by the Director during the year in which termination occurs if the Deferred Stock held by the Director (whether or not vested) on the record date of any such dividend had been outstanding common stock of the Company on such date, (ii) divided by the Average Trading Price for the period from January 1 of such year through the date of such cessation (rounded to the nearest whole share). In the event of any distribution other than cash, the foregoing shall be applied based on the fair market value of the property distributed. Additional shares of Deferred Stock granted under</w:t>
      </w:r>
    </w:p>
    <w:p>
      <w:pPr>
        <w:sectPr>
          <w:pgSz w:w="11900" w:h="16838" w:orient="portrait"/>
          <w:cols w:equalWidth="0" w:num="1">
            <w:col w:w="11412"/>
          </w:cols>
          <w:pgMar w:left="248" w:top="611" w:right="239" w:bottom="1440" w:gutter="0" w:footer="0" w:header="0"/>
        </w:sectPr>
      </w:pPr>
    </w:p>
    <w:bookmarkStart w:id="35" w:name="page36"/>
    <w:bookmarkEnd w:id="35"/>
    <w:p>
      <w:pPr>
        <w:ind w:left="1300" w:right="220"/>
        <w:spacing w:after="0" w:line="324" w:lineRule="auto"/>
        <w:rPr>
          <w:sz w:val="20"/>
          <w:szCs w:val="20"/>
          <w:color w:val="auto"/>
        </w:rPr>
      </w:pPr>
      <w:r>
        <w:rPr>
          <w:rFonts w:ascii="Arial" w:cs="Arial" w:eastAsia="Arial" w:hAnsi="Arial"/>
          <w:sz w:val="18"/>
          <w:szCs w:val="18"/>
          <w:color w:val="auto"/>
        </w:rPr>
        <w:t>this subparagraph 4(b) shall be settled and Shares distributed in respect of such Deferred Stock at the same time as the Deferred Stock to which the dividends and distributions relate.</w:t>
      </w:r>
    </w:p>
    <w:p>
      <w:pPr>
        <w:spacing w:after="0" w:line="13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jc w:val="both"/>
        <w:ind w:left="660" w:hanging="652"/>
        <w:spacing w:after="0" w:line="221" w:lineRule="exact"/>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amended and restated Terms and Conditions shall become effective on January 1, 2016, and effective on that date shall supersede and replace the amended and restated Terms and Conditions Regarding the Grant of Awards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2011 Equity Incentive Plan in effect immediately prior thereto.</w:t>
      </w:r>
    </w:p>
    <w:p>
      <w:pPr>
        <w:spacing w:after="0" w:line="19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Application of Plan.</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Except as otherwise provided in these Terms and Conditions, the Equity Plan shall apply to any Deferred Stock granted pursuant to these Terms and Conditions.</w:t>
      </w:r>
    </w:p>
    <w:p>
      <w:pPr>
        <w:sectPr>
          <w:pgSz w:w="11900" w:h="16838" w:orient="portrait"/>
          <w:cols w:equalWidth="0" w:num="1">
            <w:col w:w="11360"/>
          </w:cols>
          <w:pgMar w:left="240" w:top="611"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10.10(c)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for Non-Employee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2016)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2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cash retainer: $95,000 per year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 structure for annual retainer for committee chairs and lead director:</w:t>
      </w:r>
    </w:p>
    <w:p>
      <w:pPr>
        <w:spacing w:after="0" w:line="225" w:lineRule="exact"/>
        <w:rPr>
          <w:rFonts w:ascii="Arial" w:cs="Arial" w:eastAsia="Arial" w:hAnsi="Arial"/>
          <w:sz w:val="18"/>
          <w:szCs w:val="18"/>
          <w:color w:val="auto"/>
        </w:rPr>
      </w:pPr>
    </w:p>
    <w:p>
      <w:pPr>
        <w:ind w:left="1380" w:hanging="656"/>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$15,000 Annual retainer for services as chair of the nominating and governance committee</w:t>
      </w:r>
    </w:p>
    <w:p>
      <w:pPr>
        <w:spacing w:after="0" w:line="23" w:lineRule="exact"/>
        <w:rPr>
          <w:rFonts w:ascii="Arial" w:cs="Arial" w:eastAsia="Arial" w:hAnsi="Arial"/>
          <w:sz w:val="18"/>
          <w:szCs w:val="18"/>
          <w:color w:val="auto"/>
        </w:rPr>
      </w:pPr>
    </w:p>
    <w:p>
      <w:pPr>
        <w:ind w:left="1380" w:hanging="656"/>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$20,000 per year for services as chair of the audit or executive compensation and human resources committee</w:t>
      </w:r>
    </w:p>
    <w:p>
      <w:pPr>
        <w:spacing w:after="0" w:line="9" w:lineRule="exact"/>
        <w:rPr>
          <w:rFonts w:ascii="Arial" w:cs="Arial" w:eastAsia="Arial" w:hAnsi="Arial"/>
          <w:sz w:val="18"/>
          <w:szCs w:val="18"/>
          <w:color w:val="auto"/>
        </w:rPr>
      </w:pPr>
    </w:p>
    <w:p>
      <w:pPr>
        <w:ind w:left="1380" w:hanging="656"/>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$25,000 annual retainer for service as lead director</w:t>
      </w:r>
    </w:p>
    <w:p>
      <w:pPr>
        <w:spacing w:after="0" w:line="9" w:lineRule="exact"/>
        <w:rPr>
          <w:rFonts w:ascii="Arial" w:cs="Arial" w:eastAsia="Arial" w:hAnsi="Arial"/>
          <w:sz w:val="18"/>
          <w:szCs w:val="18"/>
          <w:color w:val="auto"/>
        </w:rPr>
      </w:pPr>
    </w:p>
    <w:p>
      <w:pPr>
        <w:ind w:left="1380" w:hanging="656"/>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$30,000 annual retainer in the case where the lead director also serves as chair of one of the committees</w:t>
      </w:r>
    </w:p>
    <w:p>
      <w:pPr>
        <w:spacing w:after="0" w:line="210"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annual cash retainer and additional cash retainer for committee chairs and lead director will be paid quarterly in arrears within two weeks following the last day of each calendar quarter.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Receive Deferred Stock in Lieu of Cash Retainer</w:t>
      </w:r>
    </w:p>
    <w:p>
      <w:pPr>
        <w:spacing w:after="0" w:line="229" w:lineRule="exact"/>
        <w:rPr>
          <w:sz w:val="20"/>
          <w:szCs w:val="20"/>
          <w:color w:val="auto"/>
        </w:rPr>
      </w:pPr>
    </w:p>
    <w:p>
      <w:pPr>
        <w:jc w:val="both"/>
        <w:ind w:left="660" w:right="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lieu of the annual cash retainer and additional cash retainer for committee chairs and lead director, outside directors may elect to receive Deferred Stock under the Company’s 2011 Equity Incentive Plan (the “Plan”). The election may cover 50%, 75% or 100% of the annual cash retainer payable to the director for the period covered by the election.</w:t>
      </w:r>
    </w:p>
    <w:p>
      <w:pPr>
        <w:spacing w:after="0" w:line="181" w:lineRule="exact"/>
        <w:rPr>
          <w:rFonts w:ascii="Arial" w:cs="Arial" w:eastAsia="Arial" w:hAnsi="Arial"/>
          <w:sz w:val="18"/>
          <w:szCs w:val="18"/>
          <w:color w:val="auto"/>
        </w:rPr>
      </w:pPr>
    </w:p>
    <w:p>
      <w:pPr>
        <w:ind w:left="660" w:right="180" w:hanging="652"/>
        <w:spacing w:after="0" w:line="219" w:lineRule="exact"/>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w:t>
      </w:r>
      <w:r>
        <w:rPr>
          <w:rFonts w:ascii="MS PGothic" w:cs="MS PGothic" w:eastAsia="MS PGothic" w:hAnsi="MS PGothic"/>
          <w:sz w:val="17"/>
          <w:szCs w:val="17"/>
          <w:color w:val="auto"/>
        </w:rPr>
        <w:t>‑</w:t>
      </w:r>
      <w:r>
        <w:rPr>
          <w:rFonts w:ascii="Arial" w:cs="Arial" w:eastAsia="Arial" w:hAnsi="Arial"/>
          <w:sz w:val="17"/>
          <w:szCs w:val="17"/>
          <w:color w:val="auto"/>
        </w:rPr>
        <w:t>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election applies.</w:t>
      </w:r>
    </w:p>
    <w:p>
      <w:pPr>
        <w:spacing w:after="0" w:line="202" w:lineRule="exact"/>
        <w:rPr>
          <w:rFonts w:ascii="Arial" w:cs="Arial" w:eastAsia="Arial" w:hAnsi="Arial"/>
          <w:sz w:val="17"/>
          <w:szCs w:val="17"/>
          <w:color w:val="auto"/>
        </w:rPr>
      </w:pPr>
    </w:p>
    <w:p>
      <w:pPr>
        <w:ind w:left="660" w:right="12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shares of Deferred Stock granted to the director will be equal to the amount of the annual cash retainer to which the election applies, divided by the average of the closing prices of the stock on the last trading day of each full or partial calendar quarter included within the election period.</w:t>
      </w:r>
    </w:p>
    <w:p>
      <w:pPr>
        <w:spacing w:after="0" w:line="181" w:lineRule="exact"/>
        <w:rPr>
          <w:rFonts w:ascii="Arial" w:cs="Arial" w:eastAsia="Arial" w:hAnsi="Arial"/>
          <w:sz w:val="18"/>
          <w:szCs w:val="18"/>
          <w:color w:val="auto"/>
        </w:rPr>
      </w:pPr>
    </w:p>
    <w:p>
      <w:pPr>
        <w:ind w:left="660" w:right="40" w:hanging="652"/>
        <w:spacing w:after="0" w:line="273"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Shares of common stock represented by such Deferred Stock held by a director will be distributed to the director on the earlier of the third anniversary of the date of grant or within 30 days after the date the director ceases to be a member of the Board of Directors. However, the director will have the right to extend the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Grant of Deferred Stock or Restricted Stock</w:t>
      </w:r>
    </w:p>
    <w:p>
      <w:pPr>
        <w:spacing w:after="0" w:line="229" w:lineRule="exact"/>
        <w:rPr>
          <w:sz w:val="20"/>
          <w:szCs w:val="20"/>
          <w:color w:val="auto"/>
        </w:rPr>
      </w:pPr>
    </w:p>
    <w:p>
      <w:pPr>
        <w:ind w:left="660" w:right="60" w:hanging="652"/>
        <w:spacing w:after="0" w:line="220" w:lineRule="exact"/>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addition to the cash compensation (or elective Deferred Stock), non</w:t>
      </w:r>
      <w:r>
        <w:rPr>
          <w:rFonts w:ascii="MS PGothic" w:cs="MS PGothic" w:eastAsia="MS PGothic" w:hAnsi="MS PGothic"/>
          <w:sz w:val="18"/>
          <w:szCs w:val="18"/>
          <w:color w:val="auto"/>
        </w:rPr>
        <w:t>‑</w:t>
      </w:r>
      <w:r>
        <w:rPr>
          <w:rFonts w:ascii="Arial" w:cs="Arial" w:eastAsia="Arial" w:hAnsi="Arial"/>
          <w:sz w:val="18"/>
          <w:szCs w:val="18"/>
          <w:color w:val="auto"/>
        </w:rPr>
        <w:t>employee directors each will receive an annual grant of Deferred Stock under the Plan. The grant will be effective on the first day of each year, and the number of shares granted will equal $140,000 divided by the closing sale price of a share of the Company’s common stock on the last business day of the preceding year. Such Deferred Stock will vest in equal quarterly installments on the last day of each calendar quarter during the year.</w:t>
      </w:r>
    </w:p>
    <w:p>
      <w:pPr>
        <w:sectPr>
          <w:pgSz w:w="11900" w:h="16838" w:orient="portrait"/>
          <w:cols w:equalWidth="0" w:num="1">
            <w:col w:w="11420"/>
          </w:cols>
          <w:pgMar w:left="240" w:top="1012" w:right="239" w:bottom="1440" w:gutter="0" w:footer="0" w:header="0"/>
        </w:sectPr>
      </w:pPr>
    </w:p>
    <w:bookmarkStart w:id="37" w:name="page38"/>
    <w:bookmarkEnd w:id="37"/>
    <w:p>
      <w:pPr>
        <w:ind w:left="660" w:hanging="652"/>
        <w:spacing w:after="0" w:line="273"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178" w:lineRule="exact"/>
        <w:rPr>
          <w:rFonts w:ascii="Arial" w:cs="Arial" w:eastAsia="Arial" w:hAnsi="Arial"/>
          <w:sz w:val="17"/>
          <w:szCs w:val="17"/>
          <w:color w:val="auto"/>
        </w:rPr>
      </w:pPr>
    </w:p>
    <w:p>
      <w:pPr>
        <w:ind w:left="660" w:right="100" w:hanging="652"/>
        <w:spacing w:after="0" w:line="220" w:lineRule="exact"/>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Instead of receiving this grant of Deferred Stock, non</w:t>
      </w:r>
      <w:r>
        <w:rPr>
          <w:rFonts w:ascii="MS PGothic" w:cs="MS PGothic" w:eastAsia="MS PGothic" w:hAnsi="MS PGothic"/>
          <w:sz w:val="18"/>
          <w:szCs w:val="18"/>
          <w:color w:val="auto"/>
        </w:rPr>
        <w:t>‑</w:t>
      </w:r>
      <w:r>
        <w:rPr>
          <w:rFonts w:ascii="Arial" w:cs="Arial" w:eastAsia="Arial" w:hAnsi="Arial"/>
          <w:sz w:val="18"/>
          <w:szCs w:val="18"/>
          <w:color w:val="auto"/>
        </w:rPr>
        <w:t>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spacing w:after="0" w:line="204" w:lineRule="exact"/>
        <w:rPr>
          <w:rFonts w:ascii="Arial" w:cs="Arial" w:eastAsia="Arial" w:hAnsi="Arial"/>
          <w:sz w:val="18"/>
          <w:szCs w:val="18"/>
          <w:color w:val="auto"/>
        </w:rPr>
      </w:pPr>
    </w:p>
    <w:p>
      <w:pPr>
        <w:ind w:left="660" w:right="140" w:hanging="652"/>
        <w:spacing w:after="0" w:line="217" w:lineRule="exact"/>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new non</w:t>
      </w:r>
      <w:r>
        <w:rPr>
          <w:rFonts w:ascii="MS PGothic" w:cs="MS PGothic" w:eastAsia="MS PGothic" w:hAnsi="MS PGothic"/>
          <w:sz w:val="16"/>
          <w:szCs w:val="16"/>
          <w:color w:val="auto"/>
        </w:rPr>
        <w:t>‑</w:t>
      </w:r>
      <w:r>
        <w:rPr>
          <w:rFonts w:ascii="Arial" w:cs="Arial" w:eastAsia="Arial" w:hAnsi="Arial"/>
          <w:sz w:val="16"/>
          <w:szCs w:val="16"/>
          <w:color w:val="auto"/>
        </w:rPr>
        <w:t>employee director will receive a grant of Deferred Stock effective the date the director is appointed to the Board. The grant will be for a number of shares of Deferred Stock equal to $140,000 prorated for the period beginning on the date of the director’s appointment and ending on December 31 of that year, divided by the closing sale price of a share of the Company’s common stock on the last trading day immediately prior to the effective date of grant. Such Deferred Stock will vest in prorated installments on the last day of each calendar quarter occurring after the date of grant. Instead of receiving this grant of Deferred Stock, the new non</w:t>
      </w:r>
      <w:r>
        <w:rPr>
          <w:rFonts w:ascii="MS PGothic" w:cs="MS PGothic" w:eastAsia="MS PGothic" w:hAnsi="MS PGothic"/>
          <w:sz w:val="16"/>
          <w:szCs w:val="16"/>
          <w:color w:val="auto"/>
        </w:rPr>
        <w:t>‑</w:t>
      </w:r>
      <w:r>
        <w:rPr>
          <w:rFonts w:ascii="Arial" w:cs="Arial" w:eastAsia="Arial" w:hAnsi="Arial"/>
          <w:sz w:val="16"/>
          <w:szCs w:val="16"/>
          <w:color w:val="auto"/>
        </w:rPr>
        <w:t>employee director will have the right to elect to receive the same number of shares of Restricted Stock under the Plan, with a vesting schedule the same as the Deferred Stock the director would otherwise have received. 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 grant of Deferred Stock for that portion of the shares earned between the date the director is appointed to the Board and the last day of the calendar quarter in which the election is made.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Deferred Stock</w:t>
      </w:r>
    </w:p>
    <w:p>
      <w:pPr>
        <w:spacing w:after="0" w:line="229" w:lineRule="exact"/>
        <w:rPr>
          <w:sz w:val="20"/>
          <w:szCs w:val="20"/>
          <w:color w:val="auto"/>
        </w:rPr>
      </w:pPr>
    </w:p>
    <w:p>
      <w:pPr>
        <w:ind w:left="660" w:right="60" w:hanging="652"/>
        <w:spacing w:after="0" w:line="25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 stock, (ii) divided by the average closing prices of the stock on the last trading day of each calendar quarter during the year (or shorter period for a director whose membership on the Board ceases during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left="660" w:right="100" w:hanging="652"/>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Non-employee directors are expected to own shares equal in value to five times the annual cash retainer ($90,000 at January 1, 2015, for a total guideline of $450,000) divided by the closing price of the Company’s common stock on December 31, 2014 for directors in office as of January 1, 2015. For any non-employee director appointed after January 1, 2015 the total guideline is five times the annual cash retainer divided by the closing price of the Company’s common stock on the last business day of the month during which the director was or is first appointed to the Board of Directors.</w:t>
      </w:r>
    </w:p>
    <w:p>
      <w:pPr>
        <w:spacing w:after="0" w:line="188" w:lineRule="exact"/>
        <w:rPr>
          <w:rFonts w:ascii="Arial" w:cs="Arial" w:eastAsia="Arial" w:hAnsi="Arial"/>
          <w:sz w:val="18"/>
          <w:szCs w:val="18"/>
          <w:color w:val="auto"/>
        </w:rPr>
      </w:pPr>
    </w:p>
    <w:p>
      <w:pPr>
        <w:ind w:left="660" w:right="160" w:hanging="652"/>
        <w:spacing w:after="0" w:line="223" w:lineRule="exact"/>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employee directors have three years to attain this guideline from January 1, 2015, or for new non</w:t>
      </w:r>
      <w:r>
        <w:rPr>
          <w:rFonts w:ascii="MS PGothic" w:cs="MS PGothic" w:eastAsia="MS PGothic" w:hAnsi="MS PGothic"/>
          <w:sz w:val="18"/>
          <w:szCs w:val="18"/>
          <w:color w:val="auto"/>
        </w:rPr>
        <w:t>‑</w:t>
      </w:r>
      <w:r>
        <w:rPr>
          <w:rFonts w:ascii="Arial" w:cs="Arial" w:eastAsia="Arial" w:hAnsi="Arial"/>
          <w:sz w:val="18"/>
          <w:szCs w:val="18"/>
          <w:color w:val="auto"/>
        </w:rPr>
        <w:t>employee directors, four years from the date of the director’s appointment to the Board.</w:t>
      </w:r>
    </w:p>
    <w:p>
      <w:pPr>
        <w:spacing w:after="0" w:line="203"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this purpose, ownership includes Deferred Stock and Restricted Stock but only to the extent vested, and does not include unexercised stock options.</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10.10(i)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4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70" w:lineRule="exact"/>
        <w:rPr>
          <w:rFonts w:ascii="Arial" w:cs="Arial" w:eastAsia="Arial" w:hAnsi="Arial"/>
          <w:sz w:val="18"/>
          <w:szCs w:val="18"/>
          <w:color w:val="auto"/>
        </w:rPr>
      </w:pPr>
    </w:p>
    <w:p>
      <w:pPr>
        <w:ind w:left="1300" w:right="40" w:hanging="644"/>
        <w:spacing w:after="0" w:line="286"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25" w:lineRule="exact"/>
        <w:rPr>
          <w:rFonts w:ascii="Arial" w:cs="Arial" w:eastAsia="Arial" w:hAnsi="Arial"/>
          <w:sz w:val="18"/>
          <w:szCs w:val="18"/>
          <w:color w:val="auto"/>
        </w:rPr>
      </w:pPr>
    </w:p>
    <w:p>
      <w:pPr>
        <w:ind w:left="1960" w:hanging="655"/>
        <w:spacing w:after="0" w:line="271" w:lineRule="auto"/>
        <w:tabs>
          <w:tab w:leader="none" w:pos="1960"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w:t>
      </w:r>
    </w:p>
    <w:p>
      <w:pPr>
        <w:sectPr>
          <w:pgSz w:w="11900" w:h="16838" w:orient="portrait"/>
          <w:cols w:equalWidth="0" w:num="1">
            <w:col w:w="11420"/>
          </w:cols>
          <w:pgMar w:left="240" w:top="580" w:right="239" w:bottom="1440" w:gutter="0" w:footer="0" w:header="0"/>
        </w:sectPr>
      </w:pPr>
    </w:p>
    <w:bookmarkStart w:id="39" w:name="page40"/>
    <w:bookmarkEnd w:id="39"/>
    <w:p>
      <w:pPr>
        <w:ind w:left="1960" w:right="40"/>
        <w:spacing w:after="0" w:line="349" w:lineRule="auto"/>
        <w:rPr>
          <w:sz w:val="20"/>
          <w:szCs w:val="20"/>
          <w:color w:val="auto"/>
        </w:rPr>
      </w:pPr>
      <w:r>
        <w:rPr>
          <w:rFonts w:ascii="Arial" w:cs="Arial" w:eastAsia="Arial" w:hAnsi="Arial"/>
          <w:sz w:val="16"/>
          <w:szCs w:val="16"/>
          <w:color w:val="auto"/>
        </w:rPr>
        <w:t>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34" w:lineRule="exact"/>
        <w:rPr>
          <w:sz w:val="20"/>
          <w:szCs w:val="20"/>
          <w:color w:val="auto"/>
        </w:rPr>
      </w:pPr>
    </w:p>
    <w:p>
      <w:pPr>
        <w:ind w:left="1960" w:right="80" w:hanging="655"/>
        <w:spacing w:after="0" w:line="272" w:lineRule="auto"/>
        <w:tabs>
          <w:tab w:leader="none" w:pos="1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77" w:lineRule="exact"/>
        <w:rPr>
          <w:rFonts w:ascii="Arial" w:cs="Arial" w:eastAsia="Arial" w:hAnsi="Arial"/>
          <w:sz w:val="17"/>
          <w:szCs w:val="17"/>
          <w:color w:val="auto"/>
        </w:rPr>
      </w:pPr>
    </w:p>
    <w:p>
      <w:pPr>
        <w:ind w:left="1960" w:right="20" w:hanging="655"/>
        <w:spacing w:after="0" w:line="277"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70" w:lineRule="exact"/>
        <w:rPr>
          <w:rFonts w:ascii="Arial" w:cs="Arial" w:eastAsia="Arial" w:hAnsi="Arial"/>
          <w:sz w:val="18"/>
          <w:szCs w:val="18"/>
          <w:color w:val="auto"/>
        </w:rPr>
      </w:pPr>
    </w:p>
    <w:p>
      <w:pPr>
        <w:ind w:left="1960" w:right="20" w:hanging="655"/>
        <w:spacing w:after="0" w:line="218" w:lineRule="exact"/>
        <w:tabs>
          <w:tab w:leader="none" w:pos="1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7"/>
          <w:szCs w:val="17"/>
          <w:color w:val="auto"/>
        </w:rPr>
        <w:t>‑</w:t>
      </w:r>
      <w:r>
        <w:rPr>
          <w:rFonts w:ascii="Arial" w:cs="Arial" w:eastAsia="Arial" w:hAnsi="Arial"/>
          <w:sz w:val="17"/>
          <w:szCs w:val="17"/>
          <w:color w:val="auto"/>
        </w:rPr>
        <w:t>12(c); or</w:t>
      </w:r>
    </w:p>
    <w:p>
      <w:pPr>
        <w:spacing w:after="0" w:line="206" w:lineRule="exact"/>
        <w:rPr>
          <w:rFonts w:ascii="Arial" w:cs="Arial" w:eastAsia="Arial" w:hAnsi="Arial"/>
          <w:sz w:val="17"/>
          <w:szCs w:val="17"/>
          <w:color w:val="auto"/>
        </w:rPr>
      </w:pPr>
    </w:p>
    <w:p>
      <w:pPr>
        <w:ind w:left="1960" w:right="400" w:hanging="655"/>
        <w:spacing w:after="0" w:line="291" w:lineRule="auto"/>
        <w:tabs>
          <w:tab w:leader="none" w:pos="1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w:t>
      </w:r>
    </w:p>
    <w:p>
      <w:pPr>
        <w:ind w:left="1960" w:right="320"/>
        <w:spacing w:after="0" w:line="250" w:lineRule="auto"/>
        <w:rPr>
          <w:sz w:val="20"/>
          <w:szCs w:val="20"/>
          <w:color w:val="auto"/>
        </w:rPr>
      </w:pPr>
      <w:r>
        <w:rPr>
          <w:rFonts w:ascii="Arial" w:cs="Arial" w:eastAsia="Arial" w:hAnsi="Arial"/>
          <w:sz w:val="18"/>
          <w:szCs w:val="18"/>
          <w:color w:val="auto"/>
        </w:rPr>
        <w:t>power of the outstanding voting securities of the Corporation entitled to vote generally in the election of directors, after giving effect to such transaction.</w:t>
      </w:r>
    </w:p>
    <w:p>
      <w:pPr>
        <w:spacing w:after="0" w:line="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5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36" w:lineRule="exact"/>
        <w:rPr>
          <w:rFonts w:ascii="Arial" w:cs="Arial" w:eastAsia="Arial" w:hAnsi="Arial"/>
          <w:sz w:val="17"/>
          <w:szCs w:val="17"/>
          <w:color w:val="auto"/>
        </w:rPr>
      </w:pPr>
    </w:p>
    <w:p>
      <w:pPr>
        <w:ind w:left="1960" w:right="120" w:hanging="655"/>
        <w:spacing w:after="0" w:line="258"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any member of the Consolidated ManpowerGroup for the payment or provision of compensation or other benefits to you;</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material diminution in your base salary;</w:t>
      </w:r>
    </w:p>
    <w:p>
      <w:pPr>
        <w:spacing w:after="0" w:line="9" w:lineRule="exact"/>
        <w:rPr>
          <w:rFonts w:ascii="Arial" w:cs="Arial" w:eastAsia="Arial" w:hAnsi="Arial"/>
          <w:sz w:val="18"/>
          <w:szCs w:val="18"/>
          <w:color w:val="auto"/>
        </w:rPr>
      </w:pPr>
    </w:p>
    <w:p>
      <w:pPr>
        <w:ind w:left="1960" w:right="380" w:hanging="655"/>
        <w:spacing w:after="0" w:line="250"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 w:lineRule="exact"/>
        <w:rPr>
          <w:rFonts w:ascii="Arial" w:cs="Arial" w:eastAsia="Arial" w:hAnsi="Arial"/>
          <w:sz w:val="18"/>
          <w:szCs w:val="18"/>
          <w:color w:val="auto"/>
        </w:rPr>
      </w:pPr>
    </w:p>
    <w:p>
      <w:pPr>
        <w:ind w:left="1960" w:right="140" w:hanging="655"/>
        <w:spacing w:after="0" w:line="265"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ind w:left="1960" w:hanging="655"/>
        <w:spacing w:after="0" w:line="250"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your being required by the Corporation to materially change the location of your principal office;</w:t>
      </w:r>
    </w:p>
    <w:p>
      <w:pPr>
        <w:sectPr>
          <w:pgSz w:w="11900" w:h="16838" w:orient="portrait"/>
          <w:cols w:equalWidth="0" w:num="1">
            <w:col w:w="11380"/>
          </w:cols>
          <w:pgMar w:left="240" w:top="611" w:right="279" w:bottom="1440" w:gutter="0" w:footer="0" w:header="0"/>
        </w:sectPr>
      </w:pPr>
    </w:p>
    <w:bookmarkStart w:id="40" w:name="page41"/>
    <w:bookmarkEnd w:id="40"/>
    <w:p>
      <w:pPr>
        <w:ind w:left="1960"/>
        <w:spacing w:after="0"/>
        <w:rPr>
          <w:sz w:val="20"/>
          <w:szCs w:val="20"/>
          <w:color w:val="auto"/>
        </w:rPr>
      </w:pPr>
      <w:r>
        <w:rPr>
          <w:rFonts w:ascii="Arial" w:cs="Arial" w:eastAsia="Arial" w:hAnsi="Arial"/>
          <w:sz w:val="18"/>
          <w:szCs w:val="18"/>
          <w:color w:val="auto"/>
        </w:rPr>
        <w:t>provided such new location is one in excess of fifty miles from the location of your principal office before such change.</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82" w:lineRule="exact"/>
        <w:rPr>
          <w:sz w:val="20"/>
          <w:szCs w:val="20"/>
          <w:color w:val="auto"/>
        </w:rPr>
      </w:pPr>
    </w:p>
    <w:p>
      <w:pPr>
        <w:ind w:left="1300" w:right="100" w:hanging="644"/>
        <w:spacing w:after="0" w:line="25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88" w:lineRule="exact"/>
        <w:rPr>
          <w:rFonts w:ascii="Arial" w:cs="Arial" w:eastAsia="Arial" w:hAnsi="Arial"/>
          <w:sz w:val="18"/>
          <w:szCs w:val="18"/>
          <w:color w:val="auto"/>
        </w:rPr>
      </w:pPr>
    </w:p>
    <w:p>
      <w:pPr>
        <w:ind w:left="1300" w:right="16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25" w:lineRule="exact"/>
        <w:rPr>
          <w:rFonts w:ascii="Arial" w:cs="Arial" w:eastAsia="Arial" w:hAnsi="Arial"/>
          <w:sz w:val="18"/>
          <w:szCs w:val="18"/>
          <w:color w:val="auto"/>
        </w:rPr>
      </w:pPr>
    </w:p>
    <w:p>
      <w:pPr>
        <w:ind w:left="1960" w:right="20" w:hanging="655"/>
        <w:spacing w:after="0" w:line="259"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86" w:lineRule="exact"/>
        <w:rPr>
          <w:rFonts w:ascii="Arial" w:cs="Arial" w:eastAsia="Arial" w:hAnsi="Arial"/>
          <w:sz w:val="18"/>
          <w:szCs w:val="18"/>
          <w:color w:val="auto"/>
        </w:rPr>
      </w:pPr>
    </w:p>
    <w:p>
      <w:pPr>
        <w:ind w:left="1960" w:hanging="655"/>
        <w:spacing w:after="0" w:line="279" w:lineRule="auto"/>
        <w:tabs>
          <w:tab w:leader="none" w:pos="19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1" w:lineRule="exact"/>
        <w:rPr>
          <w:rFonts w:ascii="Arial" w:cs="Arial" w:eastAsia="Arial" w:hAnsi="Arial"/>
          <w:sz w:val="17"/>
          <w:szCs w:val="17"/>
          <w:color w:val="auto"/>
        </w:rPr>
      </w:pPr>
    </w:p>
    <w:p>
      <w:pPr>
        <w:ind w:left="1960" w:right="220" w:hanging="655"/>
        <w:spacing w:after="0" w:line="264"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81" w:lineRule="exact"/>
        <w:rPr>
          <w:rFonts w:ascii="Arial" w:cs="Arial" w:eastAsia="Arial" w:hAnsi="Arial"/>
          <w:sz w:val="18"/>
          <w:szCs w:val="18"/>
          <w:color w:val="auto"/>
        </w:rPr>
      </w:pPr>
    </w:p>
    <w:p>
      <w:pPr>
        <w:ind w:left="1300" w:right="100" w:hanging="644"/>
        <w:spacing w:after="0" w:line="25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which is the two-year anniversary of the occurrence of a Change of Control; (b) the date which is the three year anniversary of the date of this letter indicated above if no Change of Control occurs between the date of this letter indicated above and such three year anniversary; or (c) the Date of Termination.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00" w:hanging="644"/>
        <w:spacing w:after="0" w:line="30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for Cause or by You Other Than for Good Reason</w:t>
      </w:r>
      <w:r>
        <w:rPr>
          <w:rFonts w:ascii="Arial" w:cs="Arial" w:eastAsia="Arial" w:hAnsi="Arial"/>
          <w:sz w:val="16"/>
          <w:szCs w:val="16"/>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w:t>
      </w:r>
    </w:p>
    <w:p>
      <w:pPr>
        <w:sectPr>
          <w:pgSz w:w="11900" w:h="16838" w:orient="portrait"/>
          <w:cols w:equalWidth="0" w:num="1">
            <w:col w:w="11400"/>
          </w:cols>
          <w:pgMar w:left="240" w:top="611" w:right="259" w:bottom="1440" w:gutter="0" w:footer="0" w:header="0"/>
        </w:sectPr>
      </w:pPr>
    </w:p>
    <w:bookmarkStart w:id="41" w:name="page42"/>
    <w:bookmarkEnd w:id="41"/>
    <w:p>
      <w:pPr>
        <w:ind w:left="644" w:right="120"/>
        <w:spacing w:after="0" w:line="324" w:lineRule="auto"/>
        <w:rPr>
          <w:sz w:val="20"/>
          <w:szCs w:val="20"/>
          <w:color w:val="auto"/>
        </w:rPr>
      </w:pPr>
      <w:r>
        <w:rPr>
          <w:rFonts w:ascii="Arial" w:cs="Arial" w:eastAsia="Arial" w:hAnsi="Arial"/>
          <w:sz w:val="18"/>
          <w:szCs w:val="18"/>
          <w:color w:val="auto"/>
        </w:rPr>
        <w:t>under any Benefit Plans in accordance with the terms of such plans. The Consolidated ManpowerGroup will have no further obligations to you.</w:t>
      </w:r>
    </w:p>
    <w:p>
      <w:pPr>
        <w:spacing w:after="0" w:line="143" w:lineRule="exact"/>
        <w:rPr>
          <w:sz w:val="20"/>
          <w:szCs w:val="20"/>
          <w:color w:val="auto"/>
        </w:rPr>
      </w:pPr>
    </w:p>
    <w:p>
      <w:pPr>
        <w:ind w:left="644" w:hanging="644"/>
        <w:spacing w:after="0" w:line="270" w:lineRule="auto"/>
        <w:tabs>
          <w:tab w:leader="none" w:pos="644"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77" w:lineRule="exact"/>
        <w:rPr>
          <w:rFonts w:ascii="Arial" w:cs="Arial" w:eastAsia="Arial" w:hAnsi="Arial"/>
          <w:sz w:val="17"/>
          <w:szCs w:val="17"/>
          <w:color w:val="auto"/>
        </w:rPr>
      </w:pPr>
    </w:p>
    <w:p>
      <w:pPr>
        <w:ind w:left="644" w:right="40" w:hanging="644"/>
        <w:spacing w:after="0" w:line="264"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Other than in a Change of Control</w:t>
      </w:r>
      <w:r>
        <w:rPr>
          <w:rFonts w:ascii="Arial" w:cs="Arial" w:eastAsia="Arial" w:hAnsi="Arial"/>
          <w:sz w:val="18"/>
          <w:szCs w:val="18"/>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81" w:lineRule="exact"/>
        <w:rPr>
          <w:rFonts w:ascii="Arial" w:cs="Arial" w:eastAsia="Arial" w:hAnsi="Arial"/>
          <w:sz w:val="18"/>
          <w:szCs w:val="18"/>
          <w:color w:val="auto"/>
        </w:rPr>
      </w:pPr>
    </w:p>
    <w:p>
      <w:pPr>
        <w:ind w:left="1944" w:right="440" w:hanging="647"/>
        <w:spacing w:after="0" w:line="277" w:lineRule="auto"/>
        <w:tabs>
          <w:tab w:leader="none" w:pos="19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70" w:lineRule="exact"/>
        <w:rPr>
          <w:rFonts w:ascii="Arial" w:cs="Arial" w:eastAsia="Arial" w:hAnsi="Arial"/>
          <w:sz w:val="18"/>
          <w:szCs w:val="18"/>
          <w:color w:val="auto"/>
        </w:rPr>
      </w:pPr>
    </w:p>
    <w:p>
      <w:pPr>
        <w:ind w:left="1944" w:right="80" w:hanging="647"/>
        <w:spacing w:after="0" w:line="297" w:lineRule="auto"/>
        <w:tabs>
          <w:tab w:leader="none" w:pos="1944"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58" w:lineRule="exact"/>
        <w:rPr>
          <w:rFonts w:ascii="Arial" w:cs="Arial" w:eastAsia="Arial" w:hAnsi="Arial"/>
          <w:sz w:val="16"/>
          <w:szCs w:val="16"/>
          <w:color w:val="auto"/>
        </w:rPr>
      </w:pPr>
    </w:p>
    <w:p>
      <w:pPr>
        <w:jc w:val="both"/>
        <w:ind w:left="1944" w:right="100" w:hanging="647"/>
        <w:spacing w:after="0" w:line="264" w:lineRule="auto"/>
        <w:tabs>
          <w:tab w:leader="none" w:pos="19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81" w:lineRule="exact"/>
        <w:rPr>
          <w:rFonts w:ascii="Arial" w:cs="Arial" w:eastAsia="Arial" w:hAnsi="Arial"/>
          <w:sz w:val="18"/>
          <w:szCs w:val="18"/>
          <w:color w:val="auto"/>
        </w:rPr>
      </w:pPr>
    </w:p>
    <w:p>
      <w:pPr>
        <w:ind w:left="1944" w:right="80" w:hanging="647"/>
        <w:spacing w:after="0" w:line="218" w:lineRule="exact"/>
        <w:tabs>
          <w:tab w:leader="none" w:pos="19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up to a twelve</w:t>
      </w:r>
      <w:r>
        <w:rPr>
          <w:rFonts w:ascii="MS PGothic" w:cs="MS PGothic" w:eastAsia="MS PGothic" w:hAnsi="MS PGothic"/>
          <w:sz w:val="18"/>
          <w:szCs w:val="18"/>
          <w:color w:val="auto"/>
        </w:rPr>
        <w:t>‑</w:t>
      </w:r>
      <w:r>
        <w:rPr>
          <w:rFonts w:ascii="Arial" w:cs="Arial" w:eastAsia="Arial" w:hAnsi="Arial"/>
          <w:sz w:val="18"/>
          <w:szCs w:val="18"/>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8"/>
          <w:szCs w:val="18"/>
          <w:color w:val="auto"/>
        </w:rPr>
        <w:t>‑</w:t>
      </w:r>
      <w:r>
        <w:rPr>
          <w:rFonts w:ascii="Arial" w:cs="Arial" w:eastAsia="Arial" w:hAnsi="Arial"/>
          <w:sz w:val="18"/>
          <w:szCs w:val="18"/>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06" w:lineRule="exact"/>
        <w:rPr>
          <w:rFonts w:ascii="Arial" w:cs="Arial" w:eastAsia="Arial" w:hAnsi="Arial"/>
          <w:sz w:val="18"/>
          <w:szCs w:val="18"/>
          <w:color w:val="auto"/>
        </w:rPr>
      </w:pPr>
    </w:p>
    <w:p>
      <w:pPr>
        <w:ind w:left="1944" w:right="80"/>
        <w:spacing w:after="0" w:line="290" w:lineRule="auto"/>
        <w:rPr>
          <w:rFonts w:ascii="Arial" w:cs="Arial" w:eastAsia="Arial" w:hAnsi="Arial"/>
          <w:sz w:val="18"/>
          <w:szCs w:val="18"/>
          <w:color w:val="auto"/>
        </w:rPr>
      </w:pPr>
      <w:r>
        <w:rPr>
          <w:rFonts w:ascii="Arial" w:cs="Arial" w:eastAsia="Arial" w:hAnsi="Arial"/>
          <w:sz w:val="16"/>
          <w:szCs w:val="16"/>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w:t>
      </w:r>
    </w:p>
    <w:p>
      <w:pPr>
        <w:sectPr>
          <w:pgSz w:w="11900" w:h="16838" w:orient="portrait"/>
          <w:cols w:equalWidth="0" w:num="1">
            <w:col w:w="10744"/>
          </w:cols>
          <w:pgMar w:left="896" w:top="611" w:right="259" w:bottom="1440" w:gutter="0" w:footer="0" w:header="0"/>
        </w:sectPr>
      </w:pPr>
    </w:p>
    <w:bookmarkStart w:id="42" w:name="page43"/>
    <w:bookmarkEnd w:id="42"/>
    <w:p>
      <w:pPr>
        <w:ind w:left="1944" w:right="40"/>
        <w:spacing w:after="0" w:line="270" w:lineRule="auto"/>
        <w:rPr>
          <w:sz w:val="20"/>
          <w:szCs w:val="20"/>
          <w:color w:val="auto"/>
        </w:rPr>
      </w:pPr>
      <w:r>
        <w:rPr>
          <w:rFonts w:ascii="Arial" w:cs="Arial" w:eastAsia="Arial" w:hAnsi="Arial"/>
          <w:sz w:val="17"/>
          <w:szCs w:val="17"/>
          <w:color w:val="auto"/>
        </w:rPr>
        <w:t>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182" w:lineRule="exact"/>
        <w:rPr>
          <w:sz w:val="20"/>
          <w:szCs w:val="20"/>
          <w:color w:val="auto"/>
        </w:rPr>
      </w:pPr>
    </w:p>
    <w:p>
      <w:pPr>
        <w:ind w:left="1944" w:hanging="647"/>
        <w:spacing w:after="0" w:line="272" w:lineRule="auto"/>
        <w:tabs>
          <w:tab w:leader="none" w:pos="1944"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77" w:lineRule="exact"/>
        <w:rPr>
          <w:rFonts w:ascii="Arial" w:cs="Arial" w:eastAsia="Arial" w:hAnsi="Arial"/>
          <w:sz w:val="17"/>
          <w:szCs w:val="17"/>
          <w:color w:val="auto"/>
        </w:rPr>
      </w:pPr>
    </w:p>
    <w:p>
      <w:pPr>
        <w:ind w:left="644" w:right="40" w:hanging="644"/>
        <w:spacing w:after="0" w:line="264" w:lineRule="auto"/>
        <w:tabs>
          <w:tab w:leader="none" w:pos="64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Change of Control</w:t>
      </w:r>
      <w:r>
        <w:rPr>
          <w:rFonts w:ascii="Arial" w:cs="Arial" w:eastAsia="Arial" w:hAnsi="Arial"/>
          <w:sz w:val="18"/>
          <w:szCs w:val="18"/>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81" w:lineRule="exact"/>
        <w:rPr>
          <w:rFonts w:ascii="Arial" w:cs="Arial" w:eastAsia="Arial" w:hAnsi="Arial"/>
          <w:sz w:val="18"/>
          <w:szCs w:val="18"/>
          <w:color w:val="auto"/>
        </w:rPr>
      </w:pPr>
    </w:p>
    <w:p>
      <w:pPr>
        <w:ind w:left="1944" w:right="440" w:hanging="647"/>
        <w:spacing w:after="0" w:line="277" w:lineRule="auto"/>
        <w:tabs>
          <w:tab w:leader="none" w:pos="194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70" w:lineRule="exact"/>
        <w:rPr>
          <w:sz w:val="20"/>
          <w:szCs w:val="20"/>
          <w:color w:val="auto"/>
        </w:rPr>
      </w:pPr>
    </w:p>
    <w:p>
      <w:pPr>
        <w:ind w:left="1944" w:right="100" w:hanging="647"/>
        <w:spacing w:after="0" w:line="259" w:lineRule="auto"/>
        <w:tabs>
          <w:tab w:leader="none" w:pos="1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86" w:lineRule="exact"/>
        <w:rPr>
          <w:rFonts w:ascii="Arial" w:cs="Arial" w:eastAsia="Arial" w:hAnsi="Arial"/>
          <w:sz w:val="18"/>
          <w:szCs w:val="18"/>
          <w:color w:val="auto"/>
        </w:rPr>
      </w:pPr>
    </w:p>
    <w:p>
      <w:pPr>
        <w:ind w:left="1944" w:right="400" w:hanging="647"/>
        <w:spacing w:after="0" w:line="264" w:lineRule="auto"/>
        <w:tabs>
          <w:tab w:leader="none" w:pos="1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81" w:lineRule="exact"/>
        <w:rPr>
          <w:rFonts w:ascii="Arial" w:cs="Arial" w:eastAsia="Arial" w:hAnsi="Arial"/>
          <w:sz w:val="18"/>
          <w:szCs w:val="18"/>
          <w:color w:val="auto"/>
        </w:rPr>
      </w:pPr>
    </w:p>
    <w:p>
      <w:pPr>
        <w:ind w:left="1944" w:hanging="647"/>
        <w:spacing w:after="0" w:line="270" w:lineRule="auto"/>
        <w:tabs>
          <w:tab w:leader="none" w:pos="1944"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81" w:lineRule="exact"/>
        <w:rPr>
          <w:rFonts w:ascii="Arial" w:cs="Arial" w:eastAsia="Arial" w:hAnsi="Arial"/>
          <w:sz w:val="17"/>
          <w:szCs w:val="17"/>
          <w:color w:val="auto"/>
        </w:rPr>
      </w:pPr>
    </w:p>
    <w:p>
      <w:pPr>
        <w:ind w:left="1944" w:right="100"/>
        <w:spacing w:after="0" w:line="312" w:lineRule="auto"/>
        <w:rPr>
          <w:rFonts w:ascii="Arial" w:cs="Arial" w:eastAsia="Arial" w:hAnsi="Arial"/>
          <w:sz w:val="17"/>
          <w:szCs w:val="17"/>
          <w:color w:val="auto"/>
        </w:rPr>
      </w:pPr>
      <w:r>
        <w:rPr>
          <w:rFonts w:ascii="Arial" w:cs="Arial" w:eastAsia="Arial" w:hAnsi="Arial"/>
          <w:sz w:val="16"/>
          <w:szCs w:val="16"/>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w:t>
      </w:r>
    </w:p>
    <w:p>
      <w:pPr>
        <w:sectPr>
          <w:pgSz w:w="11900" w:h="16838" w:orient="portrait"/>
          <w:cols w:equalWidth="0" w:num="1">
            <w:col w:w="10744"/>
          </w:cols>
          <w:pgMar w:left="896" w:top="584" w:right="259" w:bottom="1440" w:gutter="0" w:footer="0" w:header="0"/>
        </w:sectPr>
      </w:pPr>
    </w:p>
    <w:bookmarkStart w:id="43" w:name="page44"/>
    <w:bookmarkEnd w:id="43"/>
    <w:p>
      <w:pPr>
        <w:ind w:left="1944" w:right="40"/>
        <w:spacing w:after="0" w:line="268" w:lineRule="auto"/>
        <w:rPr>
          <w:sz w:val="20"/>
          <w:szCs w:val="20"/>
          <w:color w:val="auto"/>
        </w:rPr>
      </w:pPr>
      <w:r>
        <w:rPr>
          <w:rFonts w:ascii="Arial" w:cs="Arial" w:eastAsia="Arial" w:hAnsi="Arial"/>
          <w:sz w:val="17"/>
          <w:szCs w:val="17"/>
          <w:color w:val="auto"/>
        </w:rPr>
        <w:t>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85" w:lineRule="exact"/>
        <w:rPr>
          <w:sz w:val="20"/>
          <w:szCs w:val="20"/>
          <w:color w:val="auto"/>
        </w:rPr>
      </w:pPr>
    </w:p>
    <w:p>
      <w:pPr>
        <w:ind w:left="1944" w:hanging="647"/>
        <w:spacing w:after="0" w:line="272" w:lineRule="auto"/>
        <w:tabs>
          <w:tab w:leader="none" w:pos="1944"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77" w:lineRule="exact"/>
        <w:rPr>
          <w:rFonts w:ascii="Arial" w:cs="Arial" w:eastAsia="Arial" w:hAnsi="Arial"/>
          <w:sz w:val="17"/>
          <w:szCs w:val="17"/>
          <w:color w:val="auto"/>
        </w:rPr>
      </w:pPr>
    </w:p>
    <w:p>
      <w:pPr>
        <w:ind w:left="644" w:right="20" w:hanging="644"/>
        <w:spacing w:after="0" w:line="268" w:lineRule="auto"/>
        <w:tabs>
          <w:tab w:leader="none" w:pos="64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Limitation on Benefits</w:t>
      </w:r>
      <w:r>
        <w:rPr>
          <w:rFonts w:ascii="Arial" w:cs="Arial" w:eastAsia="Arial" w:hAnsi="Arial"/>
          <w:sz w:val="17"/>
          <w:szCs w:val="17"/>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85" w:lineRule="exact"/>
        <w:rPr>
          <w:rFonts w:ascii="Arial" w:cs="Arial" w:eastAsia="Arial" w:hAnsi="Arial"/>
          <w:sz w:val="17"/>
          <w:szCs w:val="17"/>
          <w:color w:val="auto"/>
        </w:rPr>
      </w:pPr>
    </w:p>
    <w:p>
      <w:pPr>
        <w:ind w:left="644" w:hanging="644"/>
        <w:spacing w:after="0" w:line="276" w:lineRule="auto"/>
        <w:tabs>
          <w:tab w:leader="none" w:pos="64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2"/>
          <w:szCs w:val="22"/>
          <w:color w:val="auto"/>
          <w:vertAlign w:val="superscript"/>
        </w:rPr>
        <w:t>th</w:t>
      </w:r>
      <w:r>
        <w:rPr>
          <w:rFonts w:ascii="Arial" w:cs="Arial" w:eastAsia="Arial" w:hAnsi="Arial"/>
          <w:sz w:val="16"/>
          <w:szCs w:val="16"/>
          <w:color w:val="auto"/>
        </w:rPr>
        <w:t>)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w:t>
      </w:r>
    </w:p>
    <w:p>
      <w:pPr>
        <w:sectPr>
          <w:pgSz w:w="11900" w:h="16838" w:orient="portrait"/>
          <w:cols w:equalWidth="0" w:num="1">
            <w:col w:w="10744"/>
          </w:cols>
          <w:pgMar w:left="896" w:top="584" w:right="259" w:bottom="1440" w:gutter="0" w:footer="0" w:header="0"/>
        </w:sectPr>
      </w:pPr>
    </w:p>
    <w:bookmarkStart w:id="44" w:name="page45"/>
    <w:bookmarkEnd w:id="44"/>
    <w:p>
      <w:pPr>
        <w:ind w:left="1292" w:right="20"/>
        <w:spacing w:after="0" w:line="349" w:lineRule="auto"/>
        <w:rPr>
          <w:sz w:val="20"/>
          <w:szCs w:val="20"/>
          <w:color w:val="auto"/>
        </w:rPr>
      </w:pPr>
      <w:r>
        <w:rPr>
          <w:rFonts w:ascii="Arial" w:cs="Arial" w:eastAsia="Arial" w:hAnsi="Arial"/>
          <w:sz w:val="16"/>
          <w:szCs w:val="16"/>
          <w:color w:val="auto"/>
        </w:rPr>
        <w:t xml:space="preserve">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134" w:lineRule="exact"/>
        <w:rPr>
          <w:sz w:val="20"/>
          <w:szCs w:val="20"/>
          <w:color w:val="auto"/>
        </w:rPr>
      </w:pPr>
    </w:p>
    <w:p>
      <w:pPr>
        <w:ind w:left="1292" w:right="80" w:hanging="644"/>
        <w:spacing w:after="0" w:line="271" w:lineRule="auto"/>
        <w:tabs>
          <w:tab w:leader="none" w:pos="1292"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day after the Date of Termination.</w:t>
      </w:r>
    </w:p>
    <w:p>
      <w:pPr>
        <w:spacing w:after="0" w:line="78" w:lineRule="exact"/>
        <w:rPr>
          <w:rFonts w:ascii="Arial" w:cs="Arial" w:eastAsia="Arial" w:hAnsi="Arial"/>
          <w:sz w:val="17"/>
          <w:szCs w:val="17"/>
          <w:color w:val="auto"/>
        </w:rPr>
      </w:pPr>
    </w:p>
    <w:p>
      <w:pPr>
        <w:ind w:left="1292" w:right="240" w:hanging="644"/>
        <w:spacing w:after="0" w:line="259" w:lineRule="auto"/>
        <w:tabs>
          <w:tab w:leader="none" w:pos="129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86" w:lineRule="exact"/>
        <w:rPr>
          <w:rFonts w:ascii="Arial" w:cs="Arial" w:eastAsia="Arial" w:hAnsi="Arial"/>
          <w:sz w:val="18"/>
          <w:szCs w:val="18"/>
          <w:color w:val="auto"/>
        </w:rPr>
      </w:pPr>
    </w:p>
    <w:p>
      <w:pPr>
        <w:ind w:left="312" w:hanging="312"/>
        <w:spacing w:after="0"/>
        <w:tabs>
          <w:tab w:leader="none" w:pos="31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line="266" w:lineRule="auto"/>
        <w:tabs>
          <w:tab w:leader="none" w:pos="1292" w:val="left"/>
        </w:tabs>
        <w:numPr>
          <w:ilvl w:val="1"/>
          <w:numId w:val="50"/>
        </w:numPr>
        <w:rPr>
          <w:rFonts w:ascii="Arial" w:cs="Arial" w:eastAsia="Arial" w:hAnsi="Arial"/>
          <w:sz w:val="17"/>
          <w:szCs w:val="17"/>
          <w:color w:val="auto"/>
        </w:rPr>
      </w:pPr>
      <w:r>
        <w:rPr>
          <w:rFonts w:ascii="Arial" w:cs="Arial" w:eastAsia="Arial" w:hAnsi="Arial"/>
          <w:sz w:val="17"/>
          <w:szCs w:val="17"/>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6" w:lineRule="exact"/>
        <w:rPr>
          <w:rFonts w:ascii="Arial" w:cs="Arial" w:eastAsia="Arial" w:hAnsi="Arial"/>
          <w:sz w:val="17"/>
          <w:szCs w:val="17"/>
          <w:color w:val="auto"/>
        </w:rPr>
      </w:pPr>
    </w:p>
    <w:p>
      <w:pPr>
        <w:ind w:left="1292" w:right="120" w:hanging="644"/>
        <w:spacing w:after="0" w:line="250" w:lineRule="auto"/>
        <w:tabs>
          <w:tab w:leader="none" w:pos="12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Consolidated Manpower Group, or any time thereafter use or disclose any Trade Secret of the Company. The term “Trade Secret” shall have the meaning afforded under applicable law. Nothing in this Agreement shall limit or supersede any common law, statutory or other protections of trade secrets or privileged information where such protections provide the Consolidated ManpowerGroup with greater rights or protections for a longer duration than provided in this Agreement.</w:t>
      </w:r>
    </w:p>
    <w:p>
      <w:pPr>
        <w:spacing w:after="0" w:line="2" w:lineRule="exact"/>
        <w:rPr>
          <w:rFonts w:ascii="Arial" w:cs="Arial" w:eastAsia="Arial" w:hAnsi="Arial"/>
          <w:sz w:val="18"/>
          <w:szCs w:val="18"/>
          <w:color w:val="auto"/>
        </w:rPr>
      </w:pPr>
    </w:p>
    <w:p>
      <w:pPr>
        <w:ind w:left="1292" w:right="60" w:hanging="644"/>
        <w:spacing w:after="0" w:line="254" w:lineRule="auto"/>
        <w:tabs>
          <w:tab w:leader="none" w:pos="12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89" w:lineRule="exact"/>
        <w:rPr>
          <w:rFonts w:ascii="Arial" w:cs="Arial" w:eastAsia="Arial" w:hAnsi="Arial"/>
          <w:sz w:val="18"/>
          <w:szCs w:val="18"/>
          <w:color w:val="auto"/>
        </w:rPr>
      </w:pPr>
    </w:p>
    <w:p>
      <w:pPr>
        <w:ind w:left="352" w:hanging="352"/>
        <w:spacing w:after="0"/>
        <w:tabs>
          <w:tab w:leader="none" w:pos="3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w:t>
      </w:r>
    </w:p>
    <w:p>
      <w:pPr>
        <w:sectPr>
          <w:pgSz w:w="11900" w:h="16838" w:orient="portrait"/>
          <w:cols w:equalWidth="0" w:num="1">
            <w:col w:w="11392"/>
          </w:cols>
          <w:pgMar w:left="248" w:top="611" w:right="259" w:bottom="1440" w:gutter="0" w:footer="0" w:header="0"/>
        </w:sectPr>
      </w:pPr>
    </w:p>
    <w:bookmarkStart w:id="45" w:name="page46"/>
    <w:bookmarkEnd w:id="45"/>
    <w:p>
      <w:pPr>
        <w:ind w:right="220"/>
        <w:spacing w:after="0" w:line="255" w:lineRule="auto"/>
        <w:rPr>
          <w:sz w:val="20"/>
          <w:szCs w:val="20"/>
          <w:color w:val="auto"/>
        </w:rPr>
      </w:pPr>
      <w:r>
        <w:rPr>
          <w:rFonts w:ascii="Arial" w:cs="Arial" w:eastAsia="Arial" w:hAnsi="Arial"/>
          <w:sz w:val="18"/>
          <w:szCs w:val="18"/>
          <w:color w:val="auto"/>
        </w:rPr>
        <w:t>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193" w:lineRule="exact"/>
        <w:rPr>
          <w:sz w:val="20"/>
          <w:szCs w:val="20"/>
          <w:color w:val="auto"/>
        </w:rPr>
      </w:pPr>
    </w:p>
    <w:p>
      <w:pPr>
        <w:ind w:right="80" w:firstLine="8"/>
        <w:spacing w:after="0" w:line="264"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181" w:lineRule="exact"/>
        <w:rPr>
          <w:rFonts w:ascii="Arial" w:cs="Arial" w:eastAsia="Arial" w:hAnsi="Arial"/>
          <w:sz w:val="18"/>
          <w:szCs w:val="18"/>
          <w:color w:val="auto"/>
        </w:rPr>
      </w:pPr>
    </w:p>
    <w:p>
      <w:pPr>
        <w:ind w:right="140" w:firstLine="8"/>
        <w:spacing w:after="0" w:line="277"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 During the one-year period which immediately follows the termination, for whatever reason, of your employment with the Corporation:</w:t>
      </w:r>
    </w:p>
    <w:p>
      <w:pPr>
        <w:spacing w:after="0" w:line="170" w:lineRule="exact"/>
        <w:rPr>
          <w:rFonts w:ascii="Arial" w:cs="Arial" w:eastAsia="Arial" w:hAnsi="Arial"/>
          <w:sz w:val="18"/>
          <w:szCs w:val="18"/>
          <w:color w:val="auto"/>
        </w:rPr>
      </w:pPr>
    </w:p>
    <w:p>
      <w:pPr>
        <w:ind w:left="1300" w:right="140" w:hanging="644"/>
        <w:spacing w:after="0" w:line="219" w:lineRule="exact"/>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6"/>
          <w:szCs w:val="16"/>
          <w:color w:val="auto"/>
        </w:rPr>
        <w:t>‑</w:t>
      </w:r>
      <w:r>
        <w:rPr>
          <w:rFonts w:ascii="Arial" w:cs="Arial" w:eastAsia="Arial" w:hAnsi="Arial"/>
          <w:sz w:val="16"/>
          <w:szCs w:val="16"/>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6"/>
          <w:szCs w:val="16"/>
          <w:color w:val="auto"/>
        </w:rPr>
        <w:t>‑</w:t>
      </w:r>
      <w:r>
        <w:rPr>
          <w:rFonts w:ascii="Arial" w:cs="Arial" w:eastAsia="Arial" w:hAnsi="Arial"/>
          <w:sz w:val="16"/>
          <w:szCs w:val="16"/>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04" w:lineRule="exact"/>
        <w:rPr>
          <w:rFonts w:ascii="Arial" w:cs="Arial" w:eastAsia="Arial" w:hAnsi="Arial"/>
          <w:sz w:val="16"/>
          <w:szCs w:val="16"/>
          <w:color w:val="auto"/>
        </w:rPr>
      </w:pPr>
    </w:p>
    <w:p>
      <w:pPr>
        <w:ind w:left="1300" w:hanging="644"/>
        <w:spacing w:after="0" w:line="217" w:lineRule="exact"/>
        <w:tabs>
          <w:tab w:leader="none" w:pos="13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7"/>
          <w:szCs w:val="17"/>
          <w:color w:val="auto"/>
        </w:rPr>
        <w:t>‑</w:t>
      </w:r>
      <w:r>
        <w:rPr>
          <w:rFonts w:ascii="Arial" w:cs="Arial" w:eastAsia="Arial" w:hAnsi="Arial"/>
          <w:sz w:val="17"/>
          <w:szCs w:val="17"/>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09" w:lineRule="exact"/>
        <w:rPr>
          <w:rFonts w:ascii="Arial" w:cs="Arial" w:eastAsia="Arial" w:hAnsi="Arial"/>
          <w:sz w:val="17"/>
          <w:szCs w:val="17"/>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644"/>
        <w:spacing w:after="0" w:line="291"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67" w:lineRule="exact"/>
        <w:rPr>
          <w:rFonts w:ascii="Arial" w:cs="Arial" w:eastAsia="Arial" w:hAnsi="Arial"/>
          <w:sz w:val="16"/>
          <w:szCs w:val="16"/>
          <w:color w:val="auto"/>
        </w:rPr>
      </w:pPr>
    </w:p>
    <w:p>
      <w:pPr>
        <w:ind w:left="1300" w:right="160" w:hanging="644"/>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70" w:lineRule="exact"/>
        <w:rPr>
          <w:rFonts w:ascii="Arial" w:cs="Arial" w:eastAsia="Arial" w:hAnsi="Arial"/>
          <w:sz w:val="18"/>
          <w:szCs w:val="18"/>
          <w:color w:val="auto"/>
        </w:rPr>
      </w:pPr>
    </w:p>
    <w:p>
      <w:pPr>
        <w:jc w:val="both"/>
        <w:ind w:left="1300" w:right="10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2(c)(iii) will be assigned for</w:t>
      </w:r>
    </w:p>
    <w:p>
      <w:pPr>
        <w:sectPr>
          <w:pgSz w:w="11900" w:h="16838" w:orient="portrait"/>
          <w:cols w:equalWidth="0" w:num="1">
            <w:col w:w="11420"/>
          </w:cols>
          <w:pgMar w:left="240" w:top="584" w:right="239" w:bottom="1440" w:gutter="0" w:footer="0" w:header="0"/>
        </w:sectPr>
      </w:pPr>
    </w:p>
    <w:bookmarkStart w:id="46" w:name="page47"/>
    <w:bookmarkEnd w:id="46"/>
    <w:p>
      <w:pPr>
        <w:jc w:val="both"/>
        <w:ind w:left="652" w:right="140"/>
        <w:spacing w:after="0" w:line="248" w:lineRule="exact"/>
        <w:rPr>
          <w:sz w:val="20"/>
          <w:szCs w:val="20"/>
          <w:color w:val="auto"/>
        </w:rPr>
      </w:pPr>
      <w:r>
        <w:rPr>
          <w:rFonts w:ascii="Arial" w:cs="Arial" w:eastAsia="Arial" w:hAnsi="Arial"/>
          <w:sz w:val="17"/>
          <w:szCs w:val="17"/>
          <w:color w:val="auto"/>
        </w:rPr>
        <w:t>unemployment compensation benefit purposes to the one</w:t>
      </w:r>
      <w:r>
        <w:rPr>
          <w:rFonts w:ascii="MS PGothic" w:cs="MS PGothic" w:eastAsia="MS PGothic" w:hAnsi="MS PGothic"/>
          <w:sz w:val="17"/>
          <w:szCs w:val="17"/>
          <w:color w:val="auto"/>
        </w:rPr>
        <w:t>‑</w:t>
      </w:r>
      <w:r>
        <w:rPr>
          <w:rFonts w:ascii="Arial" w:cs="Arial" w:eastAsia="Arial" w:hAnsi="Arial"/>
          <w:sz w:val="17"/>
          <w:szCs w:val="17"/>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17"/>
          <w:szCs w:val="17"/>
          <w:color w:val="auto"/>
        </w:rPr>
        <w:t>‑</w:t>
      </w:r>
      <w:r>
        <w:rPr>
          <w:rFonts w:ascii="Arial" w:cs="Arial" w:eastAsia="Arial" w:hAnsi="Arial"/>
          <w:sz w:val="17"/>
          <w:szCs w:val="17"/>
          <w:color w:val="auto"/>
        </w:rPr>
        <w:t>year period following the Date of Termination, and you will be ineligible to receive, and you agree not to apply for, unemployment compensation during such periods.</w:t>
      </w:r>
    </w:p>
    <w:p>
      <w:pPr>
        <w:spacing w:after="0" w:line="216" w:lineRule="exact"/>
        <w:rPr>
          <w:sz w:val="20"/>
          <w:szCs w:val="20"/>
          <w:color w:val="auto"/>
        </w:rPr>
      </w:pPr>
    </w:p>
    <w:p>
      <w:pPr>
        <w:ind w:left="652" w:right="100" w:hanging="652"/>
        <w:spacing w:after="0" w:line="253"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7" w:lineRule="exact"/>
        <w:rPr>
          <w:rFonts w:ascii="Arial" w:cs="Arial" w:eastAsia="Arial" w:hAnsi="Arial"/>
          <w:sz w:val="18"/>
          <w:szCs w:val="18"/>
          <w:color w:val="auto"/>
        </w:rPr>
      </w:pPr>
    </w:p>
    <w:p>
      <w:pPr>
        <w:ind w:left="652" w:right="200"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70" w:lineRule="exact"/>
        <w:rPr>
          <w:rFonts w:ascii="Arial" w:cs="Arial" w:eastAsia="Arial" w:hAnsi="Arial"/>
          <w:sz w:val="18"/>
          <w:szCs w:val="18"/>
          <w:color w:val="auto"/>
        </w:rPr>
      </w:pPr>
    </w:p>
    <w:p>
      <w:pPr>
        <w:ind w:left="652" w:right="20" w:hanging="652"/>
        <w:spacing w:after="0" w:line="264"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81" w:lineRule="exact"/>
        <w:rPr>
          <w:rFonts w:ascii="Arial" w:cs="Arial" w:eastAsia="Arial" w:hAnsi="Arial"/>
          <w:sz w:val="18"/>
          <w:szCs w:val="18"/>
          <w:color w:val="auto"/>
        </w:rPr>
      </w:pPr>
    </w:p>
    <w:p>
      <w:pPr>
        <w:ind w:left="652" w:right="420" w:hanging="652"/>
        <w:spacing w:after="0" w:line="259"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6"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70" w:lineRule="exact"/>
        <w:rPr>
          <w:rFonts w:ascii="Arial" w:cs="Arial" w:eastAsia="Arial" w:hAnsi="Arial"/>
          <w:sz w:val="18"/>
          <w:szCs w:val="18"/>
          <w:color w:val="auto"/>
        </w:rPr>
      </w:pPr>
    </w:p>
    <w:p>
      <w:pPr>
        <w:ind w:left="652" w:right="540"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70" w:lineRule="exact"/>
        <w:rPr>
          <w:rFonts w:ascii="Arial" w:cs="Arial" w:eastAsia="Arial" w:hAnsi="Arial"/>
          <w:sz w:val="18"/>
          <w:szCs w:val="18"/>
          <w:color w:val="auto"/>
        </w:rPr>
      </w:pPr>
    </w:p>
    <w:p>
      <w:pPr>
        <w:ind w:left="652" w:right="100" w:hanging="652"/>
        <w:spacing w:after="0" w:line="276" w:lineRule="auto"/>
        <w:tabs>
          <w:tab w:leader="none" w:pos="65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72" w:lineRule="exact"/>
        <w:rPr>
          <w:rFonts w:ascii="Arial" w:cs="Arial" w:eastAsia="Arial" w:hAnsi="Arial"/>
          <w:sz w:val="17"/>
          <w:szCs w:val="17"/>
          <w:color w:val="auto"/>
        </w:rPr>
      </w:pPr>
    </w:p>
    <w:p>
      <w:pPr>
        <w:ind w:left="652" w:right="120" w:hanging="652"/>
        <w:spacing w:after="0" w:line="25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letter, upon acceptance by you, expressly supersedes any and all previous agreements or understandings relating to your employment by the Corporation or the Consolidated ManpowerGroup, except for the letter from the Corporation to you dated January 3, 2013, regarding the Corporation’s offer of employment to you (provided this letter will supersede the sections of that prior letter concerning severance protection) or the termination of such employment, and any such agreements or understandings shall, as of the date of your acceptance, have no further force or effect.</w:t>
      </w:r>
    </w:p>
    <w:p>
      <w:pPr>
        <w:spacing w:after="0" w:line="188" w:lineRule="exact"/>
        <w:rPr>
          <w:rFonts w:ascii="Arial" w:cs="Arial" w:eastAsia="Arial" w:hAnsi="Arial"/>
          <w:sz w:val="18"/>
          <w:szCs w:val="18"/>
          <w:color w:val="auto"/>
        </w:rPr>
      </w:pPr>
    </w:p>
    <w:p>
      <w:pPr>
        <w:ind w:left="652" w:right="60" w:hanging="652"/>
        <w:spacing w:after="0" w:line="25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ectPr>
          <w:pgSz w:w="11900" w:h="16838" w:orient="portrait"/>
          <w:cols w:equalWidth="0" w:num="1">
            <w:col w:w="11392"/>
          </w:cols>
          <w:pgMar w:left="248" w:top="611" w:right="259" w:bottom="1440" w:gutter="0" w:footer="0" w:header="0"/>
        </w:sectPr>
      </w:pPr>
    </w:p>
    <w:bookmarkStart w:id="47" w:name="page48"/>
    <w:bookmarkEnd w:id="47"/>
    <w:p>
      <w:pPr>
        <w:ind w:left="1300" w:right="20" w:hanging="644"/>
        <w:spacing w:after="0" w:line="287"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8" w:lineRule="exact"/>
        <w:rPr>
          <w:rFonts w:ascii="Arial" w:cs="Arial" w:eastAsia="Arial" w:hAnsi="Arial"/>
          <w:sz w:val="16"/>
          <w:szCs w:val="16"/>
          <w:color w:val="auto"/>
        </w:rPr>
      </w:pPr>
    </w:p>
    <w:p>
      <w:pPr>
        <w:ind w:left="1300" w:right="60" w:hanging="644"/>
        <w:spacing w:after="0" w:line="287"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Jonas Prising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Jonas Prising,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17th day of December,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Richard Buchband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Buchband</w:t>
      </w:r>
    </w:p>
    <w:p>
      <w:pPr>
        <w:sectPr>
          <w:pgSz w:w="11900" w:h="16838" w:orient="portrait"/>
          <w:cols w:equalWidth="0" w:num="1">
            <w:col w:w="11420"/>
          </w:cols>
          <w:pgMar w:left="240" w:top="80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10.7(c)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11,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Mr. 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refer to our letter agreement dated and accepted by you on February 20, 2014, as amended on May 1, 2014 (the “Compensation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regarding your compensation and benefits. Effective as of February 10, 2015, we have agreed to amend the Compensation Agreement as follows:</w:t>
      </w: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The first sentence of Paragraph 2 shall be amended to read:</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“You will be paid a base salary for your services from the date hereof, and during the remainder of the Term at the rate of Nine Hundred Thousand Dollars ($900,000) per year, as may be increased from time to time by the Corporation.”</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capitalized terms used above which are not otherwise defined in this letter will have the meanings assigned to them in the Compensation Agreement. Except as modified by this letter, the Compensation Agreement will remain in full force and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confirm your agreement with the foregoing by signing and returning to the Corporation a copy of this letter.</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Buchband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Richard Buchband</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11th day of February,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ectPr>
          <w:pgSz w:w="11900" w:h="16838" w:orient="portrait"/>
          <w:cols w:equalWidth="0" w:num="1">
            <w:col w:w="11420"/>
          </w:cols>
          <w:pgMar w:left="240" w:top="580"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660.7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479.9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47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650.1</w:t>
            </w: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Estimated interest portion of rent expense</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r>
      <w:tr>
        <w:trPr>
          <w:trHeight w:val="243"/>
        </w:trPr>
        <w:tc>
          <w:tcPr>
            <w:tcW w:w="47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170.2</w:t>
            </w: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right="540" w:hanging="659"/>
        <w:spacing w:after="0" w:line="277" w:lineRule="auto"/>
        <w:tabs>
          <w:tab w:leader="none" w:pos="64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102870</wp:posOffset>
            </wp:positionV>
            <wp:extent cx="7212330" cy="6320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632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82A3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00"/>
        <w:spacing w:after="0"/>
        <w:rPr>
          <w:rFonts w:ascii="Arial" w:cs="Arial" w:eastAsia="Arial" w:hAnsi="Arial"/>
          <w:sz w:val="14"/>
          <w:szCs w:val="14"/>
          <w:color w:val="2989B9"/>
        </w:rPr>
      </w:pPr>
      <w:hyperlink w:anchor="page51">
        <w:r>
          <w:rPr>
            <w:rFonts w:ascii="Arial" w:cs="Arial" w:eastAsia="Arial" w:hAnsi="Arial"/>
            <w:sz w:val="14"/>
            <w:szCs w:val="14"/>
            <w:color w:val="2989B9"/>
          </w:rPr>
          <w:t>TABLE OF CONTENTS</w:t>
        </w:r>
      </w:hyperlink>
    </w:p>
    <w:p>
      <w:pPr>
        <w:spacing w:after="0" w:line="363" w:lineRule="exact"/>
        <w:rPr>
          <w:sz w:val="20"/>
          <w:szCs w:val="20"/>
          <w:color w:val="auto"/>
        </w:rPr>
      </w:pPr>
    </w:p>
    <w:p>
      <w:pPr>
        <w:ind w:left="4320" w:hanging="230"/>
        <w:spacing w:after="0"/>
        <w:tabs>
          <w:tab w:leader="none" w:pos="4320" w:val="left"/>
        </w:tabs>
        <w:numPr>
          <w:ilvl w:val="0"/>
          <w:numId w:val="55"/>
        </w:numPr>
        <w:rPr>
          <w:rFonts w:ascii="Arial" w:cs="Arial" w:eastAsia="Arial" w:hAnsi="Arial"/>
          <w:sz w:val="16"/>
          <w:szCs w:val="16"/>
          <w:color w:val="282A32"/>
        </w:rPr>
      </w:pPr>
      <w:hyperlink w:anchor="page51">
        <w:r>
          <w:rPr>
            <w:rFonts w:ascii="Arial" w:cs="Arial" w:eastAsia="Arial" w:hAnsi="Arial"/>
            <w:sz w:val="16"/>
            <w:szCs w:val="16"/>
            <w:color w:val="282A32"/>
          </w:rPr>
          <w:t>Management's Discussion &amp; Analysis</w:t>
        </w:r>
      </w:hyperlink>
    </w:p>
    <w:p>
      <w:pPr>
        <w:spacing w:after="0" w:line="86" w:lineRule="exact"/>
        <w:rPr>
          <w:sz w:val="20"/>
          <w:szCs w:val="20"/>
          <w:color w:val="auto"/>
        </w:rPr>
      </w:pPr>
    </w:p>
    <w:p>
      <w:pPr>
        <w:ind w:left="4320" w:hanging="230"/>
        <w:spacing w:after="0"/>
        <w:tabs>
          <w:tab w:leader="none" w:pos="4320" w:val="left"/>
        </w:tabs>
        <w:numPr>
          <w:ilvl w:val="0"/>
          <w:numId w:val="56"/>
        </w:numPr>
        <w:rPr>
          <w:rFonts w:ascii="Arial" w:cs="Arial" w:eastAsia="Arial" w:hAnsi="Arial"/>
          <w:sz w:val="16"/>
          <w:szCs w:val="16"/>
          <w:color w:val="282A32"/>
        </w:rPr>
      </w:pPr>
      <w:hyperlink w:anchor="page80">
        <w:r>
          <w:rPr>
            <w:rFonts w:ascii="Arial" w:cs="Arial" w:eastAsia="Arial" w:hAnsi="Arial"/>
            <w:sz w:val="16"/>
            <w:szCs w:val="16"/>
            <w:color w:val="282A32"/>
          </w:rPr>
          <w:t>Management Report on Internal Control Over Financial Reporting</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56"/>
        </w:numPr>
        <w:rPr>
          <w:rFonts w:ascii="Arial" w:cs="Arial" w:eastAsia="Arial" w:hAnsi="Arial"/>
          <w:sz w:val="16"/>
          <w:szCs w:val="16"/>
          <w:color w:val="282A32"/>
        </w:rPr>
      </w:pPr>
      <w:hyperlink w:anchor="page81">
        <w:r>
          <w:rPr>
            <w:rFonts w:ascii="Arial" w:cs="Arial" w:eastAsia="Arial" w:hAnsi="Arial"/>
            <w:sz w:val="16"/>
            <w:szCs w:val="16"/>
            <w:color w:val="282A32"/>
          </w:rPr>
          <w:t>Reports of Independent Registered Public Accounting Firm</w:t>
        </w:r>
      </w:hyperlink>
    </w:p>
    <w:p>
      <w:pPr>
        <w:spacing w:after="0" w:line="86" w:lineRule="exact"/>
        <w:rPr>
          <w:rFonts w:ascii="Arial" w:cs="Arial" w:eastAsia="Arial" w:hAnsi="Arial"/>
          <w:sz w:val="14"/>
          <w:szCs w:val="14"/>
          <w:color w:val="2989B9"/>
        </w:rPr>
      </w:pPr>
    </w:p>
    <w:p>
      <w:pPr>
        <w:ind w:left="4320" w:hanging="230"/>
        <w:spacing w:after="0"/>
        <w:tabs>
          <w:tab w:leader="none" w:pos="4320" w:val="left"/>
        </w:tabs>
        <w:numPr>
          <w:ilvl w:val="0"/>
          <w:numId w:val="57"/>
        </w:numPr>
        <w:rPr>
          <w:rFonts w:ascii="Arial" w:cs="Arial" w:eastAsia="Arial" w:hAnsi="Arial"/>
          <w:sz w:val="16"/>
          <w:szCs w:val="16"/>
          <w:color w:val="282A32"/>
        </w:rPr>
      </w:pPr>
      <w:hyperlink w:anchor="page83">
        <w:r>
          <w:rPr>
            <w:rFonts w:ascii="Arial" w:cs="Arial" w:eastAsia="Arial" w:hAnsi="Arial"/>
            <w:sz w:val="16"/>
            <w:szCs w:val="16"/>
            <w:color w:val="282A32"/>
          </w:rPr>
          <w:t>Consolidated Statements of Operations</w:t>
        </w:r>
      </w:hyperlink>
    </w:p>
    <w:p>
      <w:pPr>
        <w:spacing w:after="0" w:line="86" w:lineRule="exact"/>
        <w:rPr>
          <w:rFonts w:ascii="Arial" w:cs="Arial" w:eastAsia="Arial" w:hAnsi="Arial"/>
          <w:sz w:val="14"/>
          <w:szCs w:val="14"/>
          <w:color w:val="2989B9"/>
        </w:rPr>
      </w:pPr>
    </w:p>
    <w:p>
      <w:pPr>
        <w:ind w:left="4320" w:hanging="230"/>
        <w:spacing w:after="0"/>
        <w:tabs>
          <w:tab w:leader="none" w:pos="4320" w:val="left"/>
        </w:tabs>
        <w:numPr>
          <w:ilvl w:val="0"/>
          <w:numId w:val="58"/>
        </w:numPr>
        <w:rPr>
          <w:rFonts w:ascii="Arial" w:cs="Arial" w:eastAsia="Arial" w:hAnsi="Arial"/>
          <w:sz w:val="16"/>
          <w:szCs w:val="16"/>
          <w:color w:val="282A32"/>
        </w:rPr>
      </w:pPr>
      <w:hyperlink w:anchor="page84">
        <w:r>
          <w:rPr>
            <w:rFonts w:ascii="Arial" w:cs="Arial" w:eastAsia="Arial" w:hAnsi="Arial"/>
            <w:sz w:val="16"/>
            <w:szCs w:val="16"/>
            <w:color w:val="282A32"/>
          </w:rPr>
          <w:t>Consolidated Statements of Comprehensive Income</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58"/>
        </w:numPr>
        <w:rPr>
          <w:rFonts w:ascii="Arial" w:cs="Arial" w:eastAsia="Arial" w:hAnsi="Arial"/>
          <w:sz w:val="16"/>
          <w:szCs w:val="16"/>
          <w:color w:val="282A32"/>
        </w:rPr>
      </w:pPr>
      <w:hyperlink w:anchor="page84">
        <w:r>
          <w:rPr>
            <w:rFonts w:ascii="Arial" w:cs="Arial" w:eastAsia="Arial" w:hAnsi="Arial"/>
            <w:sz w:val="16"/>
            <w:szCs w:val="16"/>
            <w:color w:val="282A32"/>
          </w:rPr>
          <w:t>Consolidated Balance Sheets</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58"/>
        </w:numPr>
        <w:rPr>
          <w:rFonts w:ascii="Arial" w:cs="Arial" w:eastAsia="Arial" w:hAnsi="Arial"/>
          <w:sz w:val="16"/>
          <w:szCs w:val="16"/>
          <w:color w:val="282A32"/>
        </w:rPr>
      </w:pPr>
      <w:hyperlink w:anchor="page85">
        <w:r>
          <w:rPr>
            <w:rFonts w:ascii="Arial" w:cs="Arial" w:eastAsia="Arial" w:hAnsi="Arial"/>
            <w:sz w:val="16"/>
            <w:szCs w:val="16"/>
            <w:color w:val="282A32"/>
          </w:rPr>
          <w:t>Consolidated Statements of Cash Flows</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58"/>
        </w:numPr>
        <w:rPr>
          <w:rFonts w:ascii="Arial" w:cs="Arial" w:eastAsia="Arial" w:hAnsi="Arial"/>
          <w:sz w:val="16"/>
          <w:szCs w:val="16"/>
          <w:color w:val="282A32"/>
        </w:rPr>
      </w:pPr>
      <w:hyperlink w:anchor="page86">
        <w:r>
          <w:rPr>
            <w:rFonts w:ascii="Arial" w:cs="Arial" w:eastAsia="Arial" w:hAnsi="Arial"/>
            <w:sz w:val="16"/>
            <w:szCs w:val="16"/>
            <w:color w:val="282A32"/>
          </w:rPr>
          <w:t>Consolidated Statements of Shareholders' Equity</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58"/>
        </w:numPr>
        <w:rPr>
          <w:rFonts w:ascii="Arial" w:cs="Arial" w:eastAsia="Arial" w:hAnsi="Arial"/>
          <w:sz w:val="16"/>
          <w:szCs w:val="16"/>
          <w:color w:val="282A32"/>
        </w:rPr>
      </w:pPr>
      <w:hyperlink w:anchor="page87">
        <w:r>
          <w:rPr>
            <w:rFonts w:ascii="Arial" w:cs="Arial" w:eastAsia="Arial" w:hAnsi="Arial"/>
            <w:sz w:val="16"/>
            <w:szCs w:val="16"/>
            <w:color w:val="282A32"/>
          </w:rPr>
          <w:t>Notes to Consolidated Financial Statements</w:t>
        </w:r>
      </w:hyperlink>
    </w:p>
    <w:p>
      <w:pPr>
        <w:spacing w:after="0" w:line="86" w:lineRule="exact"/>
        <w:rPr>
          <w:rFonts w:ascii="Arial" w:cs="Arial" w:eastAsia="Arial" w:hAnsi="Arial"/>
          <w:sz w:val="14"/>
          <w:szCs w:val="14"/>
          <w:color w:val="2989B9"/>
        </w:rPr>
      </w:pPr>
    </w:p>
    <w:p>
      <w:pPr>
        <w:ind w:left="4320" w:hanging="230"/>
        <w:spacing w:after="0"/>
        <w:tabs>
          <w:tab w:leader="none" w:pos="4320" w:val="left"/>
        </w:tabs>
        <w:numPr>
          <w:ilvl w:val="0"/>
          <w:numId w:val="59"/>
        </w:numPr>
        <w:rPr>
          <w:rFonts w:ascii="Arial" w:cs="Arial" w:eastAsia="Arial" w:hAnsi="Arial"/>
          <w:sz w:val="16"/>
          <w:szCs w:val="16"/>
          <w:color w:val="282A32"/>
        </w:rPr>
      </w:pPr>
      <w:hyperlink w:anchor="page121">
        <w:r>
          <w:rPr>
            <w:rFonts w:ascii="Arial" w:cs="Arial" w:eastAsia="Arial" w:hAnsi="Arial"/>
            <w:sz w:val="16"/>
            <w:szCs w:val="16"/>
            <w:color w:val="282A32"/>
          </w:rPr>
          <w:t>Selected Financial Data</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60"/>
        </w:numPr>
        <w:rPr>
          <w:rFonts w:ascii="Arial" w:cs="Arial" w:eastAsia="Arial" w:hAnsi="Arial"/>
          <w:sz w:val="16"/>
          <w:szCs w:val="16"/>
          <w:color w:val="282A32"/>
        </w:rPr>
      </w:pPr>
      <w:hyperlink w:anchor="page121">
        <w:r>
          <w:rPr>
            <w:rFonts w:ascii="Arial" w:cs="Arial" w:eastAsia="Arial" w:hAnsi="Arial"/>
            <w:sz w:val="16"/>
            <w:szCs w:val="16"/>
            <w:color w:val="282A32"/>
          </w:rPr>
          <w:t>Performance Graph</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60"/>
        </w:numPr>
        <w:rPr>
          <w:rFonts w:ascii="Arial" w:cs="Arial" w:eastAsia="Arial" w:hAnsi="Arial"/>
          <w:sz w:val="16"/>
          <w:szCs w:val="16"/>
          <w:color w:val="282A32"/>
        </w:rPr>
      </w:pPr>
      <w:hyperlink w:anchor="page122">
        <w:r>
          <w:rPr>
            <w:rFonts w:ascii="Arial" w:cs="Arial" w:eastAsia="Arial" w:hAnsi="Arial"/>
            <w:sz w:val="16"/>
            <w:szCs w:val="16"/>
            <w:color w:val="282A32"/>
          </w:rPr>
          <w:t>Principal Operating Units</w:t>
        </w:r>
      </w:hyperlink>
    </w:p>
    <w:p>
      <w:pPr>
        <w:spacing w:after="0" w:line="86" w:lineRule="exact"/>
        <w:rPr>
          <w:rFonts w:ascii="Arial" w:cs="Arial" w:eastAsia="Arial" w:hAnsi="Arial"/>
          <w:sz w:val="16"/>
          <w:szCs w:val="16"/>
          <w:color w:val="282A32"/>
        </w:rPr>
      </w:pPr>
    </w:p>
    <w:p>
      <w:pPr>
        <w:ind w:left="4320" w:hanging="230"/>
        <w:spacing w:after="0"/>
        <w:tabs>
          <w:tab w:leader="none" w:pos="4320" w:val="left"/>
        </w:tabs>
        <w:numPr>
          <w:ilvl w:val="0"/>
          <w:numId w:val="60"/>
        </w:numPr>
        <w:rPr>
          <w:rFonts w:ascii="Arial" w:cs="Arial" w:eastAsia="Arial" w:hAnsi="Arial"/>
          <w:sz w:val="16"/>
          <w:szCs w:val="16"/>
          <w:color w:val="282A32"/>
        </w:rPr>
      </w:pPr>
      <w:hyperlink w:anchor="page123">
        <w:r>
          <w:rPr>
            <w:rFonts w:ascii="Arial" w:cs="Arial" w:eastAsia="Arial" w:hAnsi="Arial"/>
            <w:sz w:val="16"/>
            <w:szCs w:val="16"/>
            <w:color w:val="282A32"/>
          </w:rPr>
          <w:t>Corporate Information</w:t>
        </w:r>
      </w:hyperlink>
    </w:p>
    <w:p>
      <w:pPr>
        <w:spacing w:after="0" w:line="20" w:lineRule="exact"/>
        <w:rPr>
          <w:rFonts w:ascii="Arial" w:cs="Arial" w:eastAsia="Arial" w:hAnsi="Arial"/>
          <w:sz w:val="14"/>
          <w:szCs w:val="14"/>
          <w:color w:val="2989B9"/>
        </w:rPr>
      </w:pPr>
      <w:r>
        <w:rPr>
          <w:rFonts w:ascii="Arial" w:cs="Arial" w:eastAsia="Arial" w:hAnsi="Arial"/>
          <w:sz w:val="14"/>
          <w:szCs w:val="14"/>
          <w:color w:val="2989B9"/>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721233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41148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989B9"/>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-104775</wp:posOffset>
            </wp:positionV>
            <wp:extent cx="1372235" cy="250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2504440"/>
                    </a:xfrm>
                    <a:prstGeom prst="rect">
                      <a:avLst/>
                    </a:prstGeom>
                    <a:noFill/>
                  </pic:spPr>
                </pic:pic>
              </a:graphicData>
            </a:graphic>
          </wp:anchor>
        </w:drawing>
      </w:r>
    </w:p>
    <w:p>
      <w:pPr>
        <w:spacing w:after="0" w:line="194" w:lineRule="exact"/>
        <w:rPr>
          <w:sz w:val="20"/>
          <w:szCs w:val="20"/>
          <w:color w:val="auto"/>
        </w:rPr>
      </w:pPr>
    </w:p>
    <w:p>
      <w:pPr>
        <w:ind w:left="80" w:right="4420"/>
        <w:spacing w:after="0" w:line="250" w:lineRule="auto"/>
        <w:rPr>
          <w:sz w:val="20"/>
          <w:szCs w:val="20"/>
          <w:color w:val="auto"/>
        </w:rPr>
      </w:pPr>
      <w:r>
        <w:rPr>
          <w:rFonts w:ascii="Arial" w:cs="Arial" w:eastAsia="Arial" w:hAnsi="Arial"/>
          <w:sz w:val="16"/>
          <w:szCs w:val="16"/>
          <w:color w:val="282A32"/>
        </w:rPr>
        <w:t>ManpowerGroup Inc. is a world leader in innovative workforce solutions and services. Our global network of over 2,900 offices in 80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176" w:lineRule="exact"/>
        <w:rPr>
          <w:sz w:val="20"/>
          <w:szCs w:val="20"/>
          <w:color w:val="auto"/>
        </w:rPr>
      </w:pPr>
    </w:p>
    <w:p>
      <w:pPr>
        <w:ind w:left="80" w:right="4400"/>
        <w:spacing w:after="0" w:line="251" w:lineRule="auto"/>
        <w:rPr>
          <w:sz w:val="20"/>
          <w:szCs w:val="20"/>
          <w:color w:val="auto"/>
        </w:rPr>
      </w:pPr>
      <w:r>
        <w:rPr>
          <w:rFonts w:ascii="Arial" w:cs="Arial" w:eastAsia="Arial" w:hAnsi="Arial"/>
          <w:sz w:val="16"/>
          <w:szCs w:val="16"/>
          <w:color w:val="282A32"/>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76" w:lineRule="exact"/>
        <w:rPr>
          <w:sz w:val="20"/>
          <w:szCs w:val="20"/>
          <w:color w:val="auto"/>
        </w:rPr>
      </w:pPr>
    </w:p>
    <w:p>
      <w:pPr>
        <w:ind w:left="80" w:right="4460" w:firstLine="9"/>
        <w:spacing w:after="0" w:line="250" w:lineRule="auto"/>
        <w:tabs>
          <w:tab w:leader="none" w:pos="182" w:val="left"/>
        </w:tabs>
        <w:numPr>
          <w:ilvl w:val="0"/>
          <w:numId w:val="61"/>
        </w:numPr>
        <w:rPr>
          <w:rFonts w:ascii="Arial" w:cs="Arial" w:eastAsia="Arial" w:hAnsi="Arial"/>
          <w:sz w:val="16"/>
          <w:szCs w:val="16"/>
          <w:b w:val="1"/>
          <w:bCs w:val="1"/>
          <w:color w:val="2A89B9"/>
        </w:rPr>
      </w:pPr>
      <w:r>
        <w:rPr>
          <w:rFonts w:ascii="Arial" w:cs="Arial" w:eastAsia="Arial" w:hAnsi="Arial"/>
          <w:sz w:val="16"/>
          <w:szCs w:val="16"/>
          <w:color w:val="282A32"/>
        </w:rPr>
        <w:t>Recruitment and Assessment — By leveraging our trusted brands, industry knowledge and expertise, we identify the right talent in the right place to help our clients quickly access the people they need when they need them. Through our industry-leading assessments, we gain a deeper understanding of the people we serve to correctly identify candidates’ potential, resulting in a better cultural match.</w:t>
      </w:r>
    </w:p>
    <w:p>
      <w:pPr>
        <w:spacing w:after="0" w:line="176" w:lineRule="exact"/>
        <w:rPr>
          <w:rFonts w:ascii="Arial" w:cs="Arial" w:eastAsia="Arial" w:hAnsi="Arial"/>
          <w:sz w:val="16"/>
          <w:szCs w:val="16"/>
          <w:b w:val="1"/>
          <w:bCs w:val="1"/>
          <w:color w:val="2A89B9"/>
        </w:rPr>
      </w:pPr>
    </w:p>
    <w:p>
      <w:pPr>
        <w:ind w:left="80" w:right="4520" w:firstLine="9"/>
        <w:spacing w:after="0" w:line="251" w:lineRule="auto"/>
        <w:tabs>
          <w:tab w:leader="none" w:pos="182" w:val="left"/>
        </w:tabs>
        <w:numPr>
          <w:ilvl w:val="0"/>
          <w:numId w:val="61"/>
        </w:numPr>
        <w:rPr>
          <w:rFonts w:ascii="Arial" w:cs="Arial" w:eastAsia="Arial" w:hAnsi="Arial"/>
          <w:sz w:val="16"/>
          <w:szCs w:val="16"/>
          <w:b w:val="1"/>
          <w:bCs w:val="1"/>
          <w:color w:val="2A89B9"/>
        </w:rPr>
      </w:pPr>
      <w:r>
        <w:rPr>
          <w:rFonts w:ascii="Arial" w:cs="Arial" w:eastAsia="Arial" w:hAnsi="Arial"/>
          <w:sz w:val="16"/>
          <w:szCs w:val="16"/>
          <w:color w:val="282A32"/>
        </w:rPr>
        <w:t>Training and Development — Our unique insights into evolving employer needs and our 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spacing w:after="0" w:line="175" w:lineRule="exact"/>
        <w:rPr>
          <w:rFonts w:ascii="Arial" w:cs="Arial" w:eastAsia="Arial" w:hAnsi="Arial"/>
          <w:sz w:val="16"/>
          <w:szCs w:val="16"/>
          <w:b w:val="1"/>
          <w:bCs w:val="1"/>
          <w:color w:val="2A89B9"/>
        </w:rPr>
      </w:pPr>
    </w:p>
    <w:p>
      <w:pPr>
        <w:ind w:left="80" w:right="4380" w:firstLine="9"/>
        <w:spacing w:after="0" w:line="253" w:lineRule="auto"/>
        <w:tabs>
          <w:tab w:leader="none" w:pos="182" w:val="left"/>
        </w:tabs>
        <w:numPr>
          <w:ilvl w:val="0"/>
          <w:numId w:val="61"/>
        </w:numPr>
        <w:rPr>
          <w:rFonts w:ascii="Arial" w:cs="Arial" w:eastAsia="Arial" w:hAnsi="Arial"/>
          <w:sz w:val="16"/>
          <w:szCs w:val="16"/>
          <w:b w:val="1"/>
          <w:bCs w:val="1"/>
          <w:color w:val="2A89B9"/>
        </w:rPr>
      </w:pPr>
      <w:r>
        <w:rPr>
          <w:rFonts w:ascii="Arial" w:cs="Arial" w:eastAsia="Arial" w:hAnsi="Arial"/>
          <w:sz w:val="16"/>
          <w:szCs w:val="16"/>
          <w:color w:val="282A32"/>
        </w:rPr>
        <w:t>Career Management — We understand the human side of business to help individuals and organizations unleash human potential to enhance skills, increase effectiveness and successfully manage career changes and workforce transitions.</w:t>
      </w:r>
    </w:p>
    <w:p>
      <w:pPr>
        <w:spacing w:after="0" w:line="174" w:lineRule="exact"/>
        <w:rPr>
          <w:rFonts w:ascii="Arial" w:cs="Arial" w:eastAsia="Arial" w:hAnsi="Arial"/>
          <w:sz w:val="16"/>
          <w:szCs w:val="16"/>
          <w:b w:val="1"/>
          <w:bCs w:val="1"/>
          <w:color w:val="2A89B9"/>
        </w:rPr>
      </w:pPr>
    </w:p>
    <w:p>
      <w:pPr>
        <w:ind w:left="80" w:right="4620" w:firstLine="9"/>
        <w:spacing w:after="0" w:line="253" w:lineRule="auto"/>
        <w:tabs>
          <w:tab w:leader="none" w:pos="182" w:val="left"/>
        </w:tabs>
        <w:numPr>
          <w:ilvl w:val="0"/>
          <w:numId w:val="61"/>
        </w:numPr>
        <w:rPr>
          <w:rFonts w:ascii="Arial" w:cs="Arial" w:eastAsia="Arial" w:hAnsi="Arial"/>
          <w:sz w:val="16"/>
          <w:szCs w:val="16"/>
          <w:b w:val="1"/>
          <w:bCs w:val="1"/>
          <w:color w:val="2A89B9"/>
        </w:rPr>
      </w:pPr>
      <w:r>
        <w:rPr>
          <w:rFonts w:ascii="Arial" w:cs="Arial" w:eastAsia="Arial" w:hAnsi="Arial"/>
          <w:sz w:val="16"/>
          <w:szCs w:val="16"/>
          <w:color w:val="282A32"/>
        </w:rPr>
        <w:t>Outsourcing — We provide clients with outsourcing services related to human resources functions primarily in the areas of large-scale recruiting and workforce-intensive initiatives that are outcome-based, thereby sharing in the risk and reward with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-1056005</wp:posOffset>
            </wp:positionV>
            <wp:extent cx="1260475" cy="2470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047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8"/>
        <w:spacing w:after="0" w:line="260" w:lineRule="auto"/>
        <w:tabs>
          <w:tab w:leader="none" w:pos="110" w:val="left"/>
        </w:tabs>
        <w:numPr>
          <w:ilvl w:val="0"/>
          <w:numId w:val="62"/>
        </w:numPr>
        <w:rPr>
          <w:rFonts w:ascii="Arial" w:cs="Arial" w:eastAsia="Arial" w:hAnsi="Arial"/>
          <w:sz w:val="16"/>
          <w:szCs w:val="16"/>
          <w:color w:val="2989B9"/>
        </w:rPr>
      </w:pPr>
      <w:r>
        <w:rPr>
          <w:rFonts w:ascii="Arial" w:cs="Arial" w:eastAsia="Arial" w:hAnsi="Arial"/>
          <w:sz w:val="16"/>
          <w:szCs w:val="16"/>
          <w:color w:val="282A32"/>
        </w:rPr>
        <w:t>Workforce Consulting — We help clients create and align their workforce strategy to achieve their business strategy, increase bus</w:t>
      </w:r>
      <w:r>
        <w:rPr>
          <w:rFonts w:ascii="Arial" w:cs="Arial" w:eastAsia="Arial" w:hAnsi="Arial"/>
          <w:sz w:val="16"/>
          <w:szCs w:val="16"/>
          <w:color w:val="000000"/>
        </w:rPr>
        <w:t>iness agili</w:t>
      </w:r>
      <w:r>
        <w:rPr>
          <w:rFonts w:ascii="Arial" w:cs="Arial" w:eastAsia="Arial" w:hAnsi="Arial"/>
          <w:sz w:val="16"/>
          <w:szCs w:val="16"/>
          <w:color w:val="282A32"/>
        </w:rPr>
        <w:t>ty and flexibility, and accelerate personal and business success.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282A32"/>
        </w:rPr>
        <w:t>This comprehensive and diverse business mix helps us to partially mitigate the cyclical effects of the economies in which we operate. Our family of brands and offerings includes:</w:t>
      </w:r>
    </w:p>
    <w:p>
      <w:pPr>
        <w:spacing w:after="0" w:line="169" w:lineRule="exact"/>
        <w:rPr>
          <w:sz w:val="20"/>
          <w:szCs w:val="20"/>
          <w:color w:val="auto"/>
        </w:rPr>
      </w:pPr>
    </w:p>
    <w:p>
      <w:pPr>
        <w:ind w:firstLine="8"/>
        <w:spacing w:after="0" w:line="260" w:lineRule="auto"/>
        <w:tabs>
          <w:tab w:leader="none" w:pos="116" w:val="left"/>
        </w:tabs>
        <w:numPr>
          <w:ilvl w:val="0"/>
          <w:numId w:val="63"/>
        </w:numPr>
        <w:rPr>
          <w:rFonts w:ascii="Arial" w:cs="Arial" w:eastAsia="Arial" w:hAnsi="Arial"/>
          <w:sz w:val="16"/>
          <w:szCs w:val="16"/>
          <w:color w:val="2A89B9"/>
        </w:rPr>
      </w:pPr>
      <w:r>
        <w:rPr>
          <w:rFonts w:ascii="Arial" w:cs="Arial" w:eastAsia="Arial" w:hAnsi="Arial"/>
          <w:sz w:val="16"/>
          <w:szCs w:val="16"/>
          <w:color w:val="282A32"/>
        </w:rPr>
        <w:t>Manpower — We are a global leader in contingent staffing and permanent recruitment. We provide businesses with rapid access to a highly qualified and productive pool of candidates to give them the flexibility and agility they need to respond to changing business needs.</w:t>
      </w:r>
    </w:p>
    <w:p>
      <w:pPr>
        <w:spacing w:after="0" w:line="168" w:lineRule="exact"/>
        <w:rPr>
          <w:rFonts w:ascii="Arial" w:cs="Arial" w:eastAsia="Arial" w:hAnsi="Arial"/>
          <w:sz w:val="16"/>
          <w:szCs w:val="16"/>
          <w:color w:val="2A89B9"/>
        </w:rPr>
      </w:pPr>
    </w:p>
    <w:p>
      <w:pPr>
        <w:ind w:firstLine="8"/>
        <w:spacing w:after="0" w:line="260" w:lineRule="auto"/>
        <w:tabs>
          <w:tab w:leader="none" w:pos="102" w:val="left"/>
        </w:tabs>
        <w:numPr>
          <w:ilvl w:val="0"/>
          <w:numId w:val="63"/>
        </w:numPr>
        <w:rPr>
          <w:rFonts w:ascii="Arial" w:cs="Arial" w:eastAsia="Arial" w:hAnsi="Arial"/>
          <w:sz w:val="16"/>
          <w:szCs w:val="16"/>
          <w:color w:val="2989B9"/>
        </w:rPr>
      </w:pPr>
      <w:r>
        <w:rPr>
          <w:rFonts w:ascii="Arial" w:cs="Arial" w:eastAsia="Arial" w:hAnsi="Arial"/>
          <w:sz w:val="16"/>
          <w:szCs w:val="16"/>
          <w:color w:val="282A32"/>
        </w:rPr>
        <w:t xml:space="preserve">Experis — We are a global leader in professional resourcing and project-based solutions. With operations in over </w:t>
      </w:r>
      <w:r>
        <w:rPr>
          <w:rFonts w:ascii="Arial" w:cs="Arial" w:eastAsia="Arial" w:hAnsi="Arial"/>
          <w:sz w:val="16"/>
          <w:szCs w:val="16"/>
          <w:color w:val="000000"/>
        </w:rPr>
        <w:t>50</w:t>
      </w:r>
      <w:r>
        <w:rPr>
          <w:rFonts w:ascii="Arial" w:cs="Arial" w:eastAsia="Arial" w:hAnsi="Arial"/>
          <w:sz w:val="16"/>
          <w:szCs w:val="16"/>
          <w:color w:val="282A32"/>
        </w:rPr>
        <w:t xml:space="preserve"> countries and territories, we delivered </w:t>
      </w:r>
      <w:r>
        <w:rPr>
          <w:rFonts w:ascii="Arial" w:cs="Arial" w:eastAsia="Arial" w:hAnsi="Arial"/>
          <w:sz w:val="16"/>
          <w:szCs w:val="16"/>
          <w:color w:val="000000"/>
        </w:rPr>
        <w:t>57</w:t>
      </w:r>
      <w:r>
        <w:rPr>
          <w:rFonts w:ascii="Arial" w:cs="Arial" w:eastAsia="Arial" w:hAnsi="Arial"/>
          <w:sz w:val="16"/>
          <w:szCs w:val="16"/>
          <w:color w:val="282A32"/>
        </w:rPr>
        <w:t xml:space="preserve"> million hours of professional talent in 2015 specializing in Information Technology (IT), Engineering, Finance and Accounting, and Healthcare.</w:t>
      </w:r>
    </w:p>
    <w:p>
      <w:pPr>
        <w:spacing w:after="0" w:line="168" w:lineRule="exact"/>
        <w:rPr>
          <w:rFonts w:ascii="Arial" w:cs="Arial" w:eastAsia="Arial" w:hAnsi="Arial"/>
          <w:sz w:val="16"/>
          <w:szCs w:val="16"/>
          <w:color w:val="2989B9"/>
        </w:rPr>
      </w:pPr>
    </w:p>
    <w:p>
      <w:pPr>
        <w:jc w:val="both"/>
        <w:ind w:firstLine="8"/>
        <w:spacing w:after="0" w:line="253" w:lineRule="auto"/>
        <w:tabs>
          <w:tab w:leader="none" w:pos="105" w:val="left"/>
        </w:tabs>
        <w:numPr>
          <w:ilvl w:val="0"/>
          <w:numId w:val="63"/>
        </w:numPr>
        <w:rPr>
          <w:rFonts w:ascii="Arial" w:cs="Arial" w:eastAsia="Arial" w:hAnsi="Arial"/>
          <w:sz w:val="16"/>
          <w:szCs w:val="16"/>
          <w:color w:val="2989B9"/>
        </w:rPr>
      </w:pPr>
      <w:r>
        <w:rPr>
          <w:rFonts w:ascii="Arial" w:cs="Arial" w:eastAsia="Arial" w:hAnsi="Arial"/>
          <w:sz w:val="16"/>
          <w:szCs w:val="16"/>
          <w:color w:val="282A32"/>
        </w:rPr>
        <w:t>Right Management — We are a global career expert dedicated to helping organizations and individuals become more agile and innovative. By leveraging our expertise in assessment, development and coaching, we provide tailored solutions that deliver organizational efficiency, individual development, and career management, to increase productivity and optimize business performance.</w:t>
      </w:r>
    </w:p>
    <w:p>
      <w:pPr>
        <w:spacing w:after="0" w:line="200" w:lineRule="exact"/>
        <w:rPr>
          <w:sz w:val="20"/>
          <w:szCs w:val="20"/>
          <w:color w:val="auto"/>
        </w:rPr>
      </w:pPr>
    </w:p>
    <w:p>
      <w:pPr>
        <w:spacing w:after="0" w:line="261"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14</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52" w:name="page53"/>
    <w:bookmarkEnd w:id="52"/>
    <w:p>
      <w:pPr>
        <w:jc w:val="both"/>
        <w:ind w:firstLine="8"/>
        <w:spacing w:after="0" w:line="253" w:lineRule="auto"/>
        <w:tabs>
          <w:tab w:leader="none" w:pos="125" w:val="left"/>
        </w:tabs>
        <w:numPr>
          <w:ilvl w:val="0"/>
          <w:numId w:val="64"/>
        </w:numPr>
        <w:rPr>
          <w:rFonts w:ascii="Arial" w:cs="Arial" w:eastAsia="Arial" w:hAnsi="Arial"/>
          <w:sz w:val="16"/>
          <w:szCs w:val="16"/>
          <w:color w:val="2989B9"/>
        </w:rPr>
      </w:pPr>
      <w:r>
        <w:rPr>
          <w:rFonts w:ascii="Arial" w:cs="Arial" w:eastAsia="Arial" w:hAnsi="Arial"/>
          <w:sz w:val="16"/>
          <w:szCs w:val="16"/>
          <w:color w:val="282A32"/>
        </w:rPr>
        <w:t>ManpowerGroup Solutions — ManpowerGroup Solutions is a leader in outcome-based, talent-driven solutions. Our offerings include best-in-class Talent Based Outsourcing (TBO), TAPFIN - Managed Service Provider (MSP), Recruitment Process Outsourcing (RPO) and Proservia. Proservia is a recognized leader within the Digital Services market and IT Infrastructure sector throughout Europe, specializing in infrastructure management and user support.</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Our leadership position allows us to be a center for quality employment opportunities for people at all points in their career paths. In 2015, the 3.4 million people whom we connected to opportunities and purpose worked to help our more than 400,000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Our industry is large and fragmented, comprised of thousands of firms employing millions of people and generating billions of United States dollars in annual revenues. It is also a highly competitive industry, reflecting several trends in the global marketplace, notably increasing demand for skilled people and consolidation among clients and in the employment services industry itself.</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periods of increased demand, as we saw in 2015, we are generally able to improve our profitability and operating leverage as our cost base can support some increase in business without a similar increase in selling and administrative expenses.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The nature of our operations is such that our most significant current asset is accounts receivable, with an average days sales outstanding of approximately 55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are outstanding for much longer, which may result in a decline in operating cash flows.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an economic downturn continued for an extended period.</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Our career management services are counter-cyclical to our staffing services, which helps to offset the impact of an economic downturn on our overall financial results.</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15 </w:t>
      </w:r>
      <w:r>
        <w:rPr>
          <w:rFonts w:ascii="Arial" w:cs="Arial" w:eastAsia="Arial" w:hAnsi="Arial"/>
          <w:sz w:val="12"/>
          <w:szCs w:val="12"/>
          <w:color w:val="auto"/>
        </w:rPr>
        <w:t>| ManpowerGroup</w:t>
      </w:r>
    </w:p>
    <w:p>
      <w:pPr>
        <w:sectPr>
          <w:pgSz w:w="11900" w:h="16838" w:orient="portrait"/>
          <w:cols w:equalWidth="0" w:num="1">
            <w:col w:w="11420"/>
          </w:cols>
          <w:pgMar w:left="240" w:top="601"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Our business is organized and managed primarily on a geographic basis, with Right Management currently operating as a separate global business unit. Each country and business unit generally has its own distinct operations and management team, providing services under our global brands.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(Asia Pacific Middle East); and Right Management.</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TBO, MSP, RPO and Proservia. Right Management’s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comprises a significant portion of revenues for us as a whole or for any segment.</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2989B9"/>
        </w:rPr>
        <w:t>FINANCIAL MEASURES — CONSTANT CURRENCY AND ORGANIC CONSTANT CURRENCY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7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82A32"/>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0" w:lineRule="exact"/>
        <w:rPr>
          <w:sz w:val="20"/>
          <w:szCs w:val="20"/>
          <w:color w:val="auto"/>
        </w:rPr>
      </w:pPr>
    </w:p>
    <w:p>
      <w:pPr>
        <w:spacing w:after="0" w:line="262"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16</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54" w:name="page55"/>
    <w:bookmarkEnd w:id="54"/>
    <w:p>
      <w:pPr>
        <w:spacing w:after="0" w:line="260" w:lineRule="auto"/>
        <w:rPr>
          <w:sz w:val="20"/>
          <w:szCs w:val="20"/>
          <w:color w:val="auto"/>
        </w:rPr>
      </w:pPr>
      <w:r>
        <w:rPr>
          <w:rFonts w:ascii="Arial" w:cs="Arial" w:eastAsia="Arial" w:hAnsi="Arial"/>
          <w:sz w:val="16"/>
          <w:szCs w:val="16"/>
          <w:color w:val="282A32"/>
        </w:rPr>
        <w:t>Constant currency and organic constant currency percent variances, along with a reconciliation of these amounts to certain of our reported results, are included on pages 28 and 29.</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2989B9"/>
        </w:rPr>
        <w:t>RESULTS OF OPERATIONS — YEARS ENDED DECEMBER 31, 2015, 2014 AND 2013</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82A32"/>
        </w:rPr>
        <w:t>During 2015, the United States dollar was stronger relative to the currencies in most of our major markets, having a significant unfavorable impact on our reported results. While our reported revenues from services declined 6.9% from 2014 and our reported operating profit declined 4.3%, these results were significantly impacted by the changes in foreign currency exchange rates and do not reflect the performance of our underlying business. The changes in the foreign currency exchange rates had a 13.5% unfavorable impact on revenues from services, a 15.5% unfavorable impact on operating profit and an approximately $0.81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In 2015, we experienced constant currency revenue growth in most of our markets. Our consolidated revenues were up 6.6% in constant currency (-6.9% as reported) in 2015 compared to 2014. We continue to experience uneven economic conditions in Europe and certain of our major markets, and further recovery may be slow or somewhat volatile. Our staffing/interim business had solid growth in 2015, along with a 15.8% constant currency increase (3.2% as reported) in our permanent recruitment business and strong growth in all of our ManpowerGroup Solutions offerings. At Right Management, we have seen some improvement as we experienced revenue growth of 3.2% in constant currency (-4.8% as reported) in our counter-cyclical outplacement services due to increased demand, while revenues from our talent management services decreased 5.4% in constant currency (-12.0% as reported).</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Our gross profit margin in 2015 compared to 2014 increased mostly due to the constant currency growth in our permanent recruitment business and a favorable mix impact due to the changes in currency exchange rates, partially offset by the decline in our staffing/interim margin. Our staffing/interim gross profit margin decreased slightly in 2015 compared to 2014 due to general pricing pressures in certain markets and the impact of business mix as we saw higher growth from our lower-margin markets as well as higher growth from our lower-margin business in certain markets, partially offset by improved margins in the United States and France.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recorded $16.4 million of restructuring costs in the fourth quarter of 2015 primarily related to severance costs across a number of markets as we adjusted our cost base to reflect current revenue levels and enhancements in productivity. Selling and administrative expenses increased 6.0% in constant currency (-5.8% as reported) in 2015.</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Our profitability improved in 2015, with operating profit up 11.2% in constant currency (-4.3% as reported), and operating profit margin up 10 basis points in constant currency (10 basis points as reported) compared to 2014. Excluding the restructuring costs, operating profit increased 13.7% in constant currency and operating profit margin was up 20 basis points in constant currency in 2015 compared to 2014. We continue to monitor expenses closely to ensure we maintain the full benefit of the simplification and cost recalibration plan initiatives that resulted in a lower cost base as we streamlined our organization, while investing appropriately to support the growth in the business. During 2015, we added recruiters and certain other staff to support the increased demand for our services. We have also seen an increase in our variable incentive costs due to the improved profitability. Even with these investments and restructuring costs, we saw improved operational leverage in 2015 as we were able to support the higher revenue level without a similar increase in expenses in constant currency.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17 </w:t>
      </w:r>
      <w:r>
        <w:rPr>
          <w:rFonts w:ascii="Arial" w:cs="Arial" w:eastAsia="Arial" w:hAnsi="Arial"/>
          <w:sz w:val="12"/>
          <w:szCs w:val="12"/>
          <w:color w:val="auto"/>
        </w:rPr>
        <w:t>| ManpowerGroup</w:t>
      </w:r>
    </w:p>
    <w:p>
      <w:pPr>
        <w:sectPr>
          <w:pgSz w:w="11900" w:h="16838" w:orient="portrait"/>
          <w:cols w:equalWidth="0" w:num="1">
            <w:col w:w="11420"/>
          </w:cols>
          <w:pgMar w:left="240" w:top="358"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2989B9"/>
        </w:rPr>
        <w:t>Consolidated Results — 2015 Compared to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The following table presents selected consolidated financial data for 2015 as compared to 2014.</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120" w:type="dxa"/>
            <w:vAlign w:val="bottom"/>
            <w:shd w:val="clear" w:color="auto" w:fill="E1F4FD"/>
          </w:tcPr>
          <w:p>
            <w:pPr>
              <w:spacing w:after="0"/>
              <w:rPr>
                <w:sz w:val="16"/>
                <w:szCs w:val="16"/>
                <w:color w:val="auto"/>
              </w:rPr>
            </w:pPr>
          </w:p>
        </w:tc>
        <w:tc>
          <w:tcPr>
            <w:tcW w:w="1220" w:type="dxa"/>
            <w:vAlign w:val="bottom"/>
            <w:shd w:val="clear" w:color="auto" w:fill="E1F4FD"/>
          </w:tcPr>
          <w:p>
            <w:pPr>
              <w:spacing w:after="0"/>
              <w:rPr>
                <w:sz w:val="16"/>
                <w:szCs w:val="16"/>
                <w:color w:val="auto"/>
              </w:rPr>
            </w:pPr>
          </w:p>
        </w:tc>
        <w:tc>
          <w:tcPr>
            <w:tcW w:w="160" w:type="dxa"/>
            <w:vAlign w:val="bottom"/>
            <w:shd w:val="clear" w:color="auto" w:fill="E1F4FD"/>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Arial" w:cs="Arial" w:eastAsia="Arial" w:hAnsi="Arial"/>
                <w:sz w:val="14"/>
                <w:szCs w:val="14"/>
                <w:color w:val="282A32"/>
              </w:rPr>
              <w:t>Variance in</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20" w:type="dxa"/>
            <w:vAlign w:val="bottom"/>
            <w:shd w:val="clear" w:color="auto" w:fill="E1F4FD"/>
          </w:tcPr>
          <w:p>
            <w:pPr>
              <w:spacing w:after="0"/>
              <w:rPr>
                <w:sz w:val="14"/>
                <w:szCs w:val="14"/>
                <w:color w:val="auto"/>
              </w:rPr>
            </w:pPr>
          </w:p>
        </w:tc>
        <w:tc>
          <w:tcPr>
            <w:tcW w:w="1220" w:type="dxa"/>
            <w:vAlign w:val="bottom"/>
            <w:shd w:val="clear" w:color="auto" w:fill="E1F4FD"/>
          </w:tcPr>
          <w:p>
            <w:pPr>
              <w:spacing w:after="0"/>
              <w:rPr>
                <w:sz w:val="14"/>
                <w:szCs w:val="14"/>
                <w:color w:val="auto"/>
              </w:rPr>
            </w:pPr>
          </w:p>
        </w:tc>
        <w:tc>
          <w:tcPr>
            <w:tcW w:w="160" w:type="dxa"/>
            <w:vAlign w:val="bottom"/>
            <w:shd w:val="clear" w:color="auto" w:fill="E1F4FD"/>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right"/>
              <w:ind w:right="221"/>
              <w:spacing w:after="0"/>
              <w:rPr>
                <w:sz w:val="20"/>
                <w:szCs w:val="20"/>
                <w:color w:val="auto"/>
              </w:rPr>
            </w:pPr>
            <w:r>
              <w:rPr>
                <w:rFonts w:ascii="Arial" w:cs="Arial" w:eastAsia="Arial" w:hAnsi="Arial"/>
                <w:sz w:val="14"/>
                <w:szCs w:val="14"/>
                <w:color w:val="282A32"/>
              </w:rPr>
              <w:t>Variance in</w:t>
            </w:r>
          </w:p>
        </w:tc>
        <w:tc>
          <w:tcPr>
            <w:tcW w:w="1040" w:type="dxa"/>
            <w:vAlign w:val="bottom"/>
          </w:tcPr>
          <w:p>
            <w:pPr>
              <w:jc w:val="right"/>
              <w:ind w:right="83"/>
              <w:spacing w:after="0"/>
              <w:rPr>
                <w:sz w:val="20"/>
                <w:szCs w:val="20"/>
                <w:color w:val="auto"/>
              </w:rPr>
            </w:pPr>
            <w:r>
              <w:rPr>
                <w:rFonts w:ascii="Arial" w:cs="Arial" w:eastAsia="Arial" w:hAnsi="Arial"/>
                <w:sz w:val="14"/>
                <w:szCs w:val="14"/>
                <w:color w:val="282A32"/>
              </w:rPr>
              <w:t>Organic</w:t>
            </w:r>
          </w:p>
        </w:tc>
        <w:tc>
          <w:tcPr>
            <w:tcW w:w="0" w:type="dxa"/>
            <w:vAlign w:val="bottom"/>
          </w:tcPr>
          <w:p>
            <w:pPr>
              <w:spacing w:after="0"/>
              <w:rPr>
                <w:sz w:val="1"/>
                <w:szCs w:val="1"/>
                <w:color w:val="auto"/>
              </w:rPr>
            </w:pPr>
          </w:p>
        </w:tc>
      </w:tr>
      <w:tr>
        <w:trPr>
          <w:trHeight w:val="162"/>
        </w:trPr>
        <w:tc>
          <w:tcPr>
            <w:tcW w:w="4800" w:type="dxa"/>
            <w:vAlign w:val="bottom"/>
            <w:vMerge w:val="restart"/>
          </w:tcPr>
          <w:p>
            <w:pPr>
              <w:ind w:left="20"/>
              <w:spacing w:after="0"/>
              <w:rPr>
                <w:sz w:val="20"/>
                <w:szCs w:val="20"/>
                <w:color w:val="auto"/>
              </w:rPr>
            </w:pPr>
            <w:r>
              <w:rPr>
                <w:rFonts w:ascii="Arial" w:cs="Arial" w:eastAsia="Arial" w:hAnsi="Arial"/>
                <w:sz w:val="14"/>
                <w:szCs w:val="14"/>
                <w:i w:val="1"/>
                <w:iCs w:val="1"/>
                <w:color w:val="282A32"/>
              </w:rPr>
              <w:t>(in millions, except per share data)</w:t>
            </w:r>
          </w:p>
        </w:tc>
        <w:tc>
          <w:tcPr>
            <w:tcW w:w="120" w:type="dxa"/>
            <w:vAlign w:val="bottom"/>
            <w:shd w:val="clear" w:color="auto" w:fill="E1F4FD"/>
          </w:tcPr>
          <w:p>
            <w:pPr>
              <w:spacing w:after="0"/>
              <w:rPr>
                <w:sz w:val="14"/>
                <w:szCs w:val="14"/>
                <w:color w:val="auto"/>
              </w:rPr>
            </w:pPr>
          </w:p>
        </w:tc>
        <w:tc>
          <w:tcPr>
            <w:tcW w:w="1220" w:type="dxa"/>
            <w:vAlign w:val="bottom"/>
            <w:shd w:val="clear" w:color="auto" w:fill="E1F4FD"/>
          </w:tcPr>
          <w:p>
            <w:pPr>
              <w:spacing w:after="0"/>
              <w:rPr>
                <w:sz w:val="14"/>
                <w:szCs w:val="14"/>
                <w:color w:val="auto"/>
              </w:rPr>
            </w:pPr>
          </w:p>
        </w:tc>
        <w:tc>
          <w:tcPr>
            <w:tcW w:w="160" w:type="dxa"/>
            <w:vAlign w:val="bottom"/>
            <w:shd w:val="clear" w:color="auto" w:fill="E1F4FD"/>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jc w:val="right"/>
              <w:ind w:right="280"/>
              <w:spacing w:after="0"/>
              <w:rPr>
                <w:sz w:val="20"/>
                <w:szCs w:val="20"/>
                <w:color w:val="auto"/>
              </w:rPr>
            </w:pPr>
            <w:r>
              <w:rPr>
                <w:rFonts w:ascii="Arial" w:cs="Arial" w:eastAsia="Arial" w:hAnsi="Arial"/>
                <w:sz w:val="14"/>
                <w:szCs w:val="14"/>
                <w:color w:val="282A32"/>
              </w:rPr>
              <w:t>Reported</w:t>
            </w:r>
          </w:p>
        </w:tc>
        <w:tc>
          <w:tcPr>
            <w:tcW w:w="1180" w:type="dxa"/>
            <w:vAlign w:val="bottom"/>
          </w:tcPr>
          <w:p>
            <w:pPr>
              <w:jc w:val="right"/>
              <w:ind w:right="221"/>
              <w:spacing w:after="0"/>
              <w:rPr>
                <w:sz w:val="20"/>
                <w:szCs w:val="20"/>
                <w:color w:val="auto"/>
              </w:rPr>
            </w:pPr>
            <w:r>
              <w:rPr>
                <w:rFonts w:ascii="Arial" w:cs="Arial" w:eastAsia="Arial" w:hAnsi="Arial"/>
                <w:sz w:val="14"/>
                <w:szCs w:val="14"/>
                <w:color w:val="282A32"/>
              </w:rPr>
              <w:t>Constant</w:t>
            </w:r>
          </w:p>
        </w:tc>
        <w:tc>
          <w:tcPr>
            <w:tcW w:w="1040" w:type="dxa"/>
            <w:vAlign w:val="bottom"/>
          </w:tcPr>
          <w:p>
            <w:pPr>
              <w:jc w:val="right"/>
              <w:ind w:right="83"/>
              <w:spacing w:after="0"/>
              <w:rPr>
                <w:sz w:val="20"/>
                <w:szCs w:val="20"/>
                <w:color w:val="auto"/>
              </w:rPr>
            </w:pPr>
            <w:r>
              <w:rPr>
                <w:rFonts w:ascii="Arial" w:cs="Arial" w:eastAsia="Arial" w:hAnsi="Arial"/>
                <w:sz w:val="14"/>
                <w:szCs w:val="14"/>
                <w:color w:val="282A32"/>
              </w:rPr>
              <w:t>Constant</w:t>
            </w:r>
          </w:p>
        </w:tc>
        <w:tc>
          <w:tcPr>
            <w:tcW w:w="0" w:type="dxa"/>
            <w:vAlign w:val="bottom"/>
          </w:tcPr>
          <w:p>
            <w:pPr>
              <w:spacing w:after="0"/>
              <w:rPr>
                <w:sz w:val="1"/>
                <w:szCs w:val="1"/>
                <w:color w:val="auto"/>
              </w:rPr>
            </w:pPr>
          </w:p>
        </w:tc>
      </w:tr>
      <w:tr>
        <w:trPr>
          <w:trHeight w:val="178"/>
        </w:trPr>
        <w:tc>
          <w:tcPr>
            <w:tcW w:w="4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shd w:val="clear" w:color="auto" w:fill="E1F4FD"/>
          </w:tcPr>
          <w:p>
            <w:pPr>
              <w:spacing w:after="0"/>
              <w:rPr>
                <w:sz w:val="15"/>
                <w:szCs w:val="15"/>
                <w:color w:val="auto"/>
              </w:rPr>
            </w:pPr>
          </w:p>
        </w:tc>
        <w:tc>
          <w:tcPr>
            <w:tcW w:w="12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4"/>
                <w:szCs w:val="14"/>
                <w:color w:val="282A32"/>
              </w:rPr>
              <w:t>2015</w:t>
            </w:r>
          </w:p>
        </w:tc>
        <w:tc>
          <w:tcPr>
            <w:tcW w:w="160" w:type="dxa"/>
            <w:vAlign w:val="bottom"/>
            <w:tcBorders>
              <w:bottom w:val="single" w:sz="8" w:color="auto"/>
            </w:tcBorders>
            <w:shd w:val="clear" w:color="auto" w:fill="E1F4FD"/>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282A32"/>
              </w:rPr>
              <w:t>2014</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282A32"/>
              </w:rPr>
              <w:t>Variance</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282A32"/>
              </w:rPr>
              <w:t>Currency</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282A32"/>
              </w:rPr>
              <w:t>Currency</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6"/>
                <w:szCs w:val="16"/>
                <w:color w:val="282A32"/>
              </w:rPr>
              <w:t>Revenues from services</w:t>
            </w:r>
          </w:p>
        </w:tc>
        <w:tc>
          <w:tcPr>
            <w:tcW w:w="120" w:type="dxa"/>
            <w:vAlign w:val="bottom"/>
            <w:shd w:val="clear" w:color="auto" w:fill="E1F4FD"/>
          </w:tcPr>
          <w:p>
            <w:pPr>
              <w:jc w:val="right"/>
              <w:spacing w:after="0"/>
              <w:rPr>
                <w:sz w:val="20"/>
                <w:szCs w:val="20"/>
                <w:color w:val="auto"/>
              </w:rPr>
            </w:pPr>
            <w:r>
              <w:rPr>
                <w:rFonts w:ascii="Arial" w:cs="Arial" w:eastAsia="Arial" w:hAnsi="Arial"/>
                <w:sz w:val="16"/>
                <w:szCs w:val="16"/>
                <w:color w:val="282A32"/>
              </w:rPr>
              <w:t>$</w:t>
            </w:r>
          </w:p>
        </w:tc>
        <w:tc>
          <w:tcPr>
            <w:tcW w:w="1220" w:type="dxa"/>
            <w:vAlign w:val="bottom"/>
            <w:shd w:val="clear" w:color="auto" w:fill="E1F4FD"/>
          </w:tcPr>
          <w:p>
            <w:pPr>
              <w:jc w:val="right"/>
              <w:spacing w:after="0"/>
              <w:rPr>
                <w:sz w:val="20"/>
                <w:szCs w:val="20"/>
                <w:color w:val="auto"/>
              </w:rPr>
            </w:pPr>
            <w:r>
              <w:rPr>
                <w:rFonts w:ascii="Arial" w:cs="Arial" w:eastAsia="Arial" w:hAnsi="Arial"/>
                <w:sz w:val="16"/>
                <w:szCs w:val="16"/>
                <w:color w:val="282A32"/>
              </w:rPr>
              <w:t>19,329.9</w:t>
            </w:r>
          </w:p>
        </w:tc>
        <w:tc>
          <w:tcPr>
            <w:tcW w:w="160" w:type="dxa"/>
            <w:vAlign w:val="bottom"/>
            <w:shd w:val="clear" w:color="auto" w:fill="E1F4FD"/>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282A32"/>
              </w:rPr>
              <w:t>$</w:t>
            </w:r>
          </w:p>
        </w:tc>
        <w:tc>
          <w:tcPr>
            <w:tcW w:w="1280" w:type="dxa"/>
            <w:vAlign w:val="bottom"/>
          </w:tcPr>
          <w:p>
            <w:pPr>
              <w:jc w:val="right"/>
              <w:ind w:right="282"/>
              <w:spacing w:after="0"/>
              <w:rPr>
                <w:sz w:val="20"/>
                <w:szCs w:val="20"/>
                <w:color w:val="auto"/>
              </w:rPr>
            </w:pPr>
            <w:r>
              <w:rPr>
                <w:rFonts w:ascii="Arial" w:cs="Arial" w:eastAsia="Arial" w:hAnsi="Arial"/>
                <w:sz w:val="16"/>
                <w:szCs w:val="16"/>
                <w:color w:val="282A32"/>
              </w:rPr>
              <w:t>20,762.8</w:t>
            </w:r>
          </w:p>
        </w:tc>
        <w:tc>
          <w:tcPr>
            <w:tcW w:w="1160" w:type="dxa"/>
            <w:vAlign w:val="bottom"/>
          </w:tcPr>
          <w:p>
            <w:pPr>
              <w:jc w:val="right"/>
              <w:ind w:right="80"/>
              <w:spacing w:after="0"/>
              <w:rPr>
                <w:sz w:val="20"/>
                <w:szCs w:val="20"/>
                <w:color w:val="auto"/>
              </w:rPr>
            </w:pPr>
            <w:r>
              <w:rPr>
                <w:rFonts w:ascii="Arial" w:cs="Arial" w:eastAsia="Arial" w:hAnsi="Arial"/>
                <w:sz w:val="16"/>
                <w:szCs w:val="16"/>
                <w:color w:val="282A32"/>
              </w:rPr>
              <w:t>(6.9)%</w:t>
            </w:r>
          </w:p>
        </w:tc>
        <w:tc>
          <w:tcPr>
            <w:tcW w:w="1180" w:type="dxa"/>
            <w:vAlign w:val="bottom"/>
          </w:tcPr>
          <w:p>
            <w:pPr>
              <w:jc w:val="right"/>
              <w:ind w:right="81"/>
              <w:spacing w:after="0"/>
              <w:rPr>
                <w:sz w:val="20"/>
                <w:szCs w:val="20"/>
                <w:color w:val="auto"/>
              </w:rPr>
            </w:pPr>
            <w:r>
              <w:rPr>
                <w:rFonts w:ascii="Arial" w:cs="Arial" w:eastAsia="Arial" w:hAnsi="Arial"/>
                <w:sz w:val="16"/>
                <w:szCs w:val="16"/>
                <w:color w:val="282A32"/>
              </w:rPr>
              <w:t>6.6%</w:t>
            </w:r>
          </w:p>
        </w:tc>
        <w:tc>
          <w:tcPr>
            <w:tcW w:w="1040" w:type="dxa"/>
            <w:vAlign w:val="bottom"/>
          </w:tcPr>
          <w:p>
            <w:pPr>
              <w:ind w:left="640"/>
              <w:spacing w:after="0"/>
              <w:rPr>
                <w:sz w:val="20"/>
                <w:szCs w:val="20"/>
                <w:color w:val="auto"/>
              </w:rPr>
            </w:pPr>
            <w:r>
              <w:rPr>
                <w:rFonts w:ascii="Arial" w:cs="Arial" w:eastAsia="Arial" w:hAnsi="Arial"/>
                <w:sz w:val="16"/>
                <w:szCs w:val="16"/>
                <w:color w:val="282A32"/>
              </w:rPr>
              <w:t>4.7%</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82A32"/>
              </w:rPr>
              <w:t>Cost of services</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16,034.1</w:t>
            </w: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282A32"/>
              </w:rPr>
              <w:t>17,274.6</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(7.2)</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282A32"/>
              </w:rPr>
              <w:t>6.5</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6"/>
                <w:szCs w:val="16"/>
                <w:color w:val="282A32"/>
              </w:rPr>
              <w:t>Gross profit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282A32"/>
              </w:rPr>
              <w:t>3,295.8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282A32"/>
              </w:rPr>
              <w:t>3,488.2</w:t>
            </w:r>
          </w:p>
        </w:tc>
        <w:tc>
          <w:tcPr>
            <w:tcW w:w="1160" w:type="dxa"/>
            <w:vAlign w:val="bottom"/>
          </w:tcPr>
          <w:p>
            <w:pPr>
              <w:jc w:val="right"/>
              <w:ind w:right="220"/>
              <w:spacing w:after="0"/>
              <w:rPr>
                <w:sz w:val="20"/>
                <w:szCs w:val="20"/>
                <w:color w:val="auto"/>
              </w:rPr>
            </w:pPr>
            <w:r>
              <w:rPr>
                <w:rFonts w:ascii="Arial" w:cs="Arial" w:eastAsia="Arial" w:hAnsi="Arial"/>
                <w:sz w:val="16"/>
                <w:szCs w:val="16"/>
                <w:color w:val="282A32"/>
              </w:rPr>
              <w:t>(5.5)</w:t>
            </w:r>
          </w:p>
        </w:tc>
        <w:tc>
          <w:tcPr>
            <w:tcW w:w="1180" w:type="dxa"/>
            <w:vAlign w:val="bottom"/>
          </w:tcPr>
          <w:p>
            <w:pPr>
              <w:jc w:val="right"/>
              <w:ind w:right="221"/>
              <w:spacing w:after="0"/>
              <w:rPr>
                <w:sz w:val="20"/>
                <w:szCs w:val="20"/>
                <w:color w:val="auto"/>
              </w:rPr>
            </w:pPr>
            <w:r>
              <w:rPr>
                <w:rFonts w:ascii="Arial" w:cs="Arial" w:eastAsia="Arial" w:hAnsi="Arial"/>
                <w:sz w:val="16"/>
                <w:szCs w:val="16"/>
                <w:color w:val="282A32"/>
              </w:rPr>
              <w:t>7.1</w:t>
            </w:r>
          </w:p>
        </w:tc>
        <w:tc>
          <w:tcPr>
            <w:tcW w:w="1040" w:type="dxa"/>
            <w:vAlign w:val="bottom"/>
          </w:tcPr>
          <w:p>
            <w:pPr>
              <w:ind w:left="640"/>
              <w:spacing w:after="0"/>
              <w:rPr>
                <w:sz w:val="20"/>
                <w:szCs w:val="20"/>
                <w:color w:val="auto"/>
              </w:rPr>
            </w:pPr>
            <w:r>
              <w:rPr>
                <w:rFonts w:ascii="Arial" w:cs="Arial" w:eastAsia="Arial" w:hAnsi="Arial"/>
                <w:sz w:val="16"/>
                <w:szCs w:val="16"/>
                <w:color w:val="282A32"/>
              </w:rPr>
              <w:t>4.7</w:t>
            </w:r>
          </w:p>
        </w:tc>
        <w:tc>
          <w:tcPr>
            <w:tcW w:w="0" w:type="dxa"/>
            <w:vAlign w:val="bottom"/>
          </w:tcPr>
          <w:p>
            <w:pPr>
              <w:spacing w:after="0"/>
              <w:rPr>
                <w:sz w:val="1"/>
                <w:szCs w:val="1"/>
                <w:color w:val="auto"/>
              </w:rPr>
            </w:pPr>
          </w:p>
        </w:tc>
      </w:tr>
      <w:tr>
        <w:trPr>
          <w:trHeight w:val="278"/>
        </w:trPr>
        <w:tc>
          <w:tcPr>
            <w:tcW w:w="4800" w:type="dxa"/>
            <w:vAlign w:val="bottom"/>
          </w:tcPr>
          <w:p>
            <w:pPr>
              <w:ind w:left="20"/>
              <w:spacing w:after="0"/>
              <w:rPr>
                <w:sz w:val="20"/>
                <w:szCs w:val="20"/>
                <w:color w:val="auto"/>
              </w:rPr>
            </w:pPr>
            <w:r>
              <w:rPr>
                <w:rFonts w:ascii="Arial" w:cs="Arial" w:eastAsia="Arial" w:hAnsi="Arial"/>
                <w:sz w:val="14"/>
                <w:szCs w:val="14"/>
                <w:i w:val="1"/>
                <w:iCs w:val="1"/>
                <w:color w:val="282A32"/>
              </w:rPr>
              <w:t>Gross profit margin</w:t>
            </w:r>
          </w:p>
        </w:tc>
        <w:tc>
          <w:tcPr>
            <w:tcW w:w="1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282A32"/>
              </w:rPr>
              <w:t>17.1%</w:t>
            </w:r>
          </w:p>
        </w:tc>
        <w:tc>
          <w:tcPr>
            <w:tcW w:w="420" w:type="dxa"/>
            <w:vAlign w:val="bottom"/>
          </w:tcPr>
          <w:p>
            <w:pPr>
              <w:spacing w:after="0"/>
              <w:rPr>
                <w:sz w:val="24"/>
                <w:szCs w:val="24"/>
                <w:color w:val="auto"/>
              </w:rPr>
            </w:pPr>
          </w:p>
        </w:tc>
        <w:tc>
          <w:tcPr>
            <w:tcW w:w="1280" w:type="dxa"/>
            <w:vAlign w:val="bottom"/>
          </w:tcPr>
          <w:p>
            <w:pPr>
              <w:jc w:val="right"/>
              <w:ind w:right="142"/>
              <w:spacing w:after="0"/>
              <w:rPr>
                <w:sz w:val="20"/>
                <w:szCs w:val="20"/>
                <w:color w:val="auto"/>
              </w:rPr>
            </w:pPr>
            <w:r>
              <w:rPr>
                <w:rFonts w:ascii="Arial" w:cs="Arial" w:eastAsia="Arial" w:hAnsi="Arial"/>
                <w:sz w:val="14"/>
                <w:szCs w:val="14"/>
                <w:i w:val="1"/>
                <w:iCs w:val="1"/>
                <w:color w:val="282A32"/>
              </w:rPr>
              <w:t>16.8%</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Arial" w:cs="Arial" w:eastAsia="Arial" w:hAnsi="Arial"/>
                <w:sz w:val="16"/>
                <w:szCs w:val="16"/>
                <w:color w:val="282A32"/>
              </w:rPr>
              <w:t>Selling and administrative expenses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282A32"/>
              </w:rPr>
              <w:t>2,606.9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282A32"/>
              </w:rPr>
              <w:t>2,768.3</w:t>
            </w:r>
          </w:p>
        </w:tc>
        <w:tc>
          <w:tcPr>
            <w:tcW w:w="1160" w:type="dxa"/>
            <w:vAlign w:val="bottom"/>
          </w:tcPr>
          <w:p>
            <w:pPr>
              <w:jc w:val="right"/>
              <w:ind w:right="220"/>
              <w:spacing w:after="0"/>
              <w:rPr>
                <w:sz w:val="20"/>
                <w:szCs w:val="20"/>
                <w:color w:val="auto"/>
              </w:rPr>
            </w:pPr>
            <w:r>
              <w:rPr>
                <w:rFonts w:ascii="Arial" w:cs="Arial" w:eastAsia="Arial" w:hAnsi="Arial"/>
                <w:sz w:val="16"/>
                <w:szCs w:val="16"/>
                <w:color w:val="282A32"/>
              </w:rPr>
              <w:t>(5.8)</w:t>
            </w:r>
          </w:p>
        </w:tc>
        <w:tc>
          <w:tcPr>
            <w:tcW w:w="1180" w:type="dxa"/>
            <w:vAlign w:val="bottom"/>
          </w:tcPr>
          <w:p>
            <w:pPr>
              <w:jc w:val="right"/>
              <w:ind w:right="221"/>
              <w:spacing w:after="0"/>
              <w:rPr>
                <w:sz w:val="20"/>
                <w:szCs w:val="20"/>
                <w:color w:val="auto"/>
              </w:rPr>
            </w:pPr>
            <w:r>
              <w:rPr>
                <w:rFonts w:ascii="Arial" w:cs="Arial" w:eastAsia="Arial" w:hAnsi="Arial"/>
                <w:sz w:val="16"/>
                <w:szCs w:val="16"/>
                <w:color w:val="282A32"/>
              </w:rPr>
              <w:t>6.0</w:t>
            </w:r>
          </w:p>
        </w:tc>
        <w:tc>
          <w:tcPr>
            <w:tcW w:w="1040" w:type="dxa"/>
            <w:vAlign w:val="bottom"/>
          </w:tcPr>
          <w:p>
            <w:pPr>
              <w:ind w:left="640"/>
              <w:spacing w:after="0"/>
              <w:rPr>
                <w:sz w:val="20"/>
                <w:szCs w:val="20"/>
                <w:color w:val="auto"/>
              </w:rPr>
            </w:pPr>
            <w:r>
              <w:rPr>
                <w:rFonts w:ascii="Arial" w:cs="Arial" w:eastAsia="Arial" w:hAnsi="Arial"/>
                <w:sz w:val="16"/>
                <w:szCs w:val="16"/>
                <w:color w:val="282A32"/>
              </w:rPr>
              <w:t>3.7</w:t>
            </w:r>
          </w:p>
        </w:tc>
        <w:tc>
          <w:tcPr>
            <w:tcW w:w="0" w:type="dxa"/>
            <w:vAlign w:val="bottom"/>
          </w:tcPr>
          <w:p>
            <w:pPr>
              <w:spacing w:after="0"/>
              <w:rPr>
                <w:sz w:val="1"/>
                <w:szCs w:val="1"/>
                <w:color w:val="auto"/>
              </w:rPr>
            </w:pPr>
          </w:p>
        </w:tc>
      </w:tr>
      <w:tr>
        <w:trPr>
          <w:trHeight w:val="284"/>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282A32"/>
              </w:rPr>
              <w:t>Selling and administrative expenses as a % of revenues</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282A32"/>
              </w:rPr>
              <w:t>13.5%</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i w:val="1"/>
                <w:iCs w:val="1"/>
                <w:color w:val="282A32"/>
              </w:rPr>
              <w:t>13.3%</w:t>
            </w:r>
          </w:p>
        </w:tc>
        <w:tc>
          <w:tcPr>
            <w:tcW w:w="1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6"/>
                <w:szCs w:val="16"/>
                <w:color w:val="282A32"/>
              </w:rPr>
              <w:t>Operating profit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282A32"/>
              </w:rPr>
              <w:t>688.9</w:t>
            </w:r>
          </w:p>
        </w:tc>
        <w:tc>
          <w:tcPr>
            <w:tcW w:w="420" w:type="dxa"/>
            <w:vAlign w:val="bottom"/>
          </w:tcPr>
          <w:p>
            <w:pPr>
              <w:spacing w:after="0"/>
              <w:rPr>
                <w:sz w:val="19"/>
                <w:szCs w:val="19"/>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282A32"/>
              </w:rPr>
              <w:t>719.9</w:t>
            </w:r>
          </w:p>
        </w:tc>
        <w:tc>
          <w:tcPr>
            <w:tcW w:w="1160" w:type="dxa"/>
            <w:vAlign w:val="bottom"/>
          </w:tcPr>
          <w:p>
            <w:pPr>
              <w:jc w:val="right"/>
              <w:ind w:right="220"/>
              <w:spacing w:after="0"/>
              <w:rPr>
                <w:sz w:val="20"/>
                <w:szCs w:val="20"/>
                <w:color w:val="auto"/>
              </w:rPr>
            </w:pPr>
            <w:r>
              <w:rPr>
                <w:rFonts w:ascii="Arial" w:cs="Arial" w:eastAsia="Arial" w:hAnsi="Arial"/>
                <w:sz w:val="16"/>
                <w:szCs w:val="16"/>
                <w:color w:val="282A32"/>
              </w:rPr>
              <w:t>(4.3)</w:t>
            </w:r>
          </w:p>
        </w:tc>
        <w:tc>
          <w:tcPr>
            <w:tcW w:w="1180" w:type="dxa"/>
            <w:vAlign w:val="bottom"/>
          </w:tcPr>
          <w:p>
            <w:pPr>
              <w:jc w:val="right"/>
              <w:ind w:right="221"/>
              <w:spacing w:after="0"/>
              <w:rPr>
                <w:sz w:val="20"/>
                <w:szCs w:val="20"/>
                <w:color w:val="auto"/>
              </w:rPr>
            </w:pPr>
            <w:r>
              <w:rPr>
                <w:rFonts w:ascii="Arial" w:cs="Arial" w:eastAsia="Arial" w:hAnsi="Arial"/>
                <w:sz w:val="16"/>
                <w:szCs w:val="16"/>
                <w:color w:val="282A32"/>
              </w:rPr>
              <w:t>11.2</w:t>
            </w:r>
          </w:p>
        </w:tc>
        <w:tc>
          <w:tcPr>
            <w:tcW w:w="1040" w:type="dxa"/>
            <w:vAlign w:val="bottom"/>
          </w:tcPr>
          <w:p>
            <w:pPr>
              <w:ind w:left="640"/>
              <w:spacing w:after="0"/>
              <w:rPr>
                <w:sz w:val="20"/>
                <w:szCs w:val="20"/>
                <w:color w:val="auto"/>
              </w:rPr>
            </w:pPr>
            <w:r>
              <w:rPr>
                <w:rFonts w:ascii="Arial" w:cs="Arial" w:eastAsia="Arial" w:hAnsi="Arial"/>
                <w:sz w:val="16"/>
                <w:szCs w:val="16"/>
                <w:color w:val="282A32"/>
              </w:rPr>
              <w:t>8.6</w:t>
            </w:r>
          </w:p>
        </w:tc>
        <w:tc>
          <w:tcPr>
            <w:tcW w:w="0" w:type="dxa"/>
            <w:vAlign w:val="bottom"/>
          </w:tcPr>
          <w:p>
            <w:pPr>
              <w:spacing w:after="0"/>
              <w:rPr>
                <w:sz w:val="1"/>
                <w:szCs w:val="1"/>
                <w:color w:val="auto"/>
              </w:rPr>
            </w:pPr>
          </w:p>
        </w:tc>
      </w:tr>
      <w:tr>
        <w:trPr>
          <w:trHeight w:val="278"/>
        </w:trPr>
        <w:tc>
          <w:tcPr>
            <w:tcW w:w="4800" w:type="dxa"/>
            <w:vAlign w:val="bottom"/>
          </w:tcPr>
          <w:p>
            <w:pPr>
              <w:ind w:left="20"/>
              <w:spacing w:after="0"/>
              <w:rPr>
                <w:sz w:val="20"/>
                <w:szCs w:val="20"/>
                <w:color w:val="auto"/>
              </w:rPr>
            </w:pPr>
            <w:r>
              <w:rPr>
                <w:rFonts w:ascii="Arial" w:cs="Arial" w:eastAsia="Arial" w:hAnsi="Arial"/>
                <w:sz w:val="14"/>
                <w:szCs w:val="14"/>
                <w:i w:val="1"/>
                <w:iCs w:val="1"/>
                <w:color w:val="282A32"/>
              </w:rPr>
              <w:t>Operating profit margin</w:t>
            </w:r>
          </w:p>
        </w:tc>
        <w:tc>
          <w:tcPr>
            <w:tcW w:w="1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282A32"/>
              </w:rPr>
              <w:t>3.6%</w:t>
            </w:r>
          </w:p>
        </w:tc>
        <w:tc>
          <w:tcPr>
            <w:tcW w:w="420" w:type="dxa"/>
            <w:vAlign w:val="bottom"/>
          </w:tcPr>
          <w:p>
            <w:pPr>
              <w:spacing w:after="0"/>
              <w:rPr>
                <w:sz w:val="24"/>
                <w:szCs w:val="24"/>
                <w:color w:val="auto"/>
              </w:rPr>
            </w:pPr>
          </w:p>
        </w:tc>
        <w:tc>
          <w:tcPr>
            <w:tcW w:w="1280" w:type="dxa"/>
            <w:vAlign w:val="bottom"/>
          </w:tcPr>
          <w:p>
            <w:pPr>
              <w:jc w:val="right"/>
              <w:ind w:right="142"/>
              <w:spacing w:after="0"/>
              <w:rPr>
                <w:sz w:val="20"/>
                <w:szCs w:val="20"/>
                <w:color w:val="auto"/>
              </w:rPr>
            </w:pPr>
            <w:r>
              <w:rPr>
                <w:rFonts w:ascii="Arial" w:cs="Arial" w:eastAsia="Arial" w:hAnsi="Arial"/>
                <w:sz w:val="14"/>
                <w:szCs w:val="14"/>
                <w:i w:val="1"/>
                <w:iCs w:val="1"/>
                <w:color w:val="282A32"/>
              </w:rPr>
              <w:t>3.5%</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0" w:type="dxa"/>
            <w:vAlign w:val="bottom"/>
          </w:tcPr>
          <w:p>
            <w:pPr>
              <w:ind w:left="300"/>
              <w:spacing w:after="0"/>
              <w:rPr>
                <w:sz w:val="20"/>
                <w:szCs w:val="20"/>
                <w:color w:val="auto"/>
              </w:rPr>
            </w:pPr>
            <w:r>
              <w:rPr>
                <w:rFonts w:ascii="Arial" w:cs="Arial" w:eastAsia="Arial" w:hAnsi="Arial"/>
                <w:sz w:val="16"/>
                <w:szCs w:val="16"/>
                <w:color w:val="282A32"/>
              </w:rPr>
              <w:t>Net interest expense</w:t>
            </w:r>
          </w:p>
        </w:tc>
        <w:tc>
          <w:tcPr>
            <w:tcW w:w="1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282A32"/>
              </w:rPr>
              <w:t>33.5</w:t>
            </w:r>
          </w:p>
        </w:tc>
        <w:tc>
          <w:tcPr>
            <w:tcW w:w="420" w:type="dxa"/>
            <w:vAlign w:val="bottom"/>
          </w:tcPr>
          <w:p>
            <w:pPr>
              <w:spacing w:after="0"/>
              <w:rPr>
                <w:sz w:val="24"/>
                <w:szCs w:val="24"/>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282A32"/>
              </w:rPr>
              <w:t>31.5</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Other (income) expense</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282A32"/>
              </w:rPr>
              <w:t>(5.3)</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282A32"/>
              </w:rPr>
              <w:t>6.8</w:t>
            </w:r>
          </w:p>
        </w:tc>
        <w:tc>
          <w:tcPr>
            <w:tcW w:w="1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20"/>
              <w:spacing w:after="0"/>
              <w:rPr>
                <w:sz w:val="20"/>
                <w:szCs w:val="20"/>
                <w:color w:val="auto"/>
              </w:rPr>
            </w:pPr>
            <w:r>
              <w:rPr>
                <w:rFonts w:ascii="Arial" w:cs="Arial" w:eastAsia="Arial" w:hAnsi="Arial"/>
                <w:sz w:val="16"/>
                <w:szCs w:val="16"/>
                <w:color w:val="282A32"/>
              </w:rPr>
              <w:t>Earnings before income taxes</w:t>
            </w:r>
          </w:p>
        </w:tc>
        <w:tc>
          <w:tcPr>
            <w:tcW w:w="12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282A32"/>
              </w:rPr>
              <w:t>660.7</w:t>
            </w:r>
          </w:p>
        </w:tc>
        <w:tc>
          <w:tcPr>
            <w:tcW w:w="420" w:type="dxa"/>
            <w:vAlign w:val="bottom"/>
          </w:tcPr>
          <w:p>
            <w:pPr>
              <w:spacing w:after="0"/>
              <w:rPr>
                <w:sz w:val="22"/>
                <w:szCs w:val="22"/>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282A32"/>
              </w:rPr>
              <w:t>681.6</w:t>
            </w:r>
          </w:p>
        </w:tc>
        <w:tc>
          <w:tcPr>
            <w:tcW w:w="1160" w:type="dxa"/>
            <w:vAlign w:val="bottom"/>
          </w:tcPr>
          <w:p>
            <w:pPr>
              <w:jc w:val="right"/>
              <w:ind w:right="220"/>
              <w:spacing w:after="0"/>
              <w:rPr>
                <w:sz w:val="20"/>
                <w:szCs w:val="20"/>
                <w:color w:val="auto"/>
              </w:rPr>
            </w:pPr>
            <w:r>
              <w:rPr>
                <w:rFonts w:ascii="Arial" w:cs="Arial" w:eastAsia="Arial" w:hAnsi="Arial"/>
                <w:sz w:val="16"/>
                <w:szCs w:val="16"/>
                <w:color w:val="282A32"/>
              </w:rPr>
              <w:t>(3.1)</w:t>
            </w:r>
          </w:p>
        </w:tc>
        <w:tc>
          <w:tcPr>
            <w:tcW w:w="1180" w:type="dxa"/>
            <w:vAlign w:val="bottom"/>
          </w:tcPr>
          <w:p>
            <w:pPr>
              <w:jc w:val="right"/>
              <w:ind w:right="221"/>
              <w:spacing w:after="0"/>
              <w:rPr>
                <w:sz w:val="20"/>
                <w:szCs w:val="20"/>
                <w:color w:val="auto"/>
              </w:rPr>
            </w:pPr>
            <w:r>
              <w:rPr>
                <w:rFonts w:ascii="Arial" w:cs="Arial" w:eastAsia="Arial" w:hAnsi="Arial"/>
                <w:sz w:val="16"/>
                <w:szCs w:val="16"/>
                <w:color w:val="282A32"/>
              </w:rPr>
              <w:t>12.2</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800" w:type="dxa"/>
            <w:vAlign w:val="bottom"/>
          </w:tcPr>
          <w:p>
            <w:pPr>
              <w:ind w:left="300"/>
              <w:spacing w:after="0"/>
              <w:rPr>
                <w:sz w:val="20"/>
                <w:szCs w:val="20"/>
                <w:color w:val="auto"/>
              </w:rPr>
            </w:pPr>
            <w:r>
              <w:rPr>
                <w:rFonts w:ascii="Arial" w:cs="Arial" w:eastAsia="Arial" w:hAnsi="Arial"/>
                <w:sz w:val="16"/>
                <w:szCs w:val="16"/>
                <w:color w:val="282A32"/>
              </w:rPr>
              <w:t>Provision for income taxes</w:t>
            </w:r>
          </w:p>
        </w:tc>
        <w:tc>
          <w:tcPr>
            <w:tcW w:w="1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282A32"/>
              </w:rPr>
              <w:t>241.5</w:t>
            </w:r>
          </w:p>
        </w:tc>
        <w:tc>
          <w:tcPr>
            <w:tcW w:w="420" w:type="dxa"/>
            <w:vAlign w:val="bottom"/>
          </w:tcPr>
          <w:p>
            <w:pPr>
              <w:spacing w:after="0"/>
              <w:rPr>
                <w:sz w:val="24"/>
                <w:szCs w:val="24"/>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282A32"/>
              </w:rPr>
              <w:t>254.0</w:t>
            </w:r>
          </w:p>
        </w:tc>
        <w:tc>
          <w:tcPr>
            <w:tcW w:w="1160" w:type="dxa"/>
            <w:vAlign w:val="bottom"/>
          </w:tcPr>
          <w:p>
            <w:pPr>
              <w:jc w:val="right"/>
              <w:ind w:right="220"/>
              <w:spacing w:after="0"/>
              <w:rPr>
                <w:sz w:val="20"/>
                <w:szCs w:val="20"/>
                <w:color w:val="auto"/>
              </w:rPr>
            </w:pPr>
            <w:r>
              <w:rPr>
                <w:rFonts w:ascii="Arial" w:cs="Arial" w:eastAsia="Arial" w:hAnsi="Arial"/>
                <w:sz w:val="16"/>
                <w:szCs w:val="16"/>
                <w:color w:val="282A32"/>
              </w:rPr>
              <w:t>(4.9)</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0" w:type="dxa"/>
            <w:vAlign w:val="bottom"/>
            <w:tcBorders>
              <w:bottom w:val="single" w:sz="8" w:color="auto"/>
            </w:tcBorders>
          </w:tcPr>
          <w:p>
            <w:pPr>
              <w:ind w:left="300"/>
              <w:spacing w:after="0"/>
              <w:rPr>
                <w:sz w:val="20"/>
                <w:szCs w:val="20"/>
                <w:color w:val="auto"/>
              </w:rPr>
            </w:pPr>
            <w:r>
              <w:rPr>
                <w:rFonts w:ascii="Arial" w:cs="Arial" w:eastAsia="Arial" w:hAnsi="Arial"/>
                <w:sz w:val="14"/>
                <w:szCs w:val="14"/>
                <w:i w:val="1"/>
                <w:iCs w:val="1"/>
                <w:color w:val="282A32"/>
              </w:rPr>
              <w:t>Effective income tax rate</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282A32"/>
              </w:rPr>
              <w:t>36.5%</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i w:val="1"/>
                <w:iCs w:val="1"/>
                <w:color w:val="282A32"/>
              </w:rPr>
              <w:t>37.3%</w:t>
            </w:r>
          </w:p>
        </w:tc>
        <w:tc>
          <w:tcPr>
            <w:tcW w:w="1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82A32"/>
              </w:rPr>
              <w:t>Net earnings</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82A32"/>
              </w:rPr>
              <w:t>$</w:t>
            </w: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282A32"/>
              </w:rPr>
              <w:t>419.2</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282A32"/>
              </w:rPr>
              <w:t>$</w:t>
            </w:r>
          </w:p>
        </w:tc>
        <w:tc>
          <w:tcPr>
            <w:tcW w:w="12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282A32"/>
              </w:rPr>
              <w:t>427.6</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(2.0)</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282A32"/>
              </w:rPr>
              <w:t>12.8</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82A32"/>
              </w:rPr>
              <w:t>Net earnings per share — diluted</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82A32"/>
              </w:rPr>
              <w:t>$</w:t>
            </w:r>
          </w:p>
        </w:tc>
        <w:tc>
          <w:tcPr>
            <w:tcW w:w="12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82A32"/>
              </w:rPr>
              <w:t>5.40</w:t>
            </w: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282A32"/>
              </w:rPr>
              <w:t>$</w:t>
            </w:r>
          </w:p>
        </w:tc>
        <w:tc>
          <w:tcPr>
            <w:tcW w:w="12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282A32"/>
              </w:rPr>
              <w:t>5.30</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282A32"/>
              </w:rPr>
              <w:t>1.9</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282A32"/>
              </w:rPr>
              <w:t>17.2</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82A32"/>
              </w:rPr>
              <w:t>Weighted average shares — diluted</w:t>
            </w:r>
          </w:p>
        </w:tc>
        <w:tc>
          <w:tcPr>
            <w:tcW w:w="120" w:type="dxa"/>
            <w:vAlign w:val="bottom"/>
            <w:tcBorders>
              <w:bottom w:val="single" w:sz="8" w:color="auto"/>
            </w:tcBorders>
            <w:shd w:val="clear" w:color="auto" w:fill="E1F4FD"/>
          </w:tcPr>
          <w:p>
            <w:pPr>
              <w:spacing w:after="0"/>
              <w:rPr>
                <w:sz w:val="22"/>
                <w:szCs w:val="22"/>
                <w:color w:val="auto"/>
              </w:rPr>
            </w:pPr>
          </w:p>
        </w:tc>
        <w:tc>
          <w:tcPr>
            <w:tcW w:w="12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82A32"/>
              </w:rPr>
              <w:t>77.7</w:t>
            </w: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282A32"/>
              </w:rPr>
              <w:t>80.7</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282A32"/>
              </w:rPr>
              <w:t>(3.8)%</w:t>
            </w:r>
          </w:p>
        </w:tc>
        <w:tc>
          <w:tcPr>
            <w:tcW w:w="1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1220" w:type="dxa"/>
            <w:vAlign w:val="bottom"/>
            <w:shd w:val="clear" w:color="auto" w:fill="2989B9"/>
          </w:tcPr>
          <w:p>
            <w:pPr>
              <w:spacing w:after="0"/>
              <w:rPr>
                <w:sz w:val="10"/>
                <w:szCs w:val="10"/>
                <w:color w:val="auto"/>
              </w:rPr>
            </w:pPr>
          </w:p>
        </w:tc>
        <w:tc>
          <w:tcPr>
            <w:tcW w:w="160" w:type="dxa"/>
            <w:vAlign w:val="bottom"/>
            <w:shd w:val="clear" w:color="auto" w:fill="2989B9"/>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-2812415</wp:posOffset>
            </wp:positionV>
            <wp:extent cx="960755" cy="272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755" cy="2727325"/>
                    </a:xfrm>
                    <a:prstGeom prst="rect">
                      <a:avLst/>
                    </a:prstGeom>
                    <a:noFill/>
                  </pic:spPr>
                </pic:pic>
              </a:graphicData>
            </a:graphic>
          </wp:anchor>
        </w:drawing>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The year-over-year decrease in revenues from services of -6.9% (increase of 6.6% in constant currency and 4.7% in organic constant currency) was attributed to:</w:t>
      </w:r>
    </w:p>
    <w:p>
      <w:pPr>
        <w:spacing w:after="0" w:line="376" w:lineRule="exact"/>
        <w:rPr>
          <w:sz w:val="20"/>
          <w:szCs w:val="20"/>
          <w:color w:val="auto"/>
        </w:rPr>
      </w:pPr>
    </w:p>
    <w:p>
      <w:pPr>
        <w:ind w:left="100" w:hanging="92"/>
        <w:spacing w:after="0"/>
        <w:tabs>
          <w:tab w:leader="none" w:pos="100" w:val="left"/>
        </w:tabs>
        <w:numPr>
          <w:ilvl w:val="0"/>
          <w:numId w:val="65"/>
        </w:numPr>
        <w:rPr>
          <w:rFonts w:ascii="Arial" w:cs="Arial" w:eastAsia="Arial" w:hAnsi="Arial"/>
          <w:sz w:val="16"/>
          <w:szCs w:val="16"/>
          <w:color w:val="2989B9"/>
        </w:rPr>
      </w:pPr>
      <w:r>
        <w:rPr>
          <w:rFonts w:ascii="Arial" w:cs="Arial" w:eastAsia="Arial" w:hAnsi="Arial"/>
          <w:sz w:val="16"/>
          <w:szCs w:val="16"/>
          <w:color w:val="282A32"/>
        </w:rPr>
        <w:t>a 13.5% decrease due to the impact of changes in the currency exchange rates;</w:t>
      </w:r>
    </w:p>
    <w:p>
      <w:pPr>
        <w:spacing w:after="0" w:line="194" w:lineRule="exact"/>
        <w:rPr>
          <w:rFonts w:ascii="Arial" w:cs="Arial" w:eastAsia="Arial" w:hAnsi="Arial"/>
          <w:sz w:val="16"/>
          <w:szCs w:val="16"/>
          <w:color w:val="2989B9"/>
        </w:rPr>
      </w:pPr>
    </w:p>
    <w:p>
      <w:pPr>
        <w:jc w:val="both"/>
        <w:ind w:left="80" w:hanging="72"/>
        <w:spacing w:after="0" w:line="253" w:lineRule="auto"/>
        <w:tabs>
          <w:tab w:leader="none" w:pos="119" w:val="left"/>
        </w:tabs>
        <w:numPr>
          <w:ilvl w:val="0"/>
          <w:numId w:val="65"/>
        </w:numPr>
        <w:rPr>
          <w:rFonts w:ascii="Arial" w:cs="Arial" w:eastAsia="Arial" w:hAnsi="Arial"/>
          <w:sz w:val="16"/>
          <w:szCs w:val="16"/>
          <w:color w:val="2989B9"/>
        </w:rPr>
      </w:pPr>
      <w:r>
        <w:rPr>
          <w:rFonts w:ascii="Arial" w:cs="Arial" w:eastAsia="Arial" w:hAnsi="Arial"/>
          <w:sz w:val="16"/>
          <w:szCs w:val="16"/>
          <w:color w:val="282A32"/>
        </w:rPr>
        <w:t>revenue decrease in the United States of 2.6% primarily driven by a decline in demand for our staffing/interim services in the industrial, engineering and finance markets, partially offset by solid growth in our permanent recruitment business and in our MSP and RPO offerings within the ManpowerGroup Solutions business; and</w:t>
      </w:r>
    </w:p>
    <w:p>
      <w:pPr>
        <w:spacing w:after="0" w:line="174" w:lineRule="exact"/>
        <w:rPr>
          <w:rFonts w:ascii="Arial" w:cs="Arial" w:eastAsia="Arial" w:hAnsi="Arial"/>
          <w:sz w:val="16"/>
          <w:szCs w:val="16"/>
          <w:color w:val="2989B9"/>
        </w:rPr>
      </w:pPr>
    </w:p>
    <w:p>
      <w:pPr>
        <w:ind w:left="100" w:hanging="92"/>
        <w:spacing w:after="0"/>
        <w:tabs>
          <w:tab w:leader="none" w:pos="100" w:val="left"/>
        </w:tabs>
        <w:numPr>
          <w:ilvl w:val="0"/>
          <w:numId w:val="65"/>
        </w:numPr>
        <w:rPr>
          <w:rFonts w:ascii="Arial" w:cs="Arial" w:eastAsia="Arial" w:hAnsi="Arial"/>
          <w:sz w:val="16"/>
          <w:szCs w:val="16"/>
          <w:color w:val="2989B9"/>
        </w:rPr>
      </w:pPr>
      <w:r>
        <w:rPr>
          <w:rFonts w:ascii="Arial" w:cs="Arial" w:eastAsia="Arial" w:hAnsi="Arial"/>
          <w:sz w:val="16"/>
          <w:szCs w:val="16"/>
          <w:color w:val="282A32"/>
        </w:rPr>
        <w:t>revenue decrease of 5.4% in constant currency (-12.0% as reported) in our talent management business at Right Management; partially offset by</w:t>
      </w:r>
    </w:p>
    <w:p>
      <w:pPr>
        <w:spacing w:after="0" w:line="194" w:lineRule="exact"/>
        <w:rPr>
          <w:rFonts w:ascii="Arial" w:cs="Arial" w:eastAsia="Arial" w:hAnsi="Arial"/>
          <w:sz w:val="16"/>
          <w:szCs w:val="16"/>
          <w:color w:val="2989B9"/>
        </w:rPr>
      </w:pPr>
    </w:p>
    <w:p>
      <w:pPr>
        <w:ind w:left="80" w:right="100" w:hanging="72"/>
        <w:spacing w:after="0" w:line="249" w:lineRule="auto"/>
        <w:tabs>
          <w:tab w:leader="none" w:pos="101" w:val="left"/>
        </w:tabs>
        <w:numPr>
          <w:ilvl w:val="0"/>
          <w:numId w:val="65"/>
        </w:numPr>
        <w:rPr>
          <w:rFonts w:ascii="Arial" w:cs="Arial" w:eastAsia="Arial" w:hAnsi="Arial"/>
          <w:sz w:val="16"/>
          <w:szCs w:val="16"/>
          <w:color w:val="2989B9"/>
        </w:rPr>
      </w:pPr>
      <w:r>
        <w:rPr>
          <w:rFonts w:ascii="Arial" w:cs="Arial" w:eastAsia="Arial" w:hAnsi="Arial"/>
          <w:sz w:val="16"/>
          <w:szCs w:val="16"/>
          <w:color w:val="282A32"/>
        </w:rPr>
        <w:t>increased demand for services in several of our markets within Southern Europe and Northern Europe, where in constant currency revenues increased 9.1% (-8.5% as reported) and 5.2% (2.1% in organic constant currency; -9.8% as reported), respectively. This included a constant currency revenue increase in France of 4.3% (-12.9% as reported) primarily due to the staffing market, which showed some growth during 2015. This increase also included a constant currency revenue increase in Italy of 24.5% (4.0% as reported) due to improved demand and our contract with the Milan Expo. We experienced constant currency revenue growth in Spain, the United Kingdom, Germany, and the Nordics of 30.3%, 6.0%, 26.1%, and 0.6%, respectively (9.0%, -1.7%, 6.1%, and -19.2%, respectively, as reported; 7.6% in organic constant currency in Germany);</w:t>
      </w:r>
    </w:p>
    <w:p>
      <w:pPr>
        <w:spacing w:after="0" w:line="178" w:lineRule="exact"/>
        <w:rPr>
          <w:rFonts w:ascii="Arial" w:cs="Arial" w:eastAsia="Arial" w:hAnsi="Arial"/>
          <w:sz w:val="16"/>
          <w:szCs w:val="16"/>
          <w:color w:val="2989B9"/>
        </w:rPr>
      </w:pPr>
    </w:p>
    <w:p>
      <w:pPr>
        <w:ind w:left="80" w:right="840" w:hanging="72"/>
        <w:spacing w:after="0" w:line="253" w:lineRule="auto"/>
        <w:tabs>
          <w:tab w:leader="none" w:pos="101" w:val="left"/>
        </w:tabs>
        <w:numPr>
          <w:ilvl w:val="0"/>
          <w:numId w:val="65"/>
        </w:numPr>
        <w:rPr>
          <w:rFonts w:ascii="Arial" w:cs="Arial" w:eastAsia="Arial" w:hAnsi="Arial"/>
          <w:sz w:val="16"/>
          <w:szCs w:val="16"/>
          <w:color w:val="2989B9"/>
        </w:rPr>
      </w:pPr>
      <w:r>
        <w:rPr>
          <w:rFonts w:ascii="Arial" w:cs="Arial" w:eastAsia="Arial" w:hAnsi="Arial"/>
          <w:sz w:val="16"/>
          <w:szCs w:val="16"/>
          <w:color w:val="282A32"/>
        </w:rPr>
        <w:t>revenue increase in APME of 7.9% in constant currency (4.1% in organic constant currency; -3.8% as reported) primarily due to an increase in our staffing/interim revenues, a 12.5% constant currency increase (-0.3% as reported) in our permanent recruitment business and an increase in our ManpowerGroup Solutions business;</w:t>
      </w:r>
    </w:p>
    <w:p>
      <w:pPr>
        <w:spacing w:after="0" w:line="200" w:lineRule="exact"/>
        <w:rPr>
          <w:sz w:val="20"/>
          <w:szCs w:val="20"/>
          <w:color w:val="auto"/>
        </w:rPr>
      </w:pPr>
    </w:p>
    <w:p>
      <w:pPr>
        <w:spacing w:after="0" w:line="261"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18</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56" w:name="page57"/>
    <w:bookmarkEnd w:id="56"/>
    <w:p>
      <w:pPr>
        <w:ind w:left="100" w:hanging="92"/>
        <w:spacing w:after="0"/>
        <w:tabs>
          <w:tab w:leader="none" w:pos="100" w:val="left"/>
        </w:tabs>
        <w:numPr>
          <w:ilvl w:val="0"/>
          <w:numId w:val="66"/>
        </w:numPr>
        <w:rPr>
          <w:rFonts w:ascii="Arial" w:cs="Arial" w:eastAsia="Arial" w:hAnsi="Arial"/>
          <w:sz w:val="16"/>
          <w:szCs w:val="16"/>
          <w:color w:val="2989B9"/>
        </w:rPr>
      </w:pPr>
      <w:r>
        <w:rPr>
          <w:rFonts w:ascii="Arial" w:cs="Arial" w:eastAsia="Arial" w:hAnsi="Arial"/>
          <w:sz w:val="16"/>
          <w:szCs w:val="16"/>
          <w:color w:val="282A32"/>
        </w:rPr>
        <w:t>increased demand for outplacement services at Right Management, where revenues increased 3.2% in constant currency (-4.8% as reported); and</w:t>
      </w:r>
    </w:p>
    <w:p>
      <w:pPr>
        <w:spacing w:after="0" w:line="194" w:lineRule="exact"/>
        <w:rPr>
          <w:rFonts w:ascii="Arial" w:cs="Arial" w:eastAsia="Arial" w:hAnsi="Arial"/>
          <w:sz w:val="16"/>
          <w:szCs w:val="16"/>
          <w:color w:val="2989B9"/>
        </w:rPr>
      </w:pPr>
    </w:p>
    <w:p>
      <w:pPr>
        <w:ind w:left="80" w:right="560" w:hanging="72"/>
        <w:spacing w:after="0" w:line="260" w:lineRule="auto"/>
        <w:tabs>
          <w:tab w:leader="none" w:pos="101" w:val="left"/>
        </w:tabs>
        <w:numPr>
          <w:ilvl w:val="0"/>
          <w:numId w:val="66"/>
        </w:numPr>
        <w:rPr>
          <w:rFonts w:ascii="Arial" w:cs="Arial" w:eastAsia="Arial" w:hAnsi="Arial"/>
          <w:sz w:val="16"/>
          <w:szCs w:val="16"/>
          <w:color w:val="2989B9"/>
        </w:rPr>
      </w:pPr>
      <w:r>
        <w:rPr>
          <w:rFonts w:ascii="Arial" w:cs="Arial" w:eastAsia="Arial" w:hAnsi="Arial"/>
          <w:sz w:val="16"/>
          <w:szCs w:val="16"/>
          <w:color w:val="282A32"/>
        </w:rPr>
        <w:t>our acquisitions in the Americas, Southern Europe, Northern Europe and APME, which added approximately 1.9% revenue growth to our consolidated results.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82A32"/>
        </w:rPr>
        <w:t>The year-over-year 30 basis point (0.30%) increase in gross profit margin was primarily attributed to:</w:t>
      </w:r>
    </w:p>
    <w:p>
      <w:pPr>
        <w:spacing w:after="0" w:line="194" w:lineRule="exact"/>
        <w:rPr>
          <w:sz w:val="20"/>
          <w:szCs w:val="20"/>
          <w:color w:val="auto"/>
        </w:rPr>
      </w:pPr>
    </w:p>
    <w:p>
      <w:pPr>
        <w:ind w:left="100" w:hanging="92"/>
        <w:spacing w:after="0"/>
        <w:tabs>
          <w:tab w:leader="none" w:pos="100" w:val="left"/>
        </w:tabs>
        <w:numPr>
          <w:ilvl w:val="0"/>
          <w:numId w:val="67"/>
        </w:numPr>
        <w:rPr>
          <w:rFonts w:ascii="Arial" w:cs="Arial" w:eastAsia="Arial" w:hAnsi="Arial"/>
          <w:sz w:val="16"/>
          <w:szCs w:val="16"/>
          <w:color w:val="2989B9"/>
        </w:rPr>
      </w:pPr>
      <w:r>
        <w:rPr>
          <w:rFonts w:ascii="Arial" w:cs="Arial" w:eastAsia="Arial" w:hAnsi="Arial"/>
          <w:sz w:val="16"/>
          <w:szCs w:val="16"/>
          <w:color w:val="282A32"/>
        </w:rPr>
        <w:t>a 20 basis point (0.20%) favorable impact due to the 15.8% constant currency growth (3.2% as reported) in our permanent recruitment business; and</w:t>
      </w:r>
    </w:p>
    <w:p>
      <w:pPr>
        <w:spacing w:after="0" w:line="194" w:lineRule="exact"/>
        <w:rPr>
          <w:rFonts w:ascii="Arial" w:cs="Arial" w:eastAsia="Arial" w:hAnsi="Arial"/>
          <w:sz w:val="16"/>
          <w:szCs w:val="16"/>
          <w:color w:val="2989B9"/>
        </w:rPr>
      </w:pPr>
    </w:p>
    <w:p>
      <w:pPr>
        <w:ind w:left="100" w:hanging="92"/>
        <w:spacing w:after="0"/>
        <w:tabs>
          <w:tab w:leader="none" w:pos="100" w:val="left"/>
        </w:tabs>
        <w:numPr>
          <w:ilvl w:val="0"/>
          <w:numId w:val="67"/>
        </w:numPr>
        <w:rPr>
          <w:rFonts w:ascii="Arial" w:cs="Arial" w:eastAsia="Arial" w:hAnsi="Arial"/>
          <w:sz w:val="16"/>
          <w:szCs w:val="16"/>
          <w:color w:val="2989B9"/>
        </w:rPr>
      </w:pPr>
      <w:r>
        <w:rPr>
          <w:rFonts w:ascii="Arial" w:cs="Arial" w:eastAsia="Arial" w:hAnsi="Arial"/>
          <w:sz w:val="16"/>
          <w:szCs w:val="16"/>
          <w:color w:val="282A32"/>
        </w:rPr>
        <w:t>a 20 basis point (0.20%) increase due to the impact on business mix of the changes in currency exchange rates; partially offset by</w:t>
      </w:r>
    </w:p>
    <w:p>
      <w:pPr>
        <w:spacing w:after="0" w:line="194" w:lineRule="exact"/>
        <w:rPr>
          <w:rFonts w:ascii="Arial" w:cs="Arial" w:eastAsia="Arial" w:hAnsi="Arial"/>
          <w:sz w:val="16"/>
          <w:szCs w:val="16"/>
          <w:color w:val="2989B9"/>
        </w:rPr>
      </w:pPr>
    </w:p>
    <w:p>
      <w:pPr>
        <w:jc w:val="both"/>
        <w:ind w:left="80" w:hanging="72"/>
        <w:spacing w:after="0" w:line="250" w:lineRule="auto"/>
        <w:tabs>
          <w:tab w:leader="none" w:pos="115" w:val="left"/>
        </w:tabs>
        <w:numPr>
          <w:ilvl w:val="0"/>
          <w:numId w:val="67"/>
        </w:numPr>
        <w:rPr>
          <w:rFonts w:ascii="Arial" w:cs="Arial" w:eastAsia="Arial" w:hAnsi="Arial"/>
          <w:sz w:val="16"/>
          <w:szCs w:val="16"/>
          <w:color w:val="2989B9"/>
        </w:rPr>
      </w:pPr>
      <w:r>
        <w:rPr>
          <w:rFonts w:ascii="Arial" w:cs="Arial" w:eastAsia="Arial" w:hAnsi="Arial"/>
          <w:sz w:val="16"/>
          <w:szCs w:val="16"/>
          <w:color w:val="282A32"/>
        </w:rPr>
        <w:t>a 10 basis point (-0.10%) unfavorable impact from the decline in our staffing margin due to general pricing pressures in certain markets and the impact of business mix as we saw higher growth from our lower-margin markets as well as higher growth from our lower-margin business in certain markets, partially offset by improved margins in the United States and France. The increase in the United States was due to strong price discipline, effective management of workers' compensation and health care costs, and lower state unemployment tax rates. The improvement in France was due to strong price discipline and an increase in subsidies.</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282A32"/>
        </w:rPr>
        <w:t>The 5.8% decline in selling and administrative expenses in 2015 (increase of 6.0% in constant currency and 3.7% in organic constant currency) was attributed to:</w:t>
      </w:r>
    </w:p>
    <w:p>
      <w:pPr>
        <w:spacing w:after="0" w:line="376" w:lineRule="exact"/>
        <w:rPr>
          <w:sz w:val="20"/>
          <w:szCs w:val="20"/>
          <w:color w:val="auto"/>
        </w:rPr>
      </w:pPr>
    </w:p>
    <w:p>
      <w:pPr>
        <w:ind w:left="100" w:hanging="92"/>
        <w:spacing w:after="0"/>
        <w:tabs>
          <w:tab w:leader="none" w:pos="100" w:val="left"/>
        </w:tabs>
        <w:numPr>
          <w:ilvl w:val="0"/>
          <w:numId w:val="68"/>
        </w:numPr>
        <w:rPr>
          <w:rFonts w:ascii="Arial" w:cs="Arial" w:eastAsia="Arial" w:hAnsi="Arial"/>
          <w:sz w:val="16"/>
          <w:szCs w:val="16"/>
          <w:color w:val="2989B9"/>
        </w:rPr>
      </w:pPr>
      <w:r>
        <w:rPr>
          <w:rFonts w:ascii="Arial" w:cs="Arial" w:eastAsia="Arial" w:hAnsi="Arial"/>
          <w:sz w:val="16"/>
          <w:szCs w:val="16"/>
          <w:color w:val="282A32"/>
        </w:rPr>
        <w:t>an 11.8% decrease due to the impact of changes in the currency exchange rates; and</w:t>
      </w:r>
    </w:p>
    <w:p>
      <w:pPr>
        <w:spacing w:after="0" w:line="194" w:lineRule="exact"/>
        <w:rPr>
          <w:rFonts w:ascii="Arial" w:cs="Arial" w:eastAsia="Arial" w:hAnsi="Arial"/>
          <w:sz w:val="16"/>
          <w:szCs w:val="16"/>
          <w:color w:val="2989B9"/>
        </w:rPr>
      </w:pPr>
    </w:p>
    <w:p>
      <w:pPr>
        <w:ind w:left="80" w:hanging="72"/>
        <w:spacing w:after="0" w:line="260" w:lineRule="auto"/>
        <w:tabs>
          <w:tab w:leader="none" w:pos="104" w:val="left"/>
        </w:tabs>
        <w:numPr>
          <w:ilvl w:val="0"/>
          <w:numId w:val="68"/>
        </w:numPr>
        <w:rPr>
          <w:rFonts w:ascii="Arial" w:cs="Arial" w:eastAsia="Arial" w:hAnsi="Arial"/>
          <w:sz w:val="16"/>
          <w:szCs w:val="16"/>
          <w:color w:val="2989B9"/>
        </w:rPr>
      </w:pPr>
      <w:r>
        <w:rPr>
          <w:rFonts w:ascii="Arial" w:cs="Arial" w:eastAsia="Arial" w:hAnsi="Arial"/>
          <w:sz w:val="16"/>
          <w:szCs w:val="16"/>
          <w:color w:val="282A32"/>
        </w:rPr>
        <w:t>legal costs of $9.0 million in the United States related to a settlement agreement in 2014, which we did not incur in 2015 (see the Employment-Related Items section for additional information); partially offset by</w:t>
      </w:r>
    </w:p>
    <w:p>
      <w:pPr>
        <w:spacing w:after="0" w:line="168" w:lineRule="exact"/>
        <w:rPr>
          <w:rFonts w:ascii="Arial" w:cs="Arial" w:eastAsia="Arial" w:hAnsi="Arial"/>
          <w:sz w:val="16"/>
          <w:szCs w:val="16"/>
          <w:color w:val="2989B9"/>
        </w:rPr>
      </w:pPr>
    </w:p>
    <w:p>
      <w:pPr>
        <w:ind w:left="80" w:hanging="72"/>
        <w:spacing w:after="0" w:line="260" w:lineRule="auto"/>
        <w:tabs>
          <w:tab w:leader="none" w:pos="111" w:val="left"/>
        </w:tabs>
        <w:numPr>
          <w:ilvl w:val="0"/>
          <w:numId w:val="68"/>
        </w:numPr>
        <w:rPr>
          <w:rFonts w:ascii="Arial" w:cs="Arial" w:eastAsia="Arial" w:hAnsi="Arial"/>
          <w:sz w:val="16"/>
          <w:szCs w:val="16"/>
          <w:color w:val="2989B9"/>
        </w:rPr>
      </w:pPr>
      <w:r>
        <w:rPr>
          <w:rFonts w:ascii="Arial" w:cs="Arial" w:eastAsia="Arial" w:hAnsi="Arial"/>
          <w:sz w:val="16"/>
          <w:szCs w:val="16"/>
          <w:color w:val="282A32"/>
        </w:rPr>
        <w:t>a 3.5% increase in constant currency (-7.8% as reported) in organic salary-related costs primarily because of additional headcount to support an increased demand for our services and an increase in our variable incentive-based costs due to improved operating results;</w:t>
      </w:r>
    </w:p>
    <w:p>
      <w:pPr>
        <w:spacing w:after="0" w:line="168" w:lineRule="exact"/>
        <w:rPr>
          <w:rFonts w:ascii="Arial" w:cs="Arial" w:eastAsia="Arial" w:hAnsi="Arial"/>
          <w:sz w:val="16"/>
          <w:szCs w:val="16"/>
          <w:color w:val="2989B9"/>
        </w:rPr>
      </w:pPr>
    </w:p>
    <w:p>
      <w:pPr>
        <w:ind w:left="80" w:hanging="72"/>
        <w:spacing w:after="0" w:line="260" w:lineRule="auto"/>
        <w:tabs>
          <w:tab w:leader="none" w:pos="119" w:val="left"/>
        </w:tabs>
        <w:numPr>
          <w:ilvl w:val="0"/>
          <w:numId w:val="68"/>
        </w:numPr>
        <w:rPr>
          <w:rFonts w:ascii="Arial" w:cs="Arial" w:eastAsia="Arial" w:hAnsi="Arial"/>
          <w:sz w:val="16"/>
          <w:szCs w:val="16"/>
          <w:color w:val="2989B9"/>
        </w:rPr>
      </w:pPr>
      <w:r>
        <w:rPr>
          <w:rFonts w:ascii="Arial" w:cs="Arial" w:eastAsia="Arial" w:hAnsi="Arial"/>
          <w:sz w:val="16"/>
          <w:szCs w:val="16"/>
          <w:color w:val="282A32"/>
        </w:rPr>
        <w:t>an increase in other non-personnel related costs, excluding the legal costs noted above and restructuring costs, as a result of increased demand for our services;</w:t>
      </w:r>
    </w:p>
    <w:p>
      <w:pPr>
        <w:spacing w:after="0" w:line="168" w:lineRule="exact"/>
        <w:rPr>
          <w:rFonts w:ascii="Arial" w:cs="Arial" w:eastAsia="Arial" w:hAnsi="Arial"/>
          <w:sz w:val="16"/>
          <w:szCs w:val="16"/>
          <w:color w:val="2989B9"/>
        </w:rPr>
      </w:pPr>
    </w:p>
    <w:p>
      <w:pPr>
        <w:ind w:left="80" w:hanging="72"/>
        <w:spacing w:after="0" w:line="260" w:lineRule="auto"/>
        <w:tabs>
          <w:tab w:leader="none" w:pos="125" w:val="left"/>
        </w:tabs>
        <w:numPr>
          <w:ilvl w:val="0"/>
          <w:numId w:val="68"/>
        </w:numPr>
        <w:rPr>
          <w:rFonts w:ascii="Arial" w:cs="Arial" w:eastAsia="Arial" w:hAnsi="Arial"/>
          <w:sz w:val="16"/>
          <w:szCs w:val="16"/>
          <w:color w:val="2989B9"/>
        </w:rPr>
      </w:pPr>
      <w:r>
        <w:rPr>
          <w:rFonts w:ascii="Arial" w:cs="Arial" w:eastAsia="Arial" w:hAnsi="Arial"/>
          <w:sz w:val="16"/>
          <w:szCs w:val="16"/>
          <w:color w:val="282A32"/>
        </w:rPr>
        <w:t>the additional recurring selling and administrative costs incurred as a result of the acquisitions in the Americas, Southern Europe, Northern Europe and APME; and</w:t>
      </w:r>
    </w:p>
    <w:p>
      <w:pPr>
        <w:spacing w:after="0" w:line="168" w:lineRule="exact"/>
        <w:rPr>
          <w:rFonts w:ascii="Arial" w:cs="Arial" w:eastAsia="Arial" w:hAnsi="Arial"/>
          <w:sz w:val="16"/>
          <w:szCs w:val="16"/>
          <w:color w:val="2989B9"/>
        </w:rPr>
      </w:pPr>
    </w:p>
    <w:p>
      <w:pPr>
        <w:ind w:left="80" w:hanging="72"/>
        <w:spacing w:after="0" w:line="260" w:lineRule="auto"/>
        <w:tabs>
          <w:tab w:leader="none" w:pos="114" w:val="left"/>
        </w:tabs>
        <w:numPr>
          <w:ilvl w:val="0"/>
          <w:numId w:val="68"/>
        </w:numPr>
        <w:rPr>
          <w:rFonts w:ascii="Arial" w:cs="Arial" w:eastAsia="Arial" w:hAnsi="Arial"/>
          <w:sz w:val="16"/>
          <w:szCs w:val="16"/>
          <w:color w:val="2989B9"/>
        </w:rPr>
      </w:pPr>
      <w:r>
        <w:rPr>
          <w:rFonts w:ascii="Arial" w:cs="Arial" w:eastAsia="Arial" w:hAnsi="Arial"/>
          <w:sz w:val="16"/>
          <w:szCs w:val="16"/>
          <w:color w:val="282A32"/>
        </w:rPr>
        <w:t>restructuring costs of $16.4 million incurred in 2015, comprised of $3.2 million in the Americas, $9.0 million in Northern Europe, $2.9 million in APME, and $1.3 million at Right Management.</w:t>
      </w:r>
    </w:p>
    <w:p>
      <w:pPr>
        <w:spacing w:after="0" w:line="169"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282A32"/>
        </w:rPr>
        <w:t>Selling and administrative expenses as a percent of revenues increased 20 basis points (0.20%) in 2015 compared to 2014. The change in selling and administrative expenses as a percent of revenues consisted of:</w:t>
      </w:r>
    </w:p>
    <w:p>
      <w:pPr>
        <w:spacing w:after="0" w:line="169" w:lineRule="exact"/>
        <w:rPr>
          <w:sz w:val="20"/>
          <w:szCs w:val="20"/>
          <w:color w:val="auto"/>
        </w:rPr>
      </w:pPr>
    </w:p>
    <w:p>
      <w:pPr>
        <w:ind w:left="100" w:hanging="92"/>
        <w:spacing w:after="0"/>
        <w:tabs>
          <w:tab w:leader="none" w:pos="100" w:val="left"/>
        </w:tabs>
        <w:numPr>
          <w:ilvl w:val="0"/>
          <w:numId w:val="69"/>
        </w:numPr>
        <w:rPr>
          <w:rFonts w:ascii="Arial" w:cs="Arial" w:eastAsia="Arial" w:hAnsi="Arial"/>
          <w:sz w:val="16"/>
          <w:szCs w:val="16"/>
          <w:color w:val="2989B9"/>
        </w:rPr>
      </w:pPr>
      <w:r>
        <w:rPr>
          <w:rFonts w:ascii="Arial" w:cs="Arial" w:eastAsia="Arial" w:hAnsi="Arial"/>
          <w:sz w:val="16"/>
          <w:szCs w:val="16"/>
          <w:color w:val="282A32"/>
        </w:rPr>
        <w:t>a 20 basis point (0.20%) unfavorable impact from business mix changes due to the changes in currency exchange rates; and</w:t>
      </w:r>
    </w:p>
    <w:p>
      <w:pPr>
        <w:spacing w:after="0" w:line="194" w:lineRule="exact"/>
        <w:rPr>
          <w:rFonts w:ascii="Arial" w:cs="Arial" w:eastAsia="Arial" w:hAnsi="Arial"/>
          <w:sz w:val="16"/>
          <w:szCs w:val="16"/>
          <w:color w:val="2989B9"/>
        </w:rPr>
      </w:pPr>
    </w:p>
    <w:p>
      <w:pPr>
        <w:ind w:left="100" w:hanging="92"/>
        <w:spacing w:after="0"/>
        <w:tabs>
          <w:tab w:leader="none" w:pos="100" w:val="left"/>
        </w:tabs>
        <w:numPr>
          <w:ilvl w:val="0"/>
          <w:numId w:val="69"/>
        </w:numPr>
        <w:rPr>
          <w:rFonts w:ascii="Arial" w:cs="Arial" w:eastAsia="Arial" w:hAnsi="Arial"/>
          <w:sz w:val="16"/>
          <w:szCs w:val="16"/>
          <w:color w:val="2989B9"/>
        </w:rPr>
      </w:pPr>
      <w:r>
        <w:rPr>
          <w:rFonts w:ascii="Arial" w:cs="Arial" w:eastAsia="Arial" w:hAnsi="Arial"/>
          <w:sz w:val="16"/>
          <w:szCs w:val="16"/>
          <w:color w:val="282A32"/>
        </w:rPr>
        <w:t>a 10 basis point (0.10%) unfavorable impact due to the restructuring costs of $16.4 million incurred in 2015; partially offset by</w:t>
      </w:r>
    </w:p>
    <w:p>
      <w:pPr>
        <w:spacing w:after="0" w:line="194" w:lineRule="exact"/>
        <w:rPr>
          <w:rFonts w:ascii="Arial" w:cs="Arial" w:eastAsia="Arial" w:hAnsi="Arial"/>
          <w:sz w:val="16"/>
          <w:szCs w:val="16"/>
          <w:color w:val="2989B9"/>
        </w:rPr>
      </w:pPr>
    </w:p>
    <w:p>
      <w:pPr>
        <w:ind w:left="100" w:hanging="92"/>
        <w:spacing w:after="0"/>
        <w:tabs>
          <w:tab w:leader="none" w:pos="100" w:val="left"/>
        </w:tabs>
        <w:numPr>
          <w:ilvl w:val="0"/>
          <w:numId w:val="69"/>
        </w:numPr>
        <w:rPr>
          <w:rFonts w:ascii="Arial" w:cs="Arial" w:eastAsia="Arial" w:hAnsi="Arial"/>
          <w:sz w:val="16"/>
          <w:szCs w:val="16"/>
          <w:color w:val="2989B9"/>
        </w:rPr>
      </w:pPr>
      <w:r>
        <w:rPr>
          <w:rFonts w:ascii="Arial" w:cs="Arial" w:eastAsia="Arial" w:hAnsi="Arial"/>
          <w:sz w:val="16"/>
          <w:szCs w:val="16"/>
          <w:color w:val="282A32"/>
        </w:rPr>
        <w:t>a 10 basis point (-0.10%) favorable impact from better expense leverage.</w:t>
      </w:r>
    </w:p>
    <w:p>
      <w:pPr>
        <w:spacing w:after="0" w:line="200" w:lineRule="exact"/>
        <w:rPr>
          <w:sz w:val="20"/>
          <w:szCs w:val="20"/>
          <w:color w:val="auto"/>
        </w:rPr>
      </w:pPr>
    </w:p>
    <w:p>
      <w:pPr>
        <w:spacing w:after="0" w:line="281"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19 </w:t>
      </w:r>
      <w:r>
        <w:rPr>
          <w:rFonts w:ascii="Arial" w:cs="Arial" w:eastAsia="Arial" w:hAnsi="Arial"/>
          <w:sz w:val="12"/>
          <w:szCs w:val="12"/>
          <w:color w:val="auto"/>
        </w:rPr>
        <w:t>| ManpowerGroup</w:t>
      </w:r>
    </w:p>
    <w:p>
      <w:pPr>
        <w:sectPr>
          <w:pgSz w:w="11900" w:h="16838" w:orient="portrait"/>
          <w:cols w:equalWidth="0" w:num="1">
            <w:col w:w="11420"/>
          </w:cols>
          <w:pgMar w:left="240" w:top="357"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Interest and other expenses are comprised of interest, foreign exchange gains and losses and other miscellaneous non-operating income and expenses. Interest and other expenses were $28.2 million in 2015 compared to $38.3 million in 2014. Net interest expense increased $2.0 million in 2015 to $33.5 million from $31.5 million in 2014 due to higher debt levels as we issued €400.0 million Notes in September of 2015, partially offset by the favorable impact of currency exchange rates. Foreign exchange gains in 2015 were $4.7 million compared to $2.2 million in 2014. The foreign exchange gains in 2015 were primarily due to a favorable foreign currency impact on an income tax settlement. The foreign exchange gains in 2014 were primarily due to payments received in Venezuela in foreign currencies other than Venezuelan Bolivar Fuerte and translated at favorable exchange rates other than the official exchange rate and translation gains resulting from intercompany transactions between our foreign subsidiaries and the United States. Miscellaneous income was $0.6 million in 2015 compared to miscellaneous expense of $9.0 million in 2014. The variance between 2015 and 2014 is primarily due to a gain on the sale of an equity investment in 2015.</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recorded an income tax expense at an effective rate of 36.5% in 2015, as compared to an effective rate of 37.3% in 2014. The 36.5% effective tax rate for 2015 was higher than the United States Federal statutory rate of 35% due primarily to the French business tax, expected repatriations, valuation allowances and other permanent items, partially offset by the favorable impact of the United States Work Opportunity Tax Credit (“WOTC”), which was enacted in December of 2015 and extended from 2015 through the year ending December 31, 2019.</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Net earnings per share — diluted was $5.40 in 2015 compared to $5.30 in 2014. Foreign currency exchange rates unfavorably impacted net earnings per share — diluted by approximately $0.81 in 2015.</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Weighted average shares — diluted decreased 3.8% to 77.7 million in 2015 from 80.7 million in 2014. This decrease was due to the impact of share repurchases completed in 2015, partially offset by shares issued as a result of exercises and vesting of share-based awards in 2015.</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2989B9"/>
        </w:rPr>
        <w:t>Consolidated Results — 2014 Compared to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The following table presents selected consolidated financial data for 2014 as compared to 2013.</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jc w:val="right"/>
              <w:ind w:right="103"/>
              <w:spacing w:after="0"/>
              <w:rPr>
                <w:sz w:val="20"/>
                <w:szCs w:val="20"/>
                <w:color w:val="auto"/>
              </w:rPr>
            </w:pPr>
            <w:r>
              <w:rPr>
                <w:rFonts w:ascii="Arial" w:cs="Arial" w:eastAsia="Arial" w:hAnsi="Arial"/>
                <w:sz w:val="14"/>
                <w:szCs w:val="14"/>
                <w:color w:val="282A32"/>
              </w:rPr>
              <w:t>Variance in</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223"/>
              <w:spacing w:after="0"/>
              <w:rPr>
                <w:sz w:val="20"/>
                <w:szCs w:val="20"/>
                <w:color w:val="auto"/>
              </w:rPr>
            </w:pPr>
            <w:r>
              <w:rPr>
                <w:rFonts w:ascii="Arial" w:cs="Arial" w:eastAsia="Arial" w:hAnsi="Arial"/>
                <w:sz w:val="14"/>
                <w:szCs w:val="14"/>
                <w:color w:val="282A32"/>
              </w:rPr>
              <w:t>Variance in</w:t>
            </w:r>
          </w:p>
        </w:tc>
        <w:tc>
          <w:tcPr>
            <w:tcW w:w="1060" w:type="dxa"/>
            <w:vAlign w:val="bottom"/>
          </w:tcPr>
          <w:p>
            <w:pPr>
              <w:jc w:val="right"/>
              <w:ind w:right="103"/>
              <w:spacing w:after="0"/>
              <w:rPr>
                <w:sz w:val="20"/>
                <w:szCs w:val="20"/>
                <w:color w:val="auto"/>
              </w:rPr>
            </w:pPr>
            <w:r>
              <w:rPr>
                <w:rFonts w:ascii="Arial" w:cs="Arial" w:eastAsia="Arial" w:hAnsi="Arial"/>
                <w:sz w:val="14"/>
                <w:szCs w:val="14"/>
                <w:color w:val="282A32"/>
              </w:rPr>
              <w:t>Organic</w:t>
            </w:r>
          </w:p>
        </w:tc>
        <w:tc>
          <w:tcPr>
            <w:tcW w:w="0" w:type="dxa"/>
            <w:vAlign w:val="bottom"/>
          </w:tcPr>
          <w:p>
            <w:pPr>
              <w:spacing w:after="0"/>
              <w:rPr>
                <w:sz w:val="1"/>
                <w:szCs w:val="1"/>
                <w:color w:val="auto"/>
              </w:rPr>
            </w:pPr>
          </w:p>
        </w:tc>
      </w:tr>
      <w:tr>
        <w:trPr>
          <w:trHeight w:val="162"/>
        </w:trPr>
        <w:tc>
          <w:tcPr>
            <w:tcW w:w="4340" w:type="dxa"/>
            <w:vAlign w:val="bottom"/>
            <w:vMerge w:val="restart"/>
          </w:tcPr>
          <w:p>
            <w:pPr>
              <w:ind w:left="40"/>
              <w:spacing w:after="0"/>
              <w:rPr>
                <w:sz w:val="20"/>
                <w:szCs w:val="20"/>
                <w:color w:val="auto"/>
              </w:rPr>
            </w:pPr>
            <w:r>
              <w:rPr>
                <w:rFonts w:ascii="Arial" w:cs="Arial" w:eastAsia="Arial" w:hAnsi="Arial"/>
                <w:sz w:val="14"/>
                <w:szCs w:val="14"/>
                <w:i w:val="1"/>
                <w:iCs w:val="1"/>
                <w:color w:val="282A32"/>
              </w:rPr>
              <w:t>(in millions, except per share data)</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180"/>
              <w:spacing w:after="0"/>
              <w:rPr>
                <w:sz w:val="20"/>
                <w:szCs w:val="20"/>
                <w:color w:val="auto"/>
              </w:rPr>
            </w:pPr>
            <w:r>
              <w:rPr>
                <w:rFonts w:ascii="Arial" w:cs="Arial" w:eastAsia="Arial" w:hAnsi="Arial"/>
                <w:sz w:val="14"/>
                <w:szCs w:val="14"/>
                <w:color w:val="282A32"/>
              </w:rPr>
              <w:t>Reported</w:t>
            </w:r>
          </w:p>
        </w:tc>
        <w:tc>
          <w:tcPr>
            <w:tcW w:w="1240" w:type="dxa"/>
            <w:vAlign w:val="bottom"/>
          </w:tcPr>
          <w:p>
            <w:pPr>
              <w:jc w:val="right"/>
              <w:ind w:right="223"/>
              <w:spacing w:after="0"/>
              <w:rPr>
                <w:sz w:val="20"/>
                <w:szCs w:val="20"/>
                <w:color w:val="auto"/>
              </w:rPr>
            </w:pPr>
            <w:r>
              <w:rPr>
                <w:rFonts w:ascii="Arial" w:cs="Arial" w:eastAsia="Arial" w:hAnsi="Arial"/>
                <w:sz w:val="14"/>
                <w:szCs w:val="14"/>
                <w:color w:val="282A32"/>
              </w:rPr>
              <w:t>Constant</w:t>
            </w:r>
          </w:p>
        </w:tc>
        <w:tc>
          <w:tcPr>
            <w:tcW w:w="1060" w:type="dxa"/>
            <w:vAlign w:val="bottom"/>
          </w:tcPr>
          <w:p>
            <w:pPr>
              <w:jc w:val="right"/>
              <w:ind w:right="103"/>
              <w:spacing w:after="0"/>
              <w:rPr>
                <w:sz w:val="20"/>
                <w:szCs w:val="20"/>
                <w:color w:val="auto"/>
              </w:rPr>
            </w:pPr>
            <w:r>
              <w:rPr>
                <w:rFonts w:ascii="Arial" w:cs="Arial" w:eastAsia="Arial" w:hAnsi="Arial"/>
                <w:sz w:val="14"/>
                <w:szCs w:val="14"/>
                <w:color w:val="282A32"/>
              </w:rPr>
              <w:t>Constant</w:t>
            </w:r>
          </w:p>
        </w:tc>
        <w:tc>
          <w:tcPr>
            <w:tcW w:w="0" w:type="dxa"/>
            <w:vAlign w:val="bottom"/>
          </w:tcPr>
          <w:p>
            <w:pPr>
              <w:spacing w:after="0"/>
              <w:rPr>
                <w:sz w:val="1"/>
                <w:szCs w:val="1"/>
                <w:color w:val="auto"/>
              </w:rPr>
            </w:pPr>
          </w:p>
        </w:tc>
      </w:tr>
      <w:tr>
        <w:trPr>
          <w:trHeight w:val="178"/>
        </w:trPr>
        <w:tc>
          <w:tcPr>
            <w:tcW w:w="43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282A32"/>
              </w:rPr>
              <w:t>2014</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282A32"/>
              </w:rPr>
              <w:t>2013</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282A32"/>
              </w:rPr>
              <w:t>Variance</w:t>
            </w: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282A32"/>
              </w:rPr>
              <w:t>Currency</w:t>
            </w: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282A32"/>
              </w:rPr>
              <w:t>Currency</w:t>
            </w:r>
          </w:p>
        </w:tc>
        <w:tc>
          <w:tcPr>
            <w:tcW w:w="0" w:type="dxa"/>
            <w:vAlign w:val="bottom"/>
          </w:tcPr>
          <w:p>
            <w:pPr>
              <w:spacing w:after="0"/>
              <w:rPr>
                <w:sz w:val="1"/>
                <w:szCs w:val="1"/>
                <w:color w:val="auto"/>
              </w:rPr>
            </w:pPr>
          </w:p>
        </w:tc>
      </w:tr>
      <w:tr>
        <w:trPr>
          <w:trHeight w:val="223"/>
        </w:trPr>
        <w:tc>
          <w:tcPr>
            <w:tcW w:w="4340" w:type="dxa"/>
            <w:vAlign w:val="bottom"/>
          </w:tcPr>
          <w:p>
            <w:pPr>
              <w:ind w:left="40"/>
              <w:spacing w:after="0"/>
              <w:rPr>
                <w:sz w:val="20"/>
                <w:szCs w:val="20"/>
                <w:color w:val="auto"/>
              </w:rPr>
            </w:pPr>
            <w:r>
              <w:rPr>
                <w:rFonts w:ascii="Arial" w:cs="Arial" w:eastAsia="Arial" w:hAnsi="Arial"/>
                <w:sz w:val="16"/>
                <w:szCs w:val="16"/>
                <w:color w:val="282A32"/>
              </w:rPr>
              <w:t>Revenues from services</w:t>
            </w:r>
          </w:p>
        </w:tc>
        <w:tc>
          <w:tcPr>
            <w:tcW w:w="1060" w:type="dxa"/>
            <w:vAlign w:val="bottom"/>
          </w:tcPr>
          <w:p>
            <w:pPr>
              <w:jc w:val="right"/>
              <w:ind w:right="159"/>
              <w:spacing w:after="0"/>
              <w:rPr>
                <w:sz w:val="20"/>
                <w:szCs w:val="20"/>
                <w:color w:val="auto"/>
              </w:rPr>
            </w:pPr>
            <w:r>
              <w:rPr>
                <w:rFonts w:ascii="Arial" w:cs="Arial" w:eastAsia="Arial" w:hAnsi="Arial"/>
                <w:sz w:val="16"/>
                <w:szCs w:val="16"/>
                <w:color w:val="282A32"/>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282A32"/>
              </w:rPr>
              <w:t>20,762.8</w:t>
            </w:r>
          </w:p>
        </w:tc>
        <w:tc>
          <w:tcPr>
            <w:tcW w:w="380" w:type="dxa"/>
            <w:vAlign w:val="bottom"/>
          </w:tcPr>
          <w:p>
            <w:pPr>
              <w:jc w:val="right"/>
              <w:ind w:right="179"/>
              <w:spacing w:after="0"/>
              <w:rPr>
                <w:sz w:val="20"/>
                <w:szCs w:val="20"/>
                <w:color w:val="auto"/>
              </w:rPr>
            </w:pPr>
            <w:r>
              <w:rPr>
                <w:rFonts w:ascii="Arial" w:cs="Arial" w:eastAsia="Arial" w:hAnsi="Arial"/>
                <w:sz w:val="16"/>
                <w:szCs w:val="16"/>
                <w:color w:val="282A32"/>
              </w:rPr>
              <w:t>$</w:t>
            </w:r>
          </w:p>
        </w:tc>
        <w:tc>
          <w:tcPr>
            <w:tcW w:w="1220" w:type="dxa"/>
            <w:vAlign w:val="bottom"/>
          </w:tcPr>
          <w:p>
            <w:pPr>
              <w:jc w:val="right"/>
              <w:ind w:right="262"/>
              <w:spacing w:after="0"/>
              <w:rPr>
                <w:sz w:val="20"/>
                <w:szCs w:val="20"/>
                <w:color w:val="auto"/>
              </w:rPr>
            </w:pPr>
            <w:r>
              <w:rPr>
                <w:rFonts w:ascii="Arial" w:cs="Arial" w:eastAsia="Arial" w:hAnsi="Arial"/>
                <w:sz w:val="16"/>
                <w:szCs w:val="16"/>
                <w:color w:val="282A32"/>
              </w:rPr>
              <w:t>20,250.5</w:t>
            </w:r>
          </w:p>
        </w:tc>
        <w:tc>
          <w:tcPr>
            <w:tcW w:w="1080" w:type="dxa"/>
            <w:vAlign w:val="bottom"/>
          </w:tcPr>
          <w:p>
            <w:pPr>
              <w:jc w:val="right"/>
              <w:ind w:right="20"/>
              <w:spacing w:after="0"/>
              <w:rPr>
                <w:sz w:val="20"/>
                <w:szCs w:val="20"/>
                <w:color w:val="auto"/>
              </w:rPr>
            </w:pPr>
            <w:r>
              <w:rPr>
                <w:rFonts w:ascii="Arial" w:cs="Arial" w:eastAsia="Arial" w:hAnsi="Arial"/>
                <w:sz w:val="16"/>
                <w:szCs w:val="16"/>
                <w:color w:val="282A32"/>
              </w:rPr>
              <w:t>2.5%</w:t>
            </w:r>
          </w:p>
        </w:tc>
        <w:tc>
          <w:tcPr>
            <w:tcW w:w="1240" w:type="dxa"/>
            <w:vAlign w:val="bottom"/>
          </w:tcPr>
          <w:p>
            <w:pPr>
              <w:jc w:val="right"/>
              <w:ind w:right="83"/>
              <w:spacing w:after="0"/>
              <w:rPr>
                <w:sz w:val="20"/>
                <w:szCs w:val="20"/>
                <w:color w:val="auto"/>
              </w:rPr>
            </w:pPr>
            <w:r>
              <w:rPr>
                <w:rFonts w:ascii="Arial" w:cs="Arial" w:eastAsia="Arial" w:hAnsi="Arial"/>
                <w:sz w:val="16"/>
                <w:szCs w:val="16"/>
                <w:color w:val="282A32"/>
              </w:rPr>
              <w:t>4.0%</w:t>
            </w:r>
          </w:p>
        </w:tc>
        <w:tc>
          <w:tcPr>
            <w:tcW w:w="1060" w:type="dxa"/>
            <w:vAlign w:val="bottom"/>
          </w:tcPr>
          <w:p>
            <w:pPr>
              <w:jc w:val="right"/>
              <w:spacing w:after="0"/>
              <w:rPr>
                <w:sz w:val="20"/>
                <w:szCs w:val="20"/>
                <w:color w:val="auto"/>
              </w:rPr>
            </w:pPr>
            <w:r>
              <w:rPr>
                <w:rFonts w:ascii="Arial" w:cs="Arial" w:eastAsia="Arial" w:hAnsi="Arial"/>
                <w:sz w:val="16"/>
                <w:szCs w:val="16"/>
                <w:color w:val="282A32"/>
              </w:rPr>
              <w:t>3.6%</w:t>
            </w:r>
          </w:p>
        </w:tc>
        <w:tc>
          <w:tcPr>
            <w:tcW w:w="0" w:type="dxa"/>
            <w:vAlign w:val="bottom"/>
          </w:tcPr>
          <w:p>
            <w:pPr>
              <w:spacing w:after="0"/>
              <w:rPr>
                <w:sz w:val="1"/>
                <w:szCs w:val="1"/>
                <w:color w:val="auto"/>
              </w:rPr>
            </w:pPr>
          </w:p>
        </w:tc>
      </w:tr>
      <w:tr>
        <w:trPr>
          <w:trHeight w:val="283"/>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Cost of services</w:t>
            </w: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82A32"/>
              </w:rPr>
              <w:t>17,274.6</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282A32"/>
              </w:rPr>
              <w:t>16,883.8</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282A32"/>
              </w:rPr>
              <w:t>2.3</w:t>
            </w: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282A32"/>
              </w:rPr>
              <w:t>3.8</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40"/>
              <w:spacing w:after="0"/>
              <w:rPr>
                <w:sz w:val="20"/>
                <w:szCs w:val="20"/>
                <w:color w:val="auto"/>
              </w:rPr>
            </w:pPr>
            <w:r>
              <w:rPr>
                <w:rFonts w:ascii="Arial" w:cs="Arial" w:eastAsia="Arial" w:hAnsi="Arial"/>
                <w:sz w:val="16"/>
                <w:szCs w:val="16"/>
                <w:color w:val="282A32"/>
              </w:rPr>
              <w:t>Gross profit</w:t>
            </w:r>
          </w:p>
        </w:tc>
        <w:tc>
          <w:tcPr>
            <w:tcW w:w="106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282A32"/>
              </w:rPr>
              <w:t>3,488.2</w:t>
            </w:r>
          </w:p>
        </w:tc>
        <w:tc>
          <w:tcPr>
            <w:tcW w:w="380" w:type="dxa"/>
            <w:vAlign w:val="bottom"/>
          </w:tcPr>
          <w:p>
            <w:pPr>
              <w:spacing w:after="0"/>
              <w:rPr>
                <w:sz w:val="19"/>
                <w:szCs w:val="19"/>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color w:val="282A32"/>
              </w:rPr>
              <w:t>3,366.7</w:t>
            </w:r>
          </w:p>
        </w:tc>
        <w:tc>
          <w:tcPr>
            <w:tcW w:w="1080" w:type="dxa"/>
            <w:vAlign w:val="bottom"/>
          </w:tcPr>
          <w:p>
            <w:pPr>
              <w:jc w:val="right"/>
              <w:ind w:right="180"/>
              <w:spacing w:after="0"/>
              <w:rPr>
                <w:sz w:val="20"/>
                <w:szCs w:val="20"/>
                <w:color w:val="auto"/>
              </w:rPr>
            </w:pPr>
            <w:r>
              <w:rPr>
                <w:rFonts w:ascii="Arial" w:cs="Arial" w:eastAsia="Arial" w:hAnsi="Arial"/>
                <w:sz w:val="16"/>
                <w:szCs w:val="16"/>
                <w:color w:val="282A32"/>
              </w:rPr>
              <w:t>3.6</w:t>
            </w:r>
          </w:p>
        </w:tc>
        <w:tc>
          <w:tcPr>
            <w:tcW w:w="1240" w:type="dxa"/>
            <w:vAlign w:val="bottom"/>
          </w:tcPr>
          <w:p>
            <w:pPr>
              <w:jc w:val="right"/>
              <w:ind w:right="223"/>
              <w:spacing w:after="0"/>
              <w:rPr>
                <w:sz w:val="20"/>
                <w:szCs w:val="20"/>
                <w:color w:val="auto"/>
              </w:rPr>
            </w:pPr>
            <w:r>
              <w:rPr>
                <w:rFonts w:ascii="Arial" w:cs="Arial" w:eastAsia="Arial" w:hAnsi="Arial"/>
                <w:sz w:val="16"/>
                <w:szCs w:val="16"/>
                <w:color w:val="282A32"/>
              </w:rPr>
              <w:t>5.2</w:t>
            </w:r>
          </w:p>
        </w:tc>
        <w:tc>
          <w:tcPr>
            <w:tcW w:w="1060" w:type="dxa"/>
            <w:vAlign w:val="bottom"/>
          </w:tcPr>
          <w:p>
            <w:pPr>
              <w:jc w:val="right"/>
              <w:ind w:right="103"/>
              <w:spacing w:after="0"/>
              <w:rPr>
                <w:sz w:val="20"/>
                <w:szCs w:val="20"/>
                <w:color w:val="auto"/>
              </w:rPr>
            </w:pPr>
            <w:r>
              <w:rPr>
                <w:rFonts w:ascii="Arial" w:cs="Arial" w:eastAsia="Arial" w:hAnsi="Arial"/>
                <w:sz w:val="16"/>
                <w:szCs w:val="16"/>
                <w:color w:val="282A32"/>
              </w:rPr>
              <w:t>4.1</w:t>
            </w:r>
          </w:p>
        </w:tc>
        <w:tc>
          <w:tcPr>
            <w:tcW w:w="0" w:type="dxa"/>
            <w:vAlign w:val="bottom"/>
          </w:tcPr>
          <w:p>
            <w:pPr>
              <w:spacing w:after="0"/>
              <w:rPr>
                <w:sz w:val="1"/>
                <w:szCs w:val="1"/>
                <w:color w:val="auto"/>
              </w:rPr>
            </w:pPr>
          </w:p>
        </w:tc>
      </w:tr>
      <w:tr>
        <w:trPr>
          <w:trHeight w:val="278"/>
        </w:trPr>
        <w:tc>
          <w:tcPr>
            <w:tcW w:w="4340" w:type="dxa"/>
            <w:vAlign w:val="bottom"/>
          </w:tcPr>
          <w:p>
            <w:pPr>
              <w:ind w:left="40"/>
              <w:spacing w:after="0"/>
              <w:rPr>
                <w:sz w:val="20"/>
                <w:szCs w:val="20"/>
                <w:color w:val="auto"/>
              </w:rPr>
            </w:pPr>
            <w:r>
              <w:rPr>
                <w:rFonts w:ascii="Arial" w:cs="Arial" w:eastAsia="Arial" w:hAnsi="Arial"/>
                <w:sz w:val="14"/>
                <w:szCs w:val="14"/>
                <w:i w:val="1"/>
                <w:iCs w:val="1"/>
                <w:color w:val="282A32"/>
              </w:rPr>
              <w:t>Gross profit margin</w:t>
            </w:r>
          </w:p>
        </w:tc>
        <w:tc>
          <w:tcPr>
            <w:tcW w:w="10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282A32"/>
              </w:rPr>
              <w:t>16.8%</w:t>
            </w:r>
          </w:p>
        </w:tc>
        <w:tc>
          <w:tcPr>
            <w:tcW w:w="380" w:type="dxa"/>
            <w:vAlign w:val="bottom"/>
          </w:tcPr>
          <w:p>
            <w:pPr>
              <w:spacing w:after="0"/>
              <w:rPr>
                <w:sz w:val="24"/>
                <w:szCs w:val="24"/>
                <w:color w:val="auto"/>
              </w:rPr>
            </w:pPr>
          </w:p>
        </w:tc>
        <w:tc>
          <w:tcPr>
            <w:tcW w:w="1220" w:type="dxa"/>
            <w:vAlign w:val="bottom"/>
          </w:tcPr>
          <w:p>
            <w:pPr>
              <w:jc w:val="right"/>
              <w:ind w:right="142"/>
              <w:spacing w:after="0"/>
              <w:rPr>
                <w:sz w:val="20"/>
                <w:szCs w:val="20"/>
                <w:color w:val="auto"/>
              </w:rPr>
            </w:pPr>
            <w:r>
              <w:rPr>
                <w:rFonts w:ascii="Arial" w:cs="Arial" w:eastAsia="Arial" w:hAnsi="Arial"/>
                <w:sz w:val="14"/>
                <w:szCs w:val="14"/>
                <w:i w:val="1"/>
                <w:iCs w:val="1"/>
                <w:color w:val="282A32"/>
              </w:rPr>
              <w:t>16.6%</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340" w:type="dxa"/>
            <w:vAlign w:val="bottom"/>
          </w:tcPr>
          <w:p>
            <w:pPr>
              <w:ind w:left="40"/>
              <w:spacing w:after="0"/>
              <w:rPr>
                <w:sz w:val="20"/>
                <w:szCs w:val="20"/>
                <w:color w:val="auto"/>
              </w:rPr>
            </w:pPr>
            <w:r>
              <w:rPr>
                <w:rFonts w:ascii="Arial" w:cs="Arial" w:eastAsia="Arial" w:hAnsi="Arial"/>
                <w:sz w:val="16"/>
                <w:szCs w:val="16"/>
                <w:color w:val="282A32"/>
              </w:rPr>
              <w:t>Selling and administrative expenses</w:t>
            </w:r>
          </w:p>
        </w:tc>
        <w:tc>
          <w:tcPr>
            <w:tcW w:w="1060" w:type="dxa"/>
            <w:vAlign w:val="bottom"/>
          </w:tcPr>
          <w:p>
            <w:pPr>
              <w:spacing w:after="0"/>
              <w:rPr>
                <w:sz w:val="20"/>
                <w:szCs w:val="20"/>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282A32"/>
              </w:rPr>
              <w:t>2,768.3</w:t>
            </w:r>
          </w:p>
        </w:tc>
        <w:tc>
          <w:tcPr>
            <w:tcW w:w="380" w:type="dxa"/>
            <w:vAlign w:val="bottom"/>
          </w:tcPr>
          <w:p>
            <w:pPr>
              <w:spacing w:after="0"/>
              <w:rPr>
                <w:sz w:val="20"/>
                <w:szCs w:val="20"/>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color w:val="282A32"/>
              </w:rPr>
              <w:t>2,854.8</w:t>
            </w:r>
          </w:p>
        </w:tc>
        <w:tc>
          <w:tcPr>
            <w:tcW w:w="1080" w:type="dxa"/>
            <w:vAlign w:val="bottom"/>
          </w:tcPr>
          <w:p>
            <w:pPr>
              <w:jc w:val="right"/>
              <w:ind w:right="120"/>
              <w:spacing w:after="0"/>
              <w:rPr>
                <w:sz w:val="20"/>
                <w:szCs w:val="20"/>
                <w:color w:val="auto"/>
              </w:rPr>
            </w:pPr>
            <w:r>
              <w:rPr>
                <w:rFonts w:ascii="Arial" w:cs="Arial" w:eastAsia="Arial" w:hAnsi="Arial"/>
                <w:sz w:val="16"/>
                <w:szCs w:val="16"/>
                <w:color w:val="282A32"/>
              </w:rPr>
              <w:t>(3.0)</w:t>
            </w:r>
          </w:p>
        </w:tc>
        <w:tc>
          <w:tcPr>
            <w:tcW w:w="1240" w:type="dxa"/>
            <w:vAlign w:val="bottom"/>
          </w:tcPr>
          <w:p>
            <w:pPr>
              <w:jc w:val="right"/>
              <w:ind w:right="183"/>
              <w:spacing w:after="0"/>
              <w:rPr>
                <w:sz w:val="20"/>
                <w:szCs w:val="20"/>
                <w:color w:val="auto"/>
              </w:rPr>
            </w:pPr>
            <w:r>
              <w:rPr>
                <w:rFonts w:ascii="Arial" w:cs="Arial" w:eastAsia="Arial" w:hAnsi="Arial"/>
                <w:sz w:val="16"/>
                <w:szCs w:val="16"/>
                <w:color w:val="282A32"/>
              </w:rPr>
              <w:t>(1.6)</w:t>
            </w:r>
          </w:p>
        </w:tc>
        <w:tc>
          <w:tcPr>
            <w:tcW w:w="1060" w:type="dxa"/>
            <w:vAlign w:val="bottom"/>
          </w:tcPr>
          <w:p>
            <w:pPr>
              <w:jc w:val="right"/>
              <w:ind w:right="43"/>
              <w:spacing w:after="0"/>
              <w:rPr>
                <w:sz w:val="20"/>
                <w:szCs w:val="20"/>
                <w:color w:val="auto"/>
              </w:rPr>
            </w:pPr>
            <w:r>
              <w:rPr>
                <w:rFonts w:ascii="Arial" w:cs="Arial" w:eastAsia="Arial" w:hAnsi="Arial"/>
                <w:sz w:val="16"/>
                <w:szCs w:val="16"/>
                <w:color w:val="282A32"/>
              </w:rPr>
              <w:t>(2.6)</w:t>
            </w:r>
          </w:p>
        </w:tc>
        <w:tc>
          <w:tcPr>
            <w:tcW w:w="0" w:type="dxa"/>
            <w:vAlign w:val="bottom"/>
          </w:tcPr>
          <w:p>
            <w:pPr>
              <w:spacing w:after="0"/>
              <w:rPr>
                <w:sz w:val="1"/>
                <w:szCs w:val="1"/>
                <w:color w:val="auto"/>
              </w:rPr>
            </w:pPr>
          </w:p>
        </w:tc>
      </w:tr>
      <w:tr>
        <w:trPr>
          <w:trHeight w:val="284"/>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282A32"/>
              </w:rPr>
              <w:t>Selling and administrative expenses as a % of revenues</w:t>
            </w: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282A32"/>
              </w:rPr>
              <w:t>13.3%</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i w:val="1"/>
                <w:iCs w:val="1"/>
                <w:color w:val="282A32"/>
              </w:rPr>
              <w:t>14.1%</w:t>
            </w: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40"/>
              <w:spacing w:after="0"/>
              <w:rPr>
                <w:sz w:val="20"/>
                <w:szCs w:val="20"/>
                <w:color w:val="auto"/>
              </w:rPr>
            </w:pPr>
            <w:r>
              <w:rPr>
                <w:rFonts w:ascii="Arial" w:cs="Arial" w:eastAsia="Arial" w:hAnsi="Arial"/>
                <w:sz w:val="16"/>
                <w:szCs w:val="16"/>
                <w:color w:val="282A32"/>
              </w:rPr>
              <w:t>Operating profit</w:t>
            </w:r>
          </w:p>
        </w:tc>
        <w:tc>
          <w:tcPr>
            <w:tcW w:w="106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282A32"/>
              </w:rPr>
              <w:t>719.9</w:t>
            </w:r>
          </w:p>
        </w:tc>
        <w:tc>
          <w:tcPr>
            <w:tcW w:w="380" w:type="dxa"/>
            <w:vAlign w:val="bottom"/>
          </w:tcPr>
          <w:p>
            <w:pPr>
              <w:spacing w:after="0"/>
              <w:rPr>
                <w:sz w:val="19"/>
                <w:szCs w:val="19"/>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color w:val="282A32"/>
              </w:rPr>
              <w:t>511.9</w:t>
            </w:r>
          </w:p>
        </w:tc>
        <w:tc>
          <w:tcPr>
            <w:tcW w:w="1080" w:type="dxa"/>
            <w:vAlign w:val="bottom"/>
          </w:tcPr>
          <w:p>
            <w:pPr>
              <w:jc w:val="right"/>
              <w:ind w:right="180"/>
              <w:spacing w:after="0"/>
              <w:rPr>
                <w:sz w:val="20"/>
                <w:szCs w:val="20"/>
                <w:color w:val="auto"/>
              </w:rPr>
            </w:pPr>
            <w:r>
              <w:rPr>
                <w:rFonts w:ascii="Arial" w:cs="Arial" w:eastAsia="Arial" w:hAnsi="Arial"/>
                <w:sz w:val="16"/>
                <w:szCs w:val="16"/>
                <w:color w:val="282A32"/>
              </w:rPr>
              <w:t>40.6</w:t>
            </w:r>
          </w:p>
        </w:tc>
        <w:tc>
          <w:tcPr>
            <w:tcW w:w="1240" w:type="dxa"/>
            <w:vAlign w:val="bottom"/>
          </w:tcPr>
          <w:p>
            <w:pPr>
              <w:jc w:val="right"/>
              <w:ind w:right="223"/>
              <w:spacing w:after="0"/>
              <w:rPr>
                <w:sz w:val="20"/>
                <w:szCs w:val="20"/>
                <w:color w:val="auto"/>
              </w:rPr>
            </w:pPr>
            <w:r>
              <w:rPr>
                <w:rFonts w:ascii="Arial" w:cs="Arial" w:eastAsia="Arial" w:hAnsi="Arial"/>
                <w:sz w:val="16"/>
                <w:szCs w:val="16"/>
                <w:color w:val="282A32"/>
              </w:rPr>
              <w:t>43.5</w:t>
            </w:r>
          </w:p>
        </w:tc>
        <w:tc>
          <w:tcPr>
            <w:tcW w:w="1060" w:type="dxa"/>
            <w:vAlign w:val="bottom"/>
          </w:tcPr>
          <w:p>
            <w:pPr>
              <w:jc w:val="right"/>
              <w:ind w:right="103"/>
              <w:spacing w:after="0"/>
              <w:rPr>
                <w:sz w:val="20"/>
                <w:szCs w:val="20"/>
                <w:color w:val="auto"/>
              </w:rPr>
            </w:pPr>
            <w:r>
              <w:rPr>
                <w:rFonts w:ascii="Arial" w:cs="Arial" w:eastAsia="Arial" w:hAnsi="Arial"/>
                <w:sz w:val="16"/>
                <w:szCs w:val="16"/>
                <w:color w:val="282A32"/>
              </w:rPr>
              <w:t>41.3</w:t>
            </w:r>
          </w:p>
        </w:tc>
        <w:tc>
          <w:tcPr>
            <w:tcW w:w="0" w:type="dxa"/>
            <w:vAlign w:val="bottom"/>
          </w:tcPr>
          <w:p>
            <w:pPr>
              <w:spacing w:after="0"/>
              <w:rPr>
                <w:sz w:val="1"/>
                <w:szCs w:val="1"/>
                <w:color w:val="auto"/>
              </w:rPr>
            </w:pPr>
          </w:p>
        </w:tc>
      </w:tr>
      <w:tr>
        <w:trPr>
          <w:trHeight w:val="278"/>
        </w:trPr>
        <w:tc>
          <w:tcPr>
            <w:tcW w:w="4340" w:type="dxa"/>
            <w:vAlign w:val="bottom"/>
          </w:tcPr>
          <w:p>
            <w:pPr>
              <w:ind w:left="40"/>
              <w:spacing w:after="0"/>
              <w:rPr>
                <w:sz w:val="20"/>
                <w:szCs w:val="20"/>
                <w:color w:val="auto"/>
              </w:rPr>
            </w:pPr>
            <w:r>
              <w:rPr>
                <w:rFonts w:ascii="Arial" w:cs="Arial" w:eastAsia="Arial" w:hAnsi="Arial"/>
                <w:sz w:val="14"/>
                <w:szCs w:val="14"/>
                <w:i w:val="1"/>
                <w:iCs w:val="1"/>
                <w:color w:val="282A32"/>
              </w:rPr>
              <w:t>Operating profit margin</w:t>
            </w:r>
          </w:p>
        </w:tc>
        <w:tc>
          <w:tcPr>
            <w:tcW w:w="10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282A32"/>
              </w:rPr>
              <w:t>3.5%</w:t>
            </w:r>
          </w:p>
        </w:tc>
        <w:tc>
          <w:tcPr>
            <w:tcW w:w="380" w:type="dxa"/>
            <w:vAlign w:val="bottom"/>
          </w:tcPr>
          <w:p>
            <w:pPr>
              <w:spacing w:after="0"/>
              <w:rPr>
                <w:sz w:val="24"/>
                <w:szCs w:val="24"/>
                <w:color w:val="auto"/>
              </w:rPr>
            </w:pPr>
          </w:p>
        </w:tc>
        <w:tc>
          <w:tcPr>
            <w:tcW w:w="1220" w:type="dxa"/>
            <w:vAlign w:val="bottom"/>
          </w:tcPr>
          <w:p>
            <w:pPr>
              <w:jc w:val="right"/>
              <w:ind w:right="142"/>
              <w:spacing w:after="0"/>
              <w:rPr>
                <w:sz w:val="20"/>
                <w:szCs w:val="20"/>
                <w:color w:val="auto"/>
              </w:rPr>
            </w:pPr>
            <w:r>
              <w:rPr>
                <w:rFonts w:ascii="Arial" w:cs="Arial" w:eastAsia="Arial" w:hAnsi="Arial"/>
                <w:sz w:val="14"/>
                <w:szCs w:val="14"/>
                <w:i w:val="1"/>
                <w:iCs w:val="1"/>
                <w:color w:val="282A32"/>
              </w:rPr>
              <w:t>2.5%</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40" w:type="dxa"/>
            <w:vAlign w:val="bottom"/>
          </w:tcPr>
          <w:p>
            <w:pPr>
              <w:ind w:left="300"/>
              <w:spacing w:after="0"/>
              <w:rPr>
                <w:sz w:val="20"/>
                <w:szCs w:val="20"/>
                <w:color w:val="auto"/>
              </w:rPr>
            </w:pPr>
            <w:r>
              <w:rPr>
                <w:rFonts w:ascii="Arial" w:cs="Arial" w:eastAsia="Arial" w:hAnsi="Arial"/>
                <w:sz w:val="16"/>
                <w:szCs w:val="16"/>
                <w:color w:val="282A32"/>
              </w:rPr>
              <w:t>Net interest expense</w:t>
            </w:r>
          </w:p>
        </w:tc>
        <w:tc>
          <w:tcPr>
            <w:tcW w:w="106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282A32"/>
              </w:rPr>
              <w:t>31.5</w:t>
            </w:r>
          </w:p>
        </w:tc>
        <w:tc>
          <w:tcPr>
            <w:tcW w:w="380" w:type="dxa"/>
            <w:vAlign w:val="bottom"/>
          </w:tcPr>
          <w:p>
            <w:pPr>
              <w:spacing w:after="0"/>
              <w:rPr>
                <w:sz w:val="22"/>
                <w:szCs w:val="22"/>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color w:val="282A32"/>
              </w:rPr>
              <w:t>33.4</w:t>
            </w:r>
          </w:p>
        </w:tc>
        <w:tc>
          <w:tcPr>
            <w:tcW w:w="1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3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Other expenses</w:t>
            </w: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82A32"/>
              </w:rPr>
              <w:t>6.8</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282A32"/>
              </w:rPr>
              <w:t>3.0</w:t>
            </w: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340" w:type="dxa"/>
            <w:vAlign w:val="bottom"/>
          </w:tcPr>
          <w:p>
            <w:pPr>
              <w:ind w:left="40"/>
              <w:spacing w:after="0"/>
              <w:rPr>
                <w:sz w:val="20"/>
                <w:szCs w:val="20"/>
                <w:color w:val="auto"/>
              </w:rPr>
            </w:pPr>
            <w:r>
              <w:rPr>
                <w:rFonts w:ascii="Arial" w:cs="Arial" w:eastAsia="Arial" w:hAnsi="Arial"/>
                <w:sz w:val="16"/>
                <w:szCs w:val="16"/>
                <w:color w:val="282A32"/>
              </w:rPr>
              <w:t>Earnings before income taxes</w:t>
            </w:r>
          </w:p>
        </w:tc>
        <w:tc>
          <w:tcPr>
            <w:tcW w:w="1060" w:type="dxa"/>
            <w:vAlign w:val="bottom"/>
          </w:tcPr>
          <w:p>
            <w:pPr>
              <w:spacing w:after="0"/>
              <w:rPr>
                <w:sz w:val="21"/>
                <w:szCs w:val="21"/>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282A32"/>
              </w:rPr>
              <w:t>681.6</w:t>
            </w:r>
          </w:p>
        </w:tc>
        <w:tc>
          <w:tcPr>
            <w:tcW w:w="380" w:type="dxa"/>
            <w:vAlign w:val="bottom"/>
          </w:tcPr>
          <w:p>
            <w:pPr>
              <w:spacing w:after="0"/>
              <w:rPr>
                <w:sz w:val="21"/>
                <w:szCs w:val="21"/>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color w:val="282A32"/>
              </w:rPr>
              <w:t>475.5</w:t>
            </w:r>
          </w:p>
        </w:tc>
        <w:tc>
          <w:tcPr>
            <w:tcW w:w="1080" w:type="dxa"/>
            <w:vAlign w:val="bottom"/>
          </w:tcPr>
          <w:p>
            <w:pPr>
              <w:jc w:val="right"/>
              <w:ind w:right="180"/>
              <w:spacing w:after="0"/>
              <w:rPr>
                <w:sz w:val="20"/>
                <w:szCs w:val="20"/>
                <w:color w:val="auto"/>
              </w:rPr>
            </w:pPr>
            <w:r>
              <w:rPr>
                <w:rFonts w:ascii="Arial" w:cs="Arial" w:eastAsia="Arial" w:hAnsi="Arial"/>
                <w:sz w:val="16"/>
                <w:szCs w:val="16"/>
                <w:color w:val="282A32"/>
              </w:rPr>
              <w:t>43.4</w:t>
            </w:r>
          </w:p>
        </w:tc>
        <w:tc>
          <w:tcPr>
            <w:tcW w:w="1240" w:type="dxa"/>
            <w:vAlign w:val="bottom"/>
          </w:tcPr>
          <w:p>
            <w:pPr>
              <w:jc w:val="right"/>
              <w:ind w:right="223"/>
              <w:spacing w:after="0"/>
              <w:rPr>
                <w:sz w:val="20"/>
                <w:szCs w:val="20"/>
                <w:color w:val="auto"/>
              </w:rPr>
            </w:pPr>
            <w:r>
              <w:rPr>
                <w:rFonts w:ascii="Arial" w:cs="Arial" w:eastAsia="Arial" w:hAnsi="Arial"/>
                <w:sz w:val="16"/>
                <w:szCs w:val="16"/>
                <w:color w:val="282A32"/>
              </w:rPr>
              <w:t>45.9</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300"/>
              <w:spacing w:after="0"/>
              <w:rPr>
                <w:sz w:val="20"/>
                <w:szCs w:val="20"/>
                <w:color w:val="auto"/>
              </w:rPr>
            </w:pPr>
            <w:r>
              <w:rPr>
                <w:rFonts w:ascii="Arial" w:cs="Arial" w:eastAsia="Arial" w:hAnsi="Arial"/>
                <w:sz w:val="16"/>
                <w:szCs w:val="16"/>
                <w:color w:val="282A32"/>
              </w:rPr>
              <w:t>Provision for income taxes</w:t>
            </w:r>
          </w:p>
        </w:tc>
        <w:tc>
          <w:tcPr>
            <w:tcW w:w="10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282A32"/>
              </w:rPr>
              <w:t>254.0</w:t>
            </w:r>
          </w:p>
        </w:tc>
        <w:tc>
          <w:tcPr>
            <w:tcW w:w="380" w:type="dxa"/>
            <w:vAlign w:val="bottom"/>
          </w:tcPr>
          <w:p>
            <w:pPr>
              <w:spacing w:after="0"/>
              <w:rPr>
                <w:sz w:val="23"/>
                <w:szCs w:val="23"/>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color w:val="282A32"/>
              </w:rPr>
              <w:t>187.5</w:t>
            </w:r>
          </w:p>
        </w:tc>
        <w:tc>
          <w:tcPr>
            <w:tcW w:w="1080" w:type="dxa"/>
            <w:vAlign w:val="bottom"/>
          </w:tcPr>
          <w:p>
            <w:pPr>
              <w:jc w:val="right"/>
              <w:ind w:right="180"/>
              <w:spacing w:after="0"/>
              <w:rPr>
                <w:sz w:val="20"/>
                <w:szCs w:val="20"/>
                <w:color w:val="auto"/>
              </w:rPr>
            </w:pPr>
            <w:r>
              <w:rPr>
                <w:rFonts w:ascii="Arial" w:cs="Arial" w:eastAsia="Arial" w:hAnsi="Arial"/>
                <w:sz w:val="16"/>
                <w:szCs w:val="16"/>
                <w:color w:val="282A32"/>
              </w:rPr>
              <w:t>35.5</w:t>
            </w: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340" w:type="dxa"/>
            <w:vAlign w:val="bottom"/>
            <w:tcBorders>
              <w:bottom w:val="single" w:sz="8" w:color="auto"/>
            </w:tcBorders>
          </w:tcPr>
          <w:p>
            <w:pPr>
              <w:ind w:left="300"/>
              <w:spacing w:after="0"/>
              <w:rPr>
                <w:sz w:val="20"/>
                <w:szCs w:val="20"/>
                <w:color w:val="auto"/>
              </w:rPr>
            </w:pPr>
            <w:r>
              <w:rPr>
                <w:rFonts w:ascii="Arial" w:cs="Arial" w:eastAsia="Arial" w:hAnsi="Arial"/>
                <w:sz w:val="14"/>
                <w:szCs w:val="14"/>
                <w:i w:val="1"/>
                <w:iCs w:val="1"/>
                <w:color w:val="282A32"/>
              </w:rPr>
              <w:t>Effective income tax rate</w:t>
            </w: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282A32"/>
              </w:rPr>
              <w:t>37.3%</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i w:val="1"/>
                <w:iCs w:val="1"/>
                <w:color w:val="282A32"/>
              </w:rPr>
              <w:t>39.4%</w:t>
            </w: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Net earnings</w:t>
            </w: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82A32"/>
              </w:rPr>
              <w:t>427.6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282A32"/>
              </w:rPr>
              <w:t>$</w:t>
            </w: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282A32"/>
              </w:rPr>
              <w:t>288.0</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282A32"/>
              </w:rPr>
              <w:t>48.5</w:t>
            </w: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282A32"/>
              </w:rPr>
              <w:t>51.4</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Net earnings per share — diluted</w:t>
            </w: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82A32"/>
              </w:rPr>
              <w:t>5.30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282A32"/>
              </w:rPr>
              <w:t>$</w:t>
            </w: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282A32"/>
              </w:rPr>
              <w:t>3.62</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282A32"/>
              </w:rPr>
              <w:t>46.4</w:t>
            </w: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282A32"/>
              </w:rPr>
              <w:t>49.2</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Weighted average shares — diluted</w:t>
            </w:r>
          </w:p>
        </w:tc>
        <w:tc>
          <w:tcPr>
            <w:tcW w:w="10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82A32"/>
              </w:rPr>
              <w:t>80.7</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282A32"/>
              </w:rPr>
              <w:t>79.6</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1.5%</w:t>
            </w:r>
          </w:p>
        </w:tc>
        <w:tc>
          <w:tcPr>
            <w:tcW w:w="1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8"/>
        </w:trPr>
        <w:tc>
          <w:tcPr>
            <w:tcW w:w="4340" w:type="dxa"/>
            <w:vAlign w:val="bottom"/>
          </w:tcPr>
          <w:p>
            <w:pPr>
              <w:ind w:left="140"/>
              <w:spacing w:after="0"/>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20</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2"/>
          </w:tcPr>
          <w:p>
            <w:pPr>
              <w:jc w:val="right"/>
              <w:ind w:right="43"/>
              <w:spacing w:after="0"/>
              <w:rPr>
                <w:sz w:val="20"/>
                <w:szCs w:val="20"/>
                <w:color w:val="auto"/>
              </w:rPr>
            </w:pPr>
            <w:r>
              <w:rPr>
                <w:rFonts w:ascii="Arial" w:cs="Arial" w:eastAsia="Arial" w:hAnsi="Arial"/>
                <w:sz w:val="13"/>
                <w:szCs w:val="13"/>
                <w:color w:val="auto"/>
              </w:rPr>
              <w:t>Management's Discussion &amp; Analysis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282A32"/>
        </w:rPr>
        <w:t>The year-over-year increase in revenues from services of 2.5% (4.0% in constant currency and 3.6% in organic constant currency) was attributed to:</w:t>
      </w:r>
    </w:p>
    <w:p>
      <w:pPr>
        <w:spacing w:after="0" w:line="194" w:lineRule="exact"/>
        <w:rPr>
          <w:sz w:val="20"/>
          <w:szCs w:val="20"/>
          <w:color w:val="auto"/>
        </w:rPr>
      </w:pPr>
    </w:p>
    <w:p>
      <w:pPr>
        <w:jc w:val="both"/>
        <w:ind w:left="80" w:hanging="72"/>
        <w:spacing w:after="0" w:line="250" w:lineRule="auto"/>
        <w:tabs>
          <w:tab w:leader="none" w:pos="114" w:val="left"/>
        </w:tabs>
        <w:numPr>
          <w:ilvl w:val="0"/>
          <w:numId w:val="70"/>
        </w:numPr>
        <w:rPr>
          <w:rFonts w:ascii="Arial" w:cs="Arial" w:eastAsia="Arial" w:hAnsi="Arial"/>
          <w:sz w:val="16"/>
          <w:szCs w:val="16"/>
          <w:color w:val="2989B9"/>
        </w:rPr>
      </w:pPr>
      <w:r>
        <w:rPr>
          <w:rFonts w:ascii="Arial" w:cs="Arial" w:eastAsia="Arial" w:hAnsi="Arial"/>
          <w:sz w:val="16"/>
          <w:szCs w:val="16"/>
          <w:color w:val="282A32"/>
        </w:rPr>
        <w:t>increased demand for services in several of our markets within Southern Europe and Northern Europe, where revenues increased 3.8% (3.8% in constant currency and 3.6% in organic constant currency) and 5.4% (5.7% in constant currency and 4.4% in organic constant currency), respectively. This included revenue increases in our larger markets of France and Italy of 1.3% (1.2% in constant currency) and 8.4% (8.5% in constant currency and 8.1% in organic constant currency), respectively, as we experienced stabilization in France, and improved demand in Italy, for much of 2014. We also experienced organic constant currency revenue growth in Spain, the United Kingdom, and the Netherlands of 24.2%, 12.7%, and 5.1%, respectively;</w:t>
      </w:r>
    </w:p>
    <w:p>
      <w:pPr>
        <w:spacing w:after="0" w:line="176" w:lineRule="exact"/>
        <w:rPr>
          <w:rFonts w:ascii="Arial" w:cs="Arial" w:eastAsia="Arial" w:hAnsi="Arial"/>
          <w:sz w:val="16"/>
          <w:szCs w:val="16"/>
          <w:color w:val="2989B9"/>
        </w:rPr>
      </w:pPr>
    </w:p>
    <w:p>
      <w:pPr>
        <w:ind w:left="80" w:hanging="72"/>
        <w:spacing w:after="0" w:line="260" w:lineRule="auto"/>
        <w:tabs>
          <w:tab w:leader="none" w:pos="103" w:val="left"/>
        </w:tabs>
        <w:numPr>
          <w:ilvl w:val="0"/>
          <w:numId w:val="70"/>
        </w:numPr>
        <w:rPr>
          <w:rFonts w:ascii="Arial" w:cs="Arial" w:eastAsia="Arial" w:hAnsi="Arial"/>
          <w:sz w:val="16"/>
          <w:szCs w:val="16"/>
          <w:color w:val="2989B9"/>
        </w:rPr>
      </w:pPr>
      <w:r>
        <w:rPr>
          <w:rFonts w:ascii="Arial" w:cs="Arial" w:eastAsia="Arial" w:hAnsi="Arial"/>
          <w:sz w:val="16"/>
          <w:szCs w:val="16"/>
          <w:color w:val="282A32"/>
        </w:rPr>
        <w:t>revenue increase in the United States of 4.0% driven by growth in our larger national accounts and in the small/medium- sized business within our Manpower business as well as solid growth in our MSP and RPO offerings within the ManpowerGroup Solutions business; and</w:t>
      </w:r>
    </w:p>
    <w:p>
      <w:pPr>
        <w:spacing w:after="0" w:line="168" w:lineRule="exact"/>
        <w:rPr>
          <w:rFonts w:ascii="Arial" w:cs="Arial" w:eastAsia="Arial" w:hAnsi="Arial"/>
          <w:sz w:val="16"/>
          <w:szCs w:val="16"/>
          <w:color w:val="2989B9"/>
        </w:rPr>
      </w:pPr>
    </w:p>
    <w:p>
      <w:pPr>
        <w:ind w:left="80" w:right="20" w:hanging="72"/>
        <w:spacing w:after="0" w:line="250" w:lineRule="auto"/>
        <w:tabs>
          <w:tab w:leader="none" w:pos="105" w:val="left"/>
        </w:tabs>
        <w:numPr>
          <w:ilvl w:val="0"/>
          <w:numId w:val="70"/>
        </w:numPr>
        <w:rPr>
          <w:rFonts w:ascii="Arial" w:cs="Arial" w:eastAsia="Arial" w:hAnsi="Arial"/>
          <w:sz w:val="16"/>
          <w:szCs w:val="16"/>
          <w:color w:val="2989B9"/>
        </w:rPr>
      </w:pPr>
      <w:r>
        <w:rPr>
          <w:rFonts w:ascii="Arial" w:cs="Arial" w:eastAsia="Arial" w:hAnsi="Arial"/>
          <w:sz w:val="16"/>
          <w:szCs w:val="16"/>
          <w:color w:val="282A32"/>
        </w:rPr>
        <w:t>our acquisitions in Southern Europe, Northern Europe and APME, which combined to add 0.4% of revenue growth to our consolidated results: partially offset by</w:t>
      </w:r>
    </w:p>
    <w:p>
      <w:pPr>
        <w:spacing w:after="0" w:line="375" w:lineRule="exact"/>
        <w:rPr>
          <w:rFonts w:ascii="Arial" w:cs="Arial" w:eastAsia="Arial" w:hAnsi="Arial"/>
          <w:sz w:val="16"/>
          <w:szCs w:val="16"/>
          <w:color w:val="2989B9"/>
        </w:rPr>
      </w:pPr>
    </w:p>
    <w:p>
      <w:pPr>
        <w:jc w:val="both"/>
        <w:ind w:left="80" w:hanging="72"/>
        <w:spacing w:after="0" w:line="251" w:lineRule="auto"/>
        <w:tabs>
          <w:tab w:leader="none" w:pos="111" w:val="left"/>
        </w:tabs>
        <w:numPr>
          <w:ilvl w:val="0"/>
          <w:numId w:val="70"/>
        </w:numPr>
        <w:rPr>
          <w:rFonts w:ascii="Arial" w:cs="Arial" w:eastAsia="Arial" w:hAnsi="Arial"/>
          <w:sz w:val="16"/>
          <w:szCs w:val="16"/>
          <w:color w:val="2989B9"/>
        </w:rPr>
      </w:pPr>
      <w:r>
        <w:rPr>
          <w:rFonts w:ascii="Arial" w:cs="Arial" w:eastAsia="Arial" w:hAnsi="Arial"/>
          <w:sz w:val="16"/>
          <w:szCs w:val="16"/>
          <w:color w:val="282A32"/>
        </w:rPr>
        <w:t>revenue decrease in APME of 4.9% (-0.1% in constant currency and -0.6% in organic constant currency) primarily due to a decrease in our staffing/interim business in Japan as we were challenged to recruit candidates in a tight labor market even though we experienced gradual improvement in demand for our staffing/interim services, and in China where legislative changes restricted the use of temporary employment and we recently experienced a softer demand in the market; and</w:t>
      </w:r>
    </w:p>
    <w:p>
      <w:pPr>
        <w:spacing w:after="0" w:line="175" w:lineRule="exact"/>
        <w:rPr>
          <w:rFonts w:ascii="Arial" w:cs="Arial" w:eastAsia="Arial" w:hAnsi="Arial"/>
          <w:sz w:val="16"/>
          <w:szCs w:val="16"/>
          <w:color w:val="2989B9"/>
        </w:rPr>
      </w:pPr>
    </w:p>
    <w:p>
      <w:pPr>
        <w:ind w:left="100" w:hanging="92"/>
        <w:spacing w:after="0"/>
        <w:tabs>
          <w:tab w:leader="none" w:pos="100" w:val="left"/>
        </w:tabs>
        <w:numPr>
          <w:ilvl w:val="0"/>
          <w:numId w:val="70"/>
        </w:numPr>
        <w:rPr>
          <w:rFonts w:ascii="Arial" w:cs="Arial" w:eastAsia="Arial" w:hAnsi="Arial"/>
          <w:sz w:val="16"/>
          <w:szCs w:val="16"/>
          <w:color w:val="2989B9"/>
        </w:rPr>
      </w:pPr>
      <w:r>
        <w:rPr>
          <w:rFonts w:ascii="Arial" w:cs="Arial" w:eastAsia="Arial" w:hAnsi="Arial"/>
          <w:sz w:val="16"/>
          <w:szCs w:val="16"/>
          <w:color w:val="282A32"/>
        </w:rPr>
        <w:t>decreased demand for outplacement services at Right Management, where these revenues decreased 10.2% (-9.8% in constant currency).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The year-over-year 20 basis point (0.20%) increase in gross profit margin was primarily attributed to:</w:t>
      </w:r>
    </w:p>
    <w:p>
      <w:pPr>
        <w:spacing w:after="0" w:line="194" w:lineRule="exact"/>
        <w:rPr>
          <w:sz w:val="20"/>
          <w:szCs w:val="20"/>
          <w:color w:val="auto"/>
        </w:rPr>
      </w:pPr>
    </w:p>
    <w:p>
      <w:pPr>
        <w:ind w:left="80" w:right="20" w:hanging="72"/>
        <w:spacing w:after="0" w:line="260" w:lineRule="auto"/>
        <w:tabs>
          <w:tab w:leader="none" w:pos="118" w:val="left"/>
        </w:tabs>
        <w:numPr>
          <w:ilvl w:val="0"/>
          <w:numId w:val="71"/>
        </w:numPr>
        <w:rPr>
          <w:rFonts w:ascii="Arial" w:cs="Arial" w:eastAsia="Arial" w:hAnsi="Arial"/>
          <w:sz w:val="16"/>
          <w:szCs w:val="16"/>
          <w:color w:val="2989B9"/>
        </w:rPr>
      </w:pPr>
      <w:r>
        <w:rPr>
          <w:rFonts w:ascii="Arial" w:cs="Arial" w:eastAsia="Arial" w:hAnsi="Arial"/>
          <w:sz w:val="16"/>
          <w:szCs w:val="16"/>
          <w:color w:val="282A32"/>
        </w:rPr>
        <w:t>a 20 basis point (0.20%) favorable impact from the improvement in our staffing/interim margin as increases in Southern Europe and APME were partially offset by a decrease in Northern Europe, while the Americas remained flat; and</w:t>
      </w:r>
    </w:p>
    <w:p>
      <w:pPr>
        <w:spacing w:after="0" w:line="168" w:lineRule="exact"/>
        <w:rPr>
          <w:rFonts w:ascii="Arial" w:cs="Arial" w:eastAsia="Arial" w:hAnsi="Arial"/>
          <w:sz w:val="16"/>
          <w:szCs w:val="16"/>
          <w:color w:val="2989B9"/>
        </w:rPr>
      </w:pPr>
    </w:p>
    <w:p>
      <w:pPr>
        <w:ind w:left="100" w:hanging="92"/>
        <w:spacing w:after="0"/>
        <w:tabs>
          <w:tab w:leader="none" w:pos="100" w:val="left"/>
        </w:tabs>
        <w:numPr>
          <w:ilvl w:val="0"/>
          <w:numId w:val="71"/>
        </w:numPr>
        <w:rPr>
          <w:rFonts w:ascii="Arial" w:cs="Arial" w:eastAsia="Arial" w:hAnsi="Arial"/>
          <w:sz w:val="16"/>
          <w:szCs w:val="16"/>
          <w:color w:val="2989B9"/>
        </w:rPr>
      </w:pPr>
      <w:r>
        <w:rPr>
          <w:rFonts w:ascii="Arial" w:cs="Arial" w:eastAsia="Arial" w:hAnsi="Arial"/>
          <w:sz w:val="16"/>
          <w:szCs w:val="16"/>
          <w:color w:val="282A32"/>
        </w:rPr>
        <w:t>a 20 basis point (0.20%) favorable impact resulting from a 13.3% constant currency increase in our permanent recruitment business; partially offset by</w:t>
      </w:r>
    </w:p>
    <w:p>
      <w:pPr>
        <w:spacing w:after="0" w:line="194" w:lineRule="exact"/>
        <w:rPr>
          <w:rFonts w:ascii="Arial" w:cs="Arial" w:eastAsia="Arial" w:hAnsi="Arial"/>
          <w:sz w:val="16"/>
          <w:szCs w:val="16"/>
          <w:color w:val="2989B9"/>
        </w:rPr>
      </w:pPr>
    </w:p>
    <w:p>
      <w:pPr>
        <w:ind w:left="100" w:hanging="92"/>
        <w:spacing w:after="0"/>
        <w:tabs>
          <w:tab w:leader="none" w:pos="100" w:val="left"/>
        </w:tabs>
        <w:numPr>
          <w:ilvl w:val="0"/>
          <w:numId w:val="71"/>
        </w:numPr>
        <w:rPr>
          <w:rFonts w:ascii="Arial" w:cs="Arial" w:eastAsia="Arial" w:hAnsi="Arial"/>
          <w:sz w:val="16"/>
          <w:szCs w:val="16"/>
          <w:color w:val="2989B9"/>
        </w:rPr>
      </w:pPr>
      <w:r>
        <w:rPr>
          <w:rFonts w:ascii="Arial" w:cs="Arial" w:eastAsia="Arial" w:hAnsi="Arial"/>
          <w:sz w:val="16"/>
          <w:szCs w:val="16"/>
          <w:color w:val="282A32"/>
        </w:rPr>
        <w:t>a 10 basis point (-0.10%) unfavorable impact from decreased demand for our higher-margin outplacement services at Right Management; and</w:t>
      </w:r>
    </w:p>
    <w:p>
      <w:pPr>
        <w:spacing w:after="0" w:line="194" w:lineRule="exact"/>
        <w:rPr>
          <w:rFonts w:ascii="Arial" w:cs="Arial" w:eastAsia="Arial" w:hAnsi="Arial"/>
          <w:sz w:val="16"/>
          <w:szCs w:val="16"/>
          <w:color w:val="2989B9"/>
        </w:rPr>
      </w:pPr>
    </w:p>
    <w:p>
      <w:pPr>
        <w:ind w:left="100" w:hanging="92"/>
        <w:spacing w:after="0"/>
        <w:tabs>
          <w:tab w:leader="none" w:pos="100" w:val="left"/>
        </w:tabs>
        <w:numPr>
          <w:ilvl w:val="0"/>
          <w:numId w:val="71"/>
        </w:numPr>
        <w:rPr>
          <w:rFonts w:ascii="Arial" w:cs="Arial" w:eastAsia="Arial" w:hAnsi="Arial"/>
          <w:sz w:val="16"/>
          <w:szCs w:val="16"/>
          <w:color w:val="2989B9"/>
        </w:rPr>
      </w:pPr>
      <w:r>
        <w:rPr>
          <w:rFonts w:ascii="Arial" w:cs="Arial" w:eastAsia="Arial" w:hAnsi="Arial"/>
          <w:sz w:val="16"/>
          <w:szCs w:val="16"/>
          <w:color w:val="282A32"/>
        </w:rPr>
        <w:t>a 10 basis point (-0.10%) decline from our other business offerings, primarily a result of costs related to a contract termination.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The 3.0% decline in selling and administrative expenses in 2014 (-1.6% in constant currency and -2.6% in organic constant currency) was attributed to:</w:t>
      </w:r>
    </w:p>
    <w:p>
      <w:pPr>
        <w:spacing w:after="0" w:line="194" w:lineRule="exact"/>
        <w:rPr>
          <w:sz w:val="20"/>
          <w:szCs w:val="20"/>
          <w:color w:val="auto"/>
        </w:rPr>
      </w:pPr>
    </w:p>
    <w:p>
      <w:pPr>
        <w:ind w:left="80" w:hanging="72"/>
        <w:spacing w:after="0" w:line="260" w:lineRule="auto"/>
        <w:tabs>
          <w:tab w:leader="none" w:pos="101" w:val="left"/>
        </w:tabs>
        <w:numPr>
          <w:ilvl w:val="0"/>
          <w:numId w:val="72"/>
        </w:numPr>
        <w:rPr>
          <w:rFonts w:ascii="Arial" w:cs="Arial" w:eastAsia="Arial" w:hAnsi="Arial"/>
          <w:sz w:val="16"/>
          <w:szCs w:val="16"/>
          <w:color w:val="2989B9"/>
        </w:rPr>
      </w:pPr>
      <w:r>
        <w:rPr>
          <w:rFonts w:ascii="Arial" w:cs="Arial" w:eastAsia="Arial" w:hAnsi="Arial"/>
          <w:sz w:val="16"/>
          <w:szCs w:val="16"/>
          <w:color w:val="282A32"/>
        </w:rPr>
        <w:t>a decrease in restructuring costs with zero in 2014 and $89.4 million in 2013, comprised of $18.0 million in the Americas, $7.8 million in Southern Europe, $39.0 million in Northern Europe, $6.2 million in APME, $14.0 million at Right Management and $4.4 million in corporate expenses;</w:t>
      </w:r>
    </w:p>
    <w:p>
      <w:pPr>
        <w:spacing w:after="0" w:line="168" w:lineRule="exact"/>
        <w:rPr>
          <w:rFonts w:ascii="Arial" w:cs="Arial" w:eastAsia="Arial" w:hAnsi="Arial"/>
          <w:sz w:val="16"/>
          <w:szCs w:val="16"/>
          <w:color w:val="2989B9"/>
        </w:rPr>
      </w:pPr>
    </w:p>
    <w:p>
      <w:pPr>
        <w:ind w:left="80" w:hanging="72"/>
        <w:spacing w:after="0" w:line="260" w:lineRule="auto"/>
        <w:tabs>
          <w:tab w:leader="none" w:pos="101" w:val="left"/>
        </w:tabs>
        <w:numPr>
          <w:ilvl w:val="0"/>
          <w:numId w:val="72"/>
        </w:numPr>
        <w:rPr>
          <w:rFonts w:ascii="Arial" w:cs="Arial" w:eastAsia="Arial" w:hAnsi="Arial"/>
          <w:sz w:val="16"/>
          <w:szCs w:val="16"/>
          <w:color w:val="2989B9"/>
        </w:rPr>
      </w:pPr>
      <w:r>
        <w:rPr>
          <w:rFonts w:ascii="Arial" w:cs="Arial" w:eastAsia="Arial" w:hAnsi="Arial"/>
          <w:sz w:val="16"/>
          <w:szCs w:val="16"/>
          <w:color w:val="282A32"/>
        </w:rPr>
        <w:t>a 7.7% decrease in lease and office-related costs because we closed over 200 offices in 2014 as a result of office consolidations and delivery model changes; and</w:t>
      </w:r>
    </w:p>
    <w:p>
      <w:pPr>
        <w:spacing w:after="0" w:line="168" w:lineRule="exact"/>
        <w:rPr>
          <w:rFonts w:ascii="Arial" w:cs="Arial" w:eastAsia="Arial" w:hAnsi="Arial"/>
          <w:sz w:val="16"/>
          <w:szCs w:val="16"/>
          <w:color w:val="2989B9"/>
        </w:rPr>
      </w:pPr>
    </w:p>
    <w:p>
      <w:pPr>
        <w:ind w:left="80" w:hanging="72"/>
        <w:spacing w:after="0" w:line="260" w:lineRule="auto"/>
        <w:tabs>
          <w:tab w:leader="none" w:pos="136" w:val="left"/>
        </w:tabs>
        <w:numPr>
          <w:ilvl w:val="0"/>
          <w:numId w:val="72"/>
        </w:numPr>
        <w:rPr>
          <w:rFonts w:ascii="Arial" w:cs="Arial" w:eastAsia="Arial" w:hAnsi="Arial"/>
          <w:sz w:val="16"/>
          <w:szCs w:val="16"/>
          <w:color w:val="2989B9"/>
        </w:rPr>
      </w:pPr>
      <w:r>
        <w:rPr>
          <w:rFonts w:ascii="Arial" w:cs="Arial" w:eastAsia="Arial" w:hAnsi="Arial"/>
          <w:sz w:val="16"/>
          <w:szCs w:val="16"/>
          <w:color w:val="282A32"/>
        </w:rPr>
        <w:t>a decrease in other non-personnel related costs, excluding the lease and office-related costs noted above, as a result of the simplification and cost recalibration actions taken; partially offset by</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21 </w:t>
      </w:r>
      <w:r>
        <w:rPr>
          <w:rFonts w:ascii="Arial" w:cs="Arial" w:eastAsia="Arial" w:hAnsi="Arial"/>
          <w:sz w:val="12"/>
          <w:szCs w:val="12"/>
          <w:color w:val="auto"/>
        </w:rPr>
        <w:t>| ManpowerGroup</w:t>
      </w:r>
    </w:p>
    <w:p>
      <w:pPr>
        <w:sectPr>
          <w:pgSz w:w="11900" w:h="16838" w:orient="portrait"/>
          <w:cols w:equalWidth="0" w:num="1">
            <w:col w:w="11420"/>
          </w:cols>
          <w:pgMar w:left="240" w:top="141"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200" w:lineRule="exact"/>
        <w:rPr>
          <w:sz w:val="20"/>
          <w:szCs w:val="20"/>
          <w:color w:val="auto"/>
        </w:rPr>
      </w:pPr>
    </w:p>
    <w:p>
      <w:pPr>
        <w:spacing w:after="0" w:line="291" w:lineRule="exact"/>
        <w:rPr>
          <w:sz w:val="20"/>
          <w:szCs w:val="20"/>
          <w:color w:val="auto"/>
        </w:rPr>
      </w:pPr>
    </w:p>
    <w:p>
      <w:pPr>
        <w:ind w:left="80" w:hanging="72"/>
        <w:spacing w:after="0" w:line="260" w:lineRule="auto"/>
        <w:tabs>
          <w:tab w:leader="none" w:pos="141" w:val="left"/>
        </w:tabs>
        <w:numPr>
          <w:ilvl w:val="0"/>
          <w:numId w:val="73"/>
        </w:numPr>
        <w:rPr>
          <w:rFonts w:ascii="Arial" w:cs="Arial" w:eastAsia="Arial" w:hAnsi="Arial"/>
          <w:sz w:val="16"/>
          <w:szCs w:val="16"/>
          <w:color w:val="2989B9"/>
        </w:rPr>
      </w:pPr>
      <w:r>
        <w:rPr>
          <w:rFonts w:ascii="Arial" w:cs="Arial" w:eastAsia="Arial" w:hAnsi="Arial"/>
          <w:sz w:val="16"/>
          <w:szCs w:val="16"/>
          <w:color w:val="282A32"/>
        </w:rPr>
        <w:t>legal costs of $9.0 million recorded in the United States related to a settlement agreement in 2014 (see the Employment-Related Items section of Management’s Discussion and Analysis for additional information);</w:t>
      </w:r>
    </w:p>
    <w:p>
      <w:pPr>
        <w:spacing w:after="0" w:line="168" w:lineRule="exact"/>
        <w:rPr>
          <w:rFonts w:ascii="Arial" w:cs="Arial" w:eastAsia="Arial" w:hAnsi="Arial"/>
          <w:sz w:val="16"/>
          <w:szCs w:val="16"/>
          <w:color w:val="2989B9"/>
        </w:rPr>
      </w:pPr>
    </w:p>
    <w:p>
      <w:pPr>
        <w:ind w:left="100" w:hanging="92"/>
        <w:spacing w:after="0"/>
        <w:tabs>
          <w:tab w:leader="none" w:pos="100" w:val="left"/>
        </w:tabs>
        <w:numPr>
          <w:ilvl w:val="0"/>
          <w:numId w:val="73"/>
        </w:numPr>
        <w:rPr>
          <w:rFonts w:ascii="Arial" w:cs="Arial" w:eastAsia="Arial" w:hAnsi="Arial"/>
          <w:sz w:val="16"/>
          <w:szCs w:val="16"/>
          <w:color w:val="2989B9"/>
        </w:rPr>
      </w:pPr>
      <w:r>
        <w:rPr>
          <w:rFonts w:ascii="Arial" w:cs="Arial" w:eastAsia="Arial" w:hAnsi="Arial"/>
          <w:sz w:val="16"/>
          <w:szCs w:val="16"/>
          <w:color w:val="282A32"/>
        </w:rPr>
        <w:t>a 1.2% increase in organic salary-related costs primarily from an increase in our variable incentive-based costs due to improved operating results; and</w:t>
      </w:r>
    </w:p>
    <w:p>
      <w:pPr>
        <w:spacing w:after="0" w:line="194" w:lineRule="exact"/>
        <w:rPr>
          <w:rFonts w:ascii="Arial" w:cs="Arial" w:eastAsia="Arial" w:hAnsi="Arial"/>
          <w:sz w:val="16"/>
          <w:szCs w:val="16"/>
          <w:color w:val="2989B9"/>
        </w:rPr>
      </w:pPr>
    </w:p>
    <w:p>
      <w:pPr>
        <w:ind w:left="100" w:hanging="92"/>
        <w:spacing w:after="0"/>
        <w:tabs>
          <w:tab w:leader="none" w:pos="100" w:val="left"/>
        </w:tabs>
        <w:numPr>
          <w:ilvl w:val="0"/>
          <w:numId w:val="73"/>
        </w:numPr>
        <w:rPr>
          <w:rFonts w:ascii="Arial" w:cs="Arial" w:eastAsia="Arial" w:hAnsi="Arial"/>
          <w:sz w:val="16"/>
          <w:szCs w:val="16"/>
          <w:color w:val="2989B9"/>
        </w:rPr>
      </w:pPr>
      <w:r>
        <w:rPr>
          <w:rFonts w:ascii="Arial" w:cs="Arial" w:eastAsia="Arial" w:hAnsi="Arial"/>
          <w:sz w:val="16"/>
          <w:szCs w:val="16"/>
          <w:color w:val="282A32"/>
        </w:rPr>
        <w:t>the additional recurring selling and administrative costs incurred as a result of the acquisitions in Southern Europe, Northern Europe and APME.</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82A32"/>
        </w:rPr>
        <w:t>Selling and administrative expenses as a percent of revenues decreased 80 basis points (-0.80%) in 2014. The change in selling and administrative expense as a percent of revenues primarily consisted of:</w:t>
      </w:r>
    </w:p>
    <w:p>
      <w:pPr>
        <w:spacing w:after="0" w:line="169" w:lineRule="exact"/>
        <w:rPr>
          <w:sz w:val="20"/>
          <w:szCs w:val="20"/>
          <w:color w:val="auto"/>
        </w:rPr>
      </w:pPr>
    </w:p>
    <w:p>
      <w:pPr>
        <w:ind w:left="100" w:hanging="92"/>
        <w:spacing w:after="0"/>
        <w:tabs>
          <w:tab w:leader="none" w:pos="100" w:val="left"/>
        </w:tabs>
        <w:numPr>
          <w:ilvl w:val="0"/>
          <w:numId w:val="74"/>
        </w:numPr>
        <w:rPr>
          <w:rFonts w:ascii="Arial" w:cs="Arial" w:eastAsia="Arial" w:hAnsi="Arial"/>
          <w:sz w:val="16"/>
          <w:szCs w:val="16"/>
          <w:color w:val="2989B9"/>
        </w:rPr>
      </w:pPr>
      <w:r>
        <w:rPr>
          <w:rFonts w:ascii="Arial" w:cs="Arial" w:eastAsia="Arial" w:hAnsi="Arial"/>
          <w:sz w:val="16"/>
          <w:szCs w:val="16"/>
          <w:color w:val="282A32"/>
        </w:rPr>
        <w:t>a 50 basis point (-0.50%) favorable impact due to the decrease of restructuring costs noted above; and</w:t>
      </w:r>
    </w:p>
    <w:p>
      <w:pPr>
        <w:spacing w:after="0" w:line="194" w:lineRule="exact"/>
        <w:rPr>
          <w:rFonts w:ascii="Arial" w:cs="Arial" w:eastAsia="Arial" w:hAnsi="Arial"/>
          <w:sz w:val="16"/>
          <w:szCs w:val="16"/>
          <w:color w:val="2989B9"/>
        </w:rPr>
      </w:pPr>
    </w:p>
    <w:p>
      <w:pPr>
        <w:jc w:val="both"/>
        <w:ind w:left="80" w:right="20" w:hanging="72"/>
        <w:spacing w:after="0" w:line="253" w:lineRule="auto"/>
        <w:tabs>
          <w:tab w:leader="none" w:pos="107" w:val="left"/>
        </w:tabs>
        <w:numPr>
          <w:ilvl w:val="0"/>
          <w:numId w:val="74"/>
        </w:numPr>
        <w:rPr>
          <w:rFonts w:ascii="Arial" w:cs="Arial" w:eastAsia="Arial" w:hAnsi="Arial"/>
          <w:sz w:val="16"/>
          <w:szCs w:val="16"/>
          <w:color w:val="2989B9"/>
        </w:rPr>
      </w:pPr>
      <w:r>
        <w:rPr>
          <w:rFonts w:ascii="Arial" w:cs="Arial" w:eastAsia="Arial" w:hAnsi="Arial"/>
          <w:sz w:val="16"/>
          <w:szCs w:val="16"/>
          <w:color w:val="282A32"/>
        </w:rPr>
        <w:t>a 30 basis point (-0.30%) favorable impact due to the decrease of non-personnel related costs: -20 basis points due to the decrease in our lease and office-related costs and -10 basis points due to the decrease in other non-personnel related costs primarily as a result of the simplification and cost recalibration actions taken.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Interest and other expenses are comprised of interest, foreign exchange gains and losses and other miscellaneous non-operating income and expenses. Interest and other expenses were $38.3 million in 2014 compared to $36.4 million in 2013. Net interest expense decreased $1.9 million in 2014 to $31.5 million from $33.4 million in 2013 due to lower debt levels as we repaid our €200 million Notes in June 2013 with cash. Other expenses were $6.8 million in 2014 compared to $3.0 million in 2013. Translation gains in 2014 were $2.2 million compared to translation losses of $2.3 million in 2013. The translation gains in 2014 were primarily due to payments received in Venezuela in foreign currencies other than Venezuelan Bolivar Fuerte and translated at favorable exchange rates other than the official exchange rate and translation gains resulting from intercompany transactions between our foreign subsidiaries and the United States. Miscellaneous expenses, net were $9.0 million in 2014 compared to $0.7 million in 2013. This increase in net expenses is primarily related to the earnings in a few of our equity investments and a loss on sale of an equity investment in the United States in 2014.</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recorded an income tax expense at an effective rate of 37.3% in 2014, as compared to an effective rate of 39.4% in 2013. The 2014 rate was favorably impacted by a change in the overall mix of earnings, primarily an increase in non-United States income, and a deemed repatriation. The 37.3% effective tax rate was higher than the United States Federal statutory rate of 35% due primarily to the French business tax, repatriations, valuation allowances and other permanent items.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Net earnings per share — diluted was $5.30 in 2014 compared to $3.62 in 2013. Foreign currency exchange rates unfavorably impacted net earnings per share — diluted by approximately $0.10 in 2014.</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Weighted average shares — diluted increased 1.5% to 80.7 million in 2014 from 79.6 million in 2013. This increase was due to shares issued as a result of exercises and vesting of share-based awards in 2014 and the dilutive effect of share-based awards because of the increase in our average share price, partially offset by the impact of share repurchases completed in 2014.</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2989B9"/>
        </w:rPr>
        <w:t>Segment Results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200" w:lineRule="exact"/>
        <w:rPr>
          <w:sz w:val="20"/>
          <w:szCs w:val="20"/>
          <w:color w:val="auto"/>
        </w:rPr>
      </w:pPr>
    </w:p>
    <w:p>
      <w:pPr>
        <w:spacing w:after="0" w:line="261"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22</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60" w:name="page61"/>
    <w:bookmarkEnd w:id="60"/>
    <w:p>
      <w:pPr>
        <w:ind w:left="4980" w:right="140"/>
        <w:spacing w:after="0" w:line="248" w:lineRule="auto"/>
        <w:rPr>
          <w:sz w:val="20"/>
          <w:szCs w:val="20"/>
          <w:color w:val="auto"/>
        </w:rPr>
      </w:pPr>
      <w:r>
        <w:rPr>
          <w:rFonts w:ascii="Arial" w:cs="Arial" w:eastAsia="Arial" w:hAnsi="Arial"/>
          <w:sz w:val="16"/>
          <w:szCs w:val="16"/>
          <w:i w:val="1"/>
          <w:iCs w:val="1"/>
          <w:color w:val="6390C6"/>
        </w:rPr>
        <w:t xml:space="preserve">Americas </w:t>
      </w:r>
      <w:r>
        <w:rPr>
          <w:rFonts w:ascii="Arial" w:cs="Arial" w:eastAsia="Arial" w:hAnsi="Arial"/>
          <w:sz w:val="16"/>
          <w:szCs w:val="16"/>
          <w:color w:val="282A32"/>
        </w:rPr>
        <w:t>— The Americas segment is comprised of 674 Company-owned branch</w:t>
      </w:r>
      <w:r>
        <w:rPr>
          <w:rFonts w:ascii="Arial" w:cs="Arial" w:eastAsia="Arial" w:hAnsi="Arial"/>
          <w:sz w:val="16"/>
          <w:szCs w:val="16"/>
          <w:i w:val="1"/>
          <w:iCs w:val="1"/>
          <w:color w:val="6390C6"/>
        </w:rPr>
        <w:t xml:space="preserve"> </w:t>
      </w:r>
      <w:r>
        <w:rPr>
          <w:rFonts w:ascii="Arial" w:cs="Arial" w:eastAsia="Arial" w:hAnsi="Arial"/>
          <w:sz w:val="16"/>
          <w:szCs w:val="16"/>
          <w:color w:val="282A32"/>
        </w:rPr>
        <w:t>offices and 180 stand-alone franchise offices. In the Americas, revenues from services decreased 2.0% (increase of 4.0% in constant currency) in 2015 compared to 2014. In the United States, revenues from services decreased 2.6% in 2015 compared to 2014, primarily driven by a decline in demand for our Manpower staffing services, due to the winter storms in the first quarter of 2015, a longshoreman’s strike on the West Coast in the first quarter of 2015, the strengthening of the United States dollar impacting demand in certain industries, and a change in specific client mix within our industrial sector. We also experienced a decline in our interim service revenues within our Experis business due to declines in our engineering and finance sectors and stronger price discipline. These declines were partially offset by a 22.5% increase in our permanent recruitment business and strong growth in our MSP and RPO offerings within the ManpowerGroup Solutions business. In Other Americas, revenues from services decreased 0.7% (increase of 17.6% in constant currency) in 2015 compared to 2014. We experienced constant currency revenue growth in Mexico, Canada, Argentina, Colombia and Peru of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-1922145</wp:posOffset>
            </wp:positionV>
            <wp:extent cx="2040890" cy="2418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0890" cy="241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13.0%, 40.8%, 11.2% and 24.0%, respectively (-4.3%, -2.5%, 23.7%, -18.4% and 10.5%, respectively, as reported; 1.0% in organic constant currency in Canada). The increase in Argentina was primarily due to inflation, although we did experience volume growth with a 8.1% increase in billable hours.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In 2014, revenues from services increased 1.6% (5.4% in constant currency) compared to 2013. In the United States, revenues from services increased 4.0% in 2014 compared to 2013. The revenue increase in the United States was attributable to growth in our larger national accounts in the small/medium-sized business within our Manpower business and solid growth in our MSP and RPO offerings within the ManpowerGroup Solutions business. These increases were partially offset by a decrease in revenues from our larger global accounts. In Other Americas, revenues from services declined 3.0% (8.0% increase in constant currency) in 2014 compared to 2013. We experienced constant currency revenue growth in Mexico, Canada, Argentina due to inflation, Colombia and Brazil of 0.1%, 1.8%, 18.3%, 40.0%, and 9.5%, respectively.</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Gross profit margin increased in 2015 compared to 2014 as a result of the favorable impact from the growth in our permanent recruitment and ManpowerGroup Solutions businesses, and improved staffing/interim margins in the United States due to strong price discipline, effective management of workers' compensation and health care costs, and lower unemployment tax rates. These increases were partially offset by decreases in our staffing/interim margins within some of our markets in the Other Americas due to general pricing pressures and client mix changes. In 2014, gross profit margin was flat compared to 2013 as the favorable impact from improved Experis interim margins, resulting from strong price discipline by selectively accepting new business opportunities and effectively managing the pay bill gap with our clients, was offset by business mix changes in our Manpower staffing revenue as growth came from some of our lower-margin business and pricing pressures within the small/medium-sized business in the United States.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In 2015, selling and administrative expenses decreased 0.5% (increase of 3.5% in constant currency) primarily due to the legal costs of $9.0 million in the United States related to a settlement agreement in 2014, which we did not incur in 2015. This favorable impact was partially offset by the increase in salary-related costs due to additional headcount in Other Americas, to support an increased demand for our services, an increase in our variable incentive-based costs due to improved operating results, and $3.2 million of restructuring costs in 2015. In 2014, selling and administrative expenses decreased 3.0% (-0.3% in constant currency). We experienced declines in non-personnel related costs as a result of the simplification and cost recalibration actions taken in 2013 and $18.0 million of restructuring costs recorded in 2013 that</w:t>
      </w:r>
    </w:p>
    <w:p>
      <w:pPr>
        <w:spacing w:after="0" w:line="200" w:lineRule="exact"/>
        <w:rPr>
          <w:sz w:val="20"/>
          <w:szCs w:val="20"/>
          <w:color w:val="auto"/>
        </w:rPr>
      </w:pPr>
    </w:p>
    <w:p>
      <w:pPr>
        <w:spacing w:after="0" w:line="265"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23 </w:t>
      </w:r>
      <w:r>
        <w:rPr>
          <w:rFonts w:ascii="Arial" w:cs="Arial" w:eastAsia="Arial" w:hAnsi="Arial"/>
          <w:sz w:val="12"/>
          <w:szCs w:val="12"/>
          <w:color w:val="auto"/>
        </w:rPr>
        <w:t>| ManpowerGroup</w:t>
      </w:r>
    </w:p>
    <w:p>
      <w:pPr>
        <w:sectPr>
          <w:pgSz w:w="11900" w:h="16838" w:orient="portrait"/>
          <w:cols w:equalWidth="0" w:num="1">
            <w:col w:w="11420"/>
          </w:cols>
          <w:pgMar w:left="240" w:top="287"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82A32"/>
        </w:rPr>
        <w:t>did not recur in 2014. These decreases were offset by $9.0 million of legal costs recorded in 2014 noted above and an increase in salary-related costs, because of an increase in our variable incentive-based costs due to improved operating results and higher headcount to support increased revenues.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OUP margin in the Americas was 4.5%, 4.0% and 3.2% for 2015, 2014 and 2013, respectively. In the United States, OUP margin was 4.8%, 4.1% and 3.4% in 2015, 2014 and 2013, respectively. The margin increase in 2015 was primarily due to the improvement in the gross profit margin. Other Americas OUP margin was 3.8%, 3.8% and 2.8% in 2015, 2014 and 2013, respectively. The margin was flat in Other Americas in 2015 compared to 2014 as a decline in the gross profit margin was offset by better operational leverage, because we were able to support an increase in revenues without a similar increase in expenses. The margin increase in the Americas in 2014 was primarily due to the United States, as a result of the decrease in restructuring costs and better operational leverage, as we were able to support an increase in revenues without a similar increase in expenses, partially offset by the legal costs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94615</wp:posOffset>
            </wp:positionV>
            <wp:extent cx="1697990" cy="934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93472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080" w:right="180"/>
        <w:spacing w:after="0" w:line="249" w:lineRule="auto"/>
        <w:rPr>
          <w:sz w:val="20"/>
          <w:szCs w:val="20"/>
          <w:color w:val="auto"/>
        </w:rPr>
      </w:pPr>
      <w:r>
        <w:rPr>
          <w:rFonts w:ascii="Arial" w:cs="Arial" w:eastAsia="Arial" w:hAnsi="Arial"/>
          <w:sz w:val="16"/>
          <w:szCs w:val="16"/>
          <w:i w:val="1"/>
          <w:iCs w:val="1"/>
          <w:color w:val="2989B9"/>
        </w:rPr>
        <w:t xml:space="preserve">Southern Europe </w:t>
      </w:r>
      <w:r>
        <w:rPr>
          <w:rFonts w:ascii="Arial" w:cs="Arial" w:eastAsia="Arial" w:hAnsi="Arial"/>
          <w:sz w:val="16"/>
          <w:szCs w:val="16"/>
          <w:color w:val="282A32"/>
        </w:rPr>
        <w:t>— In 2015, revenues from services in Southern Europe, which includes operations</w:t>
      </w:r>
      <w:r>
        <w:rPr>
          <w:rFonts w:ascii="Arial" w:cs="Arial" w:eastAsia="Arial" w:hAnsi="Arial"/>
          <w:sz w:val="16"/>
          <w:szCs w:val="16"/>
          <w:i w:val="1"/>
          <w:iCs w:val="1"/>
          <w:color w:val="2989B9"/>
        </w:rPr>
        <w:t xml:space="preserve"> </w:t>
      </w:r>
      <w:r>
        <w:rPr>
          <w:rFonts w:ascii="Arial" w:cs="Arial" w:eastAsia="Arial" w:hAnsi="Arial"/>
          <w:sz w:val="16"/>
          <w:szCs w:val="16"/>
          <w:color w:val="282A32"/>
        </w:rPr>
        <w:t>in France and Italy, decreased 8.5% (increase of 9.1% in constant currency) compared to 2014. In 2015, revenues from services increased 4.3% in constant currency (-12.9% as reported) in France (which represents 67.8% of Southern Europe’s revenues) and increased 24.5% in constant currency (4.0% as reported) in Italy (which represents 17.8% of Southern Europe’s revenues). The constant currency increase in France was primarily due to the staffing market, which showed some growth, particularly in the fourth quarter of 2015. The constant currency increase in Italy was mostly due to increased demand for our Manpower staffing services due to improving economic conditions during 2015, the contract with the Milan Expo, a 42.5% constant currency increase (19.1% as reported) in the permanent recruitment business, and strong growth in our ManpowerGroup Solutions business partly due to the contract with the Milan Expo. In Other Southern Europe, revenues from services increased 0.5% (17.0% in constant currency and 14.6% in organic constant currency) in 2015 compared to 2014. The constant currency increase was primarily driven by the 30.3% constant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-699770</wp:posOffset>
            </wp:positionV>
            <wp:extent cx="1697990" cy="934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93472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282A32"/>
        </w:rPr>
        <w:t>currency increase (9.0% as reported) in Spain due to improving economic conditions in 2015 and strong execution in selling clients our full range of services.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In 2014, revenues from services in Southern Europe increased 3.8% (3.8% in constant currency) compared to 2013. In 2014, revenues from services increased 1.2% in constant currency in France and increased 8.1% in organic constant currency in Italy (1.3% and 8.4%, respectively, as reported). The increase in France was due primarily to market share gains in a stabilizing market. The increase in Italy was mostly due to increased demand for our Manpower staffing services as clients opted for more flexible labor solutions and a 27.4% constant currency increase in the permanent recruitment business, partially offset by three fewer billing days in 2014 compared to 2013. In Other Southern Europe, revenues from services increased 13.3% (13.7% in constant currency and 12.2% in organic constant currency) in 2014 compared to 2013 driven by the revenue increase in Spain due to improving economic conditions and clients acquired from a local competitor in July 2013.</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Gross profit margin increased in 2015 compared to 2014 primarily due to a 20.2% constant currency increase (1.2% as reported) in our permanent recruitment business and growth in our higher-margin ManpowerGroup Solutions business, partially offset by the continued pricing pressures on our staffing/interim margins in some markets. In 2014, gross profit margin increased compared to 2013 due to strong price discipline, enhanced CICE payroll tax credits in France and an increase in our permanent recruitment business, partially offset by the pricing pressures in some markets.</w:t>
      </w:r>
    </w:p>
    <w:p>
      <w:pPr>
        <w:spacing w:after="0" w:line="200" w:lineRule="exact"/>
        <w:rPr>
          <w:sz w:val="20"/>
          <w:szCs w:val="20"/>
          <w:color w:val="auto"/>
        </w:rPr>
      </w:pPr>
    </w:p>
    <w:p>
      <w:pPr>
        <w:spacing w:after="0" w:line="262"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62" w:name="page63"/>
    <w:bookmarkEnd w:id="62"/>
    <w:p>
      <w:pPr>
        <w:jc w:val="both"/>
        <w:spacing w:after="0" w:line="248" w:lineRule="auto"/>
        <w:rPr>
          <w:sz w:val="20"/>
          <w:szCs w:val="20"/>
          <w:color w:val="auto"/>
        </w:rPr>
      </w:pPr>
      <w:r>
        <w:rPr>
          <w:rFonts w:ascii="Arial" w:cs="Arial" w:eastAsia="Arial" w:hAnsi="Arial"/>
          <w:sz w:val="16"/>
          <w:szCs w:val="16"/>
          <w:color w:val="282A32"/>
        </w:rPr>
        <w:t>In 2015, selling and administrative expenses decreased 10.1% (increase of 7.2% in constant currency and 5.9% in organic constant currency) compared to 2014. The constant currency increase is due to an increase in organic salary-related costs because of additional headcount, and other non-personnel related costs to support the constant currency revenue growth, and additional recurring selling and administrative costs incurred as a result of acquisitions. In 2014, selling and administrative expenses decreased 0.1% (-0.1% in constant currency and -0.2% in organic constant currency) compared to 2013. The decrease was due to the decline in non-personnel related costs as a result of the simplification and cost recalibration actions taken in 2013 and the $7.8 million of restructuring costs incurred in 2013 that did not recur in 2014, partially offset by an increase in organic salary-related costs, because of an increase in our variable incentive-based costs due to improved operating results.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OUP margin in Southern Europe was 5.2%, 4.8% and 3.7% in 2015, 2014 and 2013, respectively. OUP margin increased over the period primarily due to France, where the OUP margin was 5.6%, 5.1% and 3.8% in 2015, 2014 and 2013, respectively. France's margin increase in 2015 was primarily due to the improvement in our gross profit margin and improved operational leverage as we were able to support a constant currency increase in revenues without a similar constant currency increase in expenses. Italy’s OUP margin was 5.8%, 5.4% and 4.9% in 2015, 2014 and 2013, respectively. Italy’s margin increase in 2015 was due to the growth in our permanent recruitment business and improved operational leverage, as we were able to support a constant currency increase in revenues without a similar constant currency increase in expenses, partially offset by a decrease in our staffing gross profit margin due to client mix changes and overall pricing pressure. Other Southern Europe’s OUP margin was 2.5%, 2.3% and 1.4% in 2015, 2014 and 2013, respectively. The margin increase in 2015 was due to an increase in the gross profit margin and improved operational leverage, as we were able to support a constant currency increase in revenues without a similar constant currency increase in expenses. The margin increase in Southern Europe in 2014 was due to the improvement in France's gross profit margin and improved operational leverage as we were able to support increased revenues with lower expenses.</w:t>
      </w:r>
    </w:p>
    <w:p>
      <w:pPr>
        <w:spacing w:after="0" w:line="136" w:lineRule="exact"/>
        <w:rPr>
          <w:sz w:val="20"/>
          <w:szCs w:val="20"/>
          <w:color w:val="auto"/>
        </w:rPr>
      </w:pPr>
    </w:p>
    <w:p>
      <w:pPr>
        <w:ind w:left="4640" w:right="100"/>
        <w:spacing w:after="0" w:line="249" w:lineRule="auto"/>
        <w:rPr>
          <w:sz w:val="20"/>
          <w:szCs w:val="20"/>
          <w:color w:val="auto"/>
        </w:rPr>
      </w:pPr>
      <w:r>
        <w:rPr>
          <w:rFonts w:ascii="Arial" w:cs="Arial" w:eastAsia="Arial" w:hAnsi="Arial"/>
          <w:sz w:val="16"/>
          <w:szCs w:val="16"/>
          <w:i w:val="1"/>
          <w:iCs w:val="1"/>
          <w:color w:val="2989B9"/>
        </w:rPr>
        <w:t xml:space="preserve">Northern Europe </w:t>
      </w:r>
      <w:r>
        <w:rPr>
          <w:rFonts w:ascii="Arial" w:cs="Arial" w:eastAsia="Arial" w:hAnsi="Arial"/>
          <w:sz w:val="16"/>
          <w:szCs w:val="16"/>
          <w:color w:val="282A32"/>
        </w:rPr>
        <w:t>— In Northern Europe, which includes operations in the United Kingdom,</w:t>
      </w:r>
      <w:r>
        <w:rPr>
          <w:rFonts w:ascii="Arial" w:cs="Arial" w:eastAsia="Arial" w:hAnsi="Arial"/>
          <w:sz w:val="16"/>
          <w:szCs w:val="16"/>
          <w:i w:val="1"/>
          <w:iCs w:val="1"/>
          <w:color w:val="2989B9"/>
        </w:rPr>
        <w:t xml:space="preserve"> </w:t>
      </w:r>
      <w:r>
        <w:rPr>
          <w:rFonts w:ascii="Arial" w:cs="Arial" w:eastAsia="Arial" w:hAnsi="Arial"/>
          <w:sz w:val="16"/>
          <w:szCs w:val="16"/>
          <w:color w:val="282A32"/>
        </w:rPr>
        <w:t>the Nordics, Germany and the Netherlands (comprising 38.1%, 18.5%, 14.0%, and 9.3%, respectively, of Northern Europe’s revenues), revenues from services decreased 9.8% (increase of 5.2% in constant currency and 2.1% in organic constant currency) in 2015 as compared to 2014. We experienced constant currency revenue growth in the United Kingdom, the Nordics, Germany, and the Netherlands of 6.0%, 0.6%, 26.1%, and 1.3%, respectively (-1.7%, -19.2%, 6.1%, and -15.3%, respectively, as reported; 7.6% in organic constant currency in Germany). The organic constant currency increase in revenues from services was primarily attributable to the increase in our staffing/interim services and a 13.7% constant currency increase (11.2% in organic constant currency; -1.1% as reported) in our permanent recruitment business mostly due to growth in the United Kingdom. The revenue increase in the Nordics was mostly due to the 9.1% constant currency growth (-11.3% as reported) in Sweden, which was partially offset by the 6.5% constant currency decline (-27.0% as reported) in Norway due to the dependence on the struggling oil and gas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-1687195</wp:posOffset>
            </wp:positionV>
            <wp:extent cx="1929765" cy="2298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76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In 2014, revenues from services in Northern Europe increased 5.4% (5.7% in constant currency and 4.4% in organic constant currency). We experienced organic constant currency growth in the United Kingdom and the Netherlands of 12.7% and 5.1%, respectively. The increase in revenues from services was primarily attributable to the increase in our staffing/interim business, as a result of the improving economic conditions in a majority of our larger Northern European markets during 2014, and a 22.2% constant currency increase (7.5% in organic constant currency) in our permanent recruitment business mostly due to 92.6% constant currency growth (33.7% in organic constant currency) in the United Kingdom.</w:t>
      </w: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25 </w:t>
      </w:r>
      <w:r>
        <w:rPr>
          <w:rFonts w:ascii="Arial" w:cs="Arial" w:eastAsia="Arial" w:hAnsi="Arial"/>
          <w:sz w:val="12"/>
          <w:szCs w:val="12"/>
          <w:color w:val="auto"/>
        </w:rPr>
        <w:t>| ManpowerGroup</w:t>
      </w:r>
    </w:p>
    <w:p>
      <w:pPr>
        <w:sectPr>
          <w:pgSz w:w="11900" w:h="16838" w:orient="portrait"/>
          <w:cols w:equalWidth="0" w:num="1">
            <w:col w:w="11420"/>
          </w:cols>
          <w:pgMar w:left="240" w:top="330"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Gross profit margin decreased in both 2015 and 2014 due to the decline in our staffing/interim margins because of business mix changes in our staffing/interim revenues, as higher growth came from our lower-margin clients and markets, and general pricing pressures in several markets, partially offset by the increase in our permanent recruitment business. The decrease in 2014 compared to 2013 was also due to client contract termination costs.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Selling and administrative expenses decreased 8.6% (increase of 7.4% in constant currency and 2.9% in organic constant currency) in 2015 compared to 2014. The constant currency increase in selling and administrative expenses was due primarily to the increase in organic salary-related costs because of permanent recruiters added to support the increase in the permanent recruitment business, restructuring costs of $9.0 million incurred in 2015, and the additional recurring selling and administrative costs incurred as a result of acquisitions. In 2014, selling and administrative expenses decreased 2.8% (-2.2% in constant currency and -4.8% in organic constant currency) compared to 2013 due primarily to the $39.0 million of restructuring costs incurred in 2013 that did not recur in 2014 and a decrease in lease costs as a result of the simplification and cost recalibration actions taken, partially offset by the additional recurring selling and administrative costs resulting from acquisitions and an increase in organic salary-related costs, because of an increase in our variable incentive-based costs due to improved operating results and higher headcount to support increased revenues.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OUP margin for Northern Europe was 2.9%, 3.3% and 2.4% in 2015, 2014 and 2013, respectively. The decrease in 2015 was primarily due to the decline in the gross profit margin and the restructuring costs in 2015. The OUP margin increased in 2014 as a result of better operational leverage, as we were able to support the higher revenue levels with lower expenses, partially offset by a decline in the gross profit margin.</w:t>
      </w:r>
    </w:p>
    <w:p>
      <w:pPr>
        <w:spacing w:after="0" w:line="131" w:lineRule="exact"/>
        <w:rPr>
          <w:sz w:val="20"/>
          <w:szCs w:val="20"/>
          <w:color w:val="auto"/>
        </w:rPr>
      </w:pPr>
    </w:p>
    <w:p>
      <w:pPr>
        <w:ind w:left="4320" w:right="320"/>
        <w:spacing w:after="0" w:line="251" w:lineRule="auto"/>
        <w:rPr>
          <w:sz w:val="20"/>
          <w:szCs w:val="20"/>
          <w:color w:val="auto"/>
        </w:rPr>
      </w:pPr>
      <w:r>
        <w:rPr>
          <w:rFonts w:ascii="Arial" w:cs="Arial" w:eastAsia="Arial" w:hAnsi="Arial"/>
          <w:sz w:val="16"/>
          <w:szCs w:val="16"/>
          <w:i w:val="1"/>
          <w:iCs w:val="1"/>
          <w:color w:val="2989B9"/>
        </w:rPr>
        <w:t xml:space="preserve">APME </w:t>
      </w:r>
      <w:r>
        <w:rPr>
          <w:rFonts w:ascii="Arial" w:cs="Arial" w:eastAsia="Arial" w:hAnsi="Arial"/>
          <w:sz w:val="16"/>
          <w:szCs w:val="16"/>
          <w:color w:val="282A32"/>
        </w:rPr>
        <w:t>— Revenues from services decreased 3.8% (increase of 7.9% in constant currency and</w:t>
      </w:r>
      <w:r>
        <w:rPr>
          <w:rFonts w:ascii="Arial" w:cs="Arial" w:eastAsia="Arial" w:hAnsi="Arial"/>
          <w:sz w:val="16"/>
          <w:szCs w:val="16"/>
          <w:i w:val="1"/>
          <w:iCs w:val="1"/>
          <w:color w:val="2989B9"/>
        </w:rPr>
        <w:t xml:space="preserve"> </w:t>
      </w:r>
      <w:r>
        <w:rPr>
          <w:rFonts w:ascii="Arial" w:cs="Arial" w:eastAsia="Arial" w:hAnsi="Arial"/>
          <w:sz w:val="16"/>
          <w:szCs w:val="16"/>
          <w:color w:val="282A32"/>
        </w:rPr>
        <w:t>4.1% in organic constant currency) in 2015 compared to 2014. In Japan (which represents 33.3% of APME’s revenues), revenues from services increased 2.2% in constant currency (-10.8% as reported) due to the increased demand for our Manpower staffing services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1749425" cy="960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9425" cy="960755"/>
                    </a:xfrm>
                    <a:prstGeom prst="rect">
                      <a:avLst/>
                    </a:prstGeom>
                    <a:noFill/>
                  </pic:spPr>
                </pic:pic>
              </a:graphicData>
            </a:graphic>
          </wp:anchor>
        </w:drawing>
      </w:r>
    </w:p>
    <w:p>
      <w:pPr>
        <w:ind w:left="4320" w:right="240"/>
        <w:spacing w:after="0" w:line="246" w:lineRule="auto"/>
        <w:rPr>
          <w:sz w:val="20"/>
          <w:szCs w:val="20"/>
          <w:color w:val="auto"/>
        </w:rPr>
      </w:pPr>
      <w:r>
        <w:rPr>
          <w:rFonts w:ascii="Arial" w:cs="Arial" w:eastAsia="Arial" w:hAnsi="Arial"/>
          <w:sz w:val="16"/>
          <w:szCs w:val="16"/>
          <w:color w:val="282A32"/>
        </w:rPr>
        <w:t>17.4% constant currency increase (2.0% as reported) in our permanent recruitment business. In Australia (which represents 22.3% of APME’s revenues), revenues from services were down</w:t>
      </w:r>
    </w:p>
    <w:p>
      <w:pPr>
        <w:spacing w:after="0" w:line="1" w:lineRule="exact"/>
        <w:rPr>
          <w:sz w:val="20"/>
          <w:szCs w:val="20"/>
          <w:color w:val="auto"/>
        </w:rPr>
      </w:pPr>
    </w:p>
    <w:p>
      <w:pPr>
        <w:ind w:left="4320" w:right="180"/>
        <w:spacing w:after="0" w:line="248" w:lineRule="auto"/>
        <w:rPr>
          <w:sz w:val="20"/>
          <w:szCs w:val="20"/>
          <w:color w:val="auto"/>
        </w:rPr>
      </w:pPr>
      <w:r>
        <w:rPr>
          <w:rFonts w:ascii="Arial" w:cs="Arial" w:eastAsia="Arial" w:hAnsi="Arial"/>
          <w:sz w:val="16"/>
          <w:szCs w:val="16"/>
          <w:color w:val="282A32"/>
        </w:rPr>
        <w:t>2.8% in organic constant currency (13.5% increase in constant currency; -5.7% as reported) in 2015 compared to 2014 due to the decreased demand for our Manpower staffing services due to the challenging conditions in this commodity-based economy, partially offset by growth in our ManpowerGroup Solutions business. The constant currency revenue increase in the remaining markets in APME is due to an increase in our Manpower staffing service revenues, mostly in Korea, India and Taiwan, and strong growth in our ManpowerGroup Solutions and permanent recruitment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-433705</wp:posOffset>
            </wp:positionV>
            <wp:extent cx="1749425" cy="960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942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In 2014, revenues from services for APME decreased 4.9% (-0.1% in constant currency and -0.6% in organic constant currency) compared to 2013. In Japan, revenues from services decreased 9.3% (-1.7% in constant currency) in 2014 as we were challenged to recruit candidates in a tight labor market even though we experienced gradual improvement in demand for our staffing/interim services, partially offset by the 10.5% constant currency increase in the permanent recruitment business. In Australia, revenues from services were down 7.7% (-1.0% in constant currency and -2.3% in organic constant currency) in 2014 compared to 2013 due to the decreased demand for our staffing/interim services, partially offset by a 13.0% constant currency increase in the permanent recruitment business. The remaining revenue decrease in 2014 in APME was due to the staffing/interim revenue decline in China as a result of legislative changes that restricted the use of temporary employment and a general softening of demand in the market.</w:t>
      </w:r>
    </w:p>
    <w:p>
      <w:pPr>
        <w:spacing w:after="0" w:line="200" w:lineRule="exact"/>
        <w:rPr>
          <w:sz w:val="20"/>
          <w:szCs w:val="20"/>
          <w:color w:val="auto"/>
        </w:rPr>
      </w:pPr>
    </w:p>
    <w:p>
      <w:pPr>
        <w:spacing w:after="0" w:line="268"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64" w:name="page65"/>
    <w:bookmarkEnd w:id="64"/>
    <w:p>
      <w:pPr>
        <w:jc w:val="both"/>
        <w:ind w:right="100"/>
        <w:spacing w:after="0" w:line="253" w:lineRule="auto"/>
        <w:rPr>
          <w:sz w:val="20"/>
          <w:szCs w:val="20"/>
          <w:color w:val="auto"/>
        </w:rPr>
      </w:pPr>
      <w:r>
        <w:rPr>
          <w:rFonts w:ascii="Arial" w:cs="Arial" w:eastAsia="Arial" w:hAnsi="Arial"/>
          <w:sz w:val="16"/>
          <w:szCs w:val="16"/>
          <w:color w:val="282A32"/>
        </w:rPr>
        <w:t>Gross profit margin was flat in 2015 compared to 2014 as the constant currency increase in our permanent recruitment business of 12.5% (-0.3% as reported) and growth in our high-margin ManpowerGroup Solutions business was offset by the decrease in our staffing/interim gross profit margins due to business mix changes. In 2014, gross profit margin increased due to a 8.3% constant currency increase in our permanent recruitment business.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Selling and administrative expenses decreased 3.3% (increase of 9.0% in constant currency and 5.2% in organic constant currency) in 2015 compared to 2014. The constant currency increase was due to the increase in organic salary-related costs because of higher headcount to support the constant currency increase in revenues, the additional recurring selling and administrative costs incurred as a result of acquisitions, and restructuring costs of $2.9 million incurred in 2015. In 2014, selling and administrative expenses decreased 8.0% (-3.0% in constant currency and -4.3% in organic constant currency) compared to 2013 related to reduced organic compensation-related expenses due to lower headcount, a decrease in lease and office-related costs as a result of the simplification and cost recalibration actions taken in 2013 and $6.2 million of restructuring costs incurred in 2013 that did not recur in 2014, partially offset by the additional recurring selling and administrative costs resulting from acquisitions.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OUP margin for APME was 3.5%, 3.6% and 2.9% in 2015, 2014 and 2013, respectively. The OUP margin decrease in 2015 was due to the restructuring costs incurred in 2015. The increase in 2014 was due to the increase in our gross profit margin as well as the decrease in salary-related expenses, lease and office-related costs, and restructuring costs.</w:t>
      </w:r>
    </w:p>
    <w:p>
      <w:pPr>
        <w:spacing w:after="0" w:line="131" w:lineRule="exact"/>
        <w:rPr>
          <w:sz w:val="20"/>
          <w:szCs w:val="20"/>
          <w:color w:val="auto"/>
        </w:rPr>
      </w:pPr>
    </w:p>
    <w:p>
      <w:pPr>
        <w:jc w:val="both"/>
        <w:ind w:left="4540" w:right="420"/>
        <w:spacing w:after="0" w:line="264" w:lineRule="auto"/>
        <w:rPr>
          <w:sz w:val="20"/>
          <w:szCs w:val="20"/>
          <w:color w:val="auto"/>
        </w:rPr>
      </w:pPr>
      <w:r>
        <w:rPr>
          <w:rFonts w:ascii="Arial" w:cs="Arial" w:eastAsia="Arial" w:hAnsi="Arial"/>
          <w:sz w:val="16"/>
          <w:szCs w:val="16"/>
          <w:i w:val="1"/>
          <w:iCs w:val="1"/>
          <w:color w:val="2989B9"/>
        </w:rPr>
        <w:t xml:space="preserve">Right Management </w:t>
      </w:r>
      <w:r>
        <w:rPr>
          <w:rFonts w:ascii="Arial" w:cs="Arial" w:eastAsia="Arial" w:hAnsi="Arial"/>
          <w:sz w:val="16"/>
          <w:szCs w:val="16"/>
          <w:color w:val="282A32"/>
        </w:rPr>
        <w:t>— Right Management is a leading global provider of talent and career</w:t>
      </w:r>
      <w:r>
        <w:rPr>
          <w:rFonts w:ascii="Arial" w:cs="Arial" w:eastAsia="Arial" w:hAnsi="Arial"/>
          <w:sz w:val="16"/>
          <w:szCs w:val="16"/>
          <w:i w:val="1"/>
          <w:iCs w:val="1"/>
          <w:color w:val="2989B9"/>
        </w:rPr>
        <w:t xml:space="preserve"> </w:t>
      </w:r>
      <w:r>
        <w:rPr>
          <w:rFonts w:ascii="Arial" w:cs="Arial" w:eastAsia="Arial" w:hAnsi="Arial"/>
          <w:sz w:val="16"/>
          <w:szCs w:val="16"/>
          <w:color w:val="282A32"/>
        </w:rPr>
        <w:t>management (also known as outplacement services) workforce solutions, operating in 108 offices in more than 50 countries and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-358775</wp:posOffset>
            </wp:positionV>
            <wp:extent cx="1869440" cy="1029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1029335"/>
                    </a:xfrm>
                    <a:prstGeom prst="rect">
                      <a:avLst/>
                    </a:prstGeom>
                    <a:noFill/>
                  </pic:spPr>
                </pic:pic>
              </a:graphicData>
            </a:graphic>
          </wp:anchor>
        </w:drawing>
      </w:r>
    </w:p>
    <w:p>
      <w:pPr>
        <w:spacing w:after="0" w:line="145" w:lineRule="exact"/>
        <w:rPr>
          <w:sz w:val="20"/>
          <w:szCs w:val="20"/>
          <w:color w:val="auto"/>
        </w:rPr>
      </w:pPr>
    </w:p>
    <w:p>
      <w:pPr>
        <w:ind w:left="4540" w:right="180"/>
        <w:spacing w:after="0" w:line="249" w:lineRule="auto"/>
        <w:rPr>
          <w:sz w:val="20"/>
          <w:szCs w:val="20"/>
          <w:color w:val="auto"/>
        </w:rPr>
      </w:pPr>
      <w:r>
        <w:rPr>
          <w:rFonts w:ascii="Arial" w:cs="Arial" w:eastAsia="Arial" w:hAnsi="Arial"/>
          <w:sz w:val="16"/>
          <w:szCs w:val="16"/>
          <w:color w:val="282A32"/>
        </w:rPr>
        <w:t>In 2015, revenues from services decreased 7.0% (0.5% increase in constant currency). We experienced an increase in our outplacement services of 3.2% in constant currency (-4.8% as reported) due to growth in the second half of 2015 as a result of greater demand in the oil and gas industry and several client wins, partially offset by softer demand in the first half of 2015. This was partially offset by a decline in our talent management business of 12.0% (-5.4% in constant currency) due to softer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-110490</wp:posOffset>
            </wp:positionV>
            <wp:extent cx="1869440" cy="1029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9440" cy="1029335"/>
                    </a:xfrm>
                    <a:prstGeom prst="rect">
                      <a:avLst/>
                    </a:prstGeom>
                    <a:noFill/>
                  </pic:spPr>
                </pic:pic>
              </a:graphicData>
            </a:graphic>
          </wp:anchor>
        </w:drawing>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6"/>
          <w:szCs w:val="16"/>
          <w:color w:val="282A32"/>
        </w:rPr>
        <w:t>In 2014, revenues from services decreased 7.1% (-6.7% in constant currency) due to the</w:t>
      </w:r>
    </w:p>
    <w:p>
      <w:pPr>
        <w:spacing w:after="0" w:line="5" w:lineRule="exact"/>
        <w:rPr>
          <w:sz w:val="20"/>
          <w:szCs w:val="20"/>
          <w:color w:val="auto"/>
        </w:rPr>
      </w:pPr>
    </w:p>
    <w:p>
      <w:pPr>
        <w:ind w:left="4540" w:right="140"/>
        <w:spacing w:after="0" w:line="251" w:lineRule="auto"/>
        <w:rPr>
          <w:sz w:val="20"/>
          <w:szCs w:val="20"/>
          <w:color w:val="auto"/>
        </w:rPr>
      </w:pPr>
      <w:r>
        <w:rPr>
          <w:rFonts w:ascii="Arial" w:cs="Arial" w:eastAsia="Arial" w:hAnsi="Arial"/>
          <w:sz w:val="16"/>
          <w:szCs w:val="16"/>
          <w:color w:val="282A32"/>
        </w:rPr>
        <w:t>10.2% decrease (-9.8% in constant currency) in our outplacement services as we experienced softer demand in many of our markets due to the counter-cyclical nature of this business. Our talent management business experienced a slight decrease of 0.5% (0.1% increase in constant currency) in 2014 compared to 2013.</w:t>
      </w:r>
    </w:p>
    <w:p>
      <w:pPr>
        <w:spacing w:after="0" w:line="200" w:lineRule="exact"/>
        <w:rPr>
          <w:sz w:val="20"/>
          <w:szCs w:val="20"/>
          <w:color w:val="auto"/>
        </w:rPr>
      </w:pPr>
    </w:p>
    <w:p>
      <w:pPr>
        <w:spacing w:after="0" w:line="3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Gross profit margin increased in 2015 compared to 2014 due to an increase in both the outplacement and talent management business gross profit margins and the change in business mix as the higher-margin outplacement services represented a greater percentage of the revenue mix. In 2014, gross profit margin decreased due to the margin deterioration in the outplacement business and the change in business mix as the lower-margin talent management business represented a greater percentage of the revenue mix, partially offset by the increase in the talent management business gross profit margin.</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In 2015, selling and administrative expenses decreased 7.6% (flat in constant currency) in 2015 compared to 2014 due to the cost savings from more efficient delivery solutions offset by restructuring costs of $1.3 million in 2015. In 2014, selling and administrative expenses decreased 16.7% (-16.1% in constant currency) compared to 2013 due to the cost savings from more efficient delivery solutions and the simplification and cost recalibration actions favorably impacting expense levels, as well as the $14.0 million of restructuring costs incurred in 2013 that did not recur in 2014.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27 </w:t>
      </w:r>
      <w:r>
        <w:rPr>
          <w:rFonts w:ascii="Arial" w:cs="Arial" w:eastAsia="Arial" w:hAnsi="Arial"/>
          <w:sz w:val="12"/>
          <w:szCs w:val="12"/>
          <w:color w:val="auto"/>
        </w:rPr>
        <w:t>| ManpowerGroup</w:t>
      </w:r>
    </w:p>
    <w:p>
      <w:pPr>
        <w:sectPr>
          <w:pgSz w:w="11900" w:h="16838" w:orient="portrait"/>
          <w:cols w:equalWidth="0" w:num="1">
            <w:col w:w="11420"/>
          </w:cols>
          <w:pgMar w:left="240" w:top="331"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OUP margin for Right Management was 14.0%, 11.4% and 6.4% for 2015, 2014 and 2013, respectively. The OUP margin for 2015 increased due primarily to the improvement in our gross profit margin. The OUP margin for 2014 improved due to the decrease in selling and administrative expenses as a result of the cost savings from more efficient delivery solutions and the simplification and cost recalibration actions and the decrease in restructuring costs, partially offset by the decline in the gross profit margin.</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FINANCIAL MEASURES — CONSTANT CURRENCY AND ORGANIC CONSTANT CURRENCY RECONCILIATION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Certain constant currency and organic constant currency percent variances are discussed throughout this annual report. A reconciliation of these Non-GAAP percent variances to the percent variances calculated based on our annual GAAP financial results is provided below. (See Constant Currency and Organic Constant Currency on pages 16 and 17 for information.)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color w:val="282A32"/>
              </w:rPr>
              <w:t>Impact of</w:t>
            </w:r>
          </w:p>
        </w:tc>
        <w:tc>
          <w:tcPr>
            <w:tcW w:w="1080" w:type="dxa"/>
            <w:vAlign w:val="bottom"/>
          </w:tcPr>
          <w:p>
            <w:pPr>
              <w:jc w:val="right"/>
              <w:ind w:right="140"/>
              <w:spacing w:after="0"/>
              <w:rPr>
                <w:sz w:val="20"/>
                <w:szCs w:val="20"/>
                <w:color w:val="auto"/>
              </w:rPr>
            </w:pPr>
            <w:r>
              <w:rPr>
                <w:rFonts w:ascii="Arial" w:cs="Arial" w:eastAsia="Arial" w:hAnsi="Arial"/>
                <w:sz w:val="14"/>
                <w:szCs w:val="14"/>
                <w:color w:val="282A32"/>
              </w:rPr>
              <w:t>Organic</w:t>
            </w:r>
          </w:p>
        </w:tc>
        <w:tc>
          <w:tcPr>
            <w:tcW w:w="0" w:type="dxa"/>
            <w:vAlign w:val="bottom"/>
          </w:tcPr>
          <w:p>
            <w:pPr>
              <w:spacing w:after="0"/>
              <w:rPr>
                <w:sz w:val="1"/>
                <w:szCs w:val="1"/>
                <w:color w:val="auto"/>
              </w:rPr>
            </w:pPr>
          </w:p>
        </w:tc>
      </w:tr>
      <w:tr>
        <w:trPr>
          <w:trHeight w:val="162"/>
        </w:trPr>
        <w:tc>
          <w:tcPr>
            <w:tcW w:w="3620" w:type="dxa"/>
            <w:vAlign w:val="bottom"/>
            <w:vMerge w:val="restart"/>
          </w:tcPr>
          <w:p>
            <w:pPr>
              <w:ind w:left="40"/>
              <w:spacing w:after="0"/>
              <w:rPr>
                <w:sz w:val="20"/>
                <w:szCs w:val="20"/>
                <w:color w:val="auto"/>
              </w:rPr>
            </w:pPr>
            <w:r>
              <w:rPr>
                <w:rFonts w:ascii="Arial" w:cs="Arial" w:eastAsia="Arial" w:hAnsi="Arial"/>
                <w:sz w:val="14"/>
                <w:szCs w:val="14"/>
                <w:i w:val="1"/>
                <w:iCs w:val="1"/>
                <w:color w:val="282A32"/>
              </w:rPr>
              <w:t>Amounts represent 2015</w:t>
            </w:r>
          </w:p>
        </w:tc>
        <w:tc>
          <w:tcPr>
            <w:tcW w:w="240" w:type="dxa"/>
            <w:vAlign w:val="bottom"/>
          </w:tcPr>
          <w:p>
            <w:pPr>
              <w:spacing w:after="0"/>
              <w:rPr>
                <w:sz w:val="14"/>
                <w:szCs w:val="14"/>
                <w:color w:val="auto"/>
              </w:rPr>
            </w:pPr>
          </w:p>
        </w:tc>
        <w:tc>
          <w:tcPr>
            <w:tcW w:w="1180" w:type="dxa"/>
            <w:vAlign w:val="bottom"/>
          </w:tcPr>
          <w:p>
            <w:pPr>
              <w:jc w:val="right"/>
              <w:ind w:right="220"/>
              <w:spacing w:after="0"/>
              <w:rPr>
                <w:sz w:val="20"/>
                <w:szCs w:val="20"/>
                <w:color w:val="auto"/>
              </w:rPr>
            </w:pPr>
            <w:r>
              <w:rPr>
                <w:rFonts w:ascii="Arial" w:cs="Arial" w:eastAsia="Arial" w:hAnsi="Arial"/>
                <w:sz w:val="14"/>
                <w:szCs w:val="14"/>
                <w:color w:val="282A32"/>
              </w:rPr>
              <w:t>Reported</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right"/>
              <w:ind w:right="300"/>
              <w:spacing w:after="0"/>
              <w:rPr>
                <w:sz w:val="20"/>
                <w:szCs w:val="20"/>
                <w:color w:val="auto"/>
              </w:rPr>
            </w:pPr>
            <w:r>
              <w:rPr>
                <w:rFonts w:ascii="Arial" w:cs="Arial" w:eastAsia="Arial" w:hAnsi="Arial"/>
                <w:sz w:val="14"/>
                <w:szCs w:val="14"/>
                <w:color w:val="282A32"/>
              </w:rPr>
              <w:t>Variance in</w:t>
            </w:r>
          </w:p>
        </w:tc>
        <w:tc>
          <w:tcPr>
            <w:tcW w:w="1380" w:type="dxa"/>
            <w:vAlign w:val="bottom"/>
          </w:tcPr>
          <w:p>
            <w:pPr>
              <w:jc w:val="right"/>
              <w:ind w:right="341"/>
              <w:spacing w:after="0"/>
              <w:rPr>
                <w:sz w:val="20"/>
                <w:szCs w:val="20"/>
                <w:color w:val="auto"/>
              </w:rPr>
            </w:pPr>
            <w:r>
              <w:rPr>
                <w:rFonts w:ascii="Arial" w:cs="Arial" w:eastAsia="Arial" w:hAnsi="Arial"/>
                <w:sz w:val="14"/>
                <w:szCs w:val="14"/>
                <w:color w:val="282A32"/>
              </w:rPr>
              <w:t>Acquisitions</w:t>
            </w:r>
          </w:p>
        </w:tc>
        <w:tc>
          <w:tcPr>
            <w:tcW w:w="1080" w:type="dxa"/>
            <w:vAlign w:val="bottom"/>
          </w:tcPr>
          <w:p>
            <w:pPr>
              <w:jc w:val="right"/>
              <w:ind w:right="140"/>
              <w:spacing w:after="0"/>
              <w:rPr>
                <w:sz w:val="20"/>
                <w:szCs w:val="20"/>
                <w:color w:val="auto"/>
              </w:rPr>
            </w:pPr>
            <w:r>
              <w:rPr>
                <w:rFonts w:ascii="Arial" w:cs="Arial" w:eastAsia="Arial" w:hAnsi="Arial"/>
                <w:sz w:val="14"/>
                <w:szCs w:val="14"/>
                <w:color w:val="282A32"/>
              </w:rPr>
              <w:t>Constant</w:t>
            </w:r>
          </w:p>
        </w:tc>
        <w:tc>
          <w:tcPr>
            <w:tcW w:w="0" w:type="dxa"/>
            <w:vAlign w:val="bottom"/>
          </w:tcPr>
          <w:p>
            <w:pPr>
              <w:spacing w:after="0"/>
              <w:rPr>
                <w:sz w:val="1"/>
                <w:szCs w:val="1"/>
                <w:color w:val="auto"/>
              </w:rPr>
            </w:pPr>
          </w:p>
        </w:tc>
      </w:tr>
      <w:tr>
        <w:trPr>
          <w:trHeight w:val="148"/>
        </w:trPr>
        <w:tc>
          <w:tcPr>
            <w:tcW w:w="3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20"/>
              <w:spacing w:after="0" w:line="148" w:lineRule="exact"/>
              <w:rPr>
                <w:sz w:val="20"/>
                <w:szCs w:val="20"/>
                <w:color w:val="auto"/>
              </w:rPr>
            </w:pPr>
            <w:r>
              <w:rPr>
                <w:rFonts w:ascii="Arial" w:cs="Arial" w:eastAsia="Arial" w:hAnsi="Arial"/>
                <w:sz w:val="14"/>
                <w:szCs w:val="14"/>
                <w:color w:val="282A32"/>
              </w:rPr>
              <w:t>Amount</w:t>
            </w:r>
          </w:p>
        </w:tc>
        <w:tc>
          <w:tcPr>
            <w:tcW w:w="1360" w:type="dxa"/>
            <w:vAlign w:val="bottom"/>
          </w:tcPr>
          <w:p>
            <w:pPr>
              <w:jc w:val="right"/>
              <w:ind w:right="380"/>
              <w:spacing w:after="0" w:line="148" w:lineRule="exact"/>
              <w:rPr>
                <w:sz w:val="20"/>
                <w:szCs w:val="20"/>
                <w:color w:val="auto"/>
              </w:rPr>
            </w:pPr>
            <w:r>
              <w:rPr>
                <w:rFonts w:ascii="Arial" w:cs="Arial" w:eastAsia="Arial" w:hAnsi="Arial"/>
                <w:sz w:val="14"/>
                <w:szCs w:val="14"/>
                <w:color w:val="282A32"/>
              </w:rPr>
              <w:t>Reported</w:t>
            </w:r>
          </w:p>
        </w:tc>
        <w:tc>
          <w:tcPr>
            <w:tcW w:w="1260" w:type="dxa"/>
            <w:vAlign w:val="bottom"/>
          </w:tcPr>
          <w:p>
            <w:pPr>
              <w:jc w:val="right"/>
              <w:ind w:right="320"/>
              <w:spacing w:after="0" w:line="148" w:lineRule="exact"/>
              <w:rPr>
                <w:sz w:val="20"/>
                <w:szCs w:val="20"/>
                <w:color w:val="auto"/>
              </w:rPr>
            </w:pPr>
            <w:r>
              <w:rPr>
                <w:rFonts w:ascii="Arial" w:cs="Arial" w:eastAsia="Arial" w:hAnsi="Arial"/>
                <w:sz w:val="14"/>
                <w:szCs w:val="14"/>
                <w:color w:val="282A32"/>
              </w:rPr>
              <w:t>Impact of</w:t>
            </w:r>
          </w:p>
        </w:tc>
        <w:tc>
          <w:tcPr>
            <w:tcW w:w="1300" w:type="dxa"/>
            <w:vAlign w:val="bottom"/>
          </w:tcPr>
          <w:p>
            <w:pPr>
              <w:jc w:val="right"/>
              <w:ind w:right="300"/>
              <w:spacing w:after="0" w:line="148" w:lineRule="exact"/>
              <w:rPr>
                <w:sz w:val="20"/>
                <w:szCs w:val="20"/>
                <w:color w:val="auto"/>
              </w:rPr>
            </w:pPr>
            <w:r>
              <w:rPr>
                <w:rFonts w:ascii="Arial" w:cs="Arial" w:eastAsia="Arial" w:hAnsi="Arial"/>
                <w:sz w:val="14"/>
                <w:szCs w:val="14"/>
                <w:color w:val="282A32"/>
              </w:rPr>
              <w:t>Constant</w:t>
            </w:r>
          </w:p>
        </w:tc>
        <w:tc>
          <w:tcPr>
            <w:tcW w:w="1380" w:type="dxa"/>
            <w:vAlign w:val="bottom"/>
          </w:tcPr>
          <w:p>
            <w:pPr>
              <w:jc w:val="right"/>
              <w:ind w:right="341"/>
              <w:spacing w:after="0" w:line="148" w:lineRule="exact"/>
              <w:rPr>
                <w:sz w:val="20"/>
                <w:szCs w:val="20"/>
                <w:color w:val="auto"/>
              </w:rPr>
            </w:pPr>
            <w:r>
              <w:rPr>
                <w:rFonts w:ascii="Arial" w:cs="Arial" w:eastAsia="Arial" w:hAnsi="Arial"/>
                <w:sz w:val="14"/>
                <w:szCs w:val="14"/>
                <w:color w:val="282A32"/>
              </w:rPr>
              <w:t>(in Constant</w:t>
            </w:r>
          </w:p>
        </w:tc>
        <w:tc>
          <w:tcPr>
            <w:tcW w:w="1080" w:type="dxa"/>
            <w:vAlign w:val="bottom"/>
          </w:tcPr>
          <w:p>
            <w:pPr>
              <w:jc w:val="right"/>
              <w:ind w:right="140"/>
              <w:spacing w:after="0" w:line="148" w:lineRule="exact"/>
              <w:rPr>
                <w:sz w:val="20"/>
                <w:szCs w:val="20"/>
                <w:color w:val="auto"/>
              </w:rPr>
            </w:pPr>
            <w:r>
              <w:rPr>
                <w:rFonts w:ascii="Arial" w:cs="Arial" w:eastAsia="Arial" w:hAnsi="Arial"/>
                <w:sz w:val="14"/>
                <w:szCs w:val="14"/>
                <w:color w:val="282A32"/>
              </w:rPr>
              <w:t>Currency</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55565A"/>
            </w:tcBorders>
          </w:tcPr>
          <w:p>
            <w:pPr>
              <w:ind w:left="40"/>
              <w:spacing w:after="0"/>
              <w:rPr>
                <w:sz w:val="20"/>
                <w:szCs w:val="20"/>
                <w:color w:val="auto"/>
              </w:rPr>
            </w:pPr>
            <w:r>
              <w:rPr>
                <w:rFonts w:ascii="Arial" w:cs="Arial" w:eastAsia="Arial" w:hAnsi="Arial"/>
                <w:sz w:val="14"/>
                <w:szCs w:val="14"/>
                <w:i w:val="1"/>
                <w:iCs w:val="1"/>
                <w:color w:val="282A32"/>
              </w:rPr>
              <w:t>Percentages represent 2015 compared to 2014</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282A32"/>
              </w:rPr>
              <w:t>(in millions)</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282A32"/>
              </w:rPr>
              <w:t>Variance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282A32"/>
              </w:rPr>
              <w:t>Currency</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282A32"/>
              </w:rPr>
              <w:t>Currency</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282A32"/>
              </w:rPr>
              <w:t>Currency)</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282A32"/>
              </w:rPr>
              <w:t>Variance</w:t>
            </w:r>
          </w:p>
        </w:tc>
        <w:tc>
          <w:tcPr>
            <w:tcW w:w="0" w:type="dxa"/>
            <w:vAlign w:val="bottom"/>
          </w:tcPr>
          <w:p>
            <w:pPr>
              <w:spacing w:after="0"/>
              <w:rPr>
                <w:sz w:val="1"/>
                <w:szCs w:val="1"/>
                <w:color w:val="auto"/>
              </w:rPr>
            </w:pPr>
          </w:p>
        </w:tc>
      </w:tr>
      <w:tr>
        <w:trPr>
          <w:trHeight w:val="250"/>
        </w:trPr>
        <w:tc>
          <w:tcPr>
            <w:tcW w:w="3620" w:type="dxa"/>
            <w:vAlign w:val="bottom"/>
          </w:tcPr>
          <w:p>
            <w:pPr>
              <w:ind w:left="40"/>
              <w:spacing w:after="0"/>
              <w:rPr>
                <w:sz w:val="20"/>
                <w:szCs w:val="20"/>
                <w:color w:val="auto"/>
              </w:rPr>
            </w:pPr>
            <w:r>
              <w:rPr>
                <w:rFonts w:ascii="Arial" w:cs="Arial" w:eastAsia="Arial" w:hAnsi="Arial"/>
                <w:sz w:val="16"/>
                <w:szCs w:val="16"/>
                <w:color w:val="2989B9"/>
              </w:rPr>
              <w:t>Revenues from Services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6"/>
                <w:szCs w:val="16"/>
                <w:color w:val="282A32"/>
              </w:rPr>
              <w:t>Americas: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United States</w:t>
            </w:r>
          </w:p>
        </w:tc>
        <w:tc>
          <w:tcPr>
            <w:tcW w:w="240" w:type="dxa"/>
            <w:vAlign w:val="bottom"/>
          </w:tcPr>
          <w:p>
            <w:pPr>
              <w:jc w:val="right"/>
              <w:ind w:right="39"/>
              <w:spacing w:after="0"/>
              <w:rPr>
                <w:sz w:val="20"/>
                <w:szCs w:val="20"/>
                <w:color w:val="auto"/>
              </w:rPr>
            </w:pPr>
            <w:r>
              <w:rPr>
                <w:rFonts w:ascii="Arial" w:cs="Arial" w:eastAsia="Arial" w:hAnsi="Arial"/>
                <w:sz w:val="16"/>
                <w:szCs w:val="16"/>
                <w:color w:val="282A32"/>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3,005.8</w:t>
            </w:r>
          </w:p>
        </w:tc>
        <w:tc>
          <w:tcPr>
            <w:tcW w:w="1360" w:type="dxa"/>
            <w:vAlign w:val="bottom"/>
          </w:tcPr>
          <w:p>
            <w:pPr>
              <w:jc w:val="right"/>
              <w:ind w:right="180"/>
              <w:spacing w:after="0"/>
              <w:rPr>
                <w:sz w:val="20"/>
                <w:szCs w:val="20"/>
                <w:color w:val="auto"/>
              </w:rPr>
            </w:pPr>
            <w:r>
              <w:rPr>
                <w:rFonts w:ascii="Arial" w:cs="Arial" w:eastAsia="Arial" w:hAnsi="Arial"/>
                <w:sz w:val="16"/>
                <w:szCs w:val="16"/>
                <w:color w:val="282A32"/>
              </w:rPr>
              <w:t>(2.6)%</w:t>
            </w:r>
          </w:p>
        </w:tc>
        <w:tc>
          <w:tcPr>
            <w:tcW w:w="1260" w:type="dxa"/>
            <w:vAlign w:val="bottom"/>
          </w:tcPr>
          <w:p>
            <w:pPr>
              <w:jc w:val="right"/>
              <w:ind w:right="140"/>
              <w:spacing w:after="0"/>
              <w:rPr>
                <w:sz w:val="20"/>
                <w:szCs w:val="20"/>
                <w:color w:val="auto"/>
              </w:rPr>
            </w:pPr>
            <w:r>
              <w:rPr>
                <w:rFonts w:ascii="Arial" w:cs="Arial" w:eastAsia="Arial" w:hAnsi="Arial"/>
                <w:sz w:val="16"/>
                <w:szCs w:val="16"/>
                <w:color w:val="282A32"/>
              </w:rPr>
              <w:t>— %</w:t>
            </w:r>
          </w:p>
        </w:tc>
        <w:tc>
          <w:tcPr>
            <w:tcW w:w="1300" w:type="dxa"/>
            <w:vAlign w:val="bottom"/>
          </w:tcPr>
          <w:p>
            <w:pPr>
              <w:jc w:val="right"/>
              <w:ind w:right="100"/>
              <w:spacing w:after="0"/>
              <w:rPr>
                <w:sz w:val="20"/>
                <w:szCs w:val="20"/>
                <w:color w:val="auto"/>
              </w:rPr>
            </w:pPr>
            <w:r>
              <w:rPr>
                <w:rFonts w:ascii="Arial" w:cs="Arial" w:eastAsia="Arial" w:hAnsi="Arial"/>
                <w:sz w:val="16"/>
                <w:szCs w:val="16"/>
                <w:color w:val="282A32"/>
              </w:rPr>
              <w:t>(2.6)%</w:t>
            </w:r>
          </w:p>
        </w:tc>
        <w:tc>
          <w:tcPr>
            <w:tcW w:w="1380" w:type="dxa"/>
            <w:vAlign w:val="bottom"/>
          </w:tcPr>
          <w:p>
            <w:pPr>
              <w:jc w:val="right"/>
              <w:ind w:right="201"/>
              <w:spacing w:after="0"/>
              <w:rPr>
                <w:sz w:val="20"/>
                <w:szCs w:val="20"/>
                <w:color w:val="auto"/>
              </w:rPr>
            </w:pPr>
            <w:r>
              <w:rPr>
                <w:rFonts w:ascii="Arial" w:cs="Arial" w:eastAsia="Arial" w:hAnsi="Arial"/>
                <w:sz w:val="16"/>
                <w:szCs w:val="16"/>
                <w:color w:val="282A32"/>
              </w:rPr>
              <w:t>0.3%</w:t>
            </w:r>
          </w:p>
        </w:tc>
        <w:tc>
          <w:tcPr>
            <w:tcW w:w="1080" w:type="dxa"/>
            <w:vAlign w:val="bottom"/>
          </w:tcPr>
          <w:p>
            <w:pPr>
              <w:jc w:val="right"/>
              <w:spacing w:after="0"/>
              <w:rPr>
                <w:sz w:val="20"/>
                <w:szCs w:val="20"/>
                <w:color w:val="auto"/>
              </w:rPr>
            </w:pPr>
            <w:r>
              <w:rPr>
                <w:rFonts w:ascii="Arial" w:cs="Arial" w:eastAsia="Arial" w:hAnsi="Arial"/>
                <w:sz w:val="16"/>
                <w:szCs w:val="16"/>
                <w:color w:val="282A32"/>
              </w:rPr>
              <w:t>(2.9)%</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Americas</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1,486.2</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(0.7)</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(18.3)</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17.6</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1.6</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16.0</w:t>
            </w:r>
          </w:p>
        </w:tc>
        <w:tc>
          <w:tcPr>
            <w:tcW w:w="0" w:type="dxa"/>
            <w:vAlign w:val="bottom"/>
          </w:tcPr>
          <w:p>
            <w:pPr>
              <w:spacing w:after="0"/>
              <w:rPr>
                <w:sz w:val="1"/>
                <w:szCs w:val="1"/>
                <w:color w:val="auto"/>
              </w:rPr>
            </w:pPr>
          </w:p>
        </w:tc>
      </w:tr>
      <w:tr>
        <w:trPr>
          <w:trHeight w:val="264"/>
        </w:trPr>
        <w:tc>
          <w:tcPr>
            <w:tcW w:w="36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4,492.0</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(2.0)</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(6.0)</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4.0</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0.7</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3.3</w:t>
            </w:r>
          </w:p>
        </w:tc>
        <w:tc>
          <w:tcPr>
            <w:tcW w:w="0" w:type="dxa"/>
            <w:vAlign w:val="bottom"/>
          </w:tcPr>
          <w:p>
            <w:pPr>
              <w:spacing w:after="0"/>
              <w:rPr>
                <w:sz w:val="1"/>
                <w:szCs w:val="1"/>
                <w:color w:val="auto"/>
              </w:rPr>
            </w:pPr>
          </w:p>
        </w:tc>
      </w:tr>
      <w:tr>
        <w:trPr>
          <w:trHeight w:val="251"/>
        </w:trPr>
        <w:tc>
          <w:tcPr>
            <w:tcW w:w="3620" w:type="dxa"/>
            <w:vAlign w:val="bottom"/>
          </w:tcPr>
          <w:p>
            <w:pPr>
              <w:ind w:left="40"/>
              <w:spacing w:after="0"/>
              <w:rPr>
                <w:sz w:val="20"/>
                <w:szCs w:val="20"/>
                <w:color w:val="auto"/>
              </w:rPr>
            </w:pPr>
            <w:r>
              <w:rPr>
                <w:rFonts w:ascii="Arial" w:cs="Arial" w:eastAsia="Arial" w:hAnsi="Arial"/>
                <w:sz w:val="16"/>
                <w:szCs w:val="16"/>
                <w:color w:val="282A32"/>
              </w:rPr>
              <w:t>Southern Europe: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France</w:t>
            </w:r>
          </w:p>
        </w:tc>
        <w:tc>
          <w:tcPr>
            <w:tcW w:w="24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4,661.3</w:t>
            </w:r>
          </w:p>
        </w:tc>
        <w:tc>
          <w:tcPr>
            <w:tcW w:w="1360" w:type="dxa"/>
            <w:vAlign w:val="bottom"/>
          </w:tcPr>
          <w:p>
            <w:pPr>
              <w:jc w:val="right"/>
              <w:ind w:right="320"/>
              <w:spacing w:after="0"/>
              <w:rPr>
                <w:sz w:val="20"/>
                <w:szCs w:val="20"/>
                <w:color w:val="auto"/>
              </w:rPr>
            </w:pPr>
            <w:r>
              <w:rPr>
                <w:rFonts w:ascii="Arial" w:cs="Arial" w:eastAsia="Arial" w:hAnsi="Arial"/>
                <w:sz w:val="16"/>
                <w:szCs w:val="16"/>
                <w:color w:val="282A32"/>
              </w:rPr>
              <w:t>(12.9)</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(17.2)</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4.3</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1.0</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3.3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Italy</w:t>
            </w:r>
          </w:p>
        </w:tc>
        <w:tc>
          <w:tcPr>
            <w:tcW w:w="24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1,226.1</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4.0</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(20.5)</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24.5</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24.5</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Southern Europe</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984.5</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0.5</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(16.5)</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17.0</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2.4</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14.6</w:t>
            </w:r>
          </w:p>
        </w:tc>
        <w:tc>
          <w:tcPr>
            <w:tcW w:w="0" w:type="dxa"/>
            <w:vAlign w:val="bottom"/>
          </w:tcPr>
          <w:p>
            <w:pPr>
              <w:spacing w:after="0"/>
              <w:rPr>
                <w:sz w:val="1"/>
                <w:szCs w:val="1"/>
                <w:color w:val="auto"/>
              </w:rPr>
            </w:pPr>
          </w:p>
        </w:tc>
      </w:tr>
      <w:tr>
        <w:trPr>
          <w:trHeight w:val="264"/>
        </w:trPr>
        <w:tc>
          <w:tcPr>
            <w:tcW w:w="36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6,871.9</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(8.5)</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(17.6)</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9.1</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1.0</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8.1</w:t>
            </w:r>
          </w:p>
        </w:tc>
        <w:tc>
          <w:tcPr>
            <w:tcW w:w="0" w:type="dxa"/>
            <w:vAlign w:val="bottom"/>
          </w:tcPr>
          <w:p>
            <w:pPr>
              <w:spacing w:after="0"/>
              <w:rPr>
                <w:sz w:val="1"/>
                <w:szCs w:val="1"/>
                <w:color w:val="auto"/>
              </w:rPr>
            </w:pPr>
          </w:p>
        </w:tc>
      </w:tr>
      <w:tr>
        <w:trPr>
          <w:trHeight w:val="224"/>
        </w:trPr>
        <w:tc>
          <w:tcPr>
            <w:tcW w:w="3620" w:type="dxa"/>
            <w:vAlign w:val="bottom"/>
          </w:tcPr>
          <w:p>
            <w:pPr>
              <w:ind w:left="40"/>
              <w:spacing w:after="0"/>
              <w:rPr>
                <w:sz w:val="20"/>
                <w:szCs w:val="20"/>
                <w:color w:val="auto"/>
              </w:rPr>
            </w:pPr>
            <w:r>
              <w:rPr>
                <w:rFonts w:ascii="Arial" w:cs="Arial" w:eastAsia="Arial" w:hAnsi="Arial"/>
                <w:sz w:val="16"/>
                <w:szCs w:val="16"/>
                <w:color w:val="282A32"/>
              </w:rPr>
              <w:t>Northern Europe</w:t>
            </w:r>
          </w:p>
        </w:tc>
        <w:tc>
          <w:tcPr>
            <w:tcW w:w="240" w:type="dxa"/>
            <w:vAlign w:val="bottom"/>
          </w:tcPr>
          <w:p>
            <w:pPr>
              <w:spacing w:after="0"/>
              <w:rPr>
                <w:sz w:val="19"/>
                <w:szCs w:val="19"/>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5,453.3</w:t>
            </w:r>
          </w:p>
        </w:tc>
        <w:tc>
          <w:tcPr>
            <w:tcW w:w="1360" w:type="dxa"/>
            <w:vAlign w:val="bottom"/>
          </w:tcPr>
          <w:p>
            <w:pPr>
              <w:jc w:val="right"/>
              <w:ind w:right="320"/>
              <w:spacing w:after="0"/>
              <w:rPr>
                <w:sz w:val="20"/>
                <w:szCs w:val="20"/>
                <w:color w:val="auto"/>
              </w:rPr>
            </w:pPr>
            <w:r>
              <w:rPr>
                <w:rFonts w:ascii="Arial" w:cs="Arial" w:eastAsia="Arial" w:hAnsi="Arial"/>
                <w:sz w:val="16"/>
                <w:szCs w:val="16"/>
                <w:color w:val="282A32"/>
              </w:rPr>
              <w:t>(9.8)</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(15.0)</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5.2</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3.1</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2.1</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APME</w:t>
            </w:r>
          </w:p>
        </w:tc>
        <w:tc>
          <w:tcPr>
            <w:tcW w:w="24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2,239.1</w:t>
            </w:r>
          </w:p>
        </w:tc>
        <w:tc>
          <w:tcPr>
            <w:tcW w:w="1360" w:type="dxa"/>
            <w:vAlign w:val="bottom"/>
          </w:tcPr>
          <w:p>
            <w:pPr>
              <w:jc w:val="right"/>
              <w:ind w:right="320"/>
              <w:spacing w:after="0"/>
              <w:rPr>
                <w:sz w:val="20"/>
                <w:szCs w:val="20"/>
                <w:color w:val="auto"/>
              </w:rPr>
            </w:pPr>
            <w:r>
              <w:rPr>
                <w:rFonts w:ascii="Arial" w:cs="Arial" w:eastAsia="Arial" w:hAnsi="Arial"/>
                <w:sz w:val="16"/>
                <w:szCs w:val="16"/>
                <w:color w:val="282A32"/>
              </w:rPr>
              <w:t>(3.8)</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(11.7)</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7.9</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3.8</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4.1</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Right Management</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273.6</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(7.0)</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(7.5)</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0.5</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0.5</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ManpowerGroup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19,329.9</w:t>
            </w:r>
          </w:p>
        </w:tc>
        <w:tc>
          <w:tcPr>
            <w:tcW w:w="1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282A32"/>
              </w:rPr>
              <w:t>(6.9)%</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282A32"/>
              </w:rPr>
              <w:t>(13.5)%</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282A32"/>
              </w:rPr>
              <w:t>6.6 %</w:t>
            </w: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282A32"/>
              </w:rPr>
              <w:t>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4.7 %</w:t>
            </w:r>
          </w:p>
        </w:tc>
        <w:tc>
          <w:tcPr>
            <w:tcW w:w="0" w:type="dxa"/>
            <w:vAlign w:val="bottom"/>
          </w:tcPr>
          <w:p>
            <w:pPr>
              <w:spacing w:after="0"/>
              <w:rPr>
                <w:sz w:val="1"/>
                <w:szCs w:val="1"/>
                <w:color w:val="auto"/>
              </w:rPr>
            </w:pPr>
          </w:p>
        </w:tc>
      </w:tr>
      <w:tr>
        <w:trPr>
          <w:trHeight w:val="224"/>
        </w:trPr>
        <w:tc>
          <w:tcPr>
            <w:tcW w:w="3620" w:type="dxa"/>
            <w:vAlign w:val="bottom"/>
          </w:tcPr>
          <w:p>
            <w:pPr>
              <w:ind w:left="40"/>
              <w:spacing w:after="0"/>
              <w:rPr>
                <w:sz w:val="20"/>
                <w:szCs w:val="20"/>
                <w:color w:val="auto"/>
              </w:rPr>
            </w:pPr>
            <w:r>
              <w:rPr>
                <w:rFonts w:ascii="Arial" w:cs="Arial" w:eastAsia="Arial" w:hAnsi="Arial"/>
                <w:sz w:val="16"/>
                <w:szCs w:val="16"/>
                <w:color w:val="2989B9"/>
              </w:rPr>
              <w:t>Gross Profit - ManpowerGroup</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3,295.8</w:t>
            </w:r>
          </w:p>
        </w:tc>
        <w:tc>
          <w:tcPr>
            <w:tcW w:w="1360" w:type="dxa"/>
            <w:vAlign w:val="bottom"/>
          </w:tcPr>
          <w:p>
            <w:pPr>
              <w:jc w:val="right"/>
              <w:ind w:right="180"/>
              <w:spacing w:after="0"/>
              <w:rPr>
                <w:sz w:val="20"/>
                <w:szCs w:val="20"/>
                <w:color w:val="auto"/>
              </w:rPr>
            </w:pPr>
            <w:r>
              <w:rPr>
                <w:rFonts w:ascii="Arial" w:cs="Arial" w:eastAsia="Arial" w:hAnsi="Arial"/>
                <w:sz w:val="16"/>
                <w:szCs w:val="16"/>
                <w:color w:val="auto"/>
              </w:rPr>
              <w:t>(5.5)%</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(12.6)%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7.1 %</w:t>
            </w:r>
          </w:p>
        </w:tc>
        <w:tc>
          <w:tcPr>
            <w:tcW w:w="1380" w:type="dxa"/>
            <w:vAlign w:val="bottom"/>
          </w:tcPr>
          <w:p>
            <w:pPr>
              <w:jc w:val="right"/>
              <w:ind w:right="201"/>
              <w:spacing w:after="0"/>
              <w:rPr>
                <w:sz w:val="20"/>
                <w:szCs w:val="20"/>
                <w:color w:val="auto"/>
              </w:rPr>
            </w:pPr>
            <w:r>
              <w:rPr>
                <w:rFonts w:ascii="Arial" w:cs="Arial" w:eastAsia="Arial" w:hAnsi="Arial"/>
                <w:sz w:val="16"/>
                <w:szCs w:val="16"/>
                <w:color w:val="auto"/>
              </w:rPr>
              <w:t>2.4%</w:t>
            </w:r>
          </w:p>
        </w:tc>
        <w:tc>
          <w:tcPr>
            <w:tcW w:w="108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6"/>
                <w:szCs w:val="16"/>
                <w:color w:val="2989B9"/>
              </w:rPr>
              <w:t>Operating Unit Profit</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6"/>
                <w:szCs w:val="16"/>
                <w:color w:val="282A32"/>
              </w:rPr>
              <w:t>Americas: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United States</w:t>
            </w:r>
          </w:p>
        </w:tc>
        <w:tc>
          <w:tcPr>
            <w:tcW w:w="240" w:type="dxa"/>
            <w:vAlign w:val="bottom"/>
          </w:tcPr>
          <w:p>
            <w:pPr>
              <w:jc w:val="right"/>
              <w:ind w:right="39"/>
              <w:spacing w:after="0"/>
              <w:rPr>
                <w:sz w:val="20"/>
                <w:szCs w:val="20"/>
                <w:color w:val="auto"/>
              </w:rPr>
            </w:pPr>
            <w:r>
              <w:rPr>
                <w:rFonts w:ascii="Arial" w:cs="Arial" w:eastAsia="Arial" w:hAnsi="Arial"/>
                <w:sz w:val="16"/>
                <w:szCs w:val="16"/>
                <w:color w:val="282A32"/>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143.8</w:t>
            </w:r>
          </w:p>
        </w:tc>
        <w:tc>
          <w:tcPr>
            <w:tcW w:w="1360" w:type="dxa"/>
            <w:vAlign w:val="bottom"/>
          </w:tcPr>
          <w:p>
            <w:pPr>
              <w:jc w:val="right"/>
              <w:ind w:right="200"/>
              <w:spacing w:after="0"/>
              <w:rPr>
                <w:sz w:val="20"/>
                <w:szCs w:val="20"/>
                <w:color w:val="auto"/>
              </w:rPr>
            </w:pPr>
            <w:r>
              <w:rPr>
                <w:rFonts w:ascii="Arial" w:cs="Arial" w:eastAsia="Arial" w:hAnsi="Arial"/>
                <w:sz w:val="16"/>
                <w:szCs w:val="16"/>
                <w:color w:val="282A32"/>
              </w:rPr>
              <w:t>14.7 %</w:t>
            </w:r>
          </w:p>
        </w:tc>
        <w:tc>
          <w:tcPr>
            <w:tcW w:w="1260" w:type="dxa"/>
            <w:vAlign w:val="bottom"/>
          </w:tcPr>
          <w:p>
            <w:pPr>
              <w:jc w:val="right"/>
              <w:ind w:right="140"/>
              <w:spacing w:after="0"/>
              <w:rPr>
                <w:sz w:val="20"/>
                <w:szCs w:val="20"/>
                <w:color w:val="auto"/>
              </w:rPr>
            </w:pPr>
            <w:r>
              <w:rPr>
                <w:rFonts w:ascii="Arial" w:cs="Arial" w:eastAsia="Arial" w:hAnsi="Arial"/>
                <w:sz w:val="16"/>
                <w:szCs w:val="16"/>
                <w:color w:val="282A32"/>
              </w:rPr>
              <w:t>— %</w:t>
            </w:r>
          </w:p>
        </w:tc>
        <w:tc>
          <w:tcPr>
            <w:tcW w:w="1300" w:type="dxa"/>
            <w:vAlign w:val="bottom"/>
          </w:tcPr>
          <w:p>
            <w:pPr>
              <w:jc w:val="right"/>
              <w:ind w:right="100"/>
              <w:spacing w:after="0"/>
              <w:rPr>
                <w:sz w:val="20"/>
                <w:szCs w:val="20"/>
                <w:color w:val="auto"/>
              </w:rPr>
            </w:pPr>
            <w:r>
              <w:rPr>
                <w:rFonts w:ascii="Arial" w:cs="Arial" w:eastAsia="Arial" w:hAnsi="Arial"/>
                <w:sz w:val="16"/>
                <w:szCs w:val="16"/>
                <w:color w:val="282A32"/>
              </w:rPr>
              <w:t>14.7 %</w:t>
            </w:r>
          </w:p>
        </w:tc>
        <w:tc>
          <w:tcPr>
            <w:tcW w:w="1380" w:type="dxa"/>
            <w:vAlign w:val="bottom"/>
          </w:tcPr>
          <w:p>
            <w:pPr>
              <w:jc w:val="right"/>
              <w:ind w:right="201"/>
              <w:spacing w:after="0"/>
              <w:rPr>
                <w:sz w:val="20"/>
                <w:szCs w:val="20"/>
                <w:color w:val="auto"/>
              </w:rPr>
            </w:pPr>
            <w:r>
              <w:rPr>
                <w:rFonts w:ascii="Arial" w:cs="Arial" w:eastAsia="Arial" w:hAnsi="Arial"/>
                <w:sz w:val="16"/>
                <w:szCs w:val="16"/>
                <w:color w:val="282A32"/>
              </w:rPr>
              <w:t>1.1%</w:t>
            </w:r>
          </w:p>
        </w:tc>
        <w:tc>
          <w:tcPr>
            <w:tcW w:w="1080" w:type="dxa"/>
            <w:vAlign w:val="bottom"/>
          </w:tcPr>
          <w:p>
            <w:pPr>
              <w:jc w:val="right"/>
              <w:spacing w:after="0"/>
              <w:rPr>
                <w:sz w:val="20"/>
                <w:szCs w:val="20"/>
                <w:color w:val="auto"/>
              </w:rPr>
            </w:pPr>
            <w:r>
              <w:rPr>
                <w:rFonts w:ascii="Arial" w:cs="Arial" w:eastAsia="Arial" w:hAnsi="Arial"/>
                <w:sz w:val="16"/>
                <w:szCs w:val="16"/>
                <w:color w:val="282A32"/>
              </w:rPr>
              <w:t>13.6 %</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Americas</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57.0</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1.3</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(17.9)</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19.2</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1.7</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17.5</w:t>
            </w:r>
          </w:p>
        </w:tc>
        <w:tc>
          <w:tcPr>
            <w:tcW w:w="0" w:type="dxa"/>
            <w:vAlign w:val="bottom"/>
          </w:tcPr>
          <w:p>
            <w:pPr>
              <w:spacing w:after="0"/>
              <w:rPr>
                <w:sz w:val="1"/>
                <w:szCs w:val="1"/>
                <w:color w:val="auto"/>
              </w:rPr>
            </w:pPr>
          </w:p>
        </w:tc>
      </w:tr>
      <w:tr>
        <w:trPr>
          <w:trHeight w:val="264"/>
        </w:trPr>
        <w:tc>
          <w:tcPr>
            <w:tcW w:w="36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200.8</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10.5</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(5.6)</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16.1</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1.3</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14.8</w:t>
            </w:r>
          </w:p>
        </w:tc>
        <w:tc>
          <w:tcPr>
            <w:tcW w:w="0" w:type="dxa"/>
            <w:vAlign w:val="bottom"/>
          </w:tcPr>
          <w:p>
            <w:pPr>
              <w:spacing w:after="0"/>
              <w:rPr>
                <w:sz w:val="1"/>
                <w:szCs w:val="1"/>
                <w:color w:val="auto"/>
              </w:rPr>
            </w:pPr>
          </w:p>
        </w:tc>
      </w:tr>
      <w:tr>
        <w:trPr>
          <w:trHeight w:val="251"/>
        </w:trPr>
        <w:tc>
          <w:tcPr>
            <w:tcW w:w="3620" w:type="dxa"/>
            <w:vAlign w:val="bottom"/>
          </w:tcPr>
          <w:p>
            <w:pPr>
              <w:ind w:left="40"/>
              <w:spacing w:after="0"/>
              <w:rPr>
                <w:sz w:val="20"/>
                <w:szCs w:val="20"/>
                <w:color w:val="auto"/>
              </w:rPr>
            </w:pPr>
            <w:r>
              <w:rPr>
                <w:rFonts w:ascii="Arial" w:cs="Arial" w:eastAsia="Arial" w:hAnsi="Arial"/>
                <w:sz w:val="16"/>
                <w:szCs w:val="16"/>
                <w:color w:val="282A32"/>
              </w:rPr>
              <w:t>Southern Europe: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France</w:t>
            </w:r>
          </w:p>
        </w:tc>
        <w:tc>
          <w:tcPr>
            <w:tcW w:w="24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258.8</w:t>
            </w:r>
          </w:p>
        </w:tc>
        <w:tc>
          <w:tcPr>
            <w:tcW w:w="1360" w:type="dxa"/>
            <w:vAlign w:val="bottom"/>
          </w:tcPr>
          <w:p>
            <w:pPr>
              <w:jc w:val="right"/>
              <w:ind w:right="320"/>
              <w:spacing w:after="0"/>
              <w:rPr>
                <w:sz w:val="20"/>
                <w:szCs w:val="20"/>
                <w:color w:val="auto"/>
              </w:rPr>
            </w:pPr>
            <w:r>
              <w:rPr>
                <w:rFonts w:ascii="Arial" w:cs="Arial" w:eastAsia="Arial" w:hAnsi="Arial"/>
                <w:sz w:val="16"/>
                <w:szCs w:val="16"/>
                <w:color w:val="282A32"/>
              </w:rPr>
              <w:t>(6.1)</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(18.7)</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12.6</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1.7</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10.9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Italy</w:t>
            </w:r>
          </w:p>
        </w:tc>
        <w:tc>
          <w:tcPr>
            <w:tcW w:w="24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70.9</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10.5</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(22.0)</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32.5</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32.5</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Southern Europe</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25.1</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13.7</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(18.1)</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31.8</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5.8</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26.0</w:t>
            </w:r>
          </w:p>
        </w:tc>
        <w:tc>
          <w:tcPr>
            <w:tcW w:w="0" w:type="dxa"/>
            <w:vAlign w:val="bottom"/>
          </w:tcPr>
          <w:p>
            <w:pPr>
              <w:spacing w:after="0"/>
              <w:rPr>
                <w:sz w:val="1"/>
                <w:szCs w:val="1"/>
                <w:color w:val="auto"/>
              </w:rPr>
            </w:pPr>
          </w:p>
        </w:tc>
      </w:tr>
      <w:tr>
        <w:trPr>
          <w:trHeight w:val="264"/>
        </w:trPr>
        <w:tc>
          <w:tcPr>
            <w:tcW w:w="36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354.8</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(1.9)</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(19.2)</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17.3</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282A32"/>
              </w:rPr>
              <w:t>1.6</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15.7</w:t>
            </w:r>
          </w:p>
        </w:tc>
        <w:tc>
          <w:tcPr>
            <w:tcW w:w="0" w:type="dxa"/>
            <w:vAlign w:val="bottom"/>
          </w:tcPr>
          <w:p>
            <w:pPr>
              <w:spacing w:after="0"/>
              <w:rPr>
                <w:sz w:val="1"/>
                <w:szCs w:val="1"/>
                <w:color w:val="auto"/>
              </w:rPr>
            </w:pPr>
          </w:p>
        </w:tc>
      </w:tr>
      <w:tr>
        <w:trPr>
          <w:trHeight w:val="224"/>
        </w:trPr>
        <w:tc>
          <w:tcPr>
            <w:tcW w:w="3620" w:type="dxa"/>
            <w:vAlign w:val="bottom"/>
          </w:tcPr>
          <w:p>
            <w:pPr>
              <w:ind w:left="40"/>
              <w:spacing w:after="0"/>
              <w:rPr>
                <w:sz w:val="20"/>
                <w:szCs w:val="20"/>
                <w:color w:val="auto"/>
              </w:rPr>
            </w:pPr>
            <w:r>
              <w:rPr>
                <w:rFonts w:ascii="Arial" w:cs="Arial" w:eastAsia="Arial" w:hAnsi="Arial"/>
                <w:sz w:val="16"/>
                <w:szCs w:val="16"/>
                <w:color w:val="282A32"/>
              </w:rPr>
              <w:t>Northern Europe</w:t>
            </w:r>
          </w:p>
        </w:tc>
        <w:tc>
          <w:tcPr>
            <w:tcW w:w="240" w:type="dxa"/>
            <w:vAlign w:val="bottom"/>
          </w:tcPr>
          <w:p>
            <w:pPr>
              <w:spacing w:after="0"/>
              <w:rPr>
                <w:sz w:val="19"/>
                <w:szCs w:val="19"/>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159.5</w:t>
            </w:r>
          </w:p>
        </w:tc>
        <w:tc>
          <w:tcPr>
            <w:tcW w:w="1360" w:type="dxa"/>
            <w:vAlign w:val="bottom"/>
          </w:tcPr>
          <w:p>
            <w:pPr>
              <w:jc w:val="right"/>
              <w:ind w:right="320"/>
              <w:spacing w:after="0"/>
              <w:rPr>
                <w:sz w:val="20"/>
                <w:szCs w:val="20"/>
                <w:color w:val="auto"/>
              </w:rPr>
            </w:pPr>
            <w:r>
              <w:rPr>
                <w:rFonts w:ascii="Arial" w:cs="Arial" w:eastAsia="Arial" w:hAnsi="Arial"/>
                <w:sz w:val="16"/>
                <w:szCs w:val="16"/>
                <w:color w:val="282A32"/>
              </w:rPr>
              <w:t>(19.5)</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(11.7)</w:t>
            </w:r>
          </w:p>
        </w:tc>
        <w:tc>
          <w:tcPr>
            <w:tcW w:w="1300" w:type="dxa"/>
            <w:vAlign w:val="bottom"/>
          </w:tcPr>
          <w:p>
            <w:pPr>
              <w:jc w:val="right"/>
              <w:ind w:right="240"/>
              <w:spacing w:after="0"/>
              <w:rPr>
                <w:sz w:val="20"/>
                <w:szCs w:val="20"/>
                <w:color w:val="auto"/>
              </w:rPr>
            </w:pPr>
            <w:r>
              <w:rPr>
                <w:rFonts w:ascii="Arial" w:cs="Arial" w:eastAsia="Arial" w:hAnsi="Arial"/>
                <w:sz w:val="16"/>
                <w:szCs w:val="16"/>
                <w:color w:val="282A32"/>
              </w:rPr>
              <w:t>(7.8)</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6.3</w:t>
            </w:r>
          </w:p>
        </w:tc>
        <w:tc>
          <w:tcPr>
            <w:tcW w:w="1080" w:type="dxa"/>
            <w:vAlign w:val="bottom"/>
          </w:tcPr>
          <w:p>
            <w:pPr>
              <w:jc w:val="right"/>
              <w:ind w:right="100"/>
              <w:spacing w:after="0"/>
              <w:rPr>
                <w:sz w:val="20"/>
                <w:szCs w:val="20"/>
                <w:color w:val="auto"/>
              </w:rPr>
            </w:pPr>
            <w:r>
              <w:rPr>
                <w:rFonts w:ascii="Arial" w:cs="Arial" w:eastAsia="Arial" w:hAnsi="Arial"/>
                <w:sz w:val="16"/>
                <w:szCs w:val="16"/>
                <w:color w:val="282A32"/>
              </w:rPr>
              <w:t>(14.1)</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APME</w:t>
            </w:r>
          </w:p>
        </w:tc>
        <w:tc>
          <w:tcPr>
            <w:tcW w:w="24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79.3</w:t>
            </w:r>
          </w:p>
        </w:tc>
        <w:tc>
          <w:tcPr>
            <w:tcW w:w="1360" w:type="dxa"/>
            <w:vAlign w:val="bottom"/>
          </w:tcPr>
          <w:p>
            <w:pPr>
              <w:jc w:val="right"/>
              <w:ind w:right="320"/>
              <w:spacing w:after="0"/>
              <w:rPr>
                <w:sz w:val="20"/>
                <w:szCs w:val="20"/>
                <w:color w:val="auto"/>
              </w:rPr>
            </w:pPr>
            <w:r>
              <w:rPr>
                <w:rFonts w:ascii="Arial" w:cs="Arial" w:eastAsia="Arial" w:hAnsi="Arial"/>
                <w:sz w:val="16"/>
                <w:szCs w:val="16"/>
                <w:color w:val="282A32"/>
              </w:rPr>
              <w:t>(5.7)</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(10.8)</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5.1</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2.2</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2.9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282A32"/>
              </w:rPr>
              <w:t>Right Management</w:t>
            </w:r>
          </w:p>
        </w:tc>
        <w:tc>
          <w:tcPr>
            <w:tcW w:w="24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38.3</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14.3</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(5.8)</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20.1</w:t>
            </w:r>
          </w:p>
        </w:tc>
        <w:tc>
          <w:tcPr>
            <w:tcW w:w="1380" w:type="dxa"/>
            <w:vAlign w:val="bottom"/>
          </w:tcPr>
          <w:p>
            <w:pPr>
              <w:jc w:val="right"/>
              <w:ind w:right="341"/>
              <w:spacing w:after="0"/>
              <w:rPr>
                <w:sz w:val="20"/>
                <w:szCs w:val="20"/>
                <w:color w:val="auto"/>
              </w:rPr>
            </w:pPr>
            <w:r>
              <w:rPr>
                <w:rFonts w:ascii="Arial" w:cs="Arial" w:eastAsia="Arial" w:hAnsi="Arial"/>
                <w:sz w:val="16"/>
                <w:szCs w:val="16"/>
                <w:color w:val="282A32"/>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20.1</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989B9"/>
              </w:rPr>
              <w:t>Operating Profit — ManpowerGroup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688.9</w:t>
            </w:r>
          </w:p>
        </w:tc>
        <w:tc>
          <w:tcPr>
            <w:tcW w:w="1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282A32"/>
              </w:rPr>
              <w:t>(4.3)%</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282A32"/>
              </w:rPr>
              <w:t>(15.5)%</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282A32"/>
              </w:rPr>
              <w:t>11.2 %</w:t>
            </w: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282A32"/>
              </w:rPr>
              <w:t>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8.6 %</w:t>
            </w:r>
          </w:p>
        </w:tc>
        <w:tc>
          <w:tcPr>
            <w:tcW w:w="0" w:type="dxa"/>
            <w:vAlign w:val="bottom"/>
          </w:tcPr>
          <w:p>
            <w:pPr>
              <w:spacing w:after="0"/>
              <w:rPr>
                <w:sz w:val="1"/>
                <w:szCs w:val="1"/>
                <w:color w:val="auto"/>
              </w:rPr>
            </w:pPr>
          </w:p>
        </w:tc>
      </w:tr>
      <w:tr>
        <w:trPr>
          <w:trHeight w:val="646"/>
        </w:trPr>
        <w:tc>
          <w:tcPr>
            <w:tcW w:w="3620" w:type="dxa"/>
            <w:vAlign w:val="bottom"/>
          </w:tcPr>
          <w:p>
            <w:pPr>
              <w:ind w:left="140"/>
              <w:spacing w:after="0"/>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28</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right"/>
              <w:ind w:right="40"/>
              <w:spacing w:after="0"/>
              <w:rPr>
                <w:sz w:val="20"/>
                <w:szCs w:val="20"/>
                <w:color w:val="auto"/>
              </w:rPr>
            </w:pPr>
            <w:r>
              <w:rPr>
                <w:rFonts w:ascii="Arial" w:cs="Arial" w:eastAsia="Arial" w:hAnsi="Arial"/>
                <w:sz w:val="13"/>
                <w:szCs w:val="13"/>
                <w:color w:val="auto"/>
              </w:rPr>
              <w:t>Management's Discussion &amp; Analysis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right"/>
              <w:ind w:right="340"/>
              <w:spacing w:after="0"/>
              <w:rPr>
                <w:sz w:val="20"/>
                <w:szCs w:val="20"/>
                <w:color w:val="auto"/>
              </w:rPr>
            </w:pPr>
            <w:r>
              <w:rPr>
                <w:rFonts w:ascii="Arial" w:cs="Arial" w:eastAsia="Arial" w:hAnsi="Arial"/>
                <w:sz w:val="14"/>
                <w:szCs w:val="14"/>
                <w:color w:val="auto"/>
              </w:rPr>
              <w:t>Impact of</w:t>
            </w:r>
          </w:p>
        </w:tc>
        <w:tc>
          <w:tcPr>
            <w:tcW w:w="1080" w:type="dxa"/>
            <w:vAlign w:val="bottom"/>
          </w:tcPr>
          <w:p>
            <w:pPr>
              <w:jc w:val="right"/>
              <w:ind w:right="140"/>
              <w:spacing w:after="0"/>
              <w:rPr>
                <w:sz w:val="20"/>
                <w:szCs w:val="20"/>
                <w:color w:val="auto"/>
              </w:rPr>
            </w:pPr>
            <w:r>
              <w:rPr>
                <w:rFonts w:ascii="Arial" w:cs="Arial" w:eastAsia="Arial" w:hAnsi="Arial"/>
                <w:sz w:val="14"/>
                <w:szCs w:val="14"/>
                <w:color w:val="auto"/>
              </w:rPr>
              <w:t>Organic</w:t>
            </w:r>
          </w:p>
        </w:tc>
        <w:tc>
          <w:tcPr>
            <w:tcW w:w="0" w:type="dxa"/>
            <w:vAlign w:val="bottom"/>
          </w:tcPr>
          <w:p>
            <w:pPr>
              <w:spacing w:after="0"/>
              <w:rPr>
                <w:sz w:val="1"/>
                <w:szCs w:val="1"/>
                <w:color w:val="auto"/>
              </w:rPr>
            </w:pPr>
          </w:p>
        </w:tc>
      </w:tr>
      <w:tr>
        <w:trPr>
          <w:trHeight w:val="162"/>
        </w:trPr>
        <w:tc>
          <w:tcPr>
            <w:tcW w:w="33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Amounts represent 2014</w:t>
            </w:r>
          </w:p>
        </w:tc>
        <w:tc>
          <w:tcPr>
            <w:tcW w:w="520" w:type="dxa"/>
            <w:vAlign w:val="bottom"/>
          </w:tcPr>
          <w:p>
            <w:pPr>
              <w:spacing w:after="0"/>
              <w:rPr>
                <w:sz w:val="14"/>
                <w:szCs w:val="14"/>
                <w:color w:val="auto"/>
              </w:rPr>
            </w:pPr>
          </w:p>
        </w:tc>
        <w:tc>
          <w:tcPr>
            <w:tcW w:w="1180" w:type="dxa"/>
            <w:vAlign w:val="bottom"/>
          </w:tcPr>
          <w:p>
            <w:pPr>
              <w:jc w:val="right"/>
              <w:ind w:right="220"/>
              <w:spacing w:after="0"/>
              <w:rPr>
                <w:sz w:val="20"/>
                <w:szCs w:val="20"/>
                <w:color w:val="auto"/>
              </w:rPr>
            </w:pPr>
            <w:r>
              <w:rPr>
                <w:rFonts w:ascii="Arial" w:cs="Arial" w:eastAsia="Arial" w:hAnsi="Arial"/>
                <w:sz w:val="14"/>
                <w:szCs w:val="14"/>
                <w:color w:val="auto"/>
              </w:rPr>
              <w:t>Reported</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right"/>
              <w:ind w:right="300"/>
              <w:spacing w:after="0"/>
              <w:rPr>
                <w:sz w:val="20"/>
                <w:szCs w:val="20"/>
                <w:color w:val="auto"/>
              </w:rPr>
            </w:pPr>
            <w:r>
              <w:rPr>
                <w:rFonts w:ascii="Arial" w:cs="Arial" w:eastAsia="Arial" w:hAnsi="Arial"/>
                <w:sz w:val="14"/>
                <w:szCs w:val="14"/>
                <w:color w:val="auto"/>
              </w:rPr>
              <w:t>Variance in</w:t>
            </w:r>
          </w:p>
        </w:tc>
        <w:tc>
          <w:tcPr>
            <w:tcW w:w="1380" w:type="dxa"/>
            <w:vAlign w:val="bottom"/>
          </w:tcPr>
          <w:p>
            <w:pPr>
              <w:jc w:val="right"/>
              <w:ind w:right="340"/>
              <w:spacing w:after="0"/>
              <w:rPr>
                <w:sz w:val="20"/>
                <w:szCs w:val="20"/>
                <w:color w:val="auto"/>
              </w:rPr>
            </w:pPr>
            <w:r>
              <w:rPr>
                <w:rFonts w:ascii="Arial" w:cs="Arial" w:eastAsia="Arial" w:hAnsi="Arial"/>
                <w:sz w:val="14"/>
                <w:szCs w:val="14"/>
                <w:color w:val="auto"/>
              </w:rPr>
              <w:t>Acquisitions</w:t>
            </w:r>
          </w:p>
        </w:tc>
        <w:tc>
          <w:tcPr>
            <w:tcW w:w="1080" w:type="dxa"/>
            <w:vAlign w:val="bottom"/>
          </w:tcPr>
          <w:p>
            <w:pPr>
              <w:jc w:val="right"/>
              <w:ind w:right="14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8"/>
        </w:trPr>
        <w:tc>
          <w:tcPr>
            <w:tcW w:w="33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ind w:right="220"/>
              <w:spacing w:after="0" w:line="148" w:lineRule="exact"/>
              <w:rPr>
                <w:sz w:val="20"/>
                <w:szCs w:val="20"/>
                <w:color w:val="auto"/>
              </w:rPr>
            </w:pPr>
            <w:r>
              <w:rPr>
                <w:rFonts w:ascii="Arial" w:cs="Arial" w:eastAsia="Arial" w:hAnsi="Arial"/>
                <w:sz w:val="14"/>
                <w:szCs w:val="14"/>
                <w:color w:val="auto"/>
              </w:rPr>
              <w:t>Amount</w:t>
            </w:r>
          </w:p>
        </w:tc>
        <w:tc>
          <w:tcPr>
            <w:tcW w:w="1360" w:type="dxa"/>
            <w:vAlign w:val="bottom"/>
          </w:tcPr>
          <w:p>
            <w:pPr>
              <w:jc w:val="right"/>
              <w:ind w:right="380"/>
              <w:spacing w:after="0" w:line="148" w:lineRule="exact"/>
              <w:rPr>
                <w:sz w:val="20"/>
                <w:szCs w:val="20"/>
                <w:color w:val="auto"/>
              </w:rPr>
            </w:pPr>
            <w:r>
              <w:rPr>
                <w:rFonts w:ascii="Arial" w:cs="Arial" w:eastAsia="Arial" w:hAnsi="Arial"/>
                <w:sz w:val="14"/>
                <w:szCs w:val="14"/>
                <w:color w:val="auto"/>
              </w:rPr>
              <w:t>Reported</w:t>
            </w:r>
          </w:p>
        </w:tc>
        <w:tc>
          <w:tcPr>
            <w:tcW w:w="1260" w:type="dxa"/>
            <w:vAlign w:val="bottom"/>
          </w:tcPr>
          <w:p>
            <w:pPr>
              <w:jc w:val="right"/>
              <w:ind w:right="320"/>
              <w:spacing w:after="0" w:line="148" w:lineRule="exact"/>
              <w:rPr>
                <w:sz w:val="20"/>
                <w:szCs w:val="20"/>
                <w:color w:val="auto"/>
              </w:rPr>
            </w:pPr>
            <w:r>
              <w:rPr>
                <w:rFonts w:ascii="Arial" w:cs="Arial" w:eastAsia="Arial" w:hAnsi="Arial"/>
                <w:sz w:val="14"/>
                <w:szCs w:val="14"/>
                <w:color w:val="auto"/>
              </w:rPr>
              <w:t>Impact of</w:t>
            </w:r>
          </w:p>
        </w:tc>
        <w:tc>
          <w:tcPr>
            <w:tcW w:w="1300" w:type="dxa"/>
            <w:vAlign w:val="bottom"/>
          </w:tcPr>
          <w:p>
            <w:pPr>
              <w:jc w:val="right"/>
              <w:ind w:right="300"/>
              <w:spacing w:after="0" w:line="148" w:lineRule="exact"/>
              <w:rPr>
                <w:sz w:val="20"/>
                <w:szCs w:val="20"/>
                <w:color w:val="auto"/>
              </w:rPr>
            </w:pPr>
            <w:r>
              <w:rPr>
                <w:rFonts w:ascii="Arial" w:cs="Arial" w:eastAsia="Arial" w:hAnsi="Arial"/>
                <w:sz w:val="14"/>
                <w:szCs w:val="14"/>
                <w:color w:val="auto"/>
              </w:rPr>
              <w:t>Constant</w:t>
            </w:r>
          </w:p>
        </w:tc>
        <w:tc>
          <w:tcPr>
            <w:tcW w:w="1380" w:type="dxa"/>
            <w:vAlign w:val="bottom"/>
          </w:tcPr>
          <w:p>
            <w:pPr>
              <w:jc w:val="right"/>
              <w:ind w:right="340"/>
              <w:spacing w:after="0" w:line="148" w:lineRule="exact"/>
              <w:rPr>
                <w:sz w:val="20"/>
                <w:szCs w:val="20"/>
                <w:color w:val="auto"/>
              </w:rPr>
            </w:pPr>
            <w:r>
              <w:rPr>
                <w:rFonts w:ascii="Arial" w:cs="Arial" w:eastAsia="Arial" w:hAnsi="Arial"/>
                <w:sz w:val="14"/>
                <w:szCs w:val="14"/>
                <w:color w:val="auto"/>
              </w:rPr>
              <w:t>(in Constant</w:t>
            </w:r>
          </w:p>
        </w:tc>
        <w:tc>
          <w:tcPr>
            <w:tcW w:w="1080" w:type="dxa"/>
            <w:vAlign w:val="bottom"/>
          </w:tcPr>
          <w:p>
            <w:pPr>
              <w:jc w:val="right"/>
              <w:ind w:right="140"/>
              <w:spacing w:after="0" w:line="148"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Percentages represent 2014 compared to 2013</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Variance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Currency</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Currency</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Currency)</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Variance</w:t>
            </w: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6"/>
                <w:szCs w:val="16"/>
                <w:color w:val="2989B9"/>
              </w:rPr>
              <w:t>Revenues from Services</w:t>
            </w: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282A32"/>
              </w:rPr>
              <w:t>Americas:</w:t>
            </w: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United States</w:t>
            </w:r>
          </w:p>
        </w:tc>
        <w:tc>
          <w:tcPr>
            <w:tcW w:w="520" w:type="dxa"/>
            <w:vAlign w:val="bottom"/>
          </w:tcPr>
          <w:p>
            <w:pPr>
              <w:jc w:val="right"/>
              <w:ind w:right="39"/>
              <w:spacing w:after="0"/>
              <w:rPr>
                <w:sz w:val="20"/>
                <w:szCs w:val="20"/>
                <w:color w:val="auto"/>
              </w:rPr>
            </w:pPr>
            <w:r>
              <w:rPr>
                <w:rFonts w:ascii="Arial" w:cs="Arial" w:eastAsia="Arial" w:hAnsi="Arial"/>
                <w:sz w:val="16"/>
                <w:szCs w:val="16"/>
                <w:color w:val="282A32"/>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3,086.4</w:t>
            </w:r>
          </w:p>
        </w:tc>
        <w:tc>
          <w:tcPr>
            <w:tcW w:w="1360" w:type="dxa"/>
            <w:vAlign w:val="bottom"/>
          </w:tcPr>
          <w:p>
            <w:pPr>
              <w:jc w:val="right"/>
              <w:ind w:right="200"/>
              <w:spacing w:after="0"/>
              <w:rPr>
                <w:sz w:val="20"/>
                <w:szCs w:val="20"/>
                <w:color w:val="auto"/>
              </w:rPr>
            </w:pPr>
            <w:r>
              <w:rPr>
                <w:rFonts w:ascii="Arial" w:cs="Arial" w:eastAsia="Arial" w:hAnsi="Arial"/>
                <w:sz w:val="16"/>
                <w:szCs w:val="16"/>
                <w:color w:val="282A32"/>
              </w:rPr>
              <w:t>4.0 %</w:t>
            </w:r>
          </w:p>
        </w:tc>
        <w:tc>
          <w:tcPr>
            <w:tcW w:w="1260" w:type="dxa"/>
            <w:vAlign w:val="bottom"/>
          </w:tcPr>
          <w:p>
            <w:pPr>
              <w:jc w:val="right"/>
              <w:ind w:right="140"/>
              <w:spacing w:after="0"/>
              <w:rPr>
                <w:sz w:val="20"/>
                <w:szCs w:val="20"/>
                <w:color w:val="auto"/>
              </w:rPr>
            </w:pPr>
            <w:r>
              <w:rPr>
                <w:rFonts w:ascii="Arial" w:cs="Arial" w:eastAsia="Arial" w:hAnsi="Arial"/>
                <w:sz w:val="16"/>
                <w:szCs w:val="16"/>
                <w:color w:val="282A32"/>
              </w:rPr>
              <w:t>— %</w:t>
            </w:r>
          </w:p>
        </w:tc>
        <w:tc>
          <w:tcPr>
            <w:tcW w:w="1300" w:type="dxa"/>
            <w:vAlign w:val="bottom"/>
          </w:tcPr>
          <w:p>
            <w:pPr>
              <w:jc w:val="right"/>
              <w:ind w:right="100"/>
              <w:spacing w:after="0"/>
              <w:rPr>
                <w:sz w:val="20"/>
                <w:szCs w:val="20"/>
                <w:color w:val="auto"/>
              </w:rPr>
            </w:pPr>
            <w:r>
              <w:rPr>
                <w:rFonts w:ascii="Arial" w:cs="Arial" w:eastAsia="Arial" w:hAnsi="Arial"/>
                <w:sz w:val="16"/>
                <w:szCs w:val="16"/>
                <w:color w:val="282A32"/>
              </w:rPr>
              <w:t>4.0 %</w:t>
            </w:r>
          </w:p>
        </w:tc>
        <w:tc>
          <w:tcPr>
            <w:tcW w:w="1380" w:type="dxa"/>
            <w:vAlign w:val="bottom"/>
          </w:tcPr>
          <w:p>
            <w:pPr>
              <w:jc w:val="right"/>
              <w:ind w:right="200"/>
              <w:spacing w:after="0"/>
              <w:rPr>
                <w:sz w:val="20"/>
                <w:szCs w:val="20"/>
                <w:color w:val="auto"/>
              </w:rPr>
            </w:pPr>
            <w:r>
              <w:rPr>
                <w:rFonts w:ascii="Arial" w:cs="Arial" w:eastAsia="Arial" w:hAnsi="Arial"/>
                <w:sz w:val="16"/>
                <w:szCs w:val="16"/>
                <w:color w:val="282A32"/>
              </w:rPr>
              <w:t>—%</w:t>
            </w:r>
          </w:p>
        </w:tc>
        <w:tc>
          <w:tcPr>
            <w:tcW w:w="1080" w:type="dxa"/>
            <w:vAlign w:val="bottom"/>
          </w:tcPr>
          <w:p>
            <w:pPr>
              <w:jc w:val="right"/>
              <w:spacing w:after="0"/>
              <w:rPr>
                <w:sz w:val="20"/>
                <w:szCs w:val="20"/>
                <w:color w:val="auto"/>
              </w:rPr>
            </w:pPr>
            <w:r>
              <w:rPr>
                <w:rFonts w:ascii="Arial" w:cs="Arial" w:eastAsia="Arial" w:hAnsi="Arial"/>
                <w:sz w:val="16"/>
                <w:szCs w:val="16"/>
                <w:color w:val="282A32"/>
              </w:rPr>
              <w:t>4.0 %</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Americas</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1,497.3</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(3.0)</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(11.0)</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8.0</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8.0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4,583.7</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1.6</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(3.8)</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5.4</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5.4</w:t>
            </w:r>
          </w:p>
        </w:tc>
        <w:tc>
          <w:tcPr>
            <w:tcW w:w="0" w:type="dxa"/>
            <w:vAlign w:val="bottom"/>
          </w:tcPr>
          <w:p>
            <w:pPr>
              <w:spacing w:after="0"/>
              <w:rPr>
                <w:sz w:val="1"/>
                <w:szCs w:val="1"/>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282A32"/>
              </w:rPr>
              <w:t>Southern Europe:</w:t>
            </w: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France</w:t>
            </w:r>
          </w:p>
        </w:tc>
        <w:tc>
          <w:tcPr>
            <w:tcW w:w="52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5,351.6</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1.3</w:t>
            </w:r>
          </w:p>
        </w:tc>
        <w:tc>
          <w:tcPr>
            <w:tcW w:w="1260" w:type="dxa"/>
            <w:vAlign w:val="bottom"/>
          </w:tcPr>
          <w:p>
            <w:pPr>
              <w:jc w:val="right"/>
              <w:ind w:right="320"/>
              <w:spacing w:after="0"/>
              <w:rPr>
                <w:sz w:val="20"/>
                <w:szCs w:val="20"/>
                <w:color w:val="auto"/>
              </w:rPr>
            </w:pPr>
            <w:r>
              <w:rPr>
                <w:rFonts w:ascii="Arial" w:cs="Arial" w:eastAsia="Arial" w:hAnsi="Arial"/>
                <w:sz w:val="16"/>
                <w:szCs w:val="16"/>
                <w:color w:val="282A32"/>
              </w:rPr>
              <w:t>0.1</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1.2</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1.2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Italy</w:t>
            </w:r>
          </w:p>
        </w:tc>
        <w:tc>
          <w:tcPr>
            <w:tcW w:w="52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1,178.8</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8.4</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(0.1)</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8.5</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0.4</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8.1</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Southern Europe</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979.3</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13.3</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(0.4)</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13.7</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1.5</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12.2</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7,509.7</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3.8</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3.8</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0.2</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3.6</w:t>
            </w: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282A32"/>
              </w:rPr>
              <w:t>Northern Europe</w:t>
            </w:r>
          </w:p>
        </w:tc>
        <w:tc>
          <w:tcPr>
            <w:tcW w:w="520" w:type="dxa"/>
            <w:vAlign w:val="bottom"/>
          </w:tcPr>
          <w:p>
            <w:pPr>
              <w:spacing w:after="0"/>
              <w:rPr>
                <w:sz w:val="19"/>
                <w:szCs w:val="19"/>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6,048.1</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5.4</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(0.3)</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5.7</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1.3</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4.4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APME</w:t>
            </w:r>
          </w:p>
        </w:tc>
        <w:tc>
          <w:tcPr>
            <w:tcW w:w="52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2,327.1</w:t>
            </w:r>
          </w:p>
        </w:tc>
        <w:tc>
          <w:tcPr>
            <w:tcW w:w="1360" w:type="dxa"/>
            <w:vAlign w:val="bottom"/>
          </w:tcPr>
          <w:p>
            <w:pPr>
              <w:jc w:val="right"/>
              <w:ind w:right="320"/>
              <w:spacing w:after="0"/>
              <w:rPr>
                <w:sz w:val="20"/>
                <w:szCs w:val="20"/>
                <w:color w:val="auto"/>
              </w:rPr>
            </w:pPr>
            <w:r>
              <w:rPr>
                <w:rFonts w:ascii="Arial" w:cs="Arial" w:eastAsia="Arial" w:hAnsi="Arial"/>
                <w:sz w:val="16"/>
                <w:szCs w:val="16"/>
                <w:color w:val="282A32"/>
              </w:rPr>
              <w:t>(4.9)</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(4.8)</w:t>
            </w:r>
          </w:p>
        </w:tc>
        <w:tc>
          <w:tcPr>
            <w:tcW w:w="1300" w:type="dxa"/>
            <w:vAlign w:val="bottom"/>
          </w:tcPr>
          <w:p>
            <w:pPr>
              <w:jc w:val="right"/>
              <w:ind w:right="240"/>
              <w:spacing w:after="0"/>
              <w:rPr>
                <w:sz w:val="20"/>
                <w:szCs w:val="20"/>
                <w:color w:val="auto"/>
              </w:rPr>
            </w:pPr>
            <w:r>
              <w:rPr>
                <w:rFonts w:ascii="Arial" w:cs="Arial" w:eastAsia="Arial" w:hAnsi="Arial"/>
                <w:sz w:val="16"/>
                <w:szCs w:val="16"/>
                <w:color w:val="282A32"/>
              </w:rPr>
              <w:t>(0.1)</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0.5</w:t>
            </w:r>
          </w:p>
        </w:tc>
        <w:tc>
          <w:tcPr>
            <w:tcW w:w="1080" w:type="dxa"/>
            <w:vAlign w:val="bottom"/>
          </w:tcPr>
          <w:p>
            <w:pPr>
              <w:jc w:val="right"/>
              <w:ind w:right="100"/>
              <w:spacing w:after="0"/>
              <w:rPr>
                <w:sz w:val="20"/>
                <w:szCs w:val="20"/>
                <w:color w:val="auto"/>
              </w:rPr>
            </w:pPr>
            <w:r>
              <w:rPr>
                <w:rFonts w:ascii="Arial" w:cs="Arial" w:eastAsia="Arial" w:hAnsi="Arial"/>
                <w:sz w:val="16"/>
                <w:szCs w:val="16"/>
                <w:color w:val="282A32"/>
              </w:rPr>
              <w:t>(0.6)</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Right Management</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294.2</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282A32"/>
              </w:rPr>
              <w:t>(7.1)</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(0.4)</w:t>
            </w: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282A32"/>
              </w:rPr>
              <w:t>(6.7)</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282A32"/>
              </w:rPr>
              <w:t>(6.7)</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ManpowerGroup</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20,762.8</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282A32"/>
              </w:rPr>
              <w:t>2.5 %</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282A32"/>
              </w:rPr>
              <w:t>(1.5)%</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282A32"/>
              </w:rPr>
              <w:t>4.0 %</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282A32"/>
              </w:rPr>
              <w:t>0.4%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3.6 %</w:t>
            </w: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2989B9"/>
              </w:rPr>
              <w:t>Gross Profit — ManpowerGroup</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3,488.2</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3.6 %</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5.2 %</w:t>
            </w:r>
          </w:p>
        </w:tc>
        <w:tc>
          <w:tcPr>
            <w:tcW w:w="138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1080" w:type="dxa"/>
            <w:vAlign w:val="bottom"/>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2989B9"/>
              </w:rPr>
              <w:t>Operating Unit Profit</w:t>
            </w: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282A32"/>
              </w:rPr>
              <w:t>Americas:</w:t>
            </w: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United States</w:t>
            </w:r>
          </w:p>
        </w:tc>
        <w:tc>
          <w:tcPr>
            <w:tcW w:w="520" w:type="dxa"/>
            <w:vAlign w:val="bottom"/>
          </w:tcPr>
          <w:p>
            <w:pPr>
              <w:jc w:val="right"/>
              <w:ind w:right="39"/>
              <w:spacing w:after="0"/>
              <w:rPr>
                <w:sz w:val="20"/>
                <w:szCs w:val="20"/>
                <w:color w:val="auto"/>
              </w:rPr>
            </w:pPr>
            <w:r>
              <w:rPr>
                <w:rFonts w:ascii="Arial" w:cs="Arial" w:eastAsia="Arial" w:hAnsi="Arial"/>
                <w:sz w:val="16"/>
                <w:szCs w:val="16"/>
                <w:color w:val="282A32"/>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125.4</w:t>
            </w:r>
          </w:p>
        </w:tc>
        <w:tc>
          <w:tcPr>
            <w:tcW w:w="1360" w:type="dxa"/>
            <w:vAlign w:val="bottom"/>
          </w:tcPr>
          <w:p>
            <w:pPr>
              <w:jc w:val="right"/>
              <w:ind w:right="200"/>
              <w:spacing w:after="0"/>
              <w:rPr>
                <w:sz w:val="20"/>
                <w:szCs w:val="20"/>
                <w:color w:val="auto"/>
              </w:rPr>
            </w:pPr>
            <w:r>
              <w:rPr>
                <w:rFonts w:ascii="Arial" w:cs="Arial" w:eastAsia="Arial" w:hAnsi="Arial"/>
                <w:sz w:val="16"/>
                <w:szCs w:val="16"/>
                <w:color w:val="282A32"/>
              </w:rPr>
              <w:t>25.7 %</w:t>
            </w:r>
          </w:p>
        </w:tc>
        <w:tc>
          <w:tcPr>
            <w:tcW w:w="1260" w:type="dxa"/>
            <w:vAlign w:val="bottom"/>
          </w:tcPr>
          <w:p>
            <w:pPr>
              <w:jc w:val="right"/>
              <w:ind w:right="140"/>
              <w:spacing w:after="0"/>
              <w:rPr>
                <w:sz w:val="20"/>
                <w:szCs w:val="20"/>
                <w:color w:val="auto"/>
              </w:rPr>
            </w:pPr>
            <w:r>
              <w:rPr>
                <w:rFonts w:ascii="Arial" w:cs="Arial" w:eastAsia="Arial" w:hAnsi="Arial"/>
                <w:sz w:val="16"/>
                <w:szCs w:val="16"/>
                <w:color w:val="282A32"/>
              </w:rPr>
              <w:t>— %</w:t>
            </w:r>
          </w:p>
        </w:tc>
        <w:tc>
          <w:tcPr>
            <w:tcW w:w="1300" w:type="dxa"/>
            <w:vAlign w:val="bottom"/>
          </w:tcPr>
          <w:p>
            <w:pPr>
              <w:jc w:val="right"/>
              <w:ind w:right="100"/>
              <w:spacing w:after="0"/>
              <w:rPr>
                <w:sz w:val="20"/>
                <w:szCs w:val="20"/>
                <w:color w:val="auto"/>
              </w:rPr>
            </w:pPr>
            <w:r>
              <w:rPr>
                <w:rFonts w:ascii="Arial" w:cs="Arial" w:eastAsia="Arial" w:hAnsi="Arial"/>
                <w:sz w:val="16"/>
                <w:szCs w:val="16"/>
                <w:color w:val="282A32"/>
              </w:rPr>
              <w:t>25.7 %</w:t>
            </w:r>
          </w:p>
        </w:tc>
        <w:tc>
          <w:tcPr>
            <w:tcW w:w="1380" w:type="dxa"/>
            <w:vAlign w:val="bottom"/>
          </w:tcPr>
          <w:p>
            <w:pPr>
              <w:jc w:val="right"/>
              <w:ind w:right="200"/>
              <w:spacing w:after="0"/>
              <w:rPr>
                <w:sz w:val="20"/>
                <w:szCs w:val="20"/>
                <w:color w:val="auto"/>
              </w:rPr>
            </w:pPr>
            <w:r>
              <w:rPr>
                <w:rFonts w:ascii="Arial" w:cs="Arial" w:eastAsia="Arial" w:hAnsi="Arial"/>
                <w:sz w:val="16"/>
                <w:szCs w:val="16"/>
                <w:color w:val="282A32"/>
              </w:rPr>
              <w:t>—%</w:t>
            </w:r>
          </w:p>
        </w:tc>
        <w:tc>
          <w:tcPr>
            <w:tcW w:w="1080" w:type="dxa"/>
            <w:vAlign w:val="bottom"/>
          </w:tcPr>
          <w:p>
            <w:pPr>
              <w:jc w:val="right"/>
              <w:spacing w:after="0"/>
              <w:rPr>
                <w:sz w:val="20"/>
                <w:szCs w:val="20"/>
                <w:color w:val="auto"/>
              </w:rPr>
            </w:pPr>
            <w:r>
              <w:rPr>
                <w:rFonts w:ascii="Arial" w:cs="Arial" w:eastAsia="Arial" w:hAnsi="Arial"/>
                <w:sz w:val="16"/>
                <w:szCs w:val="16"/>
                <w:color w:val="282A32"/>
              </w:rPr>
              <w:t>25.7 %</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Americas</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56.2</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27.9</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(12.5)</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40.4</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40.4</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181.6</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26.4</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(3.8)</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30.2</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30.2</w:t>
            </w:r>
          </w:p>
        </w:tc>
        <w:tc>
          <w:tcPr>
            <w:tcW w:w="0" w:type="dxa"/>
            <w:vAlign w:val="bottom"/>
          </w:tcPr>
          <w:p>
            <w:pPr>
              <w:spacing w:after="0"/>
              <w:rPr>
                <w:sz w:val="1"/>
                <w:szCs w:val="1"/>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282A32"/>
              </w:rPr>
              <w:t>Southern Europe:</w:t>
            </w: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France</w:t>
            </w:r>
          </w:p>
        </w:tc>
        <w:tc>
          <w:tcPr>
            <w:tcW w:w="52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275.5</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38.5</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(0.2)</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38.7</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38.7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Italy</w:t>
            </w:r>
          </w:p>
        </w:tc>
        <w:tc>
          <w:tcPr>
            <w:tcW w:w="52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64.2</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19.3</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(0.5)</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19.8</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1.6</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18.2</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Southern Europe</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22.0</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83.9</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(0.9)</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84.8</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8.8</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76.0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282A32"/>
              </w:rPr>
              <w:t>361.7</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282A32"/>
              </w:rPr>
              <w:t>36.7</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(0.3)</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282A32"/>
              </w:rPr>
              <w:t>37.0</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282A32"/>
              </w:rPr>
              <w:t>0.7</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282A32"/>
              </w:rPr>
              <w:t>36.3</w:t>
            </w: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282A32"/>
              </w:rPr>
              <w:t>Northern Europe</w:t>
            </w:r>
          </w:p>
        </w:tc>
        <w:tc>
          <w:tcPr>
            <w:tcW w:w="520" w:type="dxa"/>
            <w:vAlign w:val="bottom"/>
          </w:tcPr>
          <w:p>
            <w:pPr>
              <w:spacing w:after="0"/>
              <w:rPr>
                <w:sz w:val="19"/>
                <w:szCs w:val="19"/>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198.1</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41.8</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(3.1)</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44.9</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6.9</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38.0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APME</w:t>
            </w:r>
          </w:p>
        </w:tc>
        <w:tc>
          <w:tcPr>
            <w:tcW w:w="52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84.2</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19.0</w:t>
            </w:r>
          </w:p>
        </w:tc>
        <w:tc>
          <w:tcPr>
            <w:tcW w:w="1260" w:type="dxa"/>
            <w:vAlign w:val="bottom"/>
          </w:tcPr>
          <w:p>
            <w:pPr>
              <w:jc w:val="right"/>
              <w:ind w:right="260"/>
              <w:spacing w:after="0"/>
              <w:rPr>
                <w:sz w:val="20"/>
                <w:szCs w:val="20"/>
                <w:color w:val="auto"/>
              </w:rPr>
            </w:pPr>
            <w:r>
              <w:rPr>
                <w:rFonts w:ascii="Arial" w:cs="Arial" w:eastAsia="Arial" w:hAnsi="Arial"/>
                <w:sz w:val="16"/>
                <w:szCs w:val="16"/>
                <w:color w:val="282A32"/>
              </w:rPr>
              <w:t>(6.2)</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25.2</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2.5</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22.7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282A32"/>
              </w:rPr>
              <w:t>Right Management</w:t>
            </w:r>
          </w:p>
        </w:tc>
        <w:tc>
          <w:tcPr>
            <w:tcW w:w="520" w:type="dxa"/>
            <w:vAlign w:val="bottom"/>
          </w:tcPr>
          <w:p>
            <w:pPr>
              <w:spacing w:after="0"/>
              <w:rPr>
                <w:sz w:val="21"/>
                <w:szCs w:val="21"/>
                <w:color w:val="auto"/>
              </w:rPr>
            </w:pPr>
          </w:p>
        </w:tc>
        <w:tc>
          <w:tcPr>
            <w:tcW w:w="1180" w:type="dxa"/>
            <w:vAlign w:val="bottom"/>
          </w:tcPr>
          <w:p>
            <w:pPr>
              <w:jc w:val="right"/>
              <w:ind w:right="220"/>
              <w:spacing w:after="0"/>
              <w:rPr>
                <w:sz w:val="20"/>
                <w:szCs w:val="20"/>
                <w:color w:val="auto"/>
              </w:rPr>
            </w:pPr>
            <w:r>
              <w:rPr>
                <w:rFonts w:ascii="Arial" w:cs="Arial" w:eastAsia="Arial" w:hAnsi="Arial"/>
                <w:sz w:val="16"/>
                <w:szCs w:val="16"/>
                <w:color w:val="282A32"/>
              </w:rPr>
              <w:t>33.5</w:t>
            </w:r>
          </w:p>
        </w:tc>
        <w:tc>
          <w:tcPr>
            <w:tcW w:w="1360" w:type="dxa"/>
            <w:vAlign w:val="bottom"/>
          </w:tcPr>
          <w:p>
            <w:pPr>
              <w:jc w:val="right"/>
              <w:ind w:right="380"/>
              <w:spacing w:after="0"/>
              <w:rPr>
                <w:sz w:val="20"/>
                <w:szCs w:val="20"/>
                <w:color w:val="auto"/>
              </w:rPr>
            </w:pPr>
            <w:r>
              <w:rPr>
                <w:rFonts w:ascii="Arial" w:cs="Arial" w:eastAsia="Arial" w:hAnsi="Arial"/>
                <w:sz w:val="16"/>
                <w:szCs w:val="16"/>
                <w:color w:val="282A32"/>
              </w:rPr>
              <w:t>64.1</w:t>
            </w:r>
          </w:p>
        </w:tc>
        <w:tc>
          <w:tcPr>
            <w:tcW w:w="1260" w:type="dxa"/>
            <w:vAlign w:val="bottom"/>
          </w:tcPr>
          <w:p>
            <w:pPr>
              <w:jc w:val="right"/>
              <w:ind w:right="320"/>
              <w:spacing w:after="0"/>
              <w:rPr>
                <w:sz w:val="20"/>
                <w:szCs w:val="20"/>
                <w:color w:val="auto"/>
              </w:rPr>
            </w:pPr>
            <w:r>
              <w:rPr>
                <w:rFonts w:ascii="Arial" w:cs="Arial" w:eastAsia="Arial" w:hAnsi="Arial"/>
                <w:sz w:val="16"/>
                <w:szCs w:val="16"/>
                <w:color w:val="282A32"/>
              </w:rPr>
              <w:t>0.4</w:t>
            </w:r>
          </w:p>
        </w:tc>
        <w:tc>
          <w:tcPr>
            <w:tcW w:w="1300" w:type="dxa"/>
            <w:vAlign w:val="bottom"/>
          </w:tcPr>
          <w:p>
            <w:pPr>
              <w:jc w:val="right"/>
              <w:ind w:right="300"/>
              <w:spacing w:after="0"/>
              <w:rPr>
                <w:sz w:val="20"/>
                <w:szCs w:val="20"/>
                <w:color w:val="auto"/>
              </w:rPr>
            </w:pPr>
            <w:r>
              <w:rPr>
                <w:rFonts w:ascii="Arial" w:cs="Arial" w:eastAsia="Arial" w:hAnsi="Arial"/>
                <w:sz w:val="16"/>
                <w:szCs w:val="16"/>
                <w:color w:val="282A32"/>
              </w:rPr>
              <w:t>63.7</w:t>
            </w:r>
          </w:p>
        </w:tc>
        <w:tc>
          <w:tcPr>
            <w:tcW w:w="1380" w:type="dxa"/>
            <w:vAlign w:val="bottom"/>
          </w:tcPr>
          <w:p>
            <w:pPr>
              <w:jc w:val="right"/>
              <w:ind w:right="340"/>
              <w:spacing w:after="0"/>
              <w:rPr>
                <w:sz w:val="20"/>
                <w:szCs w:val="20"/>
                <w:color w:val="auto"/>
              </w:rPr>
            </w:pPr>
            <w:r>
              <w:rPr>
                <w:rFonts w:ascii="Arial" w:cs="Arial" w:eastAsia="Arial" w:hAnsi="Arial"/>
                <w:sz w:val="16"/>
                <w:szCs w:val="16"/>
                <w:color w:val="282A32"/>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282A32"/>
              </w:rPr>
              <w:t>63.7</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989B9"/>
              </w:rPr>
              <w:t>Operating Profit — ManpowerGroup</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719.9</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40.6 %</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43.5 %</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41.3 %</w:t>
            </w: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2989B9"/>
        </w:rPr>
        <w:t>CASH SOURCES AND USES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2015, we had $652.2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 As of December 31, 2015 and 2014, we identified approximately $604.4 million and $452.8 million,</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29 </w:t>
      </w:r>
      <w:r>
        <w:rPr>
          <w:rFonts w:ascii="Arial" w:cs="Arial" w:eastAsia="Arial" w:hAnsi="Arial"/>
          <w:sz w:val="12"/>
          <w:szCs w:val="12"/>
          <w:color w:val="auto"/>
        </w:rPr>
        <w:t>| ManpowerGroup</w:t>
      </w:r>
    </w:p>
    <w:p>
      <w:pPr>
        <w:sectPr>
          <w:pgSz w:w="11900" w:h="16838" w:orient="portrait"/>
          <w:cols w:equalWidth="0" w:num="1">
            <w:col w:w="11420"/>
          </w:cols>
          <w:pgMar w:left="240" w:top="306"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 xml:space="preserve">respectively, of non-United States earnings that are not permanently invested. Related to these non-United States earnings that may be remitted, we recorded a deferred tax liability of $132.0 million and $53.1 million as of December 31, 2015 and 2014, respectively. This deferred tax liability increased as of December 31, 2015 from December 31, 2014 </w:t>
      </w:r>
      <w:r>
        <w:rPr>
          <w:rFonts w:ascii="Arial" w:cs="Arial" w:eastAsia="Arial" w:hAnsi="Arial"/>
          <w:sz w:val="16"/>
          <w:szCs w:val="16"/>
          <w:color w:val="000000"/>
        </w:rPr>
        <w:t>due to 2015 non-United States earnings that are not permanently invested, which had a higher United States tax cost due to</w:t>
      </w:r>
      <w:r>
        <w:rPr>
          <w:rFonts w:ascii="Arial" w:cs="Arial" w:eastAsia="Arial" w:hAnsi="Arial"/>
          <w:sz w:val="16"/>
          <w:szCs w:val="16"/>
          <w:color w:val="282A32"/>
        </w:rPr>
        <w:t xml:space="preserve"> </w:t>
      </w:r>
      <w:r>
        <w:rPr>
          <w:rFonts w:ascii="Arial" w:cs="Arial" w:eastAsia="Arial" w:hAnsi="Arial"/>
          <w:sz w:val="16"/>
          <w:szCs w:val="16"/>
          <w:color w:val="000000"/>
        </w:rPr>
        <w:t>lower foreign tax credits.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Cash provided by operating activities was $511.5 million, $306.2 million and $396.7 million for 2015, 2014 and 2013, respectively. The increase in 2015 from 2014 was primarily attributable to the 2015 sale of $132.8 million of our CICE payroll tax credits and an increase in accounts payable due to timing of payments, partly offset by an increase in accounts receivables due to the growth in the business. The decrease in cash provided by operating activities in 2014 from 2013 is primarily due to the fact that we did not sell any of our CICE receivable in 2014, and we had an increase in working capital needs as a result of the growth in the business, partially offset by an increase in earnings. In 2013, we sold a portion of our 2013 CICE payroll tax credits for net proceeds of $104.0 million. Changes in operating assets and liabilities utilized $116.6 million of cash in 2015, as compared to $314.2 million and $50.9 million in 2014 and 2013, respectively.</w:t>
      </w:r>
    </w:p>
    <w:p>
      <w:pPr>
        <w:spacing w:after="0" w:line="3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82A32"/>
        </w:rPr>
        <w:t>Accounts receivable increased to $4,243.0 million as of December 31, 2015 from $4,134.5 million as of December 31, 2014, primarily due to an increase in business volume. Utilizing exchange rates as of December 31, 2014, the December 31, 2015 balance would have been approximately $342.2 million higher than reported.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Capital expenditures were $52.3 million, $51.5 million and $44.7 million during 2015, 2014 and 2013, respectively. These expenditures were primarily comprised of purchases of computer equipment, office furniture and other costs related to office openings and refurbishments, as well as capitalized software costs of $3.4 million in both 2015 and 2014 and $0.5 million in 2013.</w:t>
      </w:r>
    </w:p>
    <w:p>
      <w:pPr>
        <w:spacing w:after="0" w:line="17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282A32"/>
        </w:rPr>
        <w:t>On September 3, 2015, we acquired 7S Group GmbH (“7S”), for total consideration, net of cash acquired, of $140.4 million ( €125.3 million). In addition, we incurred approximately $3.4 million of transaction costs associated with the acquisition during the year ended December 31, 2015, which have been recorded in selling and administrative expenses. Based primarily in Germany, 7S is a highly specialized provider of human resource services focusing on a number of core sectors including skilled trades, engineering and IT.</w:t>
      </w:r>
    </w:p>
    <w:p>
      <w:pPr>
        <w:spacing w:after="0" w:line="17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282A32"/>
        </w:rPr>
        <w:t>Of the $153.0 million (€136.5 million) of net acquired assets, $48.8 million (€43.5 million) was recorded as finite-lived intangible assets, of which $44.2 million (€39.4 million) was assigned to customer relationships and will be amortized over 10 years using the straight line method. As of December 31, 2015, the customer relationships were $41.4 million (€38.1 million). Total amortization expense related to this intangible asset in each of the next five years is $4.3 million.</w:t>
      </w:r>
    </w:p>
    <w:p>
      <w:pPr>
        <w:spacing w:after="0" w:line="16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282A32"/>
        </w:rPr>
        <w:t>The fair value of $119.3 million (€106.4 million), which was not directly attributable to any specific assets or liabilities, was assigned to goodwill as part of the Germany reporting unit.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282A32"/>
        </w:rPr>
        <w:t>As of December 31, 2015, the purchase accounting and figures associated with the above acquisition were preliminary and will be finalized in early 2016.</w:t>
      </w:r>
    </w:p>
    <w:p>
      <w:pPr>
        <w:spacing w:after="0" w:line="18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282A32"/>
        </w:rPr>
        <w:t>From time to time, we acquire and invest in companies throughout the world, including franchises. The total cash consideration for acquisitions excluding 7S, net of cash acquired, was $120.1 million for the year ended December 31, 2015, the majority of which took place in Australia, Canada and the Netherlands. The total cash consideration for acquisitions,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30</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68" w:name="page69"/>
    <w:bookmarkEnd w:id="68"/>
    <w:p>
      <w:pPr>
        <w:ind w:right="280"/>
        <w:spacing w:after="0" w:line="251" w:lineRule="auto"/>
        <w:rPr>
          <w:sz w:val="20"/>
          <w:szCs w:val="20"/>
          <w:color w:val="auto"/>
        </w:rPr>
      </w:pPr>
      <w:r>
        <w:rPr>
          <w:rFonts w:ascii="Arial" w:cs="Arial" w:eastAsia="Arial" w:hAnsi="Arial"/>
          <w:sz w:val="16"/>
          <w:szCs w:val="16"/>
          <w:color w:val="282A32"/>
        </w:rPr>
        <w:t>net of cash acquired, for the years ended 2014 and 2013 was $32.0 million and $46.3 million, respectively. Goodwill and intangible assets resulting from the remaining 2015 acquisitions were $108.7 million and $28.5 million, respectively, as of December 31, 2015. Goodwill and intangible assets resulting from the 2014 acquisitions, the majority of which took place in the Netherlands and the United Kingdom, were $39.4 million and $10.1 million, respectively, as of December 31, 2014.</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282A32"/>
        </w:rPr>
        <w:t>During the third quarter of 2015, we entered into a joint venture to expand our business in the Greater China region. We contributed a majority of the net assets of our China, Hong Kong, Macau and Taiwan operations and the noncontrolling shareholder contributed cash. The joint venture is included in our Consolidated Balance Sheets as of December 31, 2015 as we have a controlling financial interest. The noncontrolling equity interest is included in noncontrolling interests in total shareholders’ equity in our Consolidated Balance Sheets as of December 31, 2015.</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Net debt borrowings were $456.1 million for 2015, as compared to $13.4 million for 2014 and net repayments of $271.3 million in 2013. In September 2015, we offered and sold €400.0 million aggregate principal amount of the Company's 1.875% notes due September 11, 2022. (See the "Euro Notes" section below for further information.) In June 2013, we paid off our €200.0 million 4.75% Notes with available cash upon maturity. We use excess cash to pay down borrowings under facilities when appropriate.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In October 2015 and December 2012, the Board of Directors authorized the repurchase of 6.0 million and 8.0 million shares of our common stock, respectively. Share repurchases may be made from time to time through a variety of methods, including open market purchases, block transactions, privately negotiated transactions or similar facilities. In 2015, we repurchased a total of 6.7 million shares, comprised of 6.0 million shares under the 2012 authorization and 0.7 million shares under the 2015 authorization, at a total cost of $587.9 million, including a nominal amount of shares at a cost of $7.7 million that settled in January 2016. The share repurchases that settled in January are not reflected in the treasury stock in our Consolidated Balance Sheets as of December 31, 2015. In 2014, we repurchased 2.0 million shares under the 2012 authorization at a cost of $143.5 million. No repurchases were made in 2013. As of December 31, 2015, there were 5.3 million shares remaining authorized for repurchase under the 2015 authorization and no shares remaining under the 2012 authorization.</w:t>
      </w: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have aggregate commitments of $1,759.0 million related to debt, operating leases, severances and office closure costs, and certain other commitments,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(in millions)</w:t>
            </w:r>
          </w:p>
        </w:tc>
        <w:tc>
          <w:tcPr>
            <w:tcW w:w="1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Total</w:t>
            </w: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2016</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2017–2018</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2019–2020</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Thereafter</w:t>
            </w:r>
          </w:p>
        </w:tc>
      </w:tr>
      <w:tr>
        <w:trPr>
          <w:trHeight w:val="223"/>
        </w:trPr>
        <w:tc>
          <w:tcPr>
            <w:tcW w:w="4080" w:type="dxa"/>
            <w:vAlign w:val="bottom"/>
          </w:tcPr>
          <w:p>
            <w:pPr>
              <w:ind w:left="40"/>
              <w:spacing w:after="0"/>
              <w:rPr>
                <w:sz w:val="20"/>
                <w:szCs w:val="20"/>
                <w:color w:val="auto"/>
              </w:rPr>
            </w:pPr>
            <w:r>
              <w:rPr>
                <w:rFonts w:ascii="Arial" w:cs="Arial" w:eastAsia="Arial" w:hAnsi="Arial"/>
                <w:sz w:val="16"/>
                <w:szCs w:val="16"/>
                <w:color w:val="282A32"/>
              </w:rPr>
              <w:t>Long-term debt including interest</w:t>
            </w:r>
          </w:p>
        </w:tc>
        <w:tc>
          <w:tcPr>
            <w:tcW w:w="1360" w:type="dxa"/>
            <w:vAlign w:val="bottom"/>
          </w:tcPr>
          <w:p>
            <w:pPr>
              <w:jc w:val="right"/>
              <w:ind w:right="179"/>
              <w:spacing w:after="0"/>
              <w:rPr>
                <w:sz w:val="20"/>
                <w:szCs w:val="20"/>
                <w:color w:val="auto"/>
              </w:rPr>
            </w:pPr>
            <w:r>
              <w:rPr>
                <w:rFonts w:ascii="Arial" w:cs="Arial" w:eastAsia="Arial" w:hAnsi="Arial"/>
                <w:sz w:val="16"/>
                <w:szCs w:val="16"/>
                <w:color w:val="282A32"/>
              </w:rPr>
              <w:t>$</w:t>
            </w:r>
          </w:p>
        </w:tc>
        <w:tc>
          <w:tcPr>
            <w:tcW w:w="860" w:type="dxa"/>
            <w:vAlign w:val="bottom"/>
          </w:tcPr>
          <w:p>
            <w:pPr>
              <w:jc w:val="right"/>
              <w:spacing w:after="0"/>
              <w:rPr>
                <w:sz w:val="20"/>
                <w:szCs w:val="20"/>
                <w:color w:val="auto"/>
              </w:rPr>
            </w:pPr>
            <w:r>
              <w:rPr>
                <w:rFonts w:ascii="Arial" w:cs="Arial" w:eastAsia="Arial" w:hAnsi="Arial"/>
                <w:sz w:val="16"/>
                <w:szCs w:val="16"/>
                <w:color w:val="282A32"/>
              </w:rPr>
              <w:t>925.7</w:t>
            </w:r>
          </w:p>
        </w:tc>
        <w:tc>
          <w:tcPr>
            <w:tcW w:w="460" w:type="dxa"/>
            <w:vAlign w:val="bottom"/>
          </w:tcPr>
          <w:p>
            <w:pPr>
              <w:jc w:val="right"/>
              <w:ind w:right="219"/>
              <w:spacing w:after="0"/>
              <w:rPr>
                <w:sz w:val="20"/>
                <w:szCs w:val="20"/>
                <w:color w:val="auto"/>
              </w:rPr>
            </w:pPr>
            <w:r>
              <w:rPr>
                <w:rFonts w:ascii="Arial" w:cs="Arial" w:eastAsia="Arial" w:hAnsi="Arial"/>
                <w:sz w:val="16"/>
                <w:szCs w:val="16"/>
                <w:color w:val="282A32"/>
              </w:rPr>
              <w:t>$</w:t>
            </w:r>
          </w:p>
        </w:tc>
        <w:tc>
          <w:tcPr>
            <w:tcW w:w="780" w:type="dxa"/>
            <w:vAlign w:val="bottom"/>
          </w:tcPr>
          <w:p>
            <w:pPr>
              <w:jc w:val="right"/>
              <w:spacing w:after="0"/>
              <w:rPr>
                <w:sz w:val="20"/>
                <w:szCs w:val="20"/>
                <w:color w:val="auto"/>
              </w:rPr>
            </w:pPr>
            <w:r>
              <w:rPr>
                <w:rFonts w:ascii="Arial" w:cs="Arial" w:eastAsia="Arial" w:hAnsi="Arial"/>
                <w:sz w:val="16"/>
                <w:szCs w:val="16"/>
                <w:color w:val="282A32"/>
              </w:rPr>
              <w:t>31.4</w:t>
            </w:r>
          </w:p>
        </w:tc>
        <w:tc>
          <w:tcPr>
            <w:tcW w:w="280" w:type="dxa"/>
            <w:vAlign w:val="bottom"/>
          </w:tcPr>
          <w:p>
            <w:pPr>
              <w:jc w:val="right"/>
              <w:ind w:right="59"/>
              <w:spacing w:after="0"/>
              <w:rPr>
                <w:sz w:val="20"/>
                <w:szCs w:val="20"/>
                <w:color w:val="auto"/>
              </w:rPr>
            </w:pPr>
            <w:r>
              <w:rPr>
                <w:rFonts w:ascii="Arial" w:cs="Arial" w:eastAsia="Arial" w:hAnsi="Arial"/>
                <w:sz w:val="16"/>
                <w:szCs w:val="16"/>
                <w:color w:val="282A32"/>
              </w:rPr>
              <w:t>$</w:t>
            </w:r>
          </w:p>
        </w:tc>
        <w:tc>
          <w:tcPr>
            <w:tcW w:w="940" w:type="dxa"/>
            <w:vAlign w:val="bottom"/>
          </w:tcPr>
          <w:p>
            <w:pPr>
              <w:jc w:val="right"/>
              <w:spacing w:after="0"/>
              <w:rPr>
                <w:sz w:val="20"/>
                <w:szCs w:val="20"/>
                <w:color w:val="auto"/>
              </w:rPr>
            </w:pPr>
            <w:r>
              <w:rPr>
                <w:rFonts w:ascii="Arial" w:cs="Arial" w:eastAsia="Arial" w:hAnsi="Arial"/>
                <w:sz w:val="16"/>
                <w:szCs w:val="16"/>
                <w:color w:val="282A32"/>
              </w:rPr>
              <w:t>430.4</w:t>
            </w:r>
          </w:p>
        </w:tc>
        <w:tc>
          <w:tcPr>
            <w:tcW w:w="300" w:type="dxa"/>
            <w:vAlign w:val="bottom"/>
          </w:tcPr>
          <w:p>
            <w:pPr>
              <w:jc w:val="right"/>
              <w:ind w:right="59"/>
              <w:spacing w:after="0"/>
              <w:rPr>
                <w:sz w:val="20"/>
                <w:szCs w:val="20"/>
                <w:color w:val="auto"/>
              </w:rPr>
            </w:pPr>
            <w:r>
              <w:rPr>
                <w:rFonts w:ascii="Arial" w:cs="Arial" w:eastAsia="Arial" w:hAnsi="Arial"/>
                <w:sz w:val="16"/>
                <w:szCs w:val="16"/>
                <w:color w:val="282A32"/>
              </w:rPr>
              <w:t>$</w:t>
            </w:r>
          </w:p>
        </w:tc>
        <w:tc>
          <w:tcPr>
            <w:tcW w:w="920" w:type="dxa"/>
            <w:vAlign w:val="bottom"/>
          </w:tcPr>
          <w:p>
            <w:pPr>
              <w:jc w:val="right"/>
              <w:spacing w:after="0"/>
              <w:rPr>
                <w:sz w:val="20"/>
                <w:szCs w:val="20"/>
                <w:color w:val="auto"/>
              </w:rPr>
            </w:pPr>
            <w:r>
              <w:rPr>
                <w:rFonts w:ascii="Arial" w:cs="Arial" w:eastAsia="Arial" w:hAnsi="Arial"/>
                <w:sz w:val="16"/>
                <w:szCs w:val="16"/>
                <w:color w:val="282A32"/>
              </w:rPr>
              <w:t>16.6</w:t>
            </w:r>
          </w:p>
        </w:tc>
        <w:tc>
          <w:tcPr>
            <w:tcW w:w="340" w:type="dxa"/>
            <w:vAlign w:val="bottom"/>
          </w:tcPr>
          <w:p>
            <w:pPr>
              <w:jc w:val="right"/>
              <w:ind w:right="99"/>
              <w:spacing w:after="0"/>
              <w:rPr>
                <w:sz w:val="20"/>
                <w:szCs w:val="20"/>
                <w:color w:val="auto"/>
              </w:rPr>
            </w:pPr>
            <w:r>
              <w:rPr>
                <w:rFonts w:ascii="Arial" w:cs="Arial" w:eastAsia="Arial" w:hAnsi="Arial"/>
                <w:sz w:val="16"/>
                <w:szCs w:val="16"/>
                <w:color w:val="282A32"/>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282A32"/>
              </w:rPr>
              <w:t>447.3</w:t>
            </w: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282A32"/>
              </w:rPr>
              <w:t>Short-term borrowings</w:t>
            </w:r>
          </w:p>
        </w:tc>
        <w:tc>
          <w:tcPr>
            <w:tcW w:w="1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38.2</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82A32"/>
              </w:rPr>
              <w:t>38.2</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82A32"/>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82A32"/>
              </w:rPr>
              <w:t>—</w:t>
            </w:r>
          </w:p>
        </w:tc>
        <w:tc>
          <w:tcPr>
            <w:tcW w:w="34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82A32"/>
              </w:rPr>
              <w:t>—</w:t>
            </w: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282A32"/>
              </w:rPr>
              <w:t>Operating leases</w:t>
            </w:r>
          </w:p>
        </w:tc>
        <w:tc>
          <w:tcPr>
            <w:tcW w:w="1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582.2</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82A32"/>
              </w:rPr>
              <w:t>155.9</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82A32"/>
              </w:rPr>
              <w:t>204.9</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82A32"/>
              </w:rPr>
              <w:t>114.6</w:t>
            </w:r>
          </w:p>
        </w:tc>
        <w:tc>
          <w:tcPr>
            <w:tcW w:w="34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282A32"/>
              </w:rPr>
              <w:t>106.8</w:t>
            </w: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282A32"/>
              </w:rPr>
              <w:t>Severances and other office closure costs</w:t>
            </w:r>
          </w:p>
        </w:tc>
        <w:tc>
          <w:tcPr>
            <w:tcW w:w="1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16.4</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82A32"/>
              </w:rPr>
              <w:t>12.9</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82A32"/>
              </w:rPr>
              <w:t>2.9</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82A32"/>
              </w:rPr>
              <w:t>0.6</w:t>
            </w:r>
          </w:p>
        </w:tc>
        <w:tc>
          <w:tcPr>
            <w:tcW w:w="34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82A32"/>
              </w:rPr>
              <w:t>—</w:t>
            </w:r>
          </w:p>
        </w:tc>
      </w:tr>
      <w:tr>
        <w:trPr>
          <w:trHeight w:val="25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w:t>
            </w:r>
          </w:p>
        </w:tc>
        <w:tc>
          <w:tcPr>
            <w:tcW w:w="1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196.5</w:t>
            </w: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72.6</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71.8</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27.6</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24.5</w:t>
            </w:r>
          </w:p>
        </w:tc>
      </w:tr>
      <w:tr>
        <w:trPr>
          <w:trHeight w:val="264"/>
        </w:trPr>
        <w:tc>
          <w:tcPr>
            <w:tcW w:w="40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282A3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1,759.0</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282A3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311.0</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282A3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710.0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282A3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159.4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282A32"/>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578.6</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82A32"/>
        </w:rPr>
        <w:t>Our liability for unrecognized tax benefits, including related interest and penalties, of $37.9 million is excluded from the commitments above as we cannot determine the years in which these positions might ultimately be settled.</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recorded net restructuring costs of $16.4 million and $89.4 million in 2015 and 2013, respectively, in selling and administrative expenses, primarily related to severances and office closures and consolidations in multiple countries. During 2015, we made payments of $12.9 million out of our restructuring reserve. We expect a majority of the remaining $16.4 million reserve will be paid by the end of 2016.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31 </w:t>
      </w:r>
      <w:r>
        <w:rPr>
          <w:rFonts w:ascii="Arial" w:cs="Arial" w:eastAsia="Arial" w:hAnsi="Arial"/>
          <w:sz w:val="12"/>
          <w:szCs w:val="12"/>
          <w:color w:val="auto"/>
        </w:rPr>
        <w:t>| ManpowerGroup</w:t>
      </w:r>
    </w:p>
    <w:p>
      <w:pPr>
        <w:sectPr>
          <w:pgSz w:w="11900" w:h="16838" w:orient="portrait"/>
          <w:cols w:equalWidth="0" w:num="1">
            <w:col w:w="11420"/>
          </w:cols>
          <w:pgMar w:left="240" w:top="141"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200" w:lineRule="exact"/>
        <w:rPr>
          <w:sz w:val="20"/>
          <w:szCs w:val="20"/>
          <w:color w:val="auto"/>
        </w:rPr>
      </w:pPr>
    </w:p>
    <w:p>
      <w:pPr>
        <w:spacing w:after="0" w:line="318" w:lineRule="exact"/>
        <w:rPr>
          <w:sz w:val="20"/>
          <w:szCs w:val="20"/>
          <w:color w:val="auto"/>
        </w:rPr>
      </w:pPr>
    </w:p>
    <w:p>
      <w:pPr>
        <w:spacing w:after="0" w:line="248" w:lineRule="auto"/>
        <w:rPr>
          <w:sz w:val="20"/>
          <w:szCs w:val="20"/>
          <w:color w:val="auto"/>
        </w:rPr>
      </w:pPr>
      <w:r>
        <w:rPr>
          <w:rFonts w:ascii="Arial" w:cs="Arial" w:eastAsia="Arial" w:hAnsi="Arial"/>
          <w:sz w:val="16"/>
          <w:szCs w:val="16"/>
          <w:color w:val="282A32"/>
        </w:rPr>
        <w:t>We have entered into guarantee contracts and stand-by letters of credit that total approximately $190.2 million and $172.6 million as of December 31, 2015 and 2014, respectively ($144.7 million and $126.8 million for guarantees, respectively, and $45.5 million and $45.8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$1.5 million and $1.9 million in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97155</wp:posOffset>
            </wp:positionV>
            <wp:extent cx="1998345" cy="1449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8345" cy="1449070"/>
                    </a:xfrm>
                    <a:prstGeom prst="rect">
                      <a:avLst/>
                    </a:prstGeom>
                    <a:noFill/>
                  </pic:spPr>
                </pic:pic>
              </a:graphicData>
            </a:graphic>
          </wp:anchor>
        </w:drawing>
      </w:r>
    </w:p>
    <w:p>
      <w:pPr>
        <w:spacing w:after="0" w:line="135" w:lineRule="exact"/>
        <w:rPr>
          <w:sz w:val="20"/>
          <w:szCs w:val="20"/>
          <w:color w:val="auto"/>
        </w:rPr>
      </w:pPr>
    </w:p>
    <w:p>
      <w:pPr>
        <w:jc w:val="both"/>
        <w:ind w:left="4660" w:right="100"/>
        <w:spacing w:after="0" w:line="250" w:lineRule="auto"/>
        <w:rPr>
          <w:sz w:val="20"/>
          <w:szCs w:val="20"/>
          <w:color w:val="auto"/>
        </w:rPr>
      </w:pPr>
      <w:r>
        <w:rPr>
          <w:rFonts w:ascii="Arial" w:cs="Arial" w:eastAsia="Arial" w:hAnsi="Arial"/>
          <w:sz w:val="16"/>
          <w:szCs w:val="16"/>
          <w:color w:val="282A32"/>
        </w:rPr>
        <w:t>Total capitalization as of December 31, 2015 was $3,547.6 million, comprised of $855.1 million in debt and $2,692.5 million in equity. Debt as a percentage of total capitalization was 24%, 14% and 15% as of December 31, 2015, 2014 and 2013, respectively. The increase in 2015 in debt as a percentage of total capitalization is primarily due to the offering of our €400.0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2989B9"/>
        </w:rPr>
        <w:t>Euro Notes</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282A32"/>
        </w:rPr>
        <w:t>On September 11, 2015, we offered and sold €400.0 million aggregate principal amount of the Company's 1.875% notes due September 11, 2022 (the "€400.0 million Notes"). The net proceeds from the €400.0 million Notes of €397.4 million will be used for general corporate purposes, which may include share repurchases and the acquisition of or investment in complementary businesses or other assets. The €400.0 million Notes were issued at a price of 99.753% to yield an effective interest rate of 1.913%. Interest on the €400.0 million Notes is payable in arrears on September 11 of each year.</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also have €350.0 million aggregate principal amount 4.50% notes due June 22, 2018 (the “€350.0 million Notes”), which were issued at a price of 99.974% to yield an effective interest rate of 4.505%. Interest on the €350.0 million Notes is payable in arrears on June 22 of each year. We may redeem the €350.0 million Notes, in whole but not in part, at our option at any time for a redemption price determined in accordance with the term of the €350.0 million Notes.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When the €400.0 million Notes and €350.0 million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€400.0 million Notes or €350.0 million Notes.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Both the €400.0 million Notes and €350.0 million Notes contain certain customary non-financial restrictive covenants and events of default and are unsecured senior obligations and rank equally with all of our existing and future senior unsecured debt and other liabilities. A portion of these notes have been designated as a hedge of our net investment in subsidiaries with a euro-functional currency as of December 31, 2015. Since our net investment in these subsidiaries exceeds the respective amount of the designated borrowings, both net of taxes, translation gains or losses related to these borrowings are included as a component of accumulated other comprehensive loss. (See the Significant Matters Affecting Results of Operations section and Notes 7 and 12 to the Consolidated Financial Statements for further information.)</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2989B9"/>
        </w:rPr>
        <w:t>Revolving Credit Agreement</w:t>
      </w:r>
    </w:p>
    <w:p>
      <w:pPr>
        <w:spacing w:after="0" w:line="194" w:lineRule="exact"/>
        <w:rPr>
          <w:sz w:val="20"/>
          <w:szCs w:val="20"/>
          <w:color w:val="auto"/>
        </w:rPr>
      </w:pPr>
    </w:p>
    <w:p>
      <w:pPr>
        <w:jc w:val="both"/>
        <w:ind w:right="600"/>
        <w:spacing w:after="0" w:line="253" w:lineRule="auto"/>
        <w:rPr>
          <w:sz w:val="20"/>
          <w:szCs w:val="20"/>
          <w:color w:val="auto"/>
        </w:rPr>
      </w:pPr>
      <w:r>
        <w:rPr>
          <w:rFonts w:ascii="Arial" w:cs="Arial" w:eastAsia="Arial" w:hAnsi="Arial"/>
          <w:sz w:val="16"/>
          <w:szCs w:val="16"/>
          <w:color w:val="282A32"/>
        </w:rPr>
        <w:t>On September 16, 2015, we amended and restated our Five Year Credit Agreement (the “Amended Agreement”) with a syndicate of commercial banks primarily to revise the termination date of the facility from October 15, 2018 to September 16, 2020. The remaining material terms and conditions of the Amended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32</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282A32"/>
        </w:rPr>
        <w:t>Agreement are substantially similar to the material terms and conditions of our Amended and Restated Five Year Credit Agreement dated October 15, 2013.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33 </w:t>
      </w:r>
      <w:r>
        <w:rPr>
          <w:rFonts w:ascii="Arial" w:cs="Arial" w:eastAsia="Arial" w:hAnsi="Arial"/>
          <w:sz w:val="12"/>
          <w:szCs w:val="12"/>
          <w:color w:val="auto"/>
        </w:rPr>
        <w:t>| ManpowerGroup</w:t>
      </w:r>
    </w:p>
    <w:p>
      <w:pPr>
        <w:sectPr>
          <w:pgSz w:w="11900" w:h="16838" w:orient="portrait"/>
          <w:cols w:equalWidth="0" w:num="1">
            <w:col w:w="11400"/>
          </w:cols>
          <w:pgMar w:left="240" w:top="141" w:right="25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Amended Agreement allows for borrowing of $600.0 million in various currencies, and up to $150.0 million may be used for the issuance of stand-by letters of credit. We had no borrowings under this facility as of both December 31, 2015 and 2014. Outstanding letters of credit issued under the Amended Agreement totaled $0.9 million and $1.0 million as of December 31, 2015 and 2014, respectively. Additional borrowings of $599.1 million and $599.0 million were available to us under the facility as of December 31, 2015 and 2014, respectively.</w:t>
      </w:r>
    </w:p>
    <w:p>
      <w:pPr>
        <w:spacing w:after="0" w:line="17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282A32"/>
        </w:rPr>
        <w:t>Under the Amended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 A downgrade from both credit agencies would unfavorably impact our facility fees and result in additional costs ranging from approximately $0.2 million to $0.8 million annually.</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The Amended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Amended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As defined in the Amended Agreement, we had a net Debt-to-EBITDA ratio of 0.67 to 1 (compared to the maximum allowable ratio of 3.5 to 1) and a Fixed Charge Coverage ratio of 4.55 to 1 (compared to the minimum required ratio of 1.5 to 1) as of December 31, 2015.</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2989B9"/>
        </w:rPr>
        <w:t>Other</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282A32"/>
        </w:rPr>
        <w:t>In addition to the previously mentioned facilities, we maintain separate bank credit lines with financial institutions to meet working capital needs of our subsidiary operations. As of December 31, 2015, such uncommitted credit lines totaled $292.9 million, of which $248.0 million was unused. Under the Amended Agreement, total subsidiary borrowings cannot exceed $300.0 million in the first, second and fourth quarters, and $600.0 million in the third quarter of each year.</w:t>
      </w:r>
    </w:p>
    <w:p>
      <w:pPr>
        <w:spacing w:after="0" w:line="366"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282A32"/>
        </w:rPr>
        <w:t>In July 2015, Moody’s Investors Services upgraded our long-term debt rating to Baa1 from Baa2 while the ratings outlook remained stable. In April 2014, Standard and Poor’s raised our credit rating to BBB from BBB-, while maintaining the stable outlook. Both of the current credit ratings are investment grade. Rating agencies use proprietary methodology in determining their ratings and outlook which includes, among other things, financial ratios based upon debt levels and earnings performance.</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APPLICATION OF CRITICAL ACCOUNTING POLICIES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2989B9"/>
        </w:rPr>
        <w:t>Allowance for Doubtful Accounts</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82A32"/>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34</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16"/>
          <w:szCs w:val="16"/>
          <w:color w:val="282A32"/>
        </w:rPr>
        <w:t>Bad debt expense, which increases our allowance for doubtful accounts, is recorded as a selling and administrative expense and was $16.3 million, $18.9 million and $24.1 million for 2015, 2014 and 2013,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Write-offs, which decrease our allowance for doubtful accounts, are recorded as a reduction to our accounts receivable balance and were $20.3 million, $15.8 million and $26.4 million for 2015, 2014 and 2013,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2989B9"/>
        </w:rPr>
        <w:t>Employment-Related Items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i w:val="1"/>
          <w:iCs w:val="1"/>
          <w:color w:val="2989B9"/>
        </w:rPr>
        <w:t>Defined Benefit Pension Plans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We sponsor several qualified and nonqualified pension plans covering permanent employees. The most significant plans are located in the United Kingdom, the United States, the Netherlands, France and Norway. Annual expense relating to these plans is recorded in selling and administrative expenses and is estimated to be approximately $7.9 million in 2016, compared to $11.4 million, $12.6 million and $11.8 million in 2015, 2014 and 2013, respectively. The 2016 expense estimate reflects a decrease resulting from our adoption of the spot rate approach for all of our United States defined benefit plans in measuring the service and interest cost components of net periodic benefit cost, and a change to the amortization period for gains and losses for two of our United States defined benefit plans. Both of these changes will have an immaterial impact on the Consolidated Financial Statements (see Note 8 to the Consolidated Financial Statements for further information). Included in the 2013 expense was a $2.3 million curtailment gain resulting from an amendment to a defined benefit plan in the Netherlands. Effective January 1, 2013, the Netherlands’ defined benefit plan was frozen, and the participants were transitioned to a defined contribution plan.</w:t>
      </w:r>
    </w:p>
    <w:p>
      <w:pPr>
        <w:spacing w:after="0" w:line="3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We used a weighted-average discount rate of 4.3% for the United States plans and 3.2% for non-United States plans in determining the estimated pension expense for 2016. These rates compare to the weighted-average discount rate of 3.9% for the United States plans and 2.9% for non-United States plans we used in determining the estimated pension expense for 2015, and reflect the current interest rate environment. Absent any other changes, a 25 basis point increase and decrease in the weighted-average discount rate would impact 2016 consolidated pension expense by approximately $0.1 million and $0.8 million for the United States plans and non-United States plans, respectively. We have selected a weighted-average expected return on plan assets of 5.5% for the United States plans and 3.4% for the non-United States plans in determining the estimated pension expense for 2016. The comparable rates used for the calculation of the 2015 pension</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35 </w:t>
      </w:r>
      <w:r>
        <w:rPr>
          <w:rFonts w:ascii="Arial" w:cs="Arial" w:eastAsia="Arial" w:hAnsi="Arial"/>
          <w:sz w:val="12"/>
          <w:szCs w:val="12"/>
          <w:color w:val="auto"/>
        </w:rPr>
        <w:t>| ManpowerGroup</w:t>
      </w:r>
    </w:p>
    <w:p>
      <w:pPr>
        <w:sectPr>
          <w:pgSz w:w="11900" w:h="16838" w:orient="portrait"/>
          <w:cols w:equalWidth="0" w:num="1">
            <w:col w:w="11420"/>
          </w:cols>
          <w:pgMar w:left="240" w:top="141"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expense were 5.5% and 3.2% for the United States plans and non-United States plans, respectively. A 25 basis point change in the weighted-average expected return on plan assets would impact 2016 consolidated pension expense by approximately $0.1 million for the United States plans and $0.8 million for the non-United States plans. Changes to these assumptions have historically not been significant in any jurisdiction for any reporting period, and no significant adjustments to the amounts recorded have been required in the past or are expected in the future (See Note 8 to the Consolidated Financial Statements for further information).</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2989B9"/>
        </w:rPr>
        <w:t>United States Workers’ Compensation</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In the United States, we are under a self-insured retention program in most states covering workers’ compensation claims for our contingent workers. We determine the proper reserve balance using an actuarial valuation, which considers our historical payment experience and current employee demographics. Our reserve for such claims as of December 31, 2015 and 2014 was $76.5 million and $79.8 million, respectively. Workers’ compensation expense is recorded as a component of cost of services.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has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United States by approximately $2.9 million.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Historically, we have not had significant changes in our assumptions used in calculating our reserve balance or significant adjustments to our reserve level. We continue our focus on safety, which includes training of contingent workers and client site reviews. Given our current claims experience and cost per claim, we do not expect a significant change in our workers’ compensation reserve in the near future.</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i w:val="1"/>
          <w:iCs w:val="1"/>
          <w:color w:val="2989B9"/>
        </w:rPr>
        <w:t>Social Program Remittances and Payroll Tax Audit Exposure</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On a routine basis, various governmental agencies in some of the countries and territories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particular, the French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36</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16"/>
          <w:szCs w:val="16"/>
          <w:color w:val="282A32"/>
        </w:rPr>
        <w:t>In France, we currently maintain a reserve related to these programs for 2007 through 2015, which has been estimated based on the results of past audits, changes in business volumes and the assessments related to the audit of 2007 through 2011. While some adjustment may be appropriate as we finalize the audits, we do not expect any significant adjustments to the recorded amount in the near term.</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experienced a significant increase in client claims against us in France during the second quarter of 2013, requesting refunds for various payroll tax subsidies that we had received dating back to 2003 related to our French temporary associates. In March 2014, the French Supreme Court ruled in our favor on this matter, confirming that, as a matter of law, the benefit of the payroll tax subsidies belongs to the direct employer of the temporary associates. We do not expect to incur any losses as all of these claims have now been withdrawn as a result of this ruling.</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The French government passed legislation effective January 1, 2013 to improve the competitiveness and reduce employment costs by offering payroll tax credits to most French and foreign enterprises subject to corporate tax in France. This law, Credit d’Impôt pour la Compétitivité et l’Emploi (“CICE”), provides credits based on a percentage of wages paid to employees receiving less than two-and-a-half times the French minimum wage. The payroll tax credit was equal to 4% of eligible wages in 2013 and 6% of eligible wages in 2014 and beyond. We have used, and intend to use, the credit to invest in employment opportunities and to improve our competitiveness, as required by the law. Due to the complexity of compliance with this law, we may have adjustments to the payroll tax credit amount as a result of any audits. The CICE credit is accounted for as a reduction of our cost of services in the period earned, and has had a favorable impact on our consolidated gross profit margin, as well as margins in France and Southern Europe.</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The payroll tax credit is creditable against our current French income tax payable, with any remaining amount being paid after three years. Given the amount of our current income taxes payable, we would generally receive the vast majority of the CICE credits after the three-year period. In July 2015 and December 2013, we entered into an agreement to sell a portion of the credits earned in 2014 and 2013, respectively, for net proceeds of $132.8 million (€120.1 million) and $104.0 million (€75.8 million), respectively. We derecognized these receivables upon the sale as the terms of the agreement are such that the transaction qualifies for sale treatment according to the accounting guidance on the transfer and servicing of assets. The discount on the sale of these receivables was recorded as a reduction of the payroll tax credits earned in the respective years in cost of services. We received the cash from these sales in July 2015 and December 2013, which improved our operating cash flows in the third quarter of 2015 and fourth quarter of 2013, respectively.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2989B9"/>
        </w:rPr>
        <w:t>Income Taxes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7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282A32"/>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one which does not meet the 50% threshold, will not be recognized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37 </w:t>
      </w:r>
      <w:r>
        <w:rPr>
          <w:rFonts w:ascii="Arial" w:cs="Arial" w:eastAsia="Arial" w:hAnsi="Arial"/>
          <w:sz w:val="12"/>
          <w:szCs w:val="12"/>
          <w:color w:val="auto"/>
        </w:rPr>
        <w:t>| ManpowerGroup</w:t>
      </w:r>
    </w:p>
    <w:p>
      <w:pPr>
        <w:sectPr>
          <w:pgSz w:w="11900" w:h="16838" w:orient="portrait"/>
          <w:cols w:equalWidth="0" w:num="1">
            <w:col w:w="11420"/>
          </w:cols>
          <w:pgMar w:left="240" w:top="141"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and territories. To the extent these items are settled for an amount different than we currently expect, the unrecognized tax benefit will be adjusted.</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Goodwill and Indefinite-Lived Intangible Asset Impairment</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82A32"/>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performed our annual impairment test of our goodwill and indefinite-lived intangible assets during the third quarter of 2015, 2014 and 2013, and there was no impairment of our goodwill or our indefinite-lived intangible assets as a result of our annual tests.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Significant assumptions used in our annual goodwill impairment test during the third quarter of 2015 included: expected future revenue growth rates, operating unit profit margins, working capital levels, discount rates ranging from 11.8% to 17.1%,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The table below provides our reporting units’ estimated fair values and carrying values, determined as part of our annual goodwill impairment test performed in the third quarter, representing approximately 73% of our consolidated goodwill balance as of September 30, 2015.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Right</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8"/>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France</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United States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United Kingdom</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Management</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Netherlands</w:t>
            </w:r>
          </w:p>
        </w:tc>
      </w:tr>
      <w:tr>
        <w:trPr>
          <w:trHeight w:val="223"/>
        </w:trPr>
        <w:tc>
          <w:tcPr>
            <w:tcW w:w="3040" w:type="dxa"/>
            <w:vAlign w:val="bottom"/>
          </w:tcPr>
          <w:p>
            <w:pPr>
              <w:ind w:left="40"/>
              <w:spacing w:after="0"/>
              <w:rPr>
                <w:sz w:val="20"/>
                <w:szCs w:val="20"/>
                <w:color w:val="auto"/>
              </w:rPr>
            </w:pPr>
            <w:r>
              <w:rPr>
                <w:rFonts w:ascii="Arial" w:cs="Arial" w:eastAsia="Arial" w:hAnsi="Arial"/>
                <w:sz w:val="16"/>
                <w:szCs w:val="16"/>
                <w:color w:val="282A32"/>
              </w:rPr>
              <w:t>Estimated fair values</w:t>
            </w:r>
          </w:p>
        </w:tc>
        <w:tc>
          <w:tcPr>
            <w:tcW w:w="1880" w:type="dxa"/>
            <w:vAlign w:val="bottom"/>
          </w:tcPr>
          <w:p>
            <w:pPr>
              <w:jc w:val="right"/>
              <w:ind w:right="219"/>
              <w:spacing w:after="0"/>
              <w:rPr>
                <w:sz w:val="20"/>
                <w:szCs w:val="20"/>
                <w:color w:val="auto"/>
              </w:rPr>
            </w:pPr>
            <w:r>
              <w:rPr>
                <w:rFonts w:ascii="Arial" w:cs="Arial" w:eastAsia="Arial" w:hAnsi="Arial"/>
                <w:sz w:val="16"/>
                <w:szCs w:val="16"/>
                <w:color w:val="282A32"/>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282A32"/>
              </w:rPr>
              <w:t>1,510.5</w:t>
            </w:r>
          </w:p>
        </w:tc>
        <w:tc>
          <w:tcPr>
            <w:tcW w:w="280" w:type="dxa"/>
            <w:vAlign w:val="bottom"/>
          </w:tcPr>
          <w:p>
            <w:pPr>
              <w:jc w:val="right"/>
              <w:ind w:right="39"/>
              <w:spacing w:after="0"/>
              <w:rPr>
                <w:sz w:val="20"/>
                <w:szCs w:val="20"/>
                <w:color w:val="auto"/>
              </w:rPr>
            </w:pPr>
            <w:r>
              <w:rPr>
                <w:rFonts w:ascii="Arial" w:cs="Arial" w:eastAsia="Arial" w:hAnsi="Arial"/>
                <w:sz w:val="16"/>
                <w:szCs w:val="16"/>
                <w:color w:val="282A32"/>
              </w:rPr>
              <w:t>$</w:t>
            </w:r>
          </w:p>
        </w:tc>
        <w:tc>
          <w:tcPr>
            <w:tcW w:w="1060" w:type="dxa"/>
            <w:vAlign w:val="bottom"/>
          </w:tcPr>
          <w:p>
            <w:pPr>
              <w:jc w:val="right"/>
              <w:spacing w:after="0"/>
              <w:rPr>
                <w:sz w:val="20"/>
                <w:szCs w:val="20"/>
                <w:color w:val="auto"/>
              </w:rPr>
            </w:pPr>
            <w:r>
              <w:rPr>
                <w:rFonts w:ascii="Arial" w:cs="Arial" w:eastAsia="Arial" w:hAnsi="Arial"/>
                <w:sz w:val="16"/>
                <w:szCs w:val="16"/>
                <w:color w:val="282A32"/>
              </w:rPr>
              <w:t>1,132.9</w:t>
            </w:r>
          </w:p>
        </w:tc>
        <w:tc>
          <w:tcPr>
            <w:tcW w:w="220" w:type="dxa"/>
            <w:vAlign w:val="bottom"/>
          </w:tcPr>
          <w:p>
            <w:pPr>
              <w:jc w:val="right"/>
              <w:spacing w:after="0"/>
              <w:rPr>
                <w:sz w:val="20"/>
                <w:szCs w:val="20"/>
                <w:color w:val="auto"/>
              </w:rPr>
            </w:pPr>
            <w:r>
              <w:rPr>
                <w:rFonts w:ascii="Arial" w:cs="Arial" w:eastAsia="Arial" w:hAnsi="Arial"/>
                <w:sz w:val="16"/>
                <w:szCs w:val="16"/>
                <w:color w:val="282A32"/>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282A32"/>
              </w:rPr>
              <w:t>410.4</w:t>
            </w:r>
          </w:p>
        </w:tc>
        <w:tc>
          <w:tcPr>
            <w:tcW w:w="300" w:type="dxa"/>
            <w:vAlign w:val="bottom"/>
          </w:tcPr>
          <w:p>
            <w:pPr>
              <w:jc w:val="right"/>
              <w:ind w:right="59"/>
              <w:spacing w:after="0"/>
              <w:rPr>
                <w:sz w:val="20"/>
                <w:szCs w:val="20"/>
                <w:color w:val="auto"/>
              </w:rPr>
            </w:pPr>
            <w:r>
              <w:rPr>
                <w:rFonts w:ascii="Arial" w:cs="Arial" w:eastAsia="Arial" w:hAnsi="Arial"/>
                <w:sz w:val="16"/>
                <w:szCs w:val="16"/>
                <w:color w:val="282A32"/>
              </w:rPr>
              <w:t>$</w:t>
            </w:r>
          </w:p>
        </w:tc>
        <w:tc>
          <w:tcPr>
            <w:tcW w:w="1040" w:type="dxa"/>
            <w:vAlign w:val="bottom"/>
          </w:tcPr>
          <w:p>
            <w:pPr>
              <w:jc w:val="right"/>
              <w:spacing w:after="0"/>
              <w:rPr>
                <w:sz w:val="20"/>
                <w:szCs w:val="20"/>
                <w:color w:val="auto"/>
              </w:rPr>
            </w:pPr>
            <w:r>
              <w:rPr>
                <w:rFonts w:ascii="Arial" w:cs="Arial" w:eastAsia="Arial" w:hAnsi="Arial"/>
                <w:sz w:val="16"/>
                <w:szCs w:val="16"/>
                <w:color w:val="282A32"/>
              </w:rPr>
              <w:t>296.3</w:t>
            </w:r>
          </w:p>
        </w:tc>
        <w:tc>
          <w:tcPr>
            <w:tcW w:w="340" w:type="dxa"/>
            <w:vAlign w:val="bottom"/>
          </w:tcPr>
          <w:p>
            <w:pPr>
              <w:jc w:val="right"/>
              <w:ind w:right="99"/>
              <w:spacing w:after="0"/>
              <w:rPr>
                <w:sz w:val="20"/>
                <w:szCs w:val="20"/>
                <w:color w:val="auto"/>
              </w:rPr>
            </w:pPr>
            <w:r>
              <w:rPr>
                <w:rFonts w:ascii="Arial" w:cs="Arial" w:eastAsia="Arial" w:hAnsi="Arial"/>
                <w:sz w:val="16"/>
                <w:szCs w:val="16"/>
                <w:color w:val="282A32"/>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282A32"/>
              </w:rPr>
              <w:t>164.8</w:t>
            </w:r>
          </w:p>
        </w:tc>
      </w:tr>
      <w:tr>
        <w:trPr>
          <w:trHeight w:val="256"/>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Carrying values</w:t>
            </w:r>
          </w:p>
        </w:tc>
        <w:tc>
          <w:tcPr>
            <w:tcW w:w="18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82A32"/>
              </w:rPr>
              <w:t>633.3</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799.0</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82A32"/>
              </w:rPr>
              <w:t>305.4</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122.6</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282A32"/>
              </w:rPr>
              <w:t>128.9</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2989B9"/>
        </w:rPr>
        <w:t>SIGNIFICANT MATTERS AFFECTING RESULTS OF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2989B9"/>
        </w:rPr>
        <w:t>Market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We are exposed to the impact of foreign currency exchange rate fluctuations and interest rate changes.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989B9"/>
        </w:rPr>
        <w:t xml:space="preserve">Exchange Rates </w:t>
      </w:r>
      <w:r>
        <w:rPr>
          <w:rFonts w:ascii="Arial" w:cs="Arial" w:eastAsia="Arial" w:hAnsi="Arial"/>
          <w:sz w:val="16"/>
          <w:szCs w:val="16"/>
          <w:color w:val="282A32"/>
        </w:rPr>
        <w:t>— Our exposure to foreign currency exchange rates relates primarily to our foreign subsidiaries and our euro-denominated borrowings. For</w:t>
      </w:r>
      <w:r>
        <w:rPr>
          <w:rFonts w:ascii="Arial" w:cs="Arial" w:eastAsia="Arial" w:hAnsi="Arial"/>
          <w:sz w:val="16"/>
          <w:szCs w:val="16"/>
          <w:color w:val="2989B9"/>
        </w:rPr>
        <w:t xml:space="preserve"> </w:t>
      </w:r>
      <w:r>
        <w:rPr>
          <w:rFonts w:ascii="Arial" w:cs="Arial" w:eastAsia="Arial" w:hAnsi="Arial"/>
          <w:sz w:val="16"/>
          <w:szCs w:val="16"/>
          <w:color w:val="282A32"/>
        </w:rPr>
        <w:t>our foreign subsidiaries, exchange rates impact the United States dollar value of our reported earnings, our investments in the subsidiaries and the intercompany transactions with the subsidiaries.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38</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16"/>
          <w:szCs w:val="16"/>
          <w:color w:val="282A32"/>
        </w:rPr>
        <w:t>Approximately 84% of our revenues and profits are generated outside of the United States, with approximately 44%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3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both 2015 and 2014, the United States dollar generally strengthened against many of the currencies of our major markets. Revenues from services in constant currency were 13.5% and 1.5% higher than reported revenues in 2015 and 2014, respectively. A change in the strength of the United States dollar by 10% would have impacted our revenues from services by approximately 8.4% and 8.5% from the amounts reported in 2015 and 2014, respectively.</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2015 compared to December 31, 2014. Consequently, shareholders’ equity decreased by $150.4 million as a result of the foreign currency translation as of December 31, 2015. If the United States dollar had strengthened an additional 10% as of December 31, 2015, resulting translation adjustments recorded in shareholders’ equity would have decreased by approximately $137.7 million from the amounts reported.</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As of December 31, 2014, the United States dollar strengthened relative to many foreign currencies compared to December 31, 2013. Consequently, shareholders’ equity decreased by $229.6 million as a result of the foreign currency translation as of December 31, 2014. If the United States dollar had strengthened an additional 10% as of December 31, 2014, resulting translation adjustments recorded in shareholders’ equity would have decreased by approximately $174.8 million from the amounts reported.</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On occasion, forward contracts are designated as an economic hedge of our net investment in our foreign subsidiaries. As of December 31, 2015, we had a translation loss of $4.1 million included in accumulated other comprehensive loss, net of taxes, as the net investment hedge was deemed effective.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As of December 31, 2015, there were £11.1 ($16.8) million of forward contracts that relate to cash flows owed to our foreign subsidiaries in 2016. For our forward contracts that are not designated as hedges, any gain or loss resulting from the change in fair value is recognized in the current period earnings.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39 </w:t>
      </w:r>
      <w:r>
        <w:rPr>
          <w:rFonts w:ascii="Arial" w:cs="Arial" w:eastAsia="Arial" w:hAnsi="Arial"/>
          <w:sz w:val="12"/>
          <w:szCs w:val="12"/>
          <w:color w:val="auto"/>
        </w:rPr>
        <w:t>| ManpowerGroup</w:t>
      </w:r>
    </w:p>
    <w:p>
      <w:pPr>
        <w:sectPr>
          <w:pgSz w:w="11900" w:h="16838" w:orient="portrait"/>
          <w:cols w:equalWidth="0" w:num="1">
            <w:col w:w="11420"/>
          </w:cols>
          <w:pgMar w:left="240" w:top="141"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As of December 31, 2015, we had outstanding $810.2 million in principal amount of euro-denominated notes (€750.0 million). A portion of the notes have been designated as a hedge of our net investment in subsidiaries with a euro-functional currency as of December 31, 2015. Since our net investment in these subsidiaries exceeds the respective amount of the designated borrowings, both net of tax, translation gains or losses related to these borrowings are included as a component of accumulated other comprehensive loss. Shareholders’ equity increased by $38.6 million, net of tax, due to changes in accumulated other comprehensive loss during the year due to the currency impact on these designated borrowings.</w:t>
      </w:r>
    </w:p>
    <w:p>
      <w:pPr>
        <w:spacing w:after="0" w:line="190"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2989B9"/>
        </w:rPr>
        <w:t xml:space="preserve">Interest Rates </w:t>
      </w:r>
      <w:r>
        <w:rPr>
          <w:rFonts w:ascii="Arial" w:cs="Arial" w:eastAsia="Arial" w:hAnsi="Arial"/>
          <w:sz w:val="16"/>
          <w:szCs w:val="16"/>
          <w:color w:val="282A32"/>
        </w:rPr>
        <w:t>—</w:t>
      </w:r>
      <w:r>
        <w:rPr>
          <w:rFonts w:ascii="Arial" w:cs="Arial" w:eastAsia="Arial" w:hAnsi="Arial"/>
          <w:sz w:val="16"/>
          <w:szCs w:val="16"/>
          <w:color w:val="2989B9"/>
        </w:rPr>
        <w:t xml:space="preserve"> </w:t>
      </w:r>
      <w:r>
        <w:rPr>
          <w:rFonts w:ascii="Arial" w:cs="Arial" w:eastAsia="Arial" w:hAnsi="Arial"/>
          <w:sz w:val="16"/>
          <w:szCs w:val="16"/>
          <w:color w:val="000000"/>
        </w:rPr>
        <w:t>Our exposure to market risk for changes in interest rates relates primarily to our variable rate long-term debt obligations. We have historically</w:t>
      </w:r>
      <w:r>
        <w:rPr>
          <w:rFonts w:ascii="Arial" w:cs="Arial" w:eastAsia="Arial" w:hAnsi="Arial"/>
          <w:sz w:val="16"/>
          <w:szCs w:val="16"/>
          <w:color w:val="2989B9"/>
        </w:rPr>
        <w:t xml:space="preserve"> </w:t>
      </w:r>
      <w:r>
        <w:rPr>
          <w:rFonts w:ascii="Arial" w:cs="Arial" w:eastAsia="Arial" w:hAnsi="Arial"/>
          <w:sz w:val="16"/>
          <w:szCs w:val="16"/>
          <w:color w:val="000000"/>
        </w:rPr>
        <w:t>managed interest rates through the use of a combination of fixed- and variable-rate borrowings and interest rate swap agreements. As of December 31, 2015, we had the following fixed- and variable-rate borrowings: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103"/>
              <w:spacing w:after="0"/>
              <w:rPr>
                <w:sz w:val="20"/>
                <w:szCs w:val="20"/>
                <w:color w:val="auto"/>
              </w:rPr>
            </w:pPr>
            <w:r>
              <w:rPr>
                <w:rFonts w:ascii="Arial" w:cs="Arial" w:eastAsia="Arial" w:hAnsi="Arial"/>
                <w:sz w:val="14"/>
                <w:szCs w:val="14"/>
                <w:color w:val="282A32"/>
              </w:rPr>
              <w:t>Weighted-</w:t>
            </w:r>
          </w:p>
        </w:tc>
        <w:tc>
          <w:tcPr>
            <w:tcW w:w="0" w:type="dxa"/>
            <w:vAlign w:val="bottom"/>
          </w:tcPr>
          <w:p>
            <w:pPr>
              <w:spacing w:after="0"/>
              <w:rPr>
                <w:sz w:val="1"/>
                <w:szCs w:val="1"/>
                <w:color w:val="auto"/>
              </w:rPr>
            </w:pPr>
          </w:p>
        </w:tc>
      </w:tr>
      <w:tr>
        <w:trPr>
          <w:trHeight w:val="157"/>
        </w:trPr>
        <w:tc>
          <w:tcPr>
            <w:tcW w:w="5060" w:type="dxa"/>
            <w:vAlign w:val="bottom"/>
            <w:vMerge w:val="restart"/>
          </w:tcPr>
          <w:p>
            <w:pPr>
              <w:ind w:left="40"/>
              <w:spacing w:after="0"/>
              <w:rPr>
                <w:sz w:val="20"/>
                <w:szCs w:val="20"/>
                <w:color w:val="auto"/>
              </w:rPr>
            </w:pPr>
            <w:r>
              <w:rPr>
                <w:rFonts w:ascii="Arial" w:cs="Arial" w:eastAsia="Arial" w:hAnsi="Arial"/>
                <w:sz w:val="14"/>
                <w:szCs w:val="14"/>
                <w:i w:val="1"/>
                <w:iCs w:val="1"/>
                <w:color w:val="282A32"/>
              </w:rPr>
              <w:t>(in millions)</w:t>
            </w:r>
          </w:p>
        </w:tc>
        <w:tc>
          <w:tcPr>
            <w:tcW w:w="3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jc w:val="right"/>
              <w:ind w:right="103"/>
              <w:spacing w:after="0" w:line="157" w:lineRule="exact"/>
              <w:rPr>
                <w:sz w:val="20"/>
                <w:szCs w:val="20"/>
                <w:color w:val="auto"/>
              </w:rPr>
            </w:pPr>
            <w:r>
              <w:rPr>
                <w:rFonts w:ascii="Arial" w:cs="Arial" w:eastAsia="Arial" w:hAnsi="Arial"/>
                <w:sz w:val="14"/>
                <w:szCs w:val="14"/>
                <w:color w:val="282A32"/>
              </w:rPr>
              <w:t>Average</w:t>
            </w:r>
          </w:p>
        </w:tc>
        <w:tc>
          <w:tcPr>
            <w:tcW w:w="0" w:type="dxa"/>
            <w:vAlign w:val="bottom"/>
          </w:tcPr>
          <w:p>
            <w:pPr>
              <w:spacing w:after="0"/>
              <w:rPr>
                <w:sz w:val="1"/>
                <w:szCs w:val="1"/>
                <w:color w:val="auto"/>
              </w:rPr>
            </w:pPr>
          </w:p>
        </w:tc>
      </w:tr>
      <w:tr>
        <w:trPr>
          <w:trHeight w:val="189"/>
        </w:trPr>
        <w:tc>
          <w:tcPr>
            <w:tcW w:w="506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282A32"/>
              </w:rPr>
              <w:t>Amount</w:t>
            </w:r>
          </w:p>
        </w:tc>
        <w:tc>
          <w:tcPr>
            <w:tcW w:w="1360" w:type="dxa"/>
            <w:vAlign w:val="bottom"/>
            <w:tcBorders>
              <w:bottom w:val="single" w:sz="8" w:color="auto"/>
            </w:tcBorders>
          </w:tcPr>
          <w:p>
            <w:pPr>
              <w:jc w:val="right"/>
              <w:ind w:right="103"/>
              <w:spacing w:after="0" w:line="189" w:lineRule="exact"/>
              <w:rPr>
                <w:sz w:val="20"/>
                <w:szCs w:val="20"/>
                <w:color w:val="auto"/>
              </w:rPr>
            </w:pPr>
            <w:r>
              <w:rPr>
                <w:rFonts w:ascii="Arial" w:cs="Arial" w:eastAsia="Arial" w:hAnsi="Arial"/>
                <w:sz w:val="14"/>
                <w:szCs w:val="14"/>
                <w:color w:val="282A32"/>
              </w:rPr>
              <w:t>Interest Rate</w:t>
            </w:r>
            <w:r>
              <w:rPr>
                <w:rFonts w:ascii="Arial" w:cs="Arial" w:eastAsia="Arial" w:hAnsi="Arial"/>
                <w:sz w:val="17"/>
                <w:szCs w:val="17"/>
                <w:color w:val="282A32"/>
                <w:vertAlign w:val="superscript"/>
              </w:rPr>
              <w:t>(1)</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282A32"/>
              </w:rPr>
              <w:t>Variable-rate borrowings</w:t>
            </w:r>
          </w:p>
        </w:tc>
        <w:tc>
          <w:tcPr>
            <w:tcW w:w="3720" w:type="dxa"/>
            <w:vAlign w:val="bottom"/>
          </w:tcPr>
          <w:p>
            <w:pPr>
              <w:jc w:val="right"/>
              <w:ind w:right="279"/>
              <w:spacing w:after="0"/>
              <w:rPr>
                <w:sz w:val="20"/>
                <w:szCs w:val="20"/>
                <w:color w:val="auto"/>
              </w:rPr>
            </w:pPr>
            <w:r>
              <w:rPr>
                <w:rFonts w:ascii="Arial" w:cs="Arial" w:eastAsia="Arial" w:hAnsi="Arial"/>
                <w:sz w:val="16"/>
                <w:szCs w:val="16"/>
                <w:color w:val="282A32"/>
              </w:rPr>
              <w:t>$</w:t>
            </w:r>
          </w:p>
        </w:tc>
        <w:tc>
          <w:tcPr>
            <w:tcW w:w="1140" w:type="dxa"/>
            <w:vAlign w:val="bottom"/>
          </w:tcPr>
          <w:p>
            <w:pPr>
              <w:jc w:val="right"/>
              <w:ind w:right="181"/>
              <w:spacing w:after="0"/>
              <w:rPr>
                <w:sz w:val="20"/>
                <w:szCs w:val="20"/>
                <w:color w:val="auto"/>
              </w:rPr>
            </w:pPr>
            <w:r>
              <w:rPr>
                <w:rFonts w:ascii="Arial" w:cs="Arial" w:eastAsia="Arial" w:hAnsi="Arial"/>
                <w:sz w:val="16"/>
                <w:szCs w:val="16"/>
                <w:color w:val="282A32"/>
              </w:rPr>
              <w:t>38.2</w:t>
            </w:r>
          </w:p>
        </w:tc>
        <w:tc>
          <w:tcPr>
            <w:tcW w:w="1360" w:type="dxa"/>
            <w:vAlign w:val="bottom"/>
          </w:tcPr>
          <w:p>
            <w:pPr>
              <w:jc w:val="right"/>
              <w:spacing w:after="0"/>
              <w:rPr>
                <w:sz w:val="20"/>
                <w:szCs w:val="20"/>
                <w:color w:val="auto"/>
              </w:rPr>
            </w:pPr>
            <w:r>
              <w:rPr>
                <w:rFonts w:ascii="Arial" w:cs="Arial" w:eastAsia="Arial" w:hAnsi="Arial"/>
                <w:sz w:val="16"/>
                <w:szCs w:val="16"/>
                <w:color w:val="282A32"/>
              </w:rPr>
              <w:t>17.8%</w:t>
            </w:r>
          </w:p>
        </w:tc>
        <w:tc>
          <w:tcPr>
            <w:tcW w:w="0" w:type="dxa"/>
            <w:vAlign w:val="bottom"/>
          </w:tcPr>
          <w:p>
            <w:pPr>
              <w:spacing w:after="0"/>
              <w:rPr>
                <w:sz w:val="1"/>
                <w:szCs w:val="1"/>
                <w:color w:val="auto"/>
              </w:rPr>
            </w:pPr>
          </w:p>
        </w:tc>
      </w:tr>
      <w:tr>
        <w:trPr>
          <w:trHeight w:val="256"/>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Fixed-rate borrowings</w:t>
            </w:r>
          </w:p>
        </w:tc>
        <w:tc>
          <w:tcPr>
            <w:tcW w:w="37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282A32"/>
              </w:rPr>
              <w:t>816.9</w:t>
            </w:r>
          </w:p>
        </w:tc>
        <w:tc>
          <w:tcPr>
            <w:tcW w:w="13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282A32"/>
              </w:rPr>
              <w:t>3.1</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Total debt</w:t>
            </w:r>
          </w:p>
        </w:tc>
        <w:tc>
          <w:tcPr>
            <w:tcW w:w="3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282A32"/>
              </w:rPr>
              <w:t>$</w:t>
            </w: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282A32"/>
              </w:rPr>
              <w:t>855.1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3.8%</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82A32"/>
        </w:rPr>
        <w:t>(1) The rates are impacted by currency exchange rate movements.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989B9"/>
        </w:rPr>
        <w:t xml:space="preserve">Sensitivity Analysis </w:t>
      </w:r>
      <w:r>
        <w:rPr>
          <w:rFonts w:ascii="Arial" w:cs="Arial" w:eastAsia="Arial" w:hAnsi="Arial"/>
          <w:sz w:val="16"/>
          <w:szCs w:val="16"/>
          <w:color w:val="282A32"/>
        </w:rPr>
        <w:t>— The following tables summarize our debt and derivative instruments that are sensitive to foreign currency exchange rate and interest</w:t>
      </w:r>
      <w:r>
        <w:rPr>
          <w:rFonts w:ascii="Arial" w:cs="Arial" w:eastAsia="Arial" w:hAnsi="Arial"/>
          <w:sz w:val="16"/>
          <w:szCs w:val="16"/>
          <w:color w:val="2989B9"/>
        </w:rPr>
        <w:t xml:space="preserve"> </w:t>
      </w:r>
      <w:r>
        <w:rPr>
          <w:rFonts w:ascii="Arial" w:cs="Arial" w:eastAsia="Arial" w:hAnsi="Arial"/>
          <w:sz w:val="16"/>
          <w:szCs w:val="16"/>
          <w:color w:val="282A32"/>
        </w:rPr>
        <w:t>rate movements. All computations below are based on the United States dollar spot rate as of December 31, 2015 and 2014. The exchange rate computations assume a 10% appreciation or 10% depreciation of the euro and British pound to the United States dollar.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82A32"/>
        </w:rPr>
        <w:t>The hypothetical impact on 2015 and 2014 net earnings and total other comprehensive (loss) income of the stated change in rates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 xml:space="preserve">2015 </w:t>
            </w:r>
            <w:r>
              <w:rPr>
                <w:rFonts w:ascii="Arial" w:cs="Arial" w:eastAsia="Arial" w:hAnsi="Arial"/>
                <w:sz w:val="14"/>
                <w:szCs w:val="14"/>
                <w:i w:val="1"/>
                <w:iCs w:val="1"/>
                <w:color w:val="282A32"/>
              </w:rPr>
              <w:t>(in millions)</w:t>
            </w:r>
          </w:p>
        </w:tc>
        <w:tc>
          <w:tcPr>
            <w:tcW w:w="43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282A32"/>
              </w:rPr>
              <w:t>Movements in Exchange Rates</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Market Sensitive Instrument</w:t>
            </w:r>
          </w:p>
        </w:tc>
        <w:tc>
          <w:tcPr>
            <w:tcW w:w="4320" w:type="dxa"/>
            <w:vAlign w:val="bottom"/>
            <w:tcBorders>
              <w:bottom w:val="single" w:sz="8" w:color="auto"/>
            </w:tcBorders>
          </w:tcPr>
          <w:p>
            <w:pPr>
              <w:ind w:left="3100"/>
              <w:spacing w:after="0"/>
              <w:rPr>
                <w:sz w:val="20"/>
                <w:szCs w:val="20"/>
                <w:color w:val="auto"/>
              </w:rPr>
            </w:pPr>
            <w:r>
              <w:rPr>
                <w:rFonts w:ascii="Arial" w:cs="Arial" w:eastAsia="Arial" w:hAnsi="Arial"/>
                <w:sz w:val="14"/>
                <w:szCs w:val="14"/>
                <w:color w:val="282A32"/>
              </w:rPr>
              <w:t>10% Depreciation</w:t>
            </w: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282A32"/>
              </w:rPr>
              <w:t>10% Appreciation</w:t>
            </w:r>
          </w:p>
        </w:tc>
      </w:tr>
    </w:tbl>
    <w:p>
      <w:pPr>
        <w:spacing w:after="0" w:line="56" w:lineRule="exact"/>
        <w:rPr>
          <w:sz w:val="20"/>
          <w:szCs w:val="20"/>
          <w:color w:val="auto"/>
        </w:rPr>
      </w:pPr>
    </w:p>
    <w:p>
      <w:pPr>
        <w:sectPr>
          <w:pgSz w:w="11900" w:h="16838" w:orient="portrait"/>
          <w:cols w:equalWidth="0" w:num="1">
            <w:col w:w="11420"/>
          </w:cols>
          <w:pgMar w:left="240" w:top="174" w:right="239" w:bottom="1440" w:gutter="0" w:footer="0" w:header="0"/>
        </w:sectPr>
      </w:pPr>
    </w:p>
    <w:tbl>
      <w:tblPr>
        <w:tblLayout w:type="fixed"/>
        <w:tblInd w:w="4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6"/>
                <w:szCs w:val="16"/>
                <w:color w:val="2989B9"/>
              </w:rPr>
              <w:t>Euro Notes:</w:t>
            </w:r>
          </w:p>
        </w:tc>
        <w:tc>
          <w:tcPr>
            <w:tcW w:w="4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6"/>
                <w:szCs w:val="16"/>
                <w:color w:val="282A32"/>
              </w:rPr>
              <w:t>€400.0, 1.91%</w:t>
            </w:r>
          </w:p>
        </w:tc>
        <w:tc>
          <w:tcPr>
            <w:tcW w:w="4240" w:type="dxa"/>
            <w:vAlign w:val="bottom"/>
          </w:tcPr>
          <w:p>
            <w:pPr>
              <w:ind w:left="20"/>
              <w:spacing w:after="0"/>
              <w:rPr>
                <w:sz w:val="20"/>
                <w:szCs w:val="20"/>
                <w:color w:val="auto"/>
              </w:rPr>
            </w:pPr>
            <w:r>
              <w:rPr>
                <w:rFonts w:ascii="Arial" w:cs="Arial" w:eastAsia="Arial" w:hAnsi="Arial"/>
                <w:sz w:val="16"/>
                <w:szCs w:val="16"/>
                <w:color w:val="282A32"/>
              </w:rPr>
              <w:t>Notes due September 2022</w:t>
            </w:r>
          </w:p>
        </w:tc>
        <w:tc>
          <w:tcPr>
            <w:tcW w:w="2920" w:type="dxa"/>
            <w:vAlign w:val="bottom"/>
          </w:tcPr>
          <w:p>
            <w:pPr>
              <w:jc w:val="right"/>
              <w:ind w:right="519"/>
              <w:spacing w:after="0"/>
              <w:rPr>
                <w:sz w:val="20"/>
                <w:szCs w:val="20"/>
                <w:color w:val="auto"/>
              </w:rPr>
            </w:pPr>
            <w:r>
              <w:rPr>
                <w:rFonts w:ascii="Arial" w:cs="Arial" w:eastAsia="Arial" w:hAnsi="Arial"/>
                <w:sz w:val="16"/>
                <w:szCs w:val="16"/>
                <w:color w:val="282A32"/>
              </w:rPr>
              <w:t>$</w:t>
            </w:r>
          </w:p>
        </w:tc>
        <w:tc>
          <w:tcPr>
            <w:tcW w:w="900" w:type="dxa"/>
            <w:vAlign w:val="bottom"/>
          </w:tcPr>
          <w:p>
            <w:pPr>
              <w:jc w:val="right"/>
              <w:spacing w:after="0"/>
              <w:rPr>
                <w:sz w:val="20"/>
                <w:szCs w:val="20"/>
                <w:color w:val="auto"/>
              </w:rPr>
            </w:pPr>
            <w:r>
              <w:rPr>
                <w:rFonts w:ascii="Arial" w:cs="Arial" w:eastAsia="Arial" w:hAnsi="Arial"/>
                <w:sz w:val="16"/>
                <w:szCs w:val="16"/>
                <w:color w:val="282A32"/>
              </w:rPr>
              <w:t>43.4</w:t>
            </w:r>
          </w:p>
        </w:tc>
      </w:tr>
      <w:tr>
        <w:trPr>
          <w:trHeight w:val="270"/>
        </w:trPr>
        <w:tc>
          <w:tcPr>
            <w:tcW w:w="1060" w:type="dxa"/>
            <w:vAlign w:val="bottom"/>
          </w:tcPr>
          <w:p>
            <w:pPr>
              <w:spacing w:after="0"/>
              <w:rPr>
                <w:sz w:val="20"/>
                <w:szCs w:val="20"/>
                <w:color w:val="auto"/>
              </w:rPr>
            </w:pPr>
            <w:r>
              <w:rPr>
                <w:rFonts w:ascii="Arial" w:cs="Arial" w:eastAsia="Arial" w:hAnsi="Arial"/>
                <w:sz w:val="16"/>
                <w:szCs w:val="16"/>
                <w:color w:val="282A32"/>
              </w:rPr>
              <w:t>€350.0, 4.51%</w:t>
            </w:r>
          </w:p>
        </w:tc>
        <w:tc>
          <w:tcPr>
            <w:tcW w:w="4240" w:type="dxa"/>
            <w:vAlign w:val="bottom"/>
          </w:tcPr>
          <w:p>
            <w:pPr>
              <w:ind w:left="20"/>
              <w:spacing w:after="0"/>
              <w:rPr>
                <w:sz w:val="20"/>
                <w:szCs w:val="20"/>
                <w:color w:val="auto"/>
              </w:rPr>
            </w:pPr>
            <w:r>
              <w:rPr>
                <w:rFonts w:ascii="Arial" w:cs="Arial" w:eastAsia="Arial" w:hAnsi="Arial"/>
                <w:sz w:val="16"/>
                <w:szCs w:val="16"/>
                <w:color w:val="282A32"/>
              </w:rPr>
              <w:t>Notes due June 2018</w:t>
            </w:r>
          </w:p>
        </w:tc>
        <w:tc>
          <w:tcPr>
            <w:tcW w:w="29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82A32"/>
              </w:rPr>
              <w:t>38.0</w:t>
            </w:r>
          </w:p>
        </w:tc>
      </w:tr>
    </w:tbl>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2989B9"/>
        </w:rPr>
        <w:t>Forward contracts: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280" w:type="dxa"/>
            <w:vAlign w:val="bottom"/>
          </w:tcPr>
          <w:p>
            <w:pPr>
              <w:jc w:val="right"/>
              <w:ind w:right="86"/>
              <w:spacing w:after="0"/>
              <w:rPr>
                <w:sz w:val="20"/>
                <w:szCs w:val="20"/>
                <w:color w:val="auto"/>
              </w:rPr>
            </w:pPr>
            <w:r>
              <w:rPr>
                <w:rFonts w:ascii="Arial" w:cs="Arial" w:eastAsia="Arial" w:hAnsi="Arial"/>
                <w:sz w:val="11"/>
                <w:szCs w:val="11"/>
                <w:color w:val="282A32"/>
                <w:w w:val="88"/>
              </w:rPr>
              <w:t>(1)</w:t>
            </w:r>
          </w:p>
        </w:tc>
        <w:tc>
          <w:tcPr>
            <w:tcW w:w="800" w:type="dxa"/>
            <w:vAlign w:val="bottom"/>
            <w:vMerge w:val="restart"/>
          </w:tcPr>
          <w:p>
            <w:pPr>
              <w:jc w:val="right"/>
              <w:ind w:right="459"/>
              <w:spacing w:after="0"/>
              <w:rPr>
                <w:sz w:val="20"/>
                <w:szCs w:val="20"/>
                <w:color w:val="auto"/>
              </w:rPr>
            </w:pPr>
            <w:r>
              <w:rPr>
                <w:rFonts w:ascii="Arial" w:cs="Arial" w:eastAsia="Arial" w:hAnsi="Arial"/>
                <w:sz w:val="16"/>
                <w:szCs w:val="16"/>
                <w:color w:val="282A32"/>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282A32"/>
              </w:rPr>
              <w:t>(43.4)</w:t>
            </w:r>
          </w:p>
        </w:tc>
        <w:tc>
          <w:tcPr>
            <w:tcW w:w="0" w:type="dxa"/>
            <w:vAlign w:val="bottom"/>
          </w:tcPr>
          <w:p>
            <w:pPr>
              <w:spacing w:after="0"/>
              <w:rPr>
                <w:sz w:val="1"/>
                <w:szCs w:val="1"/>
                <w:color w:val="auto"/>
              </w:rPr>
            </w:pPr>
          </w:p>
        </w:tc>
      </w:tr>
      <w:tr>
        <w:trPr>
          <w:trHeight w:val="70"/>
        </w:trPr>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0" w:type="dxa"/>
            <w:vAlign w:val="bottom"/>
          </w:tcPr>
          <w:p>
            <w:pPr>
              <w:jc w:val="right"/>
              <w:ind w:right="86"/>
              <w:spacing w:after="0"/>
              <w:rPr>
                <w:sz w:val="20"/>
                <w:szCs w:val="20"/>
                <w:color w:val="auto"/>
              </w:rPr>
            </w:pPr>
            <w:r>
              <w:rPr>
                <w:rFonts w:ascii="Arial" w:cs="Arial" w:eastAsia="Arial" w:hAnsi="Arial"/>
                <w:sz w:val="11"/>
                <w:szCs w:val="11"/>
                <w:color w:val="282A32"/>
                <w:w w:val="88"/>
              </w:rPr>
              <w:t>(1)</w:t>
            </w:r>
          </w:p>
        </w:tc>
        <w:tc>
          <w:tcPr>
            <w:tcW w:w="8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282A32"/>
              </w:rPr>
              <w:t>(38.0)</w:t>
            </w:r>
          </w:p>
        </w:tc>
        <w:tc>
          <w:tcPr>
            <w:tcW w:w="0" w:type="dxa"/>
            <w:vAlign w:val="bottom"/>
          </w:tcPr>
          <w:p>
            <w:pPr>
              <w:spacing w:after="0"/>
              <w:rPr>
                <w:sz w:val="1"/>
                <w:szCs w:val="1"/>
                <w:color w:val="auto"/>
              </w:rPr>
            </w:pPr>
          </w:p>
        </w:tc>
      </w:tr>
      <w:tr>
        <w:trPr>
          <w:trHeight w:val="70"/>
        </w:trPr>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ectPr>
          <w:pgSz w:w="11900" w:h="16838" w:orient="portrait"/>
          <w:cols w:equalWidth="0" w:num="2">
            <w:col w:w="9160" w:space="140"/>
            <w:col w:w="2120"/>
          </w:cols>
          <w:pgMar w:left="240" w:top="174"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£11.1 to $16.8</w:t>
            </w:r>
          </w:p>
        </w:tc>
        <w:tc>
          <w:tcPr>
            <w:tcW w:w="2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82A32"/>
              </w:rPr>
              <w:t>1.6</w:t>
            </w: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(1.6)</w:t>
            </w:r>
          </w:p>
        </w:tc>
      </w:tr>
      <w:tr>
        <w:trPr>
          <w:trHeight w:val="507"/>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2014 (in millions)</w:t>
            </w:r>
          </w:p>
        </w:tc>
        <w:tc>
          <w:tcPr>
            <w:tcW w:w="27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color w:val="282A32"/>
              </w:rPr>
              <w:t>Movements in Exchange Rates</w:t>
            </w: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Market Sensitive Instrument</w:t>
            </w:r>
          </w:p>
        </w:tc>
        <w:tc>
          <w:tcPr>
            <w:tcW w:w="27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282A32"/>
              </w:rPr>
              <w:t>10% Depreciation</w:t>
            </w:r>
          </w:p>
        </w:tc>
        <w:tc>
          <w:tcPr>
            <w:tcW w:w="3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282A32"/>
              </w:rPr>
              <w:t>10% Appreciation</w:t>
            </w:r>
          </w:p>
        </w:tc>
      </w:tr>
      <w:tr>
        <w:trPr>
          <w:trHeight w:val="250"/>
        </w:trPr>
        <w:tc>
          <w:tcPr>
            <w:tcW w:w="5120" w:type="dxa"/>
            <w:vAlign w:val="bottom"/>
          </w:tcPr>
          <w:p>
            <w:pPr>
              <w:ind w:left="40"/>
              <w:spacing w:after="0"/>
              <w:rPr>
                <w:sz w:val="20"/>
                <w:szCs w:val="20"/>
                <w:color w:val="auto"/>
              </w:rPr>
            </w:pPr>
            <w:r>
              <w:rPr>
                <w:rFonts w:ascii="Arial" w:cs="Arial" w:eastAsia="Arial" w:hAnsi="Arial"/>
                <w:sz w:val="16"/>
                <w:szCs w:val="16"/>
                <w:color w:val="2989B9"/>
              </w:rPr>
              <w:t>Euro Notes:</w:t>
            </w:r>
          </w:p>
        </w:tc>
        <w:tc>
          <w:tcPr>
            <w:tcW w:w="2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6"/>
                <w:szCs w:val="16"/>
                <w:color w:val="282A32"/>
              </w:rPr>
              <w:t>€350.0, 4.51% Notes due June 2018</w:t>
            </w:r>
          </w:p>
        </w:tc>
        <w:tc>
          <w:tcPr>
            <w:tcW w:w="2720" w:type="dxa"/>
            <w:vAlign w:val="bottom"/>
          </w:tcPr>
          <w:p>
            <w:pPr>
              <w:jc w:val="right"/>
              <w:ind w:right="99"/>
              <w:spacing w:after="0"/>
              <w:rPr>
                <w:sz w:val="20"/>
                <w:szCs w:val="20"/>
                <w:color w:val="auto"/>
              </w:rPr>
            </w:pPr>
            <w:r>
              <w:rPr>
                <w:rFonts w:ascii="Arial" w:cs="Arial" w:eastAsia="Arial" w:hAnsi="Arial"/>
                <w:sz w:val="16"/>
                <w:szCs w:val="16"/>
                <w:color w:val="282A32"/>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282A32"/>
              </w:rPr>
              <w:t>42.3</w:t>
            </w:r>
          </w:p>
        </w:tc>
        <w:tc>
          <w:tcPr>
            <w:tcW w:w="340" w:type="dxa"/>
            <w:vAlign w:val="bottom"/>
          </w:tcPr>
          <w:p>
            <w:pPr>
              <w:jc w:val="right"/>
              <w:ind w:right="77"/>
              <w:spacing w:after="0"/>
              <w:rPr>
                <w:sz w:val="20"/>
                <w:szCs w:val="20"/>
                <w:color w:val="auto"/>
              </w:rPr>
            </w:pPr>
            <w:r>
              <w:rPr>
                <w:rFonts w:ascii="Arial" w:cs="Arial" w:eastAsia="Arial" w:hAnsi="Arial"/>
                <w:sz w:val="11"/>
                <w:szCs w:val="11"/>
                <w:color w:val="282A32"/>
              </w:rPr>
              <w:t>(1)</w:t>
            </w:r>
          </w:p>
        </w:tc>
        <w:tc>
          <w:tcPr>
            <w:tcW w:w="420" w:type="dxa"/>
            <w:vAlign w:val="bottom"/>
          </w:tcPr>
          <w:p>
            <w:pPr>
              <w:jc w:val="right"/>
              <w:ind w:right="79"/>
              <w:spacing w:after="0"/>
              <w:rPr>
                <w:sz w:val="20"/>
                <w:szCs w:val="20"/>
                <w:color w:val="auto"/>
              </w:rPr>
            </w:pPr>
            <w:r>
              <w:rPr>
                <w:rFonts w:ascii="Arial" w:cs="Arial" w:eastAsia="Arial" w:hAnsi="Arial"/>
                <w:sz w:val="16"/>
                <w:szCs w:val="16"/>
                <w:color w:val="282A32"/>
              </w:rPr>
              <w:t>$</w:t>
            </w:r>
          </w:p>
        </w:tc>
        <w:tc>
          <w:tcPr>
            <w:tcW w:w="1420" w:type="dxa"/>
            <w:vAlign w:val="bottom"/>
          </w:tcPr>
          <w:p>
            <w:pPr>
              <w:jc w:val="right"/>
              <w:spacing w:after="0"/>
              <w:rPr>
                <w:sz w:val="20"/>
                <w:szCs w:val="20"/>
                <w:color w:val="auto"/>
              </w:rPr>
            </w:pPr>
            <w:r>
              <w:rPr>
                <w:rFonts w:ascii="Arial" w:cs="Arial" w:eastAsia="Arial" w:hAnsi="Arial"/>
                <w:sz w:val="16"/>
                <w:szCs w:val="16"/>
                <w:color w:val="282A32"/>
              </w:rPr>
              <w:t>(42.3)</w:t>
            </w:r>
          </w:p>
        </w:tc>
      </w:tr>
      <w:tr>
        <w:trPr>
          <w:trHeight w:val="270"/>
        </w:trPr>
        <w:tc>
          <w:tcPr>
            <w:tcW w:w="5120" w:type="dxa"/>
            <w:vAlign w:val="bottom"/>
          </w:tcPr>
          <w:p>
            <w:pPr>
              <w:ind w:left="40"/>
              <w:spacing w:after="0"/>
              <w:rPr>
                <w:sz w:val="20"/>
                <w:szCs w:val="20"/>
                <w:color w:val="auto"/>
              </w:rPr>
            </w:pPr>
            <w:r>
              <w:rPr>
                <w:rFonts w:ascii="Arial" w:cs="Arial" w:eastAsia="Arial" w:hAnsi="Arial"/>
                <w:sz w:val="16"/>
                <w:szCs w:val="16"/>
                <w:color w:val="2989B9"/>
              </w:rPr>
              <w:t>Forward contracts:</w:t>
            </w:r>
          </w:p>
        </w:tc>
        <w:tc>
          <w:tcPr>
            <w:tcW w:w="27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3"/>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£2.7 to $4.3</w:t>
            </w:r>
          </w:p>
        </w:tc>
        <w:tc>
          <w:tcPr>
            <w:tcW w:w="27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82A32"/>
              </w:rPr>
              <w:t>0.4</w:t>
            </w: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(0.4)</w:t>
            </w:r>
          </w:p>
        </w:tc>
      </w:tr>
    </w:tbl>
    <w:p>
      <w:pPr>
        <w:spacing w:after="0" w:line="153" w:lineRule="exact"/>
        <w:rPr>
          <w:sz w:val="20"/>
          <w:szCs w:val="20"/>
          <w:color w:val="auto"/>
        </w:rPr>
      </w:pPr>
    </w:p>
    <w:p>
      <w:pPr>
        <w:ind w:firstLine="8"/>
        <w:spacing w:after="0" w:line="258" w:lineRule="auto"/>
        <w:tabs>
          <w:tab w:leader="none" w:pos="242" w:val="left"/>
        </w:tabs>
        <w:numPr>
          <w:ilvl w:val="0"/>
          <w:numId w:val="75"/>
        </w:numPr>
        <w:rPr>
          <w:rFonts w:ascii="Arial" w:cs="Arial" w:eastAsia="Arial" w:hAnsi="Arial"/>
          <w:sz w:val="14"/>
          <w:szCs w:val="14"/>
          <w:color w:val="282A32"/>
        </w:rPr>
      </w:pPr>
      <w:r>
        <w:rPr>
          <w:rFonts w:ascii="Arial" w:cs="Arial" w:eastAsia="Arial" w:hAnsi="Arial"/>
          <w:sz w:val="14"/>
          <w:szCs w:val="14"/>
          <w:color w:val="282A32"/>
        </w:rPr>
        <w:t>Exchange rate movements are recorded through accumulated other comprehensive loss as these instruments have been designated as an economic hedge of our net investment in subsidiaries with a euro-functional currency.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40</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4" w:right="239" w:bottom="1440" w:gutter="0" w:footer="0" w:header="0"/>
          <w:type w:val="continuous"/>
        </w:sectPr>
      </w:pPr>
    </w:p>
    <w:bookmarkStart w:id="78" w:name="page79"/>
    <w:bookmarkEnd w:id="78"/>
    <w:p>
      <w:pPr>
        <w:spacing w:after="0" w:line="260" w:lineRule="auto"/>
        <w:rPr>
          <w:sz w:val="20"/>
          <w:szCs w:val="20"/>
          <w:color w:val="auto"/>
        </w:rPr>
      </w:pPr>
      <w:r>
        <w:rPr>
          <w:rFonts w:ascii="Arial" w:cs="Arial" w:eastAsia="Arial" w:hAnsi="Arial"/>
          <w:sz w:val="16"/>
          <w:szCs w:val="16"/>
          <w:color w:val="282A32"/>
        </w:rPr>
        <w:t>The hypothetical changes in the fair value of our market sensitive instruments due to changes in interest rates, and changes in foreign currency exchange rates for the forward contracts, are as follows: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4"/>
          <w:szCs w:val="14"/>
          <w:color w:val="282A32"/>
        </w:rPr>
        <w:t>As of December 31, 2015</w:t>
      </w:r>
    </w:p>
    <w:p>
      <w:pPr>
        <w:spacing w:after="0" w:line="1" w:lineRule="exact"/>
        <w:rPr>
          <w:sz w:val="20"/>
          <w:szCs w:val="20"/>
          <w:color w:val="auto"/>
        </w:rPr>
      </w:pPr>
    </w:p>
    <w:p>
      <w:pPr>
        <w:ind w:left="40"/>
        <w:spacing w:after="0"/>
        <w:tabs>
          <w:tab w:leader="none" w:pos="8200" w:val="left"/>
          <w:tab w:leader="none" w:pos="10420" w:val="left"/>
        </w:tabs>
        <w:rPr>
          <w:sz w:val="20"/>
          <w:szCs w:val="20"/>
          <w:color w:val="auto"/>
        </w:rPr>
      </w:pPr>
      <w:r>
        <w:rPr>
          <w:rFonts w:ascii="Arial" w:cs="Arial" w:eastAsia="Arial" w:hAnsi="Arial"/>
          <w:sz w:val="14"/>
          <w:szCs w:val="14"/>
          <w:color w:val="282A32"/>
        </w:rPr>
        <w:t xml:space="preserve">Market Sensitive Instrument </w:t>
      </w:r>
      <w:r>
        <w:rPr>
          <w:rFonts w:ascii="Arial" w:cs="Arial" w:eastAsia="Arial" w:hAnsi="Arial"/>
          <w:sz w:val="14"/>
          <w:szCs w:val="14"/>
          <w:i w:val="1"/>
          <w:iCs w:val="1"/>
          <w:color w:val="282A32"/>
        </w:rPr>
        <w:t>(in millions)</w:t>
      </w:r>
      <w:r>
        <w:rPr>
          <w:sz w:val="20"/>
          <w:szCs w:val="20"/>
          <w:color w:val="auto"/>
        </w:rPr>
        <w:tab/>
      </w:r>
      <w:r>
        <w:rPr>
          <w:rFonts w:ascii="Arial" w:cs="Arial" w:eastAsia="Arial" w:hAnsi="Arial"/>
          <w:sz w:val="14"/>
          <w:szCs w:val="14"/>
          <w:color w:val="282A32"/>
        </w:rPr>
        <w:t>10% Decrease</w:t>
      </w:r>
      <w:r>
        <w:rPr>
          <w:sz w:val="20"/>
          <w:szCs w:val="20"/>
          <w:color w:val="auto"/>
        </w:rPr>
        <w:tab/>
      </w:r>
      <w:r>
        <w:rPr>
          <w:rFonts w:ascii="Arial" w:cs="Arial" w:eastAsia="Arial" w:hAnsi="Arial"/>
          <w:sz w:val="14"/>
          <w:szCs w:val="14"/>
          <w:color w:val="282A32"/>
        </w:rPr>
        <w:t>10%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6"/>
                <w:szCs w:val="16"/>
                <w:color w:val="2989B9"/>
              </w:rPr>
              <w:t>Euro Notes:</w:t>
            </w:r>
          </w:p>
        </w:tc>
        <w:tc>
          <w:tcPr>
            <w:tcW w:w="4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6"/>
                <w:szCs w:val="16"/>
                <w:color w:val="282A32"/>
              </w:rPr>
              <w:t>€400.0, 1.91%</w:t>
            </w:r>
          </w:p>
        </w:tc>
        <w:tc>
          <w:tcPr>
            <w:tcW w:w="4240" w:type="dxa"/>
            <w:vAlign w:val="bottom"/>
          </w:tcPr>
          <w:p>
            <w:pPr>
              <w:ind w:left="20"/>
              <w:spacing w:after="0"/>
              <w:rPr>
                <w:sz w:val="20"/>
                <w:szCs w:val="20"/>
                <w:color w:val="auto"/>
              </w:rPr>
            </w:pPr>
            <w:r>
              <w:rPr>
                <w:rFonts w:ascii="Arial" w:cs="Arial" w:eastAsia="Arial" w:hAnsi="Arial"/>
                <w:sz w:val="16"/>
                <w:szCs w:val="16"/>
                <w:color w:val="282A32"/>
              </w:rPr>
              <w:t>Notes due September 2022</w:t>
            </w:r>
          </w:p>
        </w:tc>
        <w:tc>
          <w:tcPr>
            <w:tcW w:w="2920" w:type="dxa"/>
            <w:vAlign w:val="bottom"/>
          </w:tcPr>
          <w:p>
            <w:pPr>
              <w:jc w:val="right"/>
              <w:ind w:right="519"/>
              <w:spacing w:after="0"/>
              <w:rPr>
                <w:sz w:val="20"/>
                <w:szCs w:val="20"/>
                <w:color w:val="auto"/>
              </w:rPr>
            </w:pPr>
            <w:r>
              <w:rPr>
                <w:rFonts w:ascii="Arial" w:cs="Arial" w:eastAsia="Arial" w:hAnsi="Arial"/>
                <w:sz w:val="16"/>
                <w:szCs w:val="16"/>
                <w:color w:val="282A32"/>
              </w:rPr>
              <w:t>$</w:t>
            </w:r>
          </w:p>
        </w:tc>
        <w:tc>
          <w:tcPr>
            <w:tcW w:w="900" w:type="dxa"/>
            <w:vAlign w:val="bottom"/>
          </w:tcPr>
          <w:p>
            <w:pPr>
              <w:jc w:val="right"/>
              <w:spacing w:after="0"/>
              <w:rPr>
                <w:sz w:val="20"/>
                <w:szCs w:val="20"/>
                <w:color w:val="auto"/>
              </w:rPr>
            </w:pPr>
            <w:r>
              <w:rPr>
                <w:rFonts w:ascii="Arial" w:cs="Arial" w:eastAsia="Arial" w:hAnsi="Arial"/>
                <w:sz w:val="16"/>
                <w:szCs w:val="16"/>
                <w:color w:val="282A32"/>
              </w:rPr>
              <w:t>44.4</w:t>
            </w:r>
          </w:p>
        </w:tc>
      </w:tr>
      <w:tr>
        <w:trPr>
          <w:trHeight w:val="270"/>
        </w:trPr>
        <w:tc>
          <w:tcPr>
            <w:tcW w:w="1060" w:type="dxa"/>
            <w:vAlign w:val="bottom"/>
          </w:tcPr>
          <w:p>
            <w:pPr>
              <w:spacing w:after="0"/>
              <w:rPr>
                <w:sz w:val="20"/>
                <w:szCs w:val="20"/>
                <w:color w:val="auto"/>
              </w:rPr>
            </w:pPr>
            <w:r>
              <w:rPr>
                <w:rFonts w:ascii="Arial" w:cs="Arial" w:eastAsia="Arial" w:hAnsi="Arial"/>
                <w:sz w:val="16"/>
                <w:szCs w:val="16"/>
                <w:color w:val="282A32"/>
              </w:rPr>
              <w:t>€350.0, 4.51%</w:t>
            </w:r>
          </w:p>
        </w:tc>
        <w:tc>
          <w:tcPr>
            <w:tcW w:w="4240" w:type="dxa"/>
            <w:vAlign w:val="bottom"/>
          </w:tcPr>
          <w:p>
            <w:pPr>
              <w:ind w:left="20"/>
              <w:spacing w:after="0"/>
              <w:rPr>
                <w:sz w:val="20"/>
                <w:szCs w:val="20"/>
                <w:color w:val="auto"/>
              </w:rPr>
            </w:pPr>
            <w:r>
              <w:rPr>
                <w:rFonts w:ascii="Arial" w:cs="Arial" w:eastAsia="Arial" w:hAnsi="Arial"/>
                <w:sz w:val="16"/>
                <w:szCs w:val="16"/>
                <w:color w:val="282A32"/>
              </w:rPr>
              <w:t>Notes due June 2018</w:t>
            </w:r>
          </w:p>
        </w:tc>
        <w:tc>
          <w:tcPr>
            <w:tcW w:w="29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82A32"/>
              </w:rPr>
              <w:t>41.5</w:t>
            </w:r>
          </w:p>
        </w:tc>
      </w:tr>
      <w:tr>
        <w:trPr>
          <w:trHeight w:val="270"/>
        </w:trPr>
        <w:tc>
          <w:tcPr>
            <w:tcW w:w="5300" w:type="dxa"/>
            <w:vAlign w:val="bottom"/>
            <w:gridSpan w:val="2"/>
          </w:tcPr>
          <w:p>
            <w:pPr>
              <w:spacing w:after="0"/>
              <w:rPr>
                <w:sz w:val="20"/>
                <w:szCs w:val="20"/>
                <w:color w:val="auto"/>
              </w:rPr>
            </w:pPr>
            <w:r>
              <w:rPr>
                <w:rFonts w:ascii="Arial" w:cs="Arial" w:eastAsia="Arial" w:hAnsi="Arial"/>
                <w:sz w:val="16"/>
                <w:szCs w:val="16"/>
                <w:color w:val="2989B9"/>
              </w:rPr>
              <w:t>Forward contracts:</w:t>
            </w:r>
          </w:p>
        </w:tc>
        <w:tc>
          <w:tcPr>
            <w:tcW w:w="29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6"/>
                <w:szCs w:val="16"/>
                <w:color w:val="282A32"/>
              </w:rPr>
              <w:t>£11.1 to $16.8</w:t>
            </w:r>
          </w:p>
        </w:tc>
        <w:tc>
          <w:tcPr>
            <w:tcW w:w="42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82A32"/>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280" w:type="dxa"/>
            <w:vAlign w:val="bottom"/>
          </w:tcPr>
          <w:p>
            <w:pPr>
              <w:jc w:val="right"/>
              <w:ind w:right="86"/>
              <w:spacing w:after="0"/>
              <w:rPr>
                <w:sz w:val="20"/>
                <w:szCs w:val="20"/>
                <w:color w:val="auto"/>
              </w:rPr>
            </w:pPr>
            <w:r>
              <w:rPr>
                <w:rFonts w:ascii="Arial" w:cs="Arial" w:eastAsia="Arial" w:hAnsi="Arial"/>
                <w:sz w:val="11"/>
                <w:szCs w:val="11"/>
                <w:color w:val="282A32"/>
                <w:w w:val="88"/>
              </w:rPr>
              <w:t>(1)</w:t>
            </w:r>
          </w:p>
        </w:tc>
        <w:tc>
          <w:tcPr>
            <w:tcW w:w="800" w:type="dxa"/>
            <w:vAlign w:val="bottom"/>
            <w:vMerge w:val="restart"/>
          </w:tcPr>
          <w:p>
            <w:pPr>
              <w:jc w:val="right"/>
              <w:ind w:right="459"/>
              <w:spacing w:after="0"/>
              <w:rPr>
                <w:sz w:val="20"/>
                <w:szCs w:val="20"/>
                <w:color w:val="auto"/>
              </w:rPr>
            </w:pPr>
            <w:r>
              <w:rPr>
                <w:rFonts w:ascii="Arial" w:cs="Arial" w:eastAsia="Arial" w:hAnsi="Arial"/>
                <w:sz w:val="16"/>
                <w:szCs w:val="16"/>
                <w:color w:val="282A32"/>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282A32"/>
              </w:rPr>
              <w:t>(44.4)</w:t>
            </w:r>
          </w:p>
        </w:tc>
        <w:tc>
          <w:tcPr>
            <w:tcW w:w="0" w:type="dxa"/>
            <w:vAlign w:val="bottom"/>
          </w:tcPr>
          <w:p>
            <w:pPr>
              <w:spacing w:after="0"/>
              <w:rPr>
                <w:sz w:val="1"/>
                <w:szCs w:val="1"/>
                <w:color w:val="auto"/>
              </w:rPr>
            </w:pPr>
          </w:p>
        </w:tc>
      </w:tr>
      <w:tr>
        <w:trPr>
          <w:trHeight w:val="70"/>
        </w:trPr>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920" w:type="dxa"/>
            <w:vAlign w:val="bottom"/>
          </w:tcPr>
          <w:p>
            <w:pPr>
              <w:jc w:val="right"/>
              <w:ind w:right="726"/>
              <w:spacing w:after="0"/>
              <w:rPr>
                <w:sz w:val="20"/>
                <w:szCs w:val="20"/>
                <w:color w:val="auto"/>
              </w:rPr>
            </w:pPr>
            <w:r>
              <w:rPr>
                <w:rFonts w:ascii="Arial" w:cs="Arial" w:eastAsia="Arial" w:hAnsi="Arial"/>
                <w:sz w:val="11"/>
                <w:szCs w:val="11"/>
                <w:color w:val="282A32"/>
                <w:w w:val="88"/>
              </w:rPr>
              <w:t>(1)</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282A32"/>
              </w:rPr>
              <w:t>41.5</w:t>
            </w: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0"/>
        </w:trPr>
        <w:tc>
          <w:tcPr>
            <w:tcW w:w="9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282A32"/>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160" w:space="140"/>
            <w:col w:w="2120"/>
          </w:cols>
          <w:pgMar w:left="240" w:top="141" w:right="239" w:bottom="1440" w:gutter="0" w:footer="0" w:header="0"/>
          <w:type w:val="continuous"/>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ind w:left="40"/>
              <w:spacing w:after="0"/>
              <w:rPr>
                <w:sz w:val="20"/>
                <w:szCs w:val="20"/>
                <w:color w:val="auto"/>
              </w:rPr>
            </w:pPr>
            <w:r>
              <w:rPr>
                <w:rFonts w:ascii="Arial" w:cs="Arial" w:eastAsia="Arial" w:hAnsi="Arial"/>
                <w:sz w:val="14"/>
                <w:szCs w:val="14"/>
                <w:color w:val="282A32"/>
              </w:rPr>
              <w:t>As of December 31, 2014</w:t>
            </w:r>
          </w:p>
        </w:tc>
        <w:tc>
          <w:tcPr>
            <w:tcW w:w="2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8"/>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Market Sensitive Instrument (in millions)</w:t>
            </w:r>
          </w:p>
        </w:tc>
        <w:tc>
          <w:tcPr>
            <w:tcW w:w="2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282A32"/>
              </w:rPr>
              <w:t>10% Decrease</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282A32"/>
              </w:rPr>
              <w:t>10% Increase</w:t>
            </w:r>
          </w:p>
        </w:tc>
      </w:tr>
      <w:tr>
        <w:trPr>
          <w:trHeight w:val="250"/>
        </w:trPr>
        <w:tc>
          <w:tcPr>
            <w:tcW w:w="5120" w:type="dxa"/>
            <w:vAlign w:val="bottom"/>
          </w:tcPr>
          <w:p>
            <w:pPr>
              <w:ind w:left="40"/>
              <w:spacing w:after="0"/>
              <w:rPr>
                <w:sz w:val="20"/>
                <w:szCs w:val="20"/>
                <w:color w:val="auto"/>
              </w:rPr>
            </w:pPr>
            <w:r>
              <w:rPr>
                <w:rFonts w:ascii="Arial" w:cs="Arial" w:eastAsia="Arial" w:hAnsi="Arial"/>
                <w:sz w:val="16"/>
                <w:szCs w:val="16"/>
                <w:color w:val="2989B9"/>
              </w:rPr>
              <w:t>Euro Notes:</w:t>
            </w:r>
          </w:p>
        </w:tc>
        <w:tc>
          <w:tcPr>
            <w:tcW w:w="2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6"/>
                <w:szCs w:val="16"/>
                <w:color w:val="282A32"/>
              </w:rPr>
              <w:t>€350.0, 4.51% Notes due June 2018</w:t>
            </w:r>
          </w:p>
        </w:tc>
        <w:tc>
          <w:tcPr>
            <w:tcW w:w="2820" w:type="dxa"/>
            <w:vAlign w:val="bottom"/>
          </w:tcPr>
          <w:p>
            <w:pPr>
              <w:jc w:val="right"/>
              <w:ind w:right="199"/>
              <w:spacing w:after="0"/>
              <w:rPr>
                <w:sz w:val="20"/>
                <w:szCs w:val="20"/>
                <w:color w:val="auto"/>
              </w:rPr>
            </w:pPr>
            <w:r>
              <w:rPr>
                <w:rFonts w:ascii="Arial" w:cs="Arial" w:eastAsia="Arial" w:hAnsi="Arial"/>
                <w:sz w:val="16"/>
                <w:szCs w:val="16"/>
                <w:color w:val="282A32"/>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282A32"/>
              </w:rPr>
              <w:t>47.2</w:t>
            </w:r>
          </w:p>
        </w:tc>
        <w:tc>
          <w:tcPr>
            <w:tcW w:w="340" w:type="dxa"/>
            <w:vAlign w:val="bottom"/>
          </w:tcPr>
          <w:p>
            <w:pPr>
              <w:jc w:val="right"/>
              <w:ind w:right="86"/>
              <w:spacing w:after="0"/>
              <w:rPr>
                <w:sz w:val="20"/>
                <w:szCs w:val="20"/>
                <w:color w:val="auto"/>
              </w:rPr>
            </w:pPr>
            <w:r>
              <w:rPr>
                <w:rFonts w:ascii="Arial" w:cs="Arial" w:eastAsia="Arial" w:hAnsi="Arial"/>
                <w:sz w:val="11"/>
                <w:szCs w:val="11"/>
                <w:color w:val="282A32"/>
              </w:rPr>
              <w:t>(1)</w:t>
            </w:r>
          </w:p>
        </w:tc>
        <w:tc>
          <w:tcPr>
            <w:tcW w:w="560" w:type="dxa"/>
            <w:vAlign w:val="bottom"/>
          </w:tcPr>
          <w:p>
            <w:pPr>
              <w:jc w:val="right"/>
              <w:ind w:right="219"/>
              <w:spacing w:after="0"/>
              <w:rPr>
                <w:sz w:val="20"/>
                <w:szCs w:val="20"/>
                <w:color w:val="auto"/>
              </w:rPr>
            </w:pPr>
            <w:r>
              <w:rPr>
                <w:rFonts w:ascii="Arial" w:cs="Arial" w:eastAsia="Arial" w:hAnsi="Arial"/>
                <w:sz w:val="16"/>
                <w:szCs w:val="16"/>
                <w:color w:val="282A32"/>
              </w:rPr>
              <w:t>$</w:t>
            </w:r>
          </w:p>
        </w:tc>
        <w:tc>
          <w:tcPr>
            <w:tcW w:w="1280" w:type="dxa"/>
            <w:vAlign w:val="bottom"/>
          </w:tcPr>
          <w:p>
            <w:pPr>
              <w:jc w:val="right"/>
              <w:spacing w:after="0"/>
              <w:rPr>
                <w:sz w:val="20"/>
                <w:szCs w:val="20"/>
                <w:color w:val="auto"/>
              </w:rPr>
            </w:pPr>
            <w:r>
              <w:rPr>
                <w:rFonts w:ascii="Arial" w:cs="Arial" w:eastAsia="Arial" w:hAnsi="Arial"/>
                <w:sz w:val="16"/>
                <w:szCs w:val="16"/>
                <w:color w:val="282A32"/>
              </w:rPr>
              <w:t>(47.2)</w:t>
            </w:r>
          </w:p>
        </w:tc>
      </w:tr>
      <w:tr>
        <w:trPr>
          <w:trHeight w:val="270"/>
        </w:trPr>
        <w:tc>
          <w:tcPr>
            <w:tcW w:w="5120" w:type="dxa"/>
            <w:vAlign w:val="bottom"/>
          </w:tcPr>
          <w:p>
            <w:pPr>
              <w:ind w:left="40"/>
              <w:spacing w:after="0"/>
              <w:rPr>
                <w:sz w:val="20"/>
                <w:szCs w:val="20"/>
                <w:color w:val="auto"/>
              </w:rPr>
            </w:pPr>
            <w:r>
              <w:rPr>
                <w:rFonts w:ascii="Arial" w:cs="Arial" w:eastAsia="Arial" w:hAnsi="Arial"/>
                <w:sz w:val="16"/>
                <w:szCs w:val="16"/>
                <w:color w:val="2989B9"/>
              </w:rPr>
              <w:t>Forward contracts:</w:t>
            </w:r>
          </w:p>
        </w:tc>
        <w:tc>
          <w:tcPr>
            <w:tcW w:w="2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83"/>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£2.7 to $4.3</w:t>
            </w:r>
          </w:p>
        </w:tc>
        <w:tc>
          <w:tcPr>
            <w:tcW w:w="2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82A32"/>
              </w:rPr>
              <w:t>0.4</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(0.4)</w:t>
            </w:r>
          </w:p>
        </w:tc>
      </w:tr>
    </w:tbl>
    <w:p>
      <w:pPr>
        <w:spacing w:after="0" w:line="153" w:lineRule="exact"/>
        <w:rPr>
          <w:sz w:val="20"/>
          <w:szCs w:val="20"/>
          <w:color w:val="auto"/>
        </w:rPr>
      </w:pPr>
    </w:p>
    <w:p>
      <w:pPr>
        <w:ind w:right="20" w:firstLine="8"/>
        <w:spacing w:after="0" w:line="258" w:lineRule="auto"/>
        <w:tabs>
          <w:tab w:leader="none" w:pos="229" w:val="left"/>
        </w:tabs>
        <w:numPr>
          <w:ilvl w:val="0"/>
          <w:numId w:val="76"/>
        </w:numPr>
        <w:rPr>
          <w:rFonts w:ascii="Arial" w:cs="Arial" w:eastAsia="Arial" w:hAnsi="Arial"/>
          <w:sz w:val="14"/>
          <w:szCs w:val="14"/>
          <w:color w:val="282A32"/>
        </w:rPr>
      </w:pPr>
      <w:r>
        <w:rPr>
          <w:rFonts w:ascii="Arial" w:cs="Arial" w:eastAsia="Arial" w:hAnsi="Arial"/>
          <w:sz w:val="14"/>
          <w:szCs w:val="14"/>
          <w:color w:val="282A32"/>
        </w:rPr>
        <w:t>This change in fair value is not recorded in the Consolidated Financial Statements; however, disclosure of the fair value is included in Note 1 to the Consolidated Financial Statements</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2989B9"/>
        </w:rPr>
        <w:t>Impact of Economic Conditions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markets,or in several markets simultaneously, would have a material impact on our consolidated financial results.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Legal Regulations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The workforce solutions and services industry is closely regulated in all of the major markets in which we operate except the United States and Canada. Many countries and territories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workforce solutions and services firms, including 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10200" w:val="left"/>
        </w:tabs>
        <w:rPr>
          <w:sz w:val="20"/>
          <w:szCs w:val="20"/>
          <w:color w:val="auto"/>
        </w:rPr>
      </w:pPr>
      <w:r>
        <w:rPr>
          <w:rFonts w:ascii="Arial" w:cs="Arial" w:eastAsia="Arial" w:hAnsi="Arial"/>
          <w:sz w:val="13"/>
          <w:szCs w:val="13"/>
          <w:color w:val="auto"/>
        </w:rPr>
        <w:t>Management's Discussion &amp; Analysis</w:t>
      </w:r>
      <w:r>
        <w:rPr>
          <w:sz w:val="20"/>
          <w:szCs w:val="20"/>
          <w:color w:val="auto"/>
        </w:rPr>
        <w:tab/>
      </w:r>
      <w:r>
        <w:rPr>
          <w:rFonts w:ascii="Arial" w:cs="Arial" w:eastAsia="Arial" w:hAnsi="Arial"/>
          <w:sz w:val="12"/>
          <w:szCs w:val="12"/>
          <w:b w:val="1"/>
          <w:bCs w:val="1"/>
          <w:color w:val="auto"/>
        </w:rPr>
        <w:t xml:space="preserve">41 </w:t>
      </w:r>
      <w:r>
        <w:rPr>
          <w:rFonts w:ascii="Arial" w:cs="Arial" w:eastAsia="Arial" w:hAnsi="Arial"/>
          <w:sz w:val="12"/>
          <w:szCs w:val="12"/>
          <w:color w:val="auto"/>
        </w:rPr>
        <w:t>| ManpowerGroup</w:t>
      </w:r>
    </w:p>
    <w:p>
      <w:pPr>
        <w:sectPr>
          <w:pgSz w:w="11900" w:h="16838" w:orient="portrait"/>
          <w:cols w:equalWidth="0" w:num="1">
            <w:col w:w="11420"/>
          </w:cols>
          <w:pgMar w:left="240" w:top="141"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22"/>
          <w:szCs w:val="22"/>
          <w:b w:val="1"/>
          <w:bCs w:val="1"/>
          <w:color w:val="2989B9"/>
        </w:rPr>
        <w:t>MANAGEMENT’S DISCUSSION &amp; ANALYSIS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989B9"/>
        </w:rPr>
        <w:t>OF FINANCIAL CONDITION AND RESULTS OF OPERATIONS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In Germany, the Confederation of German Trade Unions (representing eight German trade unions and over six million people) and the Employer’s Association of the Temporary Staffing Industry (representing two major temporary worker employers’ associations) entered into a new Collective Labor Agreement ("CLA"). The first phase of the CLA was effective in November 2013 and January 2014, and required higher wages to temporary employees and higher cost for vacation, sick pay, and temporary staff time accounts. In 2015, the second phase of the CLA took effect with the creation of salary bands in January and approximately a 3.5% to 4.5% wage increase in April. These changes will have an unfavorable impact on our gross profit margin in Germany, as we pass on many of these additional costs to the client without a mark-up. However, the CLA did not have a significant impact on our consolidated or Northern Europe financial results in either 2015 or 2014.</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Agency Workers Directive (“AWD”) impacts all EU member states and was passed to ensure “equal treatment” for agency (temporary) workers. It also requires all member states to review and address unnecessary prohibitions and restrictions on the use of agency workers. Equal treatment had been in place by law in many countries; therefore, we have not seen any significant changes. We have seen a decline in gross profit margin in some countries, as any cost increases could not always be passed on with a normal mark-up, but there was no other significant impact on our business from these changes.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In June 2013, the employer mandate provisions of the new United States healthcare legislation, Patient Protection and Affordable Care Act ("PPACA"), were delayed until 2015 from the original effective date of 2014. The employer mandate provisions of PPACA are having the greatest financial impact on us and our clients with United States-based employees. This legislation has increased the employment costs of our permanent employees and our associates. It is our intention that any cost increases related to our associates will be passed on to our United States clients; however, there is no assurance that we will be fully successful at doing so in the future.</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See Note 1 to the Consolidated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2989B9"/>
        </w:rPr>
        <w:t>Forward-Looking Statements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Statements made in this annual report that are not statements of historical fact are forward-looking statements. All forward- looking statements involve risks and uncertainties. The information under the heading “Item 1A. Risk Factors” in our annual report on Form 10-K for the year ended December 31, 2015,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67" w:lineRule="exact"/>
        <w:rPr>
          <w:sz w:val="20"/>
          <w:szCs w:val="20"/>
          <w:color w:val="auto"/>
        </w:rPr>
      </w:pPr>
    </w:p>
    <w:p>
      <w:pPr>
        <w:ind w:left="140"/>
        <w:spacing w:after="0"/>
        <w:tabs>
          <w:tab w:leader="none" w:pos="9180" w:val="left"/>
        </w:tabs>
        <w:rPr>
          <w:sz w:val="20"/>
          <w:szCs w:val="20"/>
          <w:color w:val="auto"/>
        </w:rPr>
      </w:pPr>
      <w:r>
        <w:rPr>
          <w:rFonts w:ascii="Arial" w:cs="Arial" w:eastAsia="Arial" w:hAnsi="Arial"/>
          <w:sz w:val="13"/>
          <w:szCs w:val="13"/>
          <w:color w:val="auto"/>
        </w:rPr>
        <w:t xml:space="preserve">Annual Report 2015 | </w:t>
      </w:r>
      <w:r>
        <w:rPr>
          <w:rFonts w:ascii="Arial" w:cs="Arial" w:eastAsia="Arial" w:hAnsi="Arial"/>
          <w:sz w:val="13"/>
          <w:szCs w:val="13"/>
          <w:b w:val="1"/>
          <w:bCs w:val="1"/>
          <w:color w:val="auto"/>
        </w:rPr>
        <w:t>42</w:t>
      </w:r>
      <w:r>
        <w:rPr>
          <w:sz w:val="20"/>
          <w:szCs w:val="20"/>
          <w:color w:val="auto"/>
        </w:rPr>
        <w:tab/>
      </w:r>
      <w:r>
        <w:rPr>
          <w:rFonts w:ascii="Arial" w:cs="Arial" w:eastAsia="Arial" w:hAnsi="Arial"/>
          <w:sz w:val="12"/>
          <w:szCs w:val="12"/>
          <w:color w:val="auto"/>
        </w:rPr>
        <w:t>Management's Discussion &amp; Analysis</w:t>
      </w:r>
    </w:p>
    <w:p>
      <w:pPr>
        <w:sectPr>
          <w:pgSz w:w="11900" w:h="16838" w:orient="portrait"/>
          <w:cols w:equalWidth="0" w:num="1">
            <w:col w:w="11420"/>
          </w:cols>
          <w:pgMar w:left="240" w:top="175"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2989B9"/>
        </w:rPr>
        <w:t>MANAGEMENT REPORT ON INTERNAL CONTROL OVER FINANCIAL REPORTING</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 xml:space="preserve">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w:t>
      </w:r>
      <w:r>
        <w:rPr>
          <w:rFonts w:ascii="Arial" w:cs="Arial" w:eastAsia="Arial" w:hAnsi="Arial"/>
          <w:sz w:val="16"/>
          <w:szCs w:val="16"/>
          <w:i w:val="1"/>
          <w:iCs w:val="1"/>
          <w:color w:val="282A32"/>
        </w:rPr>
        <w:t>Internal Control — Integrated</w:t>
      </w:r>
      <w:r>
        <w:rPr>
          <w:rFonts w:ascii="Arial" w:cs="Arial" w:eastAsia="Arial" w:hAnsi="Arial"/>
          <w:sz w:val="16"/>
          <w:szCs w:val="16"/>
          <w:color w:val="282A32"/>
        </w:rPr>
        <w:t xml:space="preserve"> </w:t>
      </w:r>
      <w:r>
        <w:rPr>
          <w:rFonts w:ascii="Arial" w:cs="Arial" w:eastAsia="Arial" w:hAnsi="Arial"/>
          <w:sz w:val="16"/>
          <w:szCs w:val="16"/>
          <w:i w:val="1"/>
          <w:iCs w:val="1"/>
          <w:color w:val="282A32"/>
        </w:rPr>
        <w:t xml:space="preserve">Framework (2013) </w:t>
      </w:r>
      <w:r>
        <w:rPr>
          <w:rFonts w:ascii="Arial" w:cs="Arial" w:eastAsia="Arial" w:hAnsi="Arial"/>
          <w:sz w:val="16"/>
          <w:szCs w:val="16"/>
          <w:color w:val="282A32"/>
        </w:rPr>
        <w:t>issued by the Committee of Sponsoring Organizations of the Treadway Commission. This evaluation included review of the documentation</w:t>
      </w:r>
      <w:r>
        <w:rPr>
          <w:rFonts w:ascii="Arial" w:cs="Arial" w:eastAsia="Arial" w:hAnsi="Arial"/>
          <w:sz w:val="16"/>
          <w:szCs w:val="16"/>
          <w:i w:val="1"/>
          <w:iCs w:val="1"/>
          <w:color w:val="282A32"/>
        </w:rPr>
        <w:t xml:space="preserve"> </w:t>
      </w:r>
      <w:r>
        <w:rPr>
          <w:rFonts w:ascii="Arial" w:cs="Arial" w:eastAsia="Arial" w:hAnsi="Arial"/>
          <w:sz w:val="16"/>
          <w:szCs w:val="16"/>
          <w:color w:val="282A32"/>
        </w:rPr>
        <w:t>of controls, evaluation of the design effectiveness of controls, testing of the operating effectiveness of controls and a conclusion on this evaluation. Based on our evaluation we have concluded that our internal control over financial reporting was effective as of December 31, 2015.</w:t>
      </w:r>
    </w:p>
    <w:p>
      <w:pPr>
        <w:spacing w:after="0" w:line="17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282A32"/>
        </w:rPr>
        <w:t>Deloitte &amp; Touche LLP, our independent registered public accounting firm, issued an attestation report on the effectiveness of our internal control over financial reporting as of December 31, 2015, which is included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82A32"/>
        </w:rPr>
        <w:t>February 22, 2016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2"/>
          <w:szCs w:val="12"/>
          <w:color w:val="auto"/>
        </w:rPr>
        <w:t xml:space="preserve">Annual Report '15 | </w:t>
      </w:r>
      <w:r>
        <w:rPr>
          <w:rFonts w:ascii="Arial" w:cs="Arial" w:eastAsia="Arial" w:hAnsi="Arial"/>
          <w:sz w:val="12"/>
          <w:szCs w:val="12"/>
          <w:b w:val="1"/>
          <w:bCs w:val="1"/>
          <w:color w:val="auto"/>
        </w:rPr>
        <w:t>43</w:t>
      </w:r>
      <w:r>
        <w:rPr>
          <w:sz w:val="20"/>
          <w:szCs w:val="20"/>
          <w:color w:val="auto"/>
        </w:rPr>
        <w:tab/>
      </w:r>
      <w:r>
        <w:rPr>
          <w:rFonts w:ascii="Arial" w:cs="Arial" w:eastAsia="Arial" w:hAnsi="Arial"/>
          <w:sz w:val="11"/>
          <w:szCs w:val="11"/>
          <w:color w:val="auto"/>
        </w:rPr>
        <w:t>Management Report on Internal Control Over Financial Reporting</w:t>
      </w:r>
    </w:p>
    <w:p>
      <w:pPr>
        <w:sectPr>
          <w:pgSz w:w="11900" w:h="16838" w:orient="portrait"/>
          <w:cols w:equalWidth="0" w:num="1">
            <w:col w:w="11420"/>
          </w:cols>
          <w:pgMar w:left="240" w:top="141"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2989B9"/>
        </w:rPr>
        <w:t>REPORT OF INDEPENDENT REGISTERED PUBLIC ACCOUNTING FIRM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989B9"/>
        </w:rPr>
        <w:t>TO THE BOARD OF DIRECTORS AND SHAREHOLDERS OF MANPOWERGROUP INC.</w:t>
      </w:r>
    </w:p>
    <w:p>
      <w:pPr>
        <w:spacing w:after="0" w:line="3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have audited the accompanying consolidated balance sheets of ManpowerGroup Inc. and subsidiaries (the “Company”) as of December 31, 2015 and 2014, and the related consolidated statements of operations, comprehensive income, shareholders’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our opinion, such consolidated financial statements present fairly, in all material respects, the financial position of ManpowerGroup Inc. and subsidiaries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 xml:space="preserve">We have also audited, in accordance with the standards of the Public Company Accounting Oversight Board (United States), the Company’s internal control over financial reporting as of December 31, 2015, based on criteria established in </w:t>
      </w:r>
      <w:r>
        <w:rPr>
          <w:rFonts w:ascii="Arial" w:cs="Arial" w:eastAsia="Arial" w:hAnsi="Arial"/>
          <w:sz w:val="16"/>
          <w:szCs w:val="16"/>
          <w:i w:val="1"/>
          <w:iCs w:val="1"/>
          <w:color w:val="282A32"/>
        </w:rPr>
        <w:t>Internal Control — Integrated Framework (2013)</w:t>
      </w:r>
      <w:r>
        <w:rPr>
          <w:rFonts w:ascii="Arial" w:cs="Arial" w:eastAsia="Arial" w:hAnsi="Arial"/>
          <w:sz w:val="16"/>
          <w:szCs w:val="16"/>
          <w:color w:val="282A32"/>
        </w:rPr>
        <w:t xml:space="preserve"> issued by the Committee of Sponsoring Organizations of the Treadway Commission and our report dated February 22, 2016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2066925"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6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82A32"/>
        </w:rPr>
        <w:t>Milwaukee, Wisconsin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82A32"/>
        </w:rPr>
        <w:t>February 22, 2016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Report of Independent Registered Public Accounting Firm</w:t>
      </w:r>
      <w:r>
        <w:rPr>
          <w:sz w:val="20"/>
          <w:szCs w:val="20"/>
          <w:color w:val="auto"/>
        </w:rPr>
        <w:tab/>
      </w:r>
      <w:r>
        <w:rPr>
          <w:rFonts w:ascii="Arial" w:cs="Arial" w:eastAsia="Arial" w:hAnsi="Arial"/>
          <w:sz w:val="11"/>
          <w:szCs w:val="11"/>
          <w:b w:val="1"/>
          <w:bCs w:val="1"/>
          <w:color w:val="auto"/>
        </w:rPr>
        <w:t xml:space="preserve">44 </w:t>
      </w:r>
      <w:r>
        <w:rPr>
          <w:rFonts w:ascii="Arial" w:cs="Arial" w:eastAsia="Arial" w:hAnsi="Arial"/>
          <w:sz w:val="11"/>
          <w:szCs w:val="11"/>
          <w:color w:val="auto"/>
        </w:rPr>
        <w:t>| ManpowerGroup</w:t>
      </w:r>
    </w:p>
    <w:p>
      <w:pPr>
        <w:sectPr>
          <w:pgSz w:w="11900" w:h="16838" w:orient="portrait"/>
          <w:cols w:equalWidth="0" w:num="1">
            <w:col w:w="11420"/>
          </w:cols>
          <w:pgMar w:left="240" w:top="384"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2989B9"/>
        </w:rPr>
        <w:t>REPORT OF INDEPENDENT REGISTERED PUBLIC ACCOUNTING FIRM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989B9"/>
        </w:rPr>
        <w:t>TO THE BOARD OF DIRECTORS AND SHAREHOLDERS OF MANPOWERGROUP INC.</w:t>
      </w:r>
    </w:p>
    <w:p>
      <w:pPr>
        <w:spacing w:after="0" w:line="383" w:lineRule="exact"/>
        <w:rPr>
          <w:sz w:val="20"/>
          <w:szCs w:val="20"/>
          <w:color w:val="auto"/>
        </w:rPr>
      </w:pPr>
    </w:p>
    <w:p>
      <w:pPr>
        <w:spacing w:after="0" w:line="250" w:lineRule="auto"/>
        <w:rPr>
          <w:sz w:val="20"/>
          <w:szCs w:val="20"/>
          <w:color w:val="auto"/>
        </w:rPr>
      </w:pPr>
      <w:r>
        <w:rPr>
          <w:rFonts w:ascii="Arial" w:cs="Arial" w:eastAsia="Arial" w:hAnsi="Arial"/>
          <w:sz w:val="16"/>
          <w:szCs w:val="16"/>
          <w:color w:val="282A32"/>
        </w:rPr>
        <w:t xml:space="preserve">We have audited the internal control over financial reporting of ManpowerGroup Inc. and subsidiaries (the "Company") as of December 31, 2015, based on criteria established in </w:t>
      </w:r>
      <w:r>
        <w:rPr>
          <w:rFonts w:ascii="Arial" w:cs="Arial" w:eastAsia="Arial" w:hAnsi="Arial"/>
          <w:sz w:val="16"/>
          <w:szCs w:val="16"/>
          <w:i w:val="1"/>
          <w:iCs w:val="1"/>
          <w:color w:val="282A32"/>
        </w:rPr>
        <w:t>Internal Control - Integrated Framework (2013)</w:t>
      </w:r>
      <w:r>
        <w:rPr>
          <w:rFonts w:ascii="Arial" w:cs="Arial" w:eastAsia="Arial" w:hAnsi="Arial"/>
          <w:sz w:val="16"/>
          <w:szCs w:val="16"/>
          <w:color w:val="282A32"/>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6"/>
          <w:szCs w:val="16"/>
          <w:color w:val="282A32"/>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82A32"/>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6"/>
          <w:szCs w:val="16"/>
          <w:color w:val="282A32"/>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282A32"/>
        </w:rPr>
        <w:t xml:space="preserve">In our opinion, the Company maintained, in all material respects, effective internal control over financial reporting as of December 31, 2015, based on the criteria established in </w:t>
      </w:r>
      <w:r>
        <w:rPr>
          <w:rFonts w:ascii="Arial" w:cs="Arial" w:eastAsia="Arial" w:hAnsi="Arial"/>
          <w:sz w:val="16"/>
          <w:szCs w:val="16"/>
          <w:i w:val="1"/>
          <w:iCs w:val="1"/>
          <w:color w:val="282A32"/>
        </w:rPr>
        <w:t>Internal Control — Integrated Framework (2013)</w:t>
      </w:r>
      <w:r>
        <w:rPr>
          <w:rFonts w:ascii="Arial" w:cs="Arial" w:eastAsia="Arial" w:hAnsi="Arial"/>
          <w:sz w:val="16"/>
          <w:szCs w:val="16"/>
          <w:color w:val="282A32"/>
        </w:rPr>
        <w:t xml:space="preserve"> issued by the Committee of Sponsoring Organizations of the Treadway Commission.</w:t>
      </w:r>
    </w:p>
    <w:p>
      <w:pPr>
        <w:spacing w:after="0" w:line="196"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282A32"/>
        </w:rPr>
        <w:t>We have also audited, in accordance with the standards of the Public Company Accounting Oversight Board (United States), the consolidated financial statements as of and for the year ended December 31, 2015 of the Company and our report dated February 22, 2016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206692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6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282A32"/>
        </w:rPr>
        <w:t>Milwaukee, Wisconsin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82A32"/>
        </w:rPr>
        <w:t>February 22, 2016</w:t>
      </w: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7100" w:val="left"/>
        </w:tabs>
        <w:rPr>
          <w:sz w:val="20"/>
          <w:szCs w:val="20"/>
          <w:color w:val="auto"/>
        </w:rPr>
      </w:pPr>
      <w:r>
        <w:rPr>
          <w:rFonts w:ascii="Arial" w:cs="Arial" w:eastAsia="Arial" w:hAnsi="Arial"/>
          <w:sz w:val="12"/>
          <w:szCs w:val="12"/>
          <w:color w:val="auto"/>
        </w:rPr>
        <w:t xml:space="preserve">Annual Report '15 | </w:t>
      </w:r>
      <w:r>
        <w:rPr>
          <w:rFonts w:ascii="Arial" w:cs="Arial" w:eastAsia="Arial" w:hAnsi="Arial"/>
          <w:sz w:val="12"/>
          <w:szCs w:val="12"/>
          <w:b w:val="1"/>
          <w:bCs w:val="1"/>
          <w:color w:val="auto"/>
        </w:rPr>
        <w:t>45</w:t>
      </w:r>
      <w:r>
        <w:rPr>
          <w:sz w:val="20"/>
          <w:szCs w:val="20"/>
          <w:color w:val="auto"/>
        </w:rPr>
        <w:tab/>
      </w:r>
      <w:r>
        <w:rPr>
          <w:rFonts w:ascii="Arial" w:cs="Arial" w:eastAsia="Arial" w:hAnsi="Arial"/>
          <w:sz w:val="11"/>
          <w:szCs w:val="11"/>
          <w:color w:val="auto"/>
        </w:rPr>
        <w:t>Report of Independent Registered Public Accounting Firm</w:t>
      </w:r>
    </w:p>
    <w:p>
      <w:pPr>
        <w:sectPr>
          <w:pgSz w:w="11900" w:h="16838" w:orient="portrait"/>
          <w:cols w:equalWidth="0" w:num="1">
            <w:col w:w="11400"/>
          </w:cols>
          <w:pgMar w:left="240" w:top="141" w:right="25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2989B9"/>
        </w:rPr>
        <w:t>CONSOLIDATED STATEMENTS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4A89BE"/>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Year Ended December 31</w:t>
            </w:r>
          </w:p>
        </w:tc>
        <w:tc>
          <w:tcPr>
            <w:tcW w:w="140" w:type="dxa"/>
            <w:vAlign w:val="bottom"/>
            <w:tcBorders>
              <w:bottom w:val="single" w:sz="8" w:color="auto"/>
            </w:tcBorders>
            <w:shd w:val="clear" w:color="auto" w:fill="E1F4FD"/>
          </w:tcPr>
          <w:p>
            <w:pPr>
              <w:spacing w:after="0"/>
              <w:rPr>
                <w:sz w:val="18"/>
                <w:szCs w:val="18"/>
                <w:color w:val="auto"/>
              </w:rPr>
            </w:pP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2014</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2013</w:t>
            </w:r>
          </w:p>
        </w:tc>
      </w:tr>
      <w:tr>
        <w:trPr>
          <w:trHeight w:val="223"/>
        </w:trPr>
        <w:tc>
          <w:tcPr>
            <w:tcW w:w="6280" w:type="dxa"/>
            <w:vAlign w:val="bottom"/>
          </w:tcPr>
          <w:p>
            <w:pPr>
              <w:ind w:left="40"/>
              <w:spacing w:after="0"/>
              <w:rPr>
                <w:sz w:val="20"/>
                <w:szCs w:val="20"/>
                <w:color w:val="auto"/>
              </w:rPr>
            </w:pPr>
            <w:r>
              <w:rPr>
                <w:rFonts w:ascii="Arial" w:cs="Arial" w:eastAsia="Arial" w:hAnsi="Arial"/>
                <w:sz w:val="16"/>
                <w:szCs w:val="16"/>
                <w:color w:val="282A32"/>
              </w:rPr>
              <w:t>Revenues from services</w:t>
            </w:r>
          </w:p>
        </w:tc>
        <w:tc>
          <w:tcPr>
            <w:tcW w:w="14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60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19,329.9</w:t>
            </w:r>
          </w:p>
        </w:tc>
        <w:tc>
          <w:tcPr>
            <w:tcW w:w="540" w:type="dxa"/>
            <w:vAlign w:val="bottom"/>
          </w:tcPr>
          <w:p>
            <w:pPr>
              <w:jc w:val="right"/>
              <w:ind w:right="339"/>
              <w:spacing w:after="0"/>
              <w:rPr>
                <w:sz w:val="20"/>
                <w:szCs w:val="20"/>
                <w:color w:val="auto"/>
              </w:rPr>
            </w:pPr>
            <w:r>
              <w:rPr>
                <w:rFonts w:ascii="Arial" w:cs="Arial" w:eastAsia="Arial" w:hAnsi="Arial"/>
                <w:sz w:val="16"/>
                <w:szCs w:val="16"/>
                <w:color w:val="282A32"/>
              </w:rPr>
              <w:t>$</w:t>
            </w:r>
          </w:p>
        </w:tc>
        <w:tc>
          <w:tcPr>
            <w:tcW w:w="1120" w:type="dxa"/>
            <w:vAlign w:val="bottom"/>
          </w:tcPr>
          <w:p>
            <w:pPr>
              <w:jc w:val="right"/>
              <w:spacing w:after="0"/>
              <w:rPr>
                <w:sz w:val="20"/>
                <w:szCs w:val="20"/>
                <w:color w:val="auto"/>
              </w:rPr>
            </w:pPr>
            <w:r>
              <w:rPr>
                <w:rFonts w:ascii="Arial" w:cs="Arial" w:eastAsia="Arial" w:hAnsi="Arial"/>
                <w:sz w:val="16"/>
                <w:szCs w:val="16"/>
                <w:color w:val="282A32"/>
              </w:rPr>
              <w:t>20,762.8</w:t>
            </w:r>
          </w:p>
        </w:tc>
        <w:tc>
          <w:tcPr>
            <w:tcW w:w="580" w:type="dxa"/>
            <w:vAlign w:val="bottom"/>
          </w:tcPr>
          <w:p>
            <w:pPr>
              <w:jc w:val="right"/>
              <w:ind w:right="339"/>
              <w:spacing w:after="0"/>
              <w:rPr>
                <w:sz w:val="20"/>
                <w:szCs w:val="20"/>
                <w:color w:val="auto"/>
              </w:rPr>
            </w:pPr>
            <w:r>
              <w:rPr>
                <w:rFonts w:ascii="Arial" w:cs="Arial" w:eastAsia="Arial" w:hAnsi="Arial"/>
                <w:sz w:val="16"/>
                <w:szCs w:val="16"/>
                <w:color w:val="282A32"/>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282A32"/>
              </w:rPr>
              <w:t>20,250.5</w:t>
            </w:r>
          </w:p>
        </w:tc>
      </w:tr>
      <w:tr>
        <w:trPr>
          <w:trHeight w:val="25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Cost of services</w:t>
            </w:r>
          </w:p>
        </w:tc>
        <w:tc>
          <w:tcPr>
            <w:tcW w:w="140" w:type="dxa"/>
            <w:vAlign w:val="bottom"/>
            <w:tcBorders>
              <w:bottom w:val="single" w:sz="8" w:color="auto"/>
            </w:tcBorders>
            <w:shd w:val="clear" w:color="auto" w:fill="E1F4FD"/>
          </w:tcPr>
          <w:p>
            <w:pPr>
              <w:spacing w:after="0"/>
              <w:rPr>
                <w:sz w:val="22"/>
                <w:szCs w:val="22"/>
                <w:color w:val="auto"/>
              </w:rPr>
            </w:pP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16,034.1</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17,274.6</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16,883.8</w:t>
            </w:r>
          </w:p>
        </w:tc>
      </w:tr>
      <w:tr>
        <w:trPr>
          <w:trHeight w:val="224"/>
        </w:trPr>
        <w:tc>
          <w:tcPr>
            <w:tcW w:w="6280" w:type="dxa"/>
            <w:vAlign w:val="bottom"/>
          </w:tcPr>
          <w:p>
            <w:pPr>
              <w:ind w:left="300"/>
              <w:spacing w:after="0"/>
              <w:rPr>
                <w:sz w:val="20"/>
                <w:szCs w:val="20"/>
                <w:color w:val="auto"/>
              </w:rPr>
            </w:pPr>
            <w:r>
              <w:rPr>
                <w:rFonts w:ascii="Arial" w:cs="Arial" w:eastAsia="Arial" w:hAnsi="Arial"/>
                <w:sz w:val="16"/>
                <w:szCs w:val="16"/>
                <w:color w:val="282A32"/>
              </w:rPr>
              <w:t>Gross profit</w:t>
            </w:r>
          </w:p>
        </w:tc>
        <w:tc>
          <w:tcPr>
            <w:tcW w:w="140" w:type="dxa"/>
            <w:vAlign w:val="bottom"/>
            <w:shd w:val="clear" w:color="auto" w:fill="E1F4FD"/>
          </w:tcPr>
          <w:p>
            <w:pPr>
              <w:spacing w:after="0"/>
              <w:rPr>
                <w:sz w:val="19"/>
                <w:szCs w:val="19"/>
                <w:color w:val="auto"/>
              </w:rPr>
            </w:pPr>
          </w:p>
        </w:tc>
        <w:tc>
          <w:tcPr>
            <w:tcW w:w="160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3,295.8</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82A32"/>
              </w:rPr>
              <w:t>3,488.2</w:t>
            </w:r>
          </w:p>
        </w:tc>
        <w:tc>
          <w:tcPr>
            <w:tcW w:w="5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282A32"/>
              </w:rPr>
              <w:t>3,366.7</w:t>
            </w:r>
          </w:p>
        </w:tc>
      </w:tr>
      <w:tr>
        <w:trPr>
          <w:trHeight w:val="25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Selling and administrative expenses</w:t>
            </w:r>
          </w:p>
        </w:tc>
        <w:tc>
          <w:tcPr>
            <w:tcW w:w="140" w:type="dxa"/>
            <w:vAlign w:val="bottom"/>
            <w:tcBorders>
              <w:bottom w:val="single" w:sz="8" w:color="auto"/>
            </w:tcBorders>
            <w:shd w:val="clear" w:color="auto" w:fill="E1F4FD"/>
          </w:tcPr>
          <w:p>
            <w:pPr>
              <w:spacing w:after="0"/>
              <w:rPr>
                <w:sz w:val="22"/>
                <w:szCs w:val="22"/>
                <w:color w:val="auto"/>
              </w:rPr>
            </w:pP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2,606.9</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2,768.3</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2,854.8</w:t>
            </w:r>
          </w:p>
        </w:tc>
      </w:tr>
      <w:tr>
        <w:trPr>
          <w:trHeight w:val="224"/>
        </w:trPr>
        <w:tc>
          <w:tcPr>
            <w:tcW w:w="6280" w:type="dxa"/>
            <w:vAlign w:val="bottom"/>
          </w:tcPr>
          <w:p>
            <w:pPr>
              <w:ind w:left="300"/>
              <w:spacing w:after="0"/>
              <w:rPr>
                <w:sz w:val="20"/>
                <w:szCs w:val="20"/>
                <w:color w:val="auto"/>
              </w:rPr>
            </w:pPr>
            <w:r>
              <w:rPr>
                <w:rFonts w:ascii="Arial" w:cs="Arial" w:eastAsia="Arial" w:hAnsi="Arial"/>
                <w:sz w:val="16"/>
                <w:szCs w:val="16"/>
                <w:color w:val="282A32"/>
              </w:rPr>
              <w:t>Operating profit</w:t>
            </w:r>
          </w:p>
        </w:tc>
        <w:tc>
          <w:tcPr>
            <w:tcW w:w="140" w:type="dxa"/>
            <w:vAlign w:val="bottom"/>
            <w:shd w:val="clear" w:color="auto" w:fill="E1F4FD"/>
          </w:tcPr>
          <w:p>
            <w:pPr>
              <w:spacing w:after="0"/>
              <w:rPr>
                <w:sz w:val="19"/>
                <w:szCs w:val="19"/>
                <w:color w:val="auto"/>
              </w:rPr>
            </w:pPr>
          </w:p>
        </w:tc>
        <w:tc>
          <w:tcPr>
            <w:tcW w:w="160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688.9</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82A32"/>
              </w:rPr>
              <w:t>719.9</w:t>
            </w:r>
          </w:p>
        </w:tc>
        <w:tc>
          <w:tcPr>
            <w:tcW w:w="5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282A32"/>
              </w:rPr>
              <w:t>511.9</w:t>
            </w:r>
          </w:p>
        </w:tc>
      </w:tr>
      <w:tr>
        <w:trPr>
          <w:trHeight w:val="25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Interest and other expenses</w:t>
            </w:r>
          </w:p>
        </w:tc>
        <w:tc>
          <w:tcPr>
            <w:tcW w:w="140" w:type="dxa"/>
            <w:vAlign w:val="bottom"/>
            <w:tcBorders>
              <w:bottom w:val="single" w:sz="8" w:color="auto"/>
            </w:tcBorders>
            <w:shd w:val="clear" w:color="auto" w:fill="E1F4FD"/>
          </w:tcPr>
          <w:p>
            <w:pPr>
              <w:spacing w:after="0"/>
              <w:rPr>
                <w:sz w:val="22"/>
                <w:szCs w:val="22"/>
                <w:color w:val="auto"/>
              </w:rPr>
            </w:pP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28.2</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38.3</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36.4</w:t>
            </w:r>
          </w:p>
        </w:tc>
      </w:tr>
      <w:tr>
        <w:trPr>
          <w:trHeight w:val="224"/>
        </w:trPr>
        <w:tc>
          <w:tcPr>
            <w:tcW w:w="6280" w:type="dxa"/>
            <w:vAlign w:val="bottom"/>
          </w:tcPr>
          <w:p>
            <w:pPr>
              <w:ind w:left="300"/>
              <w:spacing w:after="0"/>
              <w:rPr>
                <w:sz w:val="20"/>
                <w:szCs w:val="20"/>
                <w:color w:val="auto"/>
              </w:rPr>
            </w:pPr>
            <w:r>
              <w:rPr>
                <w:rFonts w:ascii="Arial" w:cs="Arial" w:eastAsia="Arial" w:hAnsi="Arial"/>
                <w:sz w:val="16"/>
                <w:szCs w:val="16"/>
                <w:color w:val="282A32"/>
              </w:rPr>
              <w:t>Earnings before income taxes</w:t>
            </w:r>
          </w:p>
        </w:tc>
        <w:tc>
          <w:tcPr>
            <w:tcW w:w="140" w:type="dxa"/>
            <w:vAlign w:val="bottom"/>
            <w:shd w:val="clear" w:color="auto" w:fill="E1F4FD"/>
          </w:tcPr>
          <w:p>
            <w:pPr>
              <w:spacing w:after="0"/>
              <w:rPr>
                <w:sz w:val="19"/>
                <w:szCs w:val="19"/>
                <w:color w:val="auto"/>
              </w:rPr>
            </w:pPr>
          </w:p>
        </w:tc>
        <w:tc>
          <w:tcPr>
            <w:tcW w:w="160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660.7</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82A32"/>
              </w:rPr>
              <w:t>681.6</w:t>
            </w:r>
          </w:p>
        </w:tc>
        <w:tc>
          <w:tcPr>
            <w:tcW w:w="5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282A32"/>
              </w:rPr>
              <w:t>475.5</w:t>
            </w:r>
          </w:p>
        </w:tc>
      </w:tr>
      <w:tr>
        <w:trPr>
          <w:trHeight w:val="25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Provision for income taxes</w:t>
            </w:r>
          </w:p>
        </w:tc>
        <w:tc>
          <w:tcPr>
            <w:tcW w:w="140" w:type="dxa"/>
            <w:vAlign w:val="bottom"/>
            <w:tcBorders>
              <w:bottom w:val="single" w:sz="8" w:color="auto"/>
            </w:tcBorders>
            <w:shd w:val="clear" w:color="auto" w:fill="E1F4FD"/>
          </w:tcPr>
          <w:p>
            <w:pPr>
              <w:spacing w:after="0"/>
              <w:rPr>
                <w:sz w:val="22"/>
                <w:szCs w:val="22"/>
                <w:color w:val="auto"/>
              </w:rPr>
            </w:pP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241.5</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254.0</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187.5</w:t>
            </w:r>
          </w:p>
        </w:tc>
      </w:tr>
      <w:tr>
        <w:trPr>
          <w:trHeight w:val="237"/>
        </w:trPr>
        <w:tc>
          <w:tcPr>
            <w:tcW w:w="62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Net earnings</w:t>
            </w: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419.2</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82A3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427.6</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82A32"/>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288.0</w:t>
            </w: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Net earnings per share — basic</w:t>
            </w: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5.46</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82A3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5.38</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82A32"/>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3.69</w:t>
            </w: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Net earnings per share — diluted</w:t>
            </w: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5.40</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82A3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5.30</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82A32"/>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3.62</w:t>
            </w: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Weighted average shares — basic</w:t>
            </w:r>
          </w:p>
        </w:tc>
        <w:tc>
          <w:tcPr>
            <w:tcW w:w="140" w:type="dxa"/>
            <w:vAlign w:val="bottom"/>
            <w:tcBorders>
              <w:bottom w:val="single" w:sz="8" w:color="auto"/>
            </w:tcBorders>
            <w:shd w:val="clear" w:color="auto" w:fill="E1F4FD"/>
          </w:tcPr>
          <w:p>
            <w:pPr>
              <w:spacing w:after="0"/>
              <w:rPr>
                <w:sz w:val="20"/>
                <w:szCs w:val="20"/>
                <w:color w:val="auto"/>
              </w:rPr>
            </w:pP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76.8</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79.5</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78.0</w:t>
            </w: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Weighted average shares — diluted</w:t>
            </w:r>
          </w:p>
        </w:tc>
        <w:tc>
          <w:tcPr>
            <w:tcW w:w="140" w:type="dxa"/>
            <w:vAlign w:val="bottom"/>
            <w:tcBorders>
              <w:bottom w:val="single" w:sz="8" w:color="auto"/>
            </w:tcBorders>
            <w:shd w:val="clear" w:color="auto" w:fill="E1F4FD"/>
          </w:tcPr>
          <w:p>
            <w:pPr>
              <w:spacing w:after="0"/>
              <w:rPr>
                <w:sz w:val="20"/>
                <w:szCs w:val="20"/>
                <w:color w:val="auto"/>
              </w:rPr>
            </w:pPr>
          </w:p>
        </w:tc>
        <w:tc>
          <w:tcPr>
            <w:tcW w:w="16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77.7</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80.7</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79.6</w:t>
            </w:r>
          </w:p>
        </w:tc>
      </w:tr>
      <w:tr>
        <w:trPr>
          <w:trHeight w:val="122"/>
        </w:trPr>
        <w:tc>
          <w:tcPr>
            <w:tcW w:w="6280" w:type="dxa"/>
            <w:vAlign w:val="bottom"/>
          </w:tcPr>
          <w:p>
            <w:pPr>
              <w:spacing w:after="0"/>
              <w:rPr>
                <w:sz w:val="10"/>
                <w:szCs w:val="10"/>
                <w:color w:val="auto"/>
              </w:rPr>
            </w:pPr>
          </w:p>
        </w:tc>
        <w:tc>
          <w:tcPr>
            <w:tcW w:w="140" w:type="dxa"/>
            <w:vAlign w:val="bottom"/>
            <w:shd w:val="clear" w:color="auto" w:fill="2989B9"/>
          </w:tcPr>
          <w:p>
            <w:pPr>
              <w:spacing w:after="0"/>
              <w:rPr>
                <w:sz w:val="10"/>
                <w:szCs w:val="10"/>
                <w:color w:val="auto"/>
              </w:rPr>
            </w:pPr>
          </w:p>
        </w:tc>
        <w:tc>
          <w:tcPr>
            <w:tcW w:w="1600" w:type="dxa"/>
            <w:vAlign w:val="bottom"/>
            <w:shd w:val="clear" w:color="auto" w:fill="2989B9"/>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282A32"/>
        </w:rPr>
        <w:t>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2989B9"/>
        </w:rPr>
        <w:t>CONSOLIDATED STATEMENTS OF COMPREHENSIVE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4A89BE"/>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Year Ended December 31</w:t>
            </w:r>
          </w:p>
        </w:tc>
        <w:tc>
          <w:tcPr>
            <w:tcW w:w="140" w:type="dxa"/>
            <w:vAlign w:val="bottom"/>
            <w:tcBorders>
              <w:bottom w:val="single" w:sz="8" w:color="auto"/>
            </w:tcBorders>
            <w:shd w:val="clear" w:color="auto" w:fill="E1F4FD"/>
          </w:tcPr>
          <w:p>
            <w:pPr>
              <w:spacing w:after="0"/>
              <w:rPr>
                <w:sz w:val="18"/>
                <w:szCs w:val="18"/>
                <w:color w:val="auto"/>
              </w:rPr>
            </w:pPr>
          </w:p>
        </w:tc>
        <w:tc>
          <w:tcPr>
            <w:tcW w:w="1600" w:type="dxa"/>
            <w:vAlign w:val="bottom"/>
            <w:tcBorders>
              <w:bottom w:val="single" w:sz="8" w:color="auto"/>
            </w:tcBorders>
            <w:gridSpan w:val="2"/>
            <w:shd w:val="clear" w:color="auto" w:fill="E1F4FD"/>
          </w:tcPr>
          <w:p>
            <w:pPr>
              <w:jc w:val="right"/>
              <w:ind w:right="120"/>
              <w:spacing w:after="0"/>
              <w:rPr>
                <w:sz w:val="20"/>
                <w:szCs w:val="20"/>
                <w:color w:val="auto"/>
              </w:rPr>
            </w:pPr>
            <w:r>
              <w:rPr>
                <w:rFonts w:ascii="Arial" w:cs="Arial" w:eastAsia="Arial" w:hAnsi="Arial"/>
                <w:sz w:val="14"/>
                <w:szCs w:val="14"/>
                <w:color w:val="4F8ABE"/>
              </w:rPr>
              <w:t>2015</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2014</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2013</w:t>
            </w:r>
          </w:p>
        </w:tc>
      </w:tr>
      <w:tr>
        <w:trPr>
          <w:trHeight w:val="223"/>
        </w:trPr>
        <w:tc>
          <w:tcPr>
            <w:tcW w:w="6280" w:type="dxa"/>
            <w:vAlign w:val="bottom"/>
          </w:tcPr>
          <w:p>
            <w:pPr>
              <w:ind w:left="40"/>
              <w:spacing w:after="0"/>
              <w:rPr>
                <w:sz w:val="20"/>
                <w:szCs w:val="20"/>
                <w:color w:val="auto"/>
              </w:rPr>
            </w:pPr>
            <w:r>
              <w:rPr>
                <w:rFonts w:ascii="Arial" w:cs="Arial" w:eastAsia="Arial" w:hAnsi="Arial"/>
                <w:sz w:val="16"/>
                <w:szCs w:val="16"/>
                <w:color w:val="282A32"/>
              </w:rPr>
              <w:t>Net earnings</w:t>
            </w:r>
          </w:p>
        </w:tc>
        <w:tc>
          <w:tcPr>
            <w:tcW w:w="1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600" w:type="dxa"/>
            <w:vAlign w:val="bottom"/>
            <w:gridSpan w:val="2"/>
            <w:shd w:val="clear" w:color="auto" w:fill="E1F4FD"/>
          </w:tcPr>
          <w:p>
            <w:pPr>
              <w:jc w:val="right"/>
              <w:ind w:right="120"/>
              <w:spacing w:after="0"/>
              <w:rPr>
                <w:sz w:val="20"/>
                <w:szCs w:val="20"/>
                <w:color w:val="auto"/>
              </w:rPr>
            </w:pPr>
            <w:r>
              <w:rPr>
                <w:rFonts w:ascii="Arial" w:cs="Arial" w:eastAsia="Arial" w:hAnsi="Arial"/>
                <w:sz w:val="16"/>
                <w:szCs w:val="16"/>
                <w:color w:val="2989B9"/>
              </w:rPr>
              <w:t>419.2</w:t>
            </w:r>
          </w:p>
        </w:tc>
        <w:tc>
          <w:tcPr>
            <w:tcW w:w="620" w:type="dxa"/>
            <w:vAlign w:val="bottom"/>
          </w:tcPr>
          <w:p>
            <w:pPr>
              <w:jc w:val="right"/>
              <w:ind w:right="419"/>
              <w:spacing w:after="0"/>
              <w:rPr>
                <w:sz w:val="20"/>
                <w:szCs w:val="20"/>
                <w:color w:val="auto"/>
              </w:rPr>
            </w:pPr>
            <w:r>
              <w:rPr>
                <w:rFonts w:ascii="Arial" w:cs="Arial" w:eastAsia="Arial" w:hAnsi="Arial"/>
                <w:sz w:val="16"/>
                <w:szCs w:val="16"/>
                <w:color w:val="282A32"/>
              </w:rPr>
              <w:t>$</w:t>
            </w:r>
          </w:p>
        </w:tc>
        <w:tc>
          <w:tcPr>
            <w:tcW w:w="1060" w:type="dxa"/>
            <w:vAlign w:val="bottom"/>
          </w:tcPr>
          <w:p>
            <w:pPr>
              <w:jc w:val="right"/>
              <w:spacing w:after="0"/>
              <w:rPr>
                <w:sz w:val="20"/>
                <w:szCs w:val="20"/>
                <w:color w:val="auto"/>
              </w:rPr>
            </w:pPr>
            <w:r>
              <w:rPr>
                <w:rFonts w:ascii="Arial" w:cs="Arial" w:eastAsia="Arial" w:hAnsi="Arial"/>
                <w:sz w:val="16"/>
                <w:szCs w:val="16"/>
                <w:color w:val="282A32"/>
              </w:rPr>
              <w:t>427.6</w:t>
            </w:r>
          </w:p>
        </w:tc>
        <w:tc>
          <w:tcPr>
            <w:tcW w:w="680" w:type="dxa"/>
            <w:vAlign w:val="bottom"/>
          </w:tcPr>
          <w:p>
            <w:pPr>
              <w:jc w:val="right"/>
              <w:ind w:right="459"/>
              <w:spacing w:after="0"/>
              <w:rPr>
                <w:sz w:val="20"/>
                <w:szCs w:val="20"/>
                <w:color w:val="auto"/>
              </w:rPr>
            </w:pPr>
            <w:r>
              <w:rPr>
                <w:rFonts w:ascii="Arial" w:cs="Arial" w:eastAsia="Arial" w:hAnsi="Arial"/>
                <w:sz w:val="16"/>
                <w:szCs w:val="16"/>
                <w:color w:val="282A32"/>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282A32"/>
              </w:rPr>
              <w:t>288.0</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282A32"/>
              </w:rPr>
              <w:t>Other comprehensive (loss) income:</w:t>
            </w:r>
          </w:p>
        </w:tc>
        <w:tc>
          <w:tcPr>
            <w:tcW w:w="140" w:type="dxa"/>
            <w:vAlign w:val="bottom"/>
            <w:shd w:val="clear" w:color="auto" w:fill="E1F4FD"/>
          </w:tcPr>
          <w:p>
            <w:pPr>
              <w:spacing w:after="0"/>
              <w:rPr>
                <w:sz w:val="23"/>
                <w:szCs w:val="23"/>
                <w:color w:val="auto"/>
              </w:rPr>
            </w:pPr>
          </w:p>
        </w:tc>
        <w:tc>
          <w:tcPr>
            <w:tcW w:w="1480" w:type="dxa"/>
            <w:vAlign w:val="bottom"/>
            <w:shd w:val="clear" w:color="auto" w:fill="E1F4FD"/>
          </w:tcPr>
          <w:p>
            <w:pPr>
              <w:spacing w:after="0"/>
              <w:rPr>
                <w:sz w:val="23"/>
                <w:szCs w:val="23"/>
                <w:color w:val="auto"/>
              </w:rPr>
            </w:pPr>
          </w:p>
        </w:tc>
        <w:tc>
          <w:tcPr>
            <w:tcW w:w="120" w:type="dxa"/>
            <w:vAlign w:val="bottom"/>
            <w:shd w:val="clear" w:color="auto" w:fill="E1F4FD"/>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6"/>
                <w:szCs w:val="16"/>
                <w:color w:val="282A32"/>
              </w:rPr>
              <w:t>Foreign currency translation</w:t>
            </w:r>
          </w:p>
        </w:tc>
        <w:tc>
          <w:tcPr>
            <w:tcW w:w="140" w:type="dxa"/>
            <w:vAlign w:val="bottom"/>
            <w:shd w:val="clear" w:color="auto" w:fill="E1F4FD"/>
          </w:tcPr>
          <w:p>
            <w:pPr>
              <w:spacing w:after="0"/>
              <w:rPr>
                <w:sz w:val="22"/>
                <w:szCs w:val="22"/>
                <w:color w:val="auto"/>
              </w:rPr>
            </w:pPr>
          </w:p>
        </w:tc>
        <w:tc>
          <w:tcPr>
            <w:tcW w:w="1600" w:type="dxa"/>
            <w:vAlign w:val="bottom"/>
            <w:gridSpan w:val="2"/>
            <w:shd w:val="clear" w:color="auto" w:fill="E1F4FD"/>
          </w:tcPr>
          <w:p>
            <w:pPr>
              <w:jc w:val="right"/>
              <w:ind w:right="60"/>
              <w:spacing w:after="0"/>
              <w:rPr>
                <w:sz w:val="20"/>
                <w:szCs w:val="20"/>
                <w:color w:val="auto"/>
              </w:rPr>
            </w:pPr>
            <w:r>
              <w:rPr>
                <w:rFonts w:ascii="Arial" w:cs="Arial" w:eastAsia="Arial" w:hAnsi="Arial"/>
                <w:sz w:val="16"/>
                <w:szCs w:val="16"/>
                <w:color w:val="2989B9"/>
              </w:rPr>
              <w:t>(182.8)</w:t>
            </w: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82A32"/>
              </w:rPr>
              <w:t>(265.9)</w:t>
            </w:r>
          </w:p>
        </w:tc>
        <w:tc>
          <w:tcPr>
            <w:tcW w:w="68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282A32"/>
              </w:rPr>
              <w:t>52.7</w:t>
            </w:r>
          </w:p>
        </w:tc>
      </w:tr>
      <w:tr>
        <w:trPr>
          <w:trHeight w:val="218"/>
        </w:trPr>
        <w:tc>
          <w:tcPr>
            <w:tcW w:w="6280" w:type="dxa"/>
            <w:vAlign w:val="bottom"/>
          </w:tcPr>
          <w:p>
            <w:pPr>
              <w:ind w:left="360"/>
              <w:spacing w:after="0"/>
              <w:rPr>
                <w:sz w:val="20"/>
                <w:szCs w:val="20"/>
                <w:color w:val="auto"/>
              </w:rPr>
            </w:pPr>
            <w:r>
              <w:rPr>
                <w:rFonts w:ascii="Arial" w:cs="Arial" w:eastAsia="Arial" w:hAnsi="Arial"/>
                <w:sz w:val="16"/>
                <w:szCs w:val="16"/>
                <w:color w:val="282A32"/>
              </w:rPr>
              <w:t>Translation adjustments on net investment hedge, net of income taxes of $19.2,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5"/>
        </w:trPr>
        <w:tc>
          <w:tcPr>
            <w:tcW w:w="6280" w:type="dxa"/>
            <w:vAlign w:val="bottom"/>
          </w:tcPr>
          <w:p>
            <w:pPr>
              <w:ind w:left="520"/>
              <w:spacing w:after="0"/>
              <w:rPr>
                <w:sz w:val="20"/>
                <w:szCs w:val="20"/>
                <w:color w:val="auto"/>
              </w:rPr>
            </w:pPr>
            <w:r>
              <w:rPr>
                <w:rFonts w:ascii="Arial" w:cs="Arial" w:eastAsia="Arial" w:hAnsi="Arial"/>
                <w:sz w:val="16"/>
                <w:szCs w:val="16"/>
                <w:color w:val="282A32"/>
              </w:rPr>
              <w:t>$20.3 and $(5.4), respectively</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2989B9"/>
              </w:rPr>
              <w:t>34.5</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82A32"/>
              </w:rPr>
              <w:t>36.1</w:t>
            </w: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282A32"/>
              </w:rPr>
              <w:t>(9.5)</w:t>
            </w:r>
          </w:p>
        </w:tc>
      </w:tr>
      <w:tr>
        <w:trPr>
          <w:trHeight w:val="243"/>
        </w:trPr>
        <w:tc>
          <w:tcPr>
            <w:tcW w:w="6280" w:type="dxa"/>
            <w:vAlign w:val="bottom"/>
          </w:tcPr>
          <w:p>
            <w:pPr>
              <w:ind w:left="360"/>
              <w:spacing w:after="0"/>
              <w:rPr>
                <w:sz w:val="20"/>
                <w:szCs w:val="20"/>
                <w:color w:val="auto"/>
              </w:rPr>
            </w:pPr>
            <w:r>
              <w:rPr>
                <w:rFonts w:ascii="Arial" w:cs="Arial" w:eastAsia="Arial" w:hAnsi="Arial"/>
                <w:sz w:val="16"/>
                <w:szCs w:val="16"/>
                <w:color w:val="282A32"/>
              </w:rPr>
              <w:t>Translation adjustments on long-term intercompany loans</w:t>
            </w:r>
          </w:p>
        </w:tc>
        <w:tc>
          <w:tcPr>
            <w:tcW w:w="14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2989B9"/>
              </w:rPr>
              <w:t>(2.1)</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82A32"/>
              </w:rPr>
              <w:t>0.2</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282A32"/>
              </w:rPr>
              <w:t>(0.2)</w:t>
            </w:r>
          </w:p>
        </w:tc>
      </w:tr>
      <w:tr>
        <w:trPr>
          <w:trHeight w:val="238"/>
        </w:trPr>
        <w:tc>
          <w:tcPr>
            <w:tcW w:w="6280" w:type="dxa"/>
            <w:vAlign w:val="bottom"/>
          </w:tcPr>
          <w:p>
            <w:pPr>
              <w:ind w:left="360"/>
              <w:spacing w:after="0"/>
              <w:rPr>
                <w:sz w:val="20"/>
                <w:szCs w:val="20"/>
                <w:color w:val="auto"/>
              </w:rPr>
            </w:pPr>
            <w:r>
              <w:rPr>
                <w:rFonts w:ascii="Arial" w:cs="Arial" w:eastAsia="Arial" w:hAnsi="Arial"/>
                <w:sz w:val="16"/>
                <w:szCs w:val="16"/>
                <w:color w:val="282A32"/>
              </w:rPr>
              <w:t>Unrealized gain (loss) on investments, net of income taxes of $0.1, $2.1 and</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5"/>
        </w:trPr>
        <w:tc>
          <w:tcPr>
            <w:tcW w:w="6280" w:type="dxa"/>
            <w:vAlign w:val="bottom"/>
          </w:tcPr>
          <w:p>
            <w:pPr>
              <w:ind w:left="520"/>
              <w:spacing w:after="0"/>
              <w:rPr>
                <w:sz w:val="20"/>
                <w:szCs w:val="20"/>
                <w:color w:val="auto"/>
              </w:rPr>
            </w:pPr>
            <w:r>
              <w:rPr>
                <w:rFonts w:ascii="Arial" w:cs="Arial" w:eastAsia="Arial" w:hAnsi="Arial"/>
                <w:sz w:val="16"/>
                <w:szCs w:val="16"/>
                <w:color w:val="282A32"/>
              </w:rPr>
              <w:t>$(2.3), respectively</w:t>
            </w:r>
          </w:p>
        </w:tc>
        <w:tc>
          <w:tcPr>
            <w:tcW w:w="14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2989B9"/>
              </w:rPr>
              <w:t>0.3</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82A32"/>
              </w:rPr>
              <w:t>5.2</w:t>
            </w: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282A32"/>
              </w:rPr>
              <w:t>(0.3)</w:t>
            </w:r>
          </w:p>
        </w:tc>
      </w:tr>
      <w:tr>
        <w:trPr>
          <w:trHeight w:val="238"/>
        </w:trPr>
        <w:tc>
          <w:tcPr>
            <w:tcW w:w="6280" w:type="dxa"/>
            <w:vAlign w:val="bottom"/>
          </w:tcPr>
          <w:p>
            <w:pPr>
              <w:ind w:left="360"/>
              <w:spacing w:after="0"/>
              <w:rPr>
                <w:sz w:val="20"/>
                <w:szCs w:val="20"/>
                <w:color w:val="auto"/>
              </w:rPr>
            </w:pPr>
            <w:r>
              <w:rPr>
                <w:rFonts w:ascii="Arial" w:cs="Arial" w:eastAsia="Arial" w:hAnsi="Arial"/>
                <w:sz w:val="16"/>
                <w:szCs w:val="16"/>
                <w:color w:val="282A32"/>
              </w:rPr>
              <w:t>Defined benefit pension plans and retiree health care plan, net of income taxes of</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8"/>
        </w:trPr>
        <w:tc>
          <w:tcPr>
            <w:tcW w:w="62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282A32"/>
              </w:rPr>
              <w:t>$7.8, $(8.6) and $5.2, respectively</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2989B9"/>
              </w:rPr>
              <w:t>19.3</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(13.0)</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5.1</w:t>
            </w: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Total other comprehensive (loss) income</w:t>
            </w: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2989B9"/>
              </w:rPr>
              <w:t>(130.8)</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282A3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(237.4)</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282A32"/>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47.8</w:t>
            </w: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Comprehensive income</w:t>
            </w: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48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989B9"/>
              </w:rPr>
              <w:t>288.4</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282A3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190.2</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282A32"/>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335.8</w:t>
            </w:r>
          </w:p>
        </w:tc>
      </w:tr>
      <w:tr>
        <w:trPr>
          <w:trHeight w:val="122"/>
        </w:trPr>
        <w:tc>
          <w:tcPr>
            <w:tcW w:w="6280" w:type="dxa"/>
            <w:vAlign w:val="bottom"/>
          </w:tcPr>
          <w:p>
            <w:pPr>
              <w:spacing w:after="0"/>
              <w:rPr>
                <w:sz w:val="10"/>
                <w:szCs w:val="10"/>
                <w:color w:val="auto"/>
              </w:rPr>
            </w:pPr>
          </w:p>
        </w:tc>
        <w:tc>
          <w:tcPr>
            <w:tcW w:w="140" w:type="dxa"/>
            <w:vAlign w:val="bottom"/>
            <w:shd w:val="clear" w:color="auto" w:fill="2989B9"/>
          </w:tcPr>
          <w:p>
            <w:pPr>
              <w:spacing w:after="0"/>
              <w:rPr>
                <w:sz w:val="10"/>
                <w:szCs w:val="10"/>
                <w:color w:val="auto"/>
              </w:rPr>
            </w:pPr>
          </w:p>
        </w:tc>
        <w:tc>
          <w:tcPr>
            <w:tcW w:w="1480" w:type="dxa"/>
            <w:vAlign w:val="bottom"/>
            <w:shd w:val="clear" w:color="auto" w:fill="2989B9"/>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-1543050</wp:posOffset>
            </wp:positionV>
            <wp:extent cx="1097915" cy="1457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915" cy="14579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282A32"/>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2"/>
          <w:szCs w:val="12"/>
          <w:color w:val="auto"/>
        </w:rPr>
        <w:t>Consolidated Statements of Operations and Consolidated Statements of Comprehensive Income</w:t>
      </w:r>
      <w:r>
        <w:rPr>
          <w:sz w:val="20"/>
          <w:szCs w:val="20"/>
          <w:color w:val="auto"/>
        </w:rPr>
        <w:tab/>
      </w:r>
      <w:r>
        <w:rPr>
          <w:rFonts w:ascii="Arial" w:cs="Arial" w:eastAsia="Arial" w:hAnsi="Arial"/>
          <w:sz w:val="11"/>
          <w:szCs w:val="11"/>
          <w:b w:val="1"/>
          <w:bCs w:val="1"/>
          <w:color w:val="auto"/>
        </w:rPr>
        <w:t xml:space="preserve">46 </w:t>
      </w:r>
      <w:r>
        <w:rPr>
          <w:rFonts w:ascii="Arial" w:cs="Arial" w:eastAsia="Arial" w:hAnsi="Arial"/>
          <w:sz w:val="11"/>
          <w:szCs w:val="11"/>
          <w:color w:val="auto"/>
        </w:rPr>
        <w:t>| ManpowerGroup</w:t>
      </w:r>
    </w:p>
    <w:p>
      <w:pPr>
        <w:sectPr>
          <w:pgSz w:w="11900" w:h="16838" w:orient="portrait"/>
          <w:cols w:equalWidth="0" w:num="1">
            <w:col w:w="11420"/>
          </w:cols>
          <w:pgMar w:left="240" w:top="417"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2989B9"/>
        </w:rPr>
        <w:t>CONSOLIDATED BALANCE SHEETS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4A89BE"/>
        </w:rPr>
        <w:t>in millions, except share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380" w:type="dxa"/>
            <w:vAlign w:val="bottom"/>
            <w:tcBorders>
              <w:bottom w:val="single" w:sz="8" w:color="auto"/>
            </w:tcBorders>
            <w:shd w:val="clear" w:color="auto" w:fill="E1F4FD"/>
          </w:tcPr>
          <w:p>
            <w:pPr>
              <w:spacing w:after="0"/>
              <w:rPr>
                <w:sz w:val="18"/>
                <w:szCs w:val="18"/>
                <w:color w:val="auto"/>
              </w:rPr>
            </w:pP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4"/>
                <w:szCs w:val="14"/>
                <w:color w:val="4F8ABE"/>
              </w:rPr>
              <w:t>2015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282A32"/>
              </w:rPr>
              <w:t>2014</w:t>
            </w:r>
          </w:p>
        </w:tc>
      </w:tr>
      <w:tr>
        <w:trPr>
          <w:trHeight w:val="291"/>
        </w:trPr>
        <w:tc>
          <w:tcPr>
            <w:tcW w:w="8700" w:type="dxa"/>
            <w:vAlign w:val="bottom"/>
          </w:tcPr>
          <w:p>
            <w:pPr>
              <w:ind w:left="40"/>
              <w:spacing w:after="0"/>
              <w:rPr>
                <w:sz w:val="20"/>
                <w:szCs w:val="20"/>
                <w:color w:val="auto"/>
              </w:rPr>
            </w:pPr>
            <w:r>
              <w:rPr>
                <w:rFonts w:ascii="Arial" w:cs="Arial" w:eastAsia="Arial" w:hAnsi="Arial"/>
                <w:sz w:val="16"/>
                <w:szCs w:val="16"/>
                <w:color w:val="2989B9"/>
              </w:rPr>
              <w:t>ASSETS</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989B9"/>
              </w:rPr>
              <w:t>Current Assets</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Cash and cash equivalents</w:t>
            </w:r>
          </w:p>
        </w:tc>
        <w:tc>
          <w:tcPr>
            <w:tcW w:w="380" w:type="dxa"/>
            <w:vAlign w:val="bottom"/>
            <w:shd w:val="clear" w:color="auto" w:fill="E1F4FD"/>
          </w:tcPr>
          <w:p>
            <w:pPr>
              <w:jc w:val="right"/>
              <w:ind w:right="199"/>
              <w:spacing w:after="0"/>
              <w:rPr>
                <w:sz w:val="20"/>
                <w:szCs w:val="20"/>
                <w:color w:val="auto"/>
              </w:rPr>
            </w:pPr>
            <w:r>
              <w:rPr>
                <w:rFonts w:ascii="Arial" w:cs="Arial" w:eastAsia="Arial" w:hAnsi="Arial"/>
                <w:sz w:val="16"/>
                <w:szCs w:val="16"/>
                <w:color w:val="4F8ABE"/>
                <w:w w:val="89"/>
              </w:rPr>
              <w:t>$</w:t>
            </w: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730.5</w:t>
            </w:r>
          </w:p>
        </w:tc>
        <w:tc>
          <w:tcPr>
            <w:tcW w:w="380" w:type="dxa"/>
            <w:vAlign w:val="bottom"/>
          </w:tcPr>
          <w:p>
            <w:pPr>
              <w:jc w:val="right"/>
              <w:ind w:right="179"/>
              <w:spacing w:after="0"/>
              <w:rPr>
                <w:sz w:val="20"/>
                <w:szCs w:val="20"/>
                <w:color w:val="auto"/>
              </w:rPr>
            </w:pPr>
            <w:r>
              <w:rPr>
                <w:rFonts w:ascii="Arial" w:cs="Arial" w:eastAsia="Arial" w:hAnsi="Arial"/>
                <w:sz w:val="16"/>
                <w:szCs w:val="16"/>
                <w:color w:val="282A32"/>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699.2</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Accounts receivable, less allowance for doubtful accounts of $98.1 and $111.4, respectively</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4,243.0</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4,134.5</w:t>
            </w:r>
          </w:p>
        </w:tc>
      </w:tr>
      <w:tr>
        <w:trPr>
          <w:trHeight w:val="32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Prepaid expenses and other assets</w:t>
            </w:r>
          </w:p>
        </w:tc>
        <w:tc>
          <w:tcPr>
            <w:tcW w:w="380" w:type="dxa"/>
            <w:vAlign w:val="bottom"/>
            <w:tcBorders>
              <w:bottom w:val="single" w:sz="8" w:color="auto"/>
            </w:tcBorders>
            <w:shd w:val="clear" w:color="auto" w:fill="E1F4FD"/>
          </w:tcPr>
          <w:p>
            <w:pPr>
              <w:spacing w:after="0"/>
              <w:rPr>
                <w:sz w:val="24"/>
                <w:szCs w:val="24"/>
                <w:color w:val="auto"/>
              </w:rPr>
            </w:pP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6"/>
                <w:szCs w:val="16"/>
                <w:color w:val="4F8ABE"/>
              </w:rPr>
              <w:t>119.0</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147.8</w:t>
            </w:r>
          </w:p>
        </w:tc>
      </w:tr>
      <w:tr>
        <w:trPr>
          <w:trHeight w:val="224"/>
        </w:trPr>
        <w:tc>
          <w:tcPr>
            <w:tcW w:w="8700" w:type="dxa"/>
            <w:vAlign w:val="bottom"/>
          </w:tcPr>
          <w:p>
            <w:pPr>
              <w:ind w:left="300"/>
              <w:spacing w:after="0"/>
              <w:rPr>
                <w:sz w:val="20"/>
                <w:szCs w:val="20"/>
                <w:color w:val="auto"/>
              </w:rPr>
            </w:pPr>
            <w:r>
              <w:rPr>
                <w:rFonts w:ascii="Arial" w:cs="Arial" w:eastAsia="Arial" w:hAnsi="Arial"/>
                <w:sz w:val="16"/>
                <w:szCs w:val="16"/>
                <w:color w:val="282A32"/>
              </w:rPr>
              <w:t>Total current assets</w:t>
            </w:r>
          </w:p>
        </w:tc>
        <w:tc>
          <w:tcPr>
            <w:tcW w:w="380" w:type="dxa"/>
            <w:vAlign w:val="bottom"/>
            <w:shd w:val="clear" w:color="auto" w:fill="E1F4FD"/>
          </w:tcPr>
          <w:p>
            <w:pPr>
              <w:spacing w:after="0"/>
              <w:rPr>
                <w:sz w:val="19"/>
                <w:szCs w:val="19"/>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5,092.5</w:t>
            </w:r>
          </w:p>
        </w:tc>
        <w:tc>
          <w:tcPr>
            <w:tcW w:w="3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4,981.5</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989B9"/>
              </w:rPr>
              <w:t>Other Assets</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Goodwill</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1,257.4</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1,075.2</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Intangible assets, less accumulated amortization of $266.6 and $276.2, respectively</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326.5</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286.8</w:t>
            </w:r>
          </w:p>
        </w:tc>
      </w:tr>
      <w:tr>
        <w:trPr>
          <w:trHeight w:val="32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assets</w:t>
            </w:r>
          </w:p>
        </w:tc>
        <w:tc>
          <w:tcPr>
            <w:tcW w:w="380" w:type="dxa"/>
            <w:vAlign w:val="bottom"/>
            <w:tcBorders>
              <w:bottom w:val="single" w:sz="8" w:color="auto"/>
            </w:tcBorders>
            <w:shd w:val="clear" w:color="auto" w:fill="E1F4FD"/>
          </w:tcPr>
          <w:p>
            <w:pPr>
              <w:spacing w:after="0"/>
              <w:rPr>
                <w:sz w:val="24"/>
                <w:szCs w:val="24"/>
                <w:color w:val="auto"/>
              </w:rPr>
            </w:pP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6"/>
                <w:szCs w:val="16"/>
                <w:color w:val="4F8ABE"/>
              </w:rPr>
              <w:t>694.0</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688.6</w:t>
            </w:r>
          </w:p>
        </w:tc>
      </w:tr>
      <w:tr>
        <w:trPr>
          <w:trHeight w:val="224"/>
        </w:trPr>
        <w:tc>
          <w:tcPr>
            <w:tcW w:w="8700" w:type="dxa"/>
            <w:vAlign w:val="bottom"/>
          </w:tcPr>
          <w:p>
            <w:pPr>
              <w:ind w:left="300"/>
              <w:spacing w:after="0"/>
              <w:rPr>
                <w:sz w:val="20"/>
                <w:szCs w:val="20"/>
                <w:color w:val="auto"/>
              </w:rPr>
            </w:pPr>
            <w:r>
              <w:rPr>
                <w:rFonts w:ascii="Arial" w:cs="Arial" w:eastAsia="Arial" w:hAnsi="Arial"/>
                <w:sz w:val="16"/>
                <w:szCs w:val="16"/>
                <w:color w:val="282A32"/>
              </w:rPr>
              <w:t>Total other assets</w:t>
            </w:r>
          </w:p>
        </w:tc>
        <w:tc>
          <w:tcPr>
            <w:tcW w:w="380" w:type="dxa"/>
            <w:vAlign w:val="bottom"/>
            <w:shd w:val="clear" w:color="auto" w:fill="E1F4FD"/>
          </w:tcPr>
          <w:p>
            <w:pPr>
              <w:spacing w:after="0"/>
              <w:rPr>
                <w:sz w:val="19"/>
                <w:szCs w:val="19"/>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2,277.9</w:t>
            </w:r>
          </w:p>
        </w:tc>
        <w:tc>
          <w:tcPr>
            <w:tcW w:w="3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2,050.6</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989B9"/>
              </w:rPr>
              <w:t>Property and Equipment</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Land, buildings, leasehold improvements and equipment</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585.4</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633.5</w:t>
            </w:r>
          </w:p>
        </w:tc>
      </w:tr>
      <w:tr>
        <w:trPr>
          <w:trHeight w:val="32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Less: accumulated depreciation and amortization</w:t>
            </w:r>
          </w:p>
        </w:tc>
        <w:tc>
          <w:tcPr>
            <w:tcW w:w="380" w:type="dxa"/>
            <w:vAlign w:val="bottom"/>
            <w:tcBorders>
              <w:bottom w:val="single" w:sz="8" w:color="auto"/>
            </w:tcBorders>
            <w:shd w:val="clear" w:color="auto" w:fill="E1F4FD"/>
          </w:tcPr>
          <w:p>
            <w:pPr>
              <w:spacing w:after="0"/>
              <w:rPr>
                <w:sz w:val="24"/>
                <w:szCs w:val="24"/>
                <w:color w:val="auto"/>
              </w:rPr>
            </w:pP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6"/>
                <w:szCs w:val="16"/>
                <w:color w:val="4F8ABE"/>
              </w:rPr>
              <w:t>438.3</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484.4</w:t>
            </w:r>
          </w:p>
        </w:tc>
      </w:tr>
      <w:tr>
        <w:trPr>
          <w:trHeight w:val="237"/>
        </w:trPr>
        <w:tc>
          <w:tcPr>
            <w:tcW w:w="87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Net property and equipment</w:t>
            </w:r>
          </w:p>
        </w:tc>
        <w:tc>
          <w:tcPr>
            <w:tcW w:w="380" w:type="dxa"/>
            <w:vAlign w:val="bottom"/>
            <w:tcBorders>
              <w:bottom w:val="single" w:sz="8" w:color="auto"/>
            </w:tcBorders>
            <w:shd w:val="clear" w:color="auto" w:fill="E1F4FD"/>
          </w:tcPr>
          <w:p>
            <w:pPr>
              <w:spacing w:after="0"/>
              <w:rPr>
                <w:sz w:val="20"/>
                <w:szCs w:val="20"/>
                <w:color w:val="auto"/>
              </w:rPr>
            </w:pP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6"/>
                <w:szCs w:val="16"/>
                <w:color w:val="4F8ABE"/>
              </w:rPr>
              <w:t>147.1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149.1</w:t>
            </w:r>
          </w:p>
        </w:tc>
      </w:tr>
      <w:tr>
        <w:trPr>
          <w:trHeight w:val="237"/>
        </w:trPr>
        <w:tc>
          <w:tcPr>
            <w:tcW w:w="8700" w:type="dxa"/>
            <w:vAlign w:val="bottom"/>
            <w:tcBorders>
              <w:bottom w:val="single" w:sz="8" w:color="55565A"/>
            </w:tcBorders>
          </w:tcPr>
          <w:p>
            <w:pPr>
              <w:ind w:left="300"/>
              <w:spacing w:after="0"/>
              <w:rPr>
                <w:sz w:val="20"/>
                <w:szCs w:val="20"/>
                <w:color w:val="auto"/>
              </w:rPr>
            </w:pPr>
            <w:r>
              <w:rPr>
                <w:rFonts w:ascii="Arial" w:cs="Arial" w:eastAsia="Arial" w:hAnsi="Arial"/>
                <w:sz w:val="16"/>
                <w:szCs w:val="16"/>
                <w:color w:val="282A32"/>
              </w:rPr>
              <w:t>Total assets</w:t>
            </w:r>
          </w:p>
        </w:tc>
        <w:tc>
          <w:tcPr>
            <w:tcW w:w="380" w:type="dxa"/>
            <w:vAlign w:val="bottom"/>
            <w:tcBorders>
              <w:bottom w:val="single" w:sz="8" w:color="auto"/>
            </w:tcBorders>
            <w:shd w:val="clear" w:color="auto" w:fill="E1F4FD"/>
          </w:tcPr>
          <w:p>
            <w:pPr>
              <w:jc w:val="right"/>
              <w:ind w:right="199"/>
              <w:spacing w:after="0"/>
              <w:rPr>
                <w:sz w:val="20"/>
                <w:szCs w:val="20"/>
                <w:color w:val="auto"/>
              </w:rPr>
            </w:pPr>
            <w:r>
              <w:rPr>
                <w:rFonts w:ascii="Arial" w:cs="Arial" w:eastAsia="Arial" w:hAnsi="Arial"/>
                <w:sz w:val="16"/>
                <w:szCs w:val="16"/>
                <w:color w:val="4F8ABE"/>
                <w:w w:val="89"/>
              </w:rPr>
              <w:t>$</w:t>
            </w: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6"/>
                <w:szCs w:val="16"/>
                <w:color w:val="4F8ABE"/>
              </w:rPr>
              <w:t>7,517.5</w:t>
            </w:r>
          </w:p>
        </w:tc>
        <w:tc>
          <w:tcPr>
            <w:tcW w:w="380" w:type="dxa"/>
            <w:vAlign w:val="bottom"/>
            <w:tcBorders>
              <w:bottom w:val="single" w:sz="8" w:color="55565A"/>
            </w:tcBorders>
          </w:tcPr>
          <w:p>
            <w:pPr>
              <w:jc w:val="right"/>
              <w:ind w:right="179"/>
              <w:spacing w:after="0"/>
              <w:rPr>
                <w:sz w:val="20"/>
                <w:szCs w:val="20"/>
                <w:color w:val="auto"/>
              </w:rPr>
            </w:pPr>
            <w:r>
              <w:rPr>
                <w:rFonts w:ascii="Arial" w:cs="Arial" w:eastAsia="Arial" w:hAnsi="Arial"/>
                <w:sz w:val="16"/>
                <w:szCs w:val="16"/>
                <w:color w:val="282A32"/>
              </w:rPr>
              <w:t>$</w:t>
            </w:r>
          </w:p>
        </w:tc>
        <w:tc>
          <w:tcPr>
            <w:tcW w:w="980" w:type="dxa"/>
            <w:vAlign w:val="bottom"/>
            <w:tcBorders>
              <w:bottom w:val="single" w:sz="8" w:color="55565A"/>
            </w:tcBorders>
          </w:tcPr>
          <w:p>
            <w:pPr>
              <w:jc w:val="right"/>
              <w:ind w:right="19"/>
              <w:spacing w:after="0"/>
              <w:rPr>
                <w:sz w:val="20"/>
                <w:szCs w:val="20"/>
                <w:color w:val="auto"/>
              </w:rPr>
            </w:pPr>
            <w:r>
              <w:rPr>
                <w:rFonts w:ascii="Arial" w:cs="Arial" w:eastAsia="Arial" w:hAnsi="Arial"/>
                <w:sz w:val="16"/>
                <w:szCs w:val="16"/>
                <w:color w:val="282A32"/>
              </w:rPr>
              <w:t>7,181.2</w:t>
            </w:r>
          </w:p>
        </w:tc>
      </w:tr>
      <w:tr>
        <w:trPr>
          <w:trHeight w:val="291"/>
        </w:trPr>
        <w:tc>
          <w:tcPr>
            <w:tcW w:w="8700" w:type="dxa"/>
            <w:vAlign w:val="bottom"/>
          </w:tcPr>
          <w:p>
            <w:pPr>
              <w:ind w:left="40"/>
              <w:spacing w:after="0"/>
              <w:rPr>
                <w:sz w:val="20"/>
                <w:szCs w:val="20"/>
                <w:color w:val="auto"/>
              </w:rPr>
            </w:pPr>
            <w:r>
              <w:rPr>
                <w:rFonts w:ascii="Arial" w:cs="Arial" w:eastAsia="Arial" w:hAnsi="Arial"/>
                <w:sz w:val="16"/>
                <w:szCs w:val="16"/>
                <w:color w:val="2989B9"/>
              </w:rPr>
              <w:t>LIABILITIES AND SHAREHOLDERS' EQUITY</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700" w:type="dxa"/>
            <w:vAlign w:val="bottom"/>
          </w:tcPr>
          <w:p>
            <w:pPr>
              <w:ind w:left="40"/>
              <w:spacing w:after="0"/>
              <w:rPr>
                <w:sz w:val="20"/>
                <w:szCs w:val="20"/>
                <w:color w:val="auto"/>
              </w:rPr>
            </w:pPr>
            <w:r>
              <w:rPr>
                <w:rFonts w:ascii="Arial" w:cs="Arial" w:eastAsia="Arial" w:hAnsi="Arial"/>
                <w:sz w:val="16"/>
                <w:szCs w:val="16"/>
                <w:color w:val="2989B9"/>
              </w:rPr>
              <w:t>Current Liabilities</w:t>
            </w:r>
          </w:p>
        </w:tc>
        <w:tc>
          <w:tcPr>
            <w:tcW w:w="380" w:type="dxa"/>
            <w:vAlign w:val="bottom"/>
            <w:shd w:val="clear" w:color="auto" w:fill="E1F4FD"/>
          </w:tcPr>
          <w:p>
            <w:pPr>
              <w:spacing w:after="0"/>
              <w:rPr>
                <w:sz w:val="23"/>
                <w:szCs w:val="23"/>
                <w:color w:val="auto"/>
              </w:rPr>
            </w:pPr>
          </w:p>
        </w:tc>
        <w:tc>
          <w:tcPr>
            <w:tcW w:w="980" w:type="dxa"/>
            <w:vAlign w:val="bottom"/>
            <w:shd w:val="clear" w:color="auto" w:fill="E1F4FD"/>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6"/>
                <w:szCs w:val="16"/>
                <w:color w:val="282A32"/>
              </w:rPr>
              <w:t>Accounts payable</w:t>
            </w:r>
          </w:p>
        </w:tc>
        <w:tc>
          <w:tcPr>
            <w:tcW w:w="380" w:type="dxa"/>
            <w:vAlign w:val="bottom"/>
            <w:shd w:val="clear" w:color="auto" w:fill="E1F4FD"/>
          </w:tcPr>
          <w:p>
            <w:pPr>
              <w:jc w:val="right"/>
              <w:ind w:right="199"/>
              <w:spacing w:after="0"/>
              <w:rPr>
                <w:sz w:val="20"/>
                <w:szCs w:val="20"/>
                <w:color w:val="auto"/>
              </w:rPr>
            </w:pPr>
            <w:r>
              <w:rPr>
                <w:rFonts w:ascii="Arial" w:cs="Arial" w:eastAsia="Arial" w:hAnsi="Arial"/>
                <w:sz w:val="16"/>
                <w:szCs w:val="16"/>
                <w:color w:val="4F8ABE"/>
                <w:w w:val="89"/>
              </w:rPr>
              <w:t>$</w:t>
            </w: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1,659.2</w:t>
            </w:r>
          </w:p>
        </w:tc>
        <w:tc>
          <w:tcPr>
            <w:tcW w:w="380" w:type="dxa"/>
            <w:vAlign w:val="bottom"/>
          </w:tcPr>
          <w:p>
            <w:pPr>
              <w:jc w:val="right"/>
              <w:ind w:right="179"/>
              <w:spacing w:after="0"/>
              <w:rPr>
                <w:sz w:val="20"/>
                <w:szCs w:val="20"/>
                <w:color w:val="auto"/>
              </w:rPr>
            </w:pPr>
            <w:r>
              <w:rPr>
                <w:rFonts w:ascii="Arial" w:cs="Arial" w:eastAsia="Arial" w:hAnsi="Arial"/>
                <w:sz w:val="16"/>
                <w:szCs w:val="16"/>
                <w:color w:val="282A32"/>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1,542.7</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Employee compensation payable</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211.4</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204.5</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Accrued liabilities</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483.7</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472.7</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Accrued payroll taxes and insurance</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613.8</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622.4</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Value added taxes payable</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438.7</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466.3</w:t>
            </w:r>
          </w:p>
        </w:tc>
      </w:tr>
      <w:tr>
        <w:trPr>
          <w:trHeight w:val="32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Short-term borrowings and current maturities of long-term debt</w:t>
            </w:r>
          </w:p>
        </w:tc>
        <w:tc>
          <w:tcPr>
            <w:tcW w:w="380" w:type="dxa"/>
            <w:vAlign w:val="bottom"/>
            <w:tcBorders>
              <w:bottom w:val="single" w:sz="8" w:color="auto"/>
            </w:tcBorders>
            <w:shd w:val="clear" w:color="auto" w:fill="E1F4FD"/>
          </w:tcPr>
          <w:p>
            <w:pPr>
              <w:spacing w:after="0"/>
              <w:rPr>
                <w:sz w:val="24"/>
                <w:szCs w:val="24"/>
                <w:color w:val="auto"/>
              </w:rPr>
            </w:pP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6"/>
                <w:szCs w:val="16"/>
                <w:color w:val="4F8ABE"/>
              </w:rPr>
              <w:t>44.2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45.2</w:t>
            </w:r>
          </w:p>
        </w:tc>
      </w:tr>
      <w:tr>
        <w:trPr>
          <w:trHeight w:val="224"/>
        </w:trPr>
        <w:tc>
          <w:tcPr>
            <w:tcW w:w="8700" w:type="dxa"/>
            <w:vAlign w:val="bottom"/>
          </w:tcPr>
          <w:p>
            <w:pPr>
              <w:ind w:left="300"/>
              <w:spacing w:after="0"/>
              <w:rPr>
                <w:sz w:val="20"/>
                <w:szCs w:val="20"/>
                <w:color w:val="auto"/>
              </w:rPr>
            </w:pPr>
            <w:r>
              <w:rPr>
                <w:rFonts w:ascii="Arial" w:cs="Arial" w:eastAsia="Arial" w:hAnsi="Arial"/>
                <w:sz w:val="16"/>
                <w:szCs w:val="16"/>
                <w:color w:val="282A32"/>
              </w:rPr>
              <w:t>Total current liabilities</w:t>
            </w:r>
          </w:p>
        </w:tc>
        <w:tc>
          <w:tcPr>
            <w:tcW w:w="380" w:type="dxa"/>
            <w:vAlign w:val="bottom"/>
            <w:shd w:val="clear" w:color="auto" w:fill="E1F4FD"/>
          </w:tcPr>
          <w:p>
            <w:pPr>
              <w:spacing w:after="0"/>
              <w:rPr>
                <w:sz w:val="19"/>
                <w:szCs w:val="19"/>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3,451.0</w:t>
            </w:r>
          </w:p>
        </w:tc>
        <w:tc>
          <w:tcPr>
            <w:tcW w:w="3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3,353.8</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989B9"/>
              </w:rPr>
              <w:t>Other liabilities</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Long-term debt</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810.9</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422.6</w:t>
            </w:r>
          </w:p>
        </w:tc>
      </w:tr>
      <w:tr>
        <w:trPr>
          <w:trHeight w:val="32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Other long-term liabilities</w:t>
            </w:r>
          </w:p>
        </w:tc>
        <w:tc>
          <w:tcPr>
            <w:tcW w:w="380" w:type="dxa"/>
            <w:vAlign w:val="bottom"/>
            <w:tcBorders>
              <w:bottom w:val="single" w:sz="8" w:color="auto"/>
            </w:tcBorders>
            <w:shd w:val="clear" w:color="auto" w:fill="E1F4FD"/>
          </w:tcPr>
          <w:p>
            <w:pPr>
              <w:spacing w:after="0"/>
              <w:rPr>
                <w:sz w:val="24"/>
                <w:szCs w:val="24"/>
                <w:color w:val="auto"/>
              </w:rPr>
            </w:pPr>
          </w:p>
        </w:tc>
        <w:tc>
          <w:tcPr>
            <w:tcW w:w="98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6"/>
                <w:szCs w:val="16"/>
                <w:color w:val="4F8ABE"/>
              </w:rPr>
              <w:t>563.1</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461.8</w:t>
            </w:r>
          </w:p>
        </w:tc>
      </w:tr>
      <w:tr>
        <w:trPr>
          <w:trHeight w:val="224"/>
        </w:trPr>
        <w:tc>
          <w:tcPr>
            <w:tcW w:w="8700" w:type="dxa"/>
            <w:vAlign w:val="bottom"/>
          </w:tcPr>
          <w:p>
            <w:pPr>
              <w:ind w:left="300"/>
              <w:spacing w:after="0"/>
              <w:rPr>
                <w:sz w:val="20"/>
                <w:szCs w:val="20"/>
                <w:color w:val="auto"/>
              </w:rPr>
            </w:pPr>
            <w:r>
              <w:rPr>
                <w:rFonts w:ascii="Arial" w:cs="Arial" w:eastAsia="Arial" w:hAnsi="Arial"/>
                <w:sz w:val="16"/>
                <w:szCs w:val="16"/>
                <w:color w:val="282A32"/>
              </w:rPr>
              <w:t>Total other liabilities</w:t>
            </w:r>
          </w:p>
        </w:tc>
        <w:tc>
          <w:tcPr>
            <w:tcW w:w="380" w:type="dxa"/>
            <w:vAlign w:val="bottom"/>
            <w:shd w:val="clear" w:color="auto" w:fill="E1F4FD"/>
          </w:tcPr>
          <w:p>
            <w:pPr>
              <w:spacing w:after="0"/>
              <w:rPr>
                <w:sz w:val="19"/>
                <w:szCs w:val="19"/>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1,374.0</w:t>
            </w:r>
          </w:p>
        </w:tc>
        <w:tc>
          <w:tcPr>
            <w:tcW w:w="3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884.4</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989B9"/>
              </w:rPr>
              <w:t>Shareholders’ Equity</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0"/>
        </w:trPr>
        <w:tc>
          <w:tcPr>
            <w:tcW w:w="8700" w:type="dxa"/>
            <w:vAlign w:val="bottom"/>
          </w:tcPr>
          <w:p>
            <w:pPr>
              <w:ind w:left="40"/>
              <w:spacing w:after="0"/>
              <w:rPr>
                <w:sz w:val="20"/>
                <w:szCs w:val="20"/>
                <w:color w:val="auto"/>
              </w:rPr>
            </w:pPr>
            <w:r>
              <w:rPr>
                <w:rFonts w:ascii="Arial" w:cs="Arial" w:eastAsia="Arial" w:hAnsi="Arial"/>
                <w:sz w:val="16"/>
                <w:szCs w:val="16"/>
                <w:color w:val="282A32"/>
              </w:rPr>
              <w:t>Preferred stock, $.01 par value, authorized 25,000,000 shares, none issued</w:t>
            </w:r>
          </w:p>
        </w:tc>
        <w:tc>
          <w:tcPr>
            <w:tcW w:w="380" w:type="dxa"/>
            <w:vAlign w:val="bottom"/>
            <w:shd w:val="clear" w:color="auto" w:fill="E1F4FD"/>
          </w:tcPr>
          <w:p>
            <w:pPr>
              <w:spacing w:after="0"/>
              <w:rPr>
                <w:sz w:val="24"/>
                <w:szCs w:val="24"/>
                <w:color w:val="auto"/>
              </w:rPr>
            </w:pPr>
          </w:p>
        </w:tc>
        <w:tc>
          <w:tcPr>
            <w:tcW w:w="980" w:type="dxa"/>
            <w:vAlign w:val="bottom"/>
            <w:shd w:val="clear" w:color="auto" w:fill="E1F4FD"/>
          </w:tcPr>
          <w:p>
            <w:pPr>
              <w:jc w:val="right"/>
              <w:ind w:right="39"/>
              <w:spacing w:after="0"/>
              <w:rPr>
                <w:sz w:val="20"/>
                <w:szCs w:val="20"/>
                <w:color w:val="auto"/>
              </w:rPr>
            </w:pPr>
            <w:r>
              <w:rPr>
                <w:rFonts w:ascii="Arial" w:cs="Arial" w:eastAsia="Arial" w:hAnsi="Arial"/>
                <w:sz w:val="16"/>
                <w:szCs w:val="16"/>
                <w:color w:val="4F8ABE"/>
              </w:rPr>
              <w:t>—</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w:t>
            </w:r>
          </w:p>
        </w:tc>
      </w:tr>
      <w:tr>
        <w:trPr>
          <w:trHeight w:val="286"/>
        </w:trPr>
        <w:tc>
          <w:tcPr>
            <w:tcW w:w="8700" w:type="dxa"/>
            <w:vAlign w:val="bottom"/>
          </w:tcPr>
          <w:p>
            <w:pPr>
              <w:ind w:left="40"/>
              <w:spacing w:after="0"/>
              <w:rPr>
                <w:sz w:val="20"/>
                <w:szCs w:val="20"/>
                <w:color w:val="auto"/>
              </w:rPr>
            </w:pPr>
            <w:r>
              <w:rPr>
                <w:rFonts w:ascii="Arial" w:cs="Arial" w:eastAsia="Arial" w:hAnsi="Arial"/>
                <w:sz w:val="16"/>
                <w:szCs w:val="16"/>
                <w:color w:val="282A32"/>
              </w:rPr>
              <w:t>Common stock, $.01 par value, authorized 125,000,000 shares, issued 114,504,928 and 112,876,552 shares,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5"/>
        </w:trPr>
        <w:tc>
          <w:tcPr>
            <w:tcW w:w="8700" w:type="dxa"/>
            <w:vAlign w:val="bottom"/>
          </w:tcPr>
          <w:p>
            <w:pPr>
              <w:ind w:left="200"/>
              <w:spacing w:after="0"/>
              <w:rPr>
                <w:sz w:val="20"/>
                <w:szCs w:val="20"/>
                <w:color w:val="auto"/>
              </w:rPr>
            </w:pPr>
            <w:r>
              <w:rPr>
                <w:rFonts w:ascii="Arial" w:cs="Arial" w:eastAsia="Arial" w:hAnsi="Arial"/>
                <w:sz w:val="16"/>
                <w:szCs w:val="16"/>
                <w:color w:val="282A32"/>
              </w:rPr>
              <w:t>respectively</w:t>
            </w:r>
          </w:p>
        </w:tc>
        <w:tc>
          <w:tcPr>
            <w:tcW w:w="38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4F8ABE"/>
              </w:rPr>
              <w:t>1.2</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1.1</w:t>
            </w:r>
          </w:p>
        </w:tc>
      </w:tr>
      <w:tr>
        <w:trPr>
          <w:trHeight w:val="243"/>
        </w:trPr>
        <w:tc>
          <w:tcPr>
            <w:tcW w:w="8700" w:type="dxa"/>
            <w:vAlign w:val="bottom"/>
          </w:tcPr>
          <w:p>
            <w:pPr>
              <w:ind w:left="40"/>
              <w:spacing w:after="0"/>
              <w:rPr>
                <w:sz w:val="20"/>
                <w:szCs w:val="20"/>
                <w:color w:val="auto"/>
              </w:rPr>
            </w:pPr>
            <w:r>
              <w:rPr>
                <w:rFonts w:ascii="Arial" w:cs="Arial" w:eastAsia="Arial" w:hAnsi="Arial"/>
                <w:sz w:val="16"/>
                <w:szCs w:val="16"/>
                <w:color w:val="282A32"/>
              </w:rPr>
              <w:t>Capital in excess of par value</w:t>
            </w:r>
          </w:p>
        </w:tc>
        <w:tc>
          <w:tcPr>
            <w:tcW w:w="3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4F8ABE"/>
              </w:rPr>
              <w:t>3,186.7</w:t>
            </w:r>
          </w:p>
        </w:tc>
        <w:tc>
          <w:tcPr>
            <w:tcW w:w="3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3,084.2</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Retained earnings</w:t>
            </w:r>
          </w:p>
        </w:tc>
        <w:tc>
          <w:tcPr>
            <w:tcW w:w="38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4F8ABE"/>
              </w:rPr>
              <w:t>1,966.0</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82A32"/>
              </w:rPr>
              <w:t>1,667.8</w:t>
            </w:r>
          </w:p>
        </w:tc>
      </w:tr>
      <w:tr>
        <w:trPr>
          <w:trHeight w:val="311"/>
        </w:trPr>
        <w:tc>
          <w:tcPr>
            <w:tcW w:w="8700" w:type="dxa"/>
            <w:vAlign w:val="bottom"/>
          </w:tcPr>
          <w:p>
            <w:pPr>
              <w:ind w:left="40"/>
              <w:spacing w:after="0"/>
              <w:rPr>
                <w:sz w:val="20"/>
                <w:szCs w:val="20"/>
                <w:color w:val="auto"/>
              </w:rPr>
            </w:pPr>
            <w:r>
              <w:rPr>
                <w:rFonts w:ascii="Arial" w:cs="Arial" w:eastAsia="Arial" w:hAnsi="Arial"/>
                <w:sz w:val="16"/>
                <w:szCs w:val="16"/>
                <w:color w:val="282A32"/>
              </w:rPr>
              <w:t>Accumulated other comprehensive loss</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4F8ABE"/>
              </w:rPr>
              <w:t>(286.0)</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82A32"/>
              </w:rPr>
              <w:t>(155.2)</w:t>
            </w:r>
          </w:p>
        </w:tc>
      </w:tr>
      <w:tr>
        <w:trPr>
          <w:trHeight w:val="32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Treasury stock at cost, 41,466,590 and 34,762,316 shares, respectively</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(2,243.2)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(1,654.9)</w:t>
            </w:r>
          </w:p>
        </w:tc>
      </w:tr>
      <w:tr>
        <w:trPr>
          <w:trHeight w:val="237"/>
        </w:trPr>
        <w:tc>
          <w:tcPr>
            <w:tcW w:w="87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282A32"/>
              </w:rPr>
              <w:t>Total ManpowerGroup shareholders' equity</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4F8ABE"/>
              </w:rPr>
              <w:t>2,624.7</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2,943.0</w:t>
            </w:r>
          </w:p>
        </w:tc>
      </w:tr>
      <w:tr>
        <w:trPr>
          <w:trHeight w:val="237"/>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Noncontrolling interests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4F8ABE"/>
              </w:rPr>
              <w:t>67.8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w:t>
            </w:r>
          </w:p>
        </w:tc>
      </w:tr>
      <w:tr>
        <w:trPr>
          <w:trHeight w:val="237"/>
        </w:trPr>
        <w:tc>
          <w:tcPr>
            <w:tcW w:w="87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Total shareholders’ equity</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4F8ABE"/>
              </w:rPr>
              <w:t>2,692.5</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2,943.0</w:t>
            </w:r>
          </w:p>
        </w:tc>
      </w:tr>
      <w:tr>
        <w:trPr>
          <w:trHeight w:val="237"/>
        </w:trPr>
        <w:tc>
          <w:tcPr>
            <w:tcW w:w="87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Total liabilities and shareholders’ equity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4F8ABE"/>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4F8ABE"/>
              </w:rPr>
              <w:t>7,517.5</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282A32"/>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7,181.2</w:t>
            </w:r>
          </w:p>
        </w:tc>
      </w:tr>
      <w:tr>
        <w:trPr>
          <w:trHeight w:val="122"/>
        </w:trPr>
        <w:tc>
          <w:tcPr>
            <w:tcW w:w="8700" w:type="dxa"/>
            <w:vAlign w:val="bottom"/>
          </w:tcPr>
          <w:p>
            <w:pPr>
              <w:spacing w:after="0"/>
              <w:rPr>
                <w:sz w:val="10"/>
                <w:szCs w:val="10"/>
                <w:color w:val="auto"/>
              </w:rPr>
            </w:pPr>
          </w:p>
        </w:tc>
        <w:tc>
          <w:tcPr>
            <w:tcW w:w="380" w:type="dxa"/>
            <w:vAlign w:val="bottom"/>
            <w:shd w:val="clear" w:color="auto" w:fill="2989B9"/>
          </w:tcPr>
          <w:p>
            <w:pPr>
              <w:spacing w:after="0"/>
              <w:rPr>
                <w:sz w:val="10"/>
                <w:szCs w:val="10"/>
                <w:color w:val="auto"/>
              </w:rPr>
            </w:pPr>
          </w:p>
        </w:tc>
        <w:tc>
          <w:tcPr>
            <w:tcW w:w="980" w:type="dxa"/>
            <w:vAlign w:val="bottom"/>
            <w:shd w:val="clear" w:color="auto" w:fill="2989B9"/>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-1997710</wp:posOffset>
            </wp:positionV>
            <wp:extent cx="866140" cy="1912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1912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282A32"/>
        </w:rPr>
        <w:t>The accompanying Notes to Consolidated Financial Statements are an integral part of these statements.</w:t>
      </w:r>
    </w:p>
    <w:p>
      <w:pPr>
        <w:sectPr>
          <w:pgSz w:w="11900" w:h="16838" w:orient="portrait"/>
          <w:cols w:equalWidth="0" w:num="1">
            <w:col w:w="11420"/>
          </w:cols>
          <w:pgMar w:left="240" w:top="4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984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47</w:t>
      </w:r>
      <w:r>
        <w:rPr>
          <w:sz w:val="20"/>
          <w:szCs w:val="20"/>
          <w:color w:val="auto"/>
        </w:rPr>
        <w:tab/>
      </w:r>
      <w:r>
        <w:rPr>
          <w:rFonts w:ascii="Arial" w:cs="Arial" w:eastAsia="Arial" w:hAnsi="Arial"/>
          <w:sz w:val="11"/>
          <w:szCs w:val="11"/>
          <w:color w:val="auto"/>
        </w:rPr>
        <w:t>Consolidated Balance Sheets</w:t>
      </w:r>
    </w:p>
    <w:p>
      <w:pPr>
        <w:sectPr>
          <w:pgSz w:w="11900" w:h="16838" w:orient="portrait"/>
          <w:cols w:equalWidth="0" w:num="1">
            <w:col w:w="11420"/>
          </w:cols>
          <w:pgMar w:left="240" w:top="417"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22"/>
          <w:szCs w:val="22"/>
          <w:color w:val="2989B9"/>
        </w:rPr>
        <w:t>CONSOLIDATED STATEMENTS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4A89BE"/>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Year Ended December 31</w:t>
            </w:r>
          </w:p>
        </w:tc>
        <w:tc>
          <w:tcPr>
            <w:tcW w:w="120" w:type="dxa"/>
            <w:vAlign w:val="bottom"/>
            <w:tcBorders>
              <w:bottom w:val="single" w:sz="8" w:color="auto"/>
            </w:tcBorders>
            <w:shd w:val="clear" w:color="auto" w:fill="E1F4FD"/>
          </w:tcPr>
          <w:p>
            <w:pPr>
              <w:spacing w:after="0"/>
              <w:rPr>
                <w:sz w:val="18"/>
                <w:szCs w:val="18"/>
                <w:color w:val="auto"/>
              </w:rPr>
            </w:pPr>
          </w:p>
        </w:tc>
        <w:tc>
          <w:tcPr>
            <w:tcW w:w="112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4"/>
                <w:szCs w:val="14"/>
                <w:color w:val="4F8ABE"/>
              </w:rPr>
              <w:t>2015</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282A32"/>
              </w:rPr>
              <w:t>2014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282A32"/>
              </w:rPr>
              <w:t>2013</w:t>
            </w:r>
          </w:p>
        </w:tc>
      </w:tr>
      <w:tr>
        <w:trPr>
          <w:trHeight w:val="250"/>
        </w:trPr>
        <w:tc>
          <w:tcPr>
            <w:tcW w:w="7660" w:type="dxa"/>
            <w:vAlign w:val="bottom"/>
          </w:tcPr>
          <w:p>
            <w:pPr>
              <w:ind w:left="40"/>
              <w:spacing w:after="0"/>
              <w:rPr>
                <w:sz w:val="20"/>
                <w:szCs w:val="20"/>
                <w:color w:val="auto"/>
              </w:rPr>
            </w:pPr>
            <w:r>
              <w:rPr>
                <w:rFonts w:ascii="Arial" w:cs="Arial" w:eastAsia="Arial" w:hAnsi="Arial"/>
                <w:sz w:val="16"/>
                <w:szCs w:val="16"/>
                <w:color w:val="2989B9"/>
              </w:rPr>
              <w:t>Cash Flows from Operating Activities</w:t>
            </w:r>
          </w:p>
        </w:tc>
        <w:tc>
          <w:tcPr>
            <w:tcW w:w="120" w:type="dxa"/>
            <w:vAlign w:val="bottom"/>
            <w:shd w:val="clear" w:color="auto" w:fill="E1F4FD"/>
          </w:tcPr>
          <w:p>
            <w:pPr>
              <w:spacing w:after="0"/>
              <w:rPr>
                <w:sz w:val="21"/>
                <w:szCs w:val="21"/>
                <w:color w:val="auto"/>
              </w:rPr>
            </w:pPr>
          </w:p>
        </w:tc>
        <w:tc>
          <w:tcPr>
            <w:tcW w:w="1120" w:type="dxa"/>
            <w:vAlign w:val="bottom"/>
            <w:shd w:val="clear" w:color="auto" w:fill="E1F4FD"/>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Net earnings</w:t>
            </w:r>
          </w:p>
        </w:tc>
        <w:tc>
          <w:tcPr>
            <w:tcW w:w="120" w:type="dxa"/>
            <w:vAlign w:val="bottom"/>
            <w:shd w:val="clear" w:color="auto" w:fill="E1F4FD"/>
          </w:tcPr>
          <w:p>
            <w:pPr>
              <w:jc w:val="right"/>
              <w:spacing w:after="0"/>
              <w:rPr>
                <w:sz w:val="20"/>
                <w:szCs w:val="20"/>
                <w:color w:val="auto"/>
              </w:rPr>
            </w:pPr>
            <w:r>
              <w:rPr>
                <w:rFonts w:ascii="Arial" w:cs="Arial" w:eastAsia="Arial" w:hAnsi="Arial"/>
                <w:sz w:val="16"/>
                <w:szCs w:val="16"/>
                <w:color w:val="4F8ABE"/>
                <w:w w:val="89"/>
              </w:rPr>
              <w:t>$</w:t>
            </w:r>
          </w:p>
        </w:tc>
        <w:tc>
          <w:tcPr>
            <w:tcW w:w="112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419.2</w:t>
            </w:r>
          </w:p>
        </w:tc>
        <w:tc>
          <w:tcPr>
            <w:tcW w:w="420" w:type="dxa"/>
            <w:vAlign w:val="bottom"/>
          </w:tcPr>
          <w:p>
            <w:pPr>
              <w:jc w:val="right"/>
              <w:ind w:right="219"/>
              <w:spacing w:after="0"/>
              <w:rPr>
                <w:sz w:val="20"/>
                <w:szCs w:val="20"/>
                <w:color w:val="auto"/>
              </w:rPr>
            </w:pPr>
            <w:r>
              <w:rPr>
                <w:rFonts w:ascii="Arial" w:cs="Arial" w:eastAsia="Arial" w:hAnsi="Arial"/>
                <w:sz w:val="16"/>
                <w:szCs w:val="16"/>
                <w:color w:val="282A32"/>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427.6</w:t>
            </w:r>
          </w:p>
        </w:tc>
        <w:tc>
          <w:tcPr>
            <w:tcW w:w="400" w:type="dxa"/>
            <w:vAlign w:val="bottom"/>
          </w:tcPr>
          <w:p>
            <w:pPr>
              <w:jc w:val="right"/>
              <w:ind w:right="199"/>
              <w:spacing w:after="0"/>
              <w:rPr>
                <w:sz w:val="20"/>
                <w:szCs w:val="20"/>
                <w:color w:val="auto"/>
              </w:rPr>
            </w:pPr>
            <w:r>
              <w:rPr>
                <w:rFonts w:ascii="Arial" w:cs="Arial" w:eastAsia="Arial" w:hAnsi="Arial"/>
                <w:sz w:val="16"/>
                <w:szCs w:val="16"/>
                <w:color w:val="282A32"/>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288.0</w:t>
            </w: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Adjustments to reconcile net earnings to net cash provided by operating activities:</w:t>
            </w:r>
          </w:p>
        </w:tc>
        <w:tc>
          <w:tcPr>
            <w:tcW w:w="120" w:type="dxa"/>
            <w:vAlign w:val="bottom"/>
            <w:shd w:val="clear" w:color="auto" w:fill="E1F4FD"/>
          </w:tcPr>
          <w:p>
            <w:pPr>
              <w:spacing w:after="0"/>
              <w:rPr>
                <w:sz w:val="24"/>
                <w:szCs w:val="24"/>
                <w:color w:val="auto"/>
              </w:rPr>
            </w:pPr>
          </w:p>
        </w:tc>
        <w:tc>
          <w:tcPr>
            <w:tcW w:w="1120" w:type="dxa"/>
            <w:vAlign w:val="bottom"/>
            <w:shd w:val="clear" w:color="auto" w:fill="E1F4FD"/>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3"/>
        </w:trPr>
        <w:tc>
          <w:tcPr>
            <w:tcW w:w="7660" w:type="dxa"/>
            <w:vAlign w:val="bottom"/>
          </w:tcPr>
          <w:p>
            <w:pPr>
              <w:ind w:left="300"/>
              <w:spacing w:after="0"/>
              <w:rPr>
                <w:sz w:val="20"/>
                <w:szCs w:val="20"/>
                <w:color w:val="auto"/>
              </w:rPr>
            </w:pPr>
            <w:r>
              <w:rPr>
                <w:rFonts w:ascii="Arial" w:cs="Arial" w:eastAsia="Arial" w:hAnsi="Arial"/>
                <w:sz w:val="16"/>
                <w:szCs w:val="16"/>
                <w:color w:val="282A32"/>
              </w:rPr>
              <w:t>Depreciation and amortization</w:t>
            </w:r>
          </w:p>
        </w:tc>
        <w:tc>
          <w:tcPr>
            <w:tcW w:w="120" w:type="dxa"/>
            <w:vAlign w:val="bottom"/>
            <w:shd w:val="clear" w:color="auto" w:fill="E1F4FD"/>
          </w:tcPr>
          <w:p>
            <w:pPr>
              <w:spacing w:after="0"/>
              <w:rPr>
                <w:sz w:val="22"/>
                <w:szCs w:val="22"/>
                <w:color w:val="auto"/>
              </w:rPr>
            </w:pPr>
          </w:p>
        </w:tc>
        <w:tc>
          <w:tcPr>
            <w:tcW w:w="112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77.7</w:t>
            </w: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83.8</w:t>
            </w:r>
          </w:p>
        </w:tc>
        <w:tc>
          <w:tcPr>
            <w:tcW w:w="4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94.3</w:t>
            </w:r>
          </w:p>
        </w:tc>
      </w:tr>
      <w:tr>
        <w:trPr>
          <w:trHeight w:val="224"/>
        </w:trPr>
        <w:tc>
          <w:tcPr>
            <w:tcW w:w="7660" w:type="dxa"/>
            <w:vAlign w:val="bottom"/>
          </w:tcPr>
          <w:p>
            <w:pPr>
              <w:ind w:left="300"/>
              <w:spacing w:after="0"/>
              <w:rPr>
                <w:sz w:val="20"/>
                <w:szCs w:val="20"/>
                <w:color w:val="auto"/>
              </w:rPr>
            </w:pPr>
            <w:r>
              <w:rPr>
                <w:rFonts w:ascii="Arial" w:cs="Arial" w:eastAsia="Arial" w:hAnsi="Arial"/>
                <w:sz w:val="16"/>
                <w:szCs w:val="16"/>
                <w:color w:val="282A32"/>
              </w:rPr>
              <w:t>Deferred income taxes</w:t>
            </w:r>
          </w:p>
        </w:tc>
        <w:tc>
          <w:tcPr>
            <w:tcW w:w="1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4F8ABE"/>
              </w:rPr>
              <w:t>91.2</w:t>
            </w:r>
          </w:p>
        </w:tc>
        <w:tc>
          <w:tcPr>
            <w:tcW w:w="4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54.0</w:t>
            </w:r>
          </w:p>
        </w:tc>
        <w:tc>
          <w:tcPr>
            <w:tcW w:w="4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17.0</w:t>
            </w: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282A32"/>
              </w:rPr>
              <w:t>Provision for doubtful accounts</w:t>
            </w: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4F8ABE"/>
              </w:rPr>
              <w:t>16.3</w:t>
            </w:r>
          </w:p>
        </w:tc>
        <w:tc>
          <w:tcPr>
            <w:tcW w:w="4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18.9</w:t>
            </w:r>
          </w:p>
        </w:tc>
        <w:tc>
          <w:tcPr>
            <w:tcW w:w="4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24.1</w:t>
            </w: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282A32"/>
              </w:rPr>
              <w:t>Share-based compensation</w:t>
            </w: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4F8ABE"/>
              </w:rPr>
              <w:t>31.1</w:t>
            </w:r>
          </w:p>
        </w:tc>
        <w:tc>
          <w:tcPr>
            <w:tcW w:w="4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40.6</w:t>
            </w:r>
          </w:p>
        </w:tc>
        <w:tc>
          <w:tcPr>
            <w:tcW w:w="4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31.5</w:t>
            </w: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282A32"/>
              </w:rPr>
              <w:t>Excess tax benefit on exercise of share-based awards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(7.4)</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(4.5)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(7.3)</w:t>
            </w: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Change in operating assets and liabilities, excluding the impact of acquisitions:</w:t>
            </w:r>
          </w:p>
        </w:tc>
        <w:tc>
          <w:tcPr>
            <w:tcW w:w="120" w:type="dxa"/>
            <w:vAlign w:val="bottom"/>
            <w:shd w:val="clear" w:color="auto" w:fill="E1F4FD"/>
          </w:tcPr>
          <w:p>
            <w:pPr>
              <w:spacing w:after="0"/>
              <w:rPr>
                <w:sz w:val="24"/>
                <w:szCs w:val="24"/>
                <w:color w:val="auto"/>
              </w:rPr>
            </w:pPr>
          </w:p>
        </w:tc>
        <w:tc>
          <w:tcPr>
            <w:tcW w:w="1120" w:type="dxa"/>
            <w:vAlign w:val="bottom"/>
            <w:shd w:val="clear" w:color="auto" w:fill="E1F4FD"/>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3"/>
        </w:trPr>
        <w:tc>
          <w:tcPr>
            <w:tcW w:w="7660" w:type="dxa"/>
            <w:vAlign w:val="bottom"/>
          </w:tcPr>
          <w:p>
            <w:pPr>
              <w:ind w:left="300"/>
              <w:spacing w:after="0"/>
              <w:rPr>
                <w:sz w:val="20"/>
                <w:szCs w:val="20"/>
                <w:color w:val="auto"/>
              </w:rPr>
            </w:pPr>
            <w:r>
              <w:rPr>
                <w:rFonts w:ascii="Arial" w:cs="Arial" w:eastAsia="Arial" w:hAnsi="Arial"/>
                <w:sz w:val="16"/>
                <w:szCs w:val="16"/>
                <w:color w:val="282A32"/>
              </w:rPr>
              <w:t>Accounts receivable</w:t>
            </w:r>
          </w:p>
        </w:tc>
        <w:tc>
          <w:tcPr>
            <w:tcW w:w="120" w:type="dxa"/>
            <w:vAlign w:val="bottom"/>
            <w:shd w:val="clear" w:color="auto" w:fill="E1F4FD"/>
          </w:tcPr>
          <w:p>
            <w:pPr>
              <w:spacing w:after="0"/>
              <w:rPr>
                <w:sz w:val="22"/>
                <w:szCs w:val="22"/>
                <w:color w:val="auto"/>
              </w:rPr>
            </w:pPr>
          </w:p>
        </w:tc>
        <w:tc>
          <w:tcPr>
            <w:tcW w:w="112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(369.8)</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(270.5)</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(82.6)</w:t>
            </w:r>
          </w:p>
        </w:tc>
      </w:tr>
      <w:tr>
        <w:trPr>
          <w:trHeight w:val="224"/>
        </w:trPr>
        <w:tc>
          <w:tcPr>
            <w:tcW w:w="7660" w:type="dxa"/>
            <w:vAlign w:val="bottom"/>
          </w:tcPr>
          <w:p>
            <w:pPr>
              <w:ind w:left="300"/>
              <w:spacing w:after="0"/>
              <w:rPr>
                <w:sz w:val="20"/>
                <w:szCs w:val="20"/>
                <w:color w:val="auto"/>
              </w:rPr>
            </w:pPr>
            <w:r>
              <w:rPr>
                <w:rFonts w:ascii="Arial" w:cs="Arial" w:eastAsia="Arial" w:hAnsi="Arial"/>
                <w:sz w:val="16"/>
                <w:szCs w:val="16"/>
                <w:color w:val="282A32"/>
              </w:rPr>
              <w:t>Other assets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(59.7)</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(198.7)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(35.9)</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Other liabilities</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4F8ABE"/>
              </w:rPr>
              <w:t>312.9</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155.0</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67.6</w:t>
            </w:r>
          </w:p>
        </w:tc>
      </w:tr>
      <w:tr>
        <w:trPr>
          <w:trHeight w:val="30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Cash provided by operating activities</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4F8ABE"/>
              </w:rPr>
              <w:t>511.5</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306.2</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396.7</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2989B9"/>
              </w:rPr>
              <w:t>Cash Flows from Investing Activities</w:t>
            </w:r>
          </w:p>
        </w:tc>
        <w:tc>
          <w:tcPr>
            <w:tcW w:w="120" w:type="dxa"/>
            <w:vAlign w:val="bottom"/>
            <w:shd w:val="clear" w:color="auto" w:fill="E1F4FD"/>
          </w:tcPr>
          <w:p>
            <w:pPr>
              <w:spacing w:after="0"/>
              <w:rPr>
                <w:sz w:val="21"/>
                <w:szCs w:val="21"/>
                <w:color w:val="auto"/>
              </w:rPr>
            </w:pPr>
          </w:p>
        </w:tc>
        <w:tc>
          <w:tcPr>
            <w:tcW w:w="1120" w:type="dxa"/>
            <w:vAlign w:val="bottom"/>
            <w:shd w:val="clear" w:color="auto" w:fill="E1F4FD"/>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30"/>
        </w:trPr>
        <w:tc>
          <w:tcPr>
            <w:tcW w:w="7660" w:type="dxa"/>
            <w:vAlign w:val="bottom"/>
          </w:tcPr>
          <w:p>
            <w:pPr>
              <w:ind w:left="40"/>
              <w:spacing w:after="0"/>
              <w:rPr>
                <w:sz w:val="20"/>
                <w:szCs w:val="20"/>
                <w:color w:val="auto"/>
              </w:rPr>
            </w:pPr>
            <w:r>
              <w:rPr>
                <w:rFonts w:ascii="Arial" w:cs="Arial" w:eastAsia="Arial" w:hAnsi="Arial"/>
                <w:sz w:val="16"/>
                <w:szCs w:val="16"/>
                <w:color w:val="282A32"/>
              </w:rPr>
              <w:t>Capital expenditures</w:t>
            </w:r>
          </w:p>
        </w:tc>
        <w:tc>
          <w:tcPr>
            <w:tcW w:w="120" w:type="dxa"/>
            <w:vAlign w:val="bottom"/>
            <w:shd w:val="clear" w:color="auto" w:fill="E1F4FD"/>
          </w:tcPr>
          <w:p>
            <w:pPr>
              <w:spacing w:after="0"/>
              <w:rPr>
                <w:sz w:val="24"/>
                <w:szCs w:val="24"/>
                <w:color w:val="auto"/>
              </w:rPr>
            </w:pPr>
          </w:p>
        </w:tc>
        <w:tc>
          <w:tcPr>
            <w:tcW w:w="112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(52.3)</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(51.5)</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(44.7)</w:t>
            </w: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282A32"/>
              </w:rPr>
              <w:t>Acquisitions of businesses, net of cash acquired</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(260.5)</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(32.0)</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(46.3)</w:t>
            </w:r>
          </w:p>
        </w:tc>
      </w:tr>
      <w:tr>
        <w:trPr>
          <w:trHeight w:val="32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Proceeds from the sale of investments, property and equipment</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4F8ABE"/>
              </w:rPr>
              <w:t>14.7</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2.1</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3.4</w:t>
            </w:r>
          </w:p>
        </w:tc>
      </w:tr>
      <w:tr>
        <w:trPr>
          <w:trHeight w:val="30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Cash used in investing activities</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(298.1)</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(81.4)</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(87.6)</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2989B9"/>
              </w:rPr>
              <w:t>Cash Flows from Financing Activities</w:t>
            </w:r>
          </w:p>
        </w:tc>
        <w:tc>
          <w:tcPr>
            <w:tcW w:w="120" w:type="dxa"/>
            <w:vAlign w:val="bottom"/>
            <w:shd w:val="clear" w:color="auto" w:fill="E1F4FD"/>
          </w:tcPr>
          <w:p>
            <w:pPr>
              <w:spacing w:after="0"/>
              <w:rPr>
                <w:sz w:val="21"/>
                <w:szCs w:val="21"/>
                <w:color w:val="auto"/>
              </w:rPr>
            </w:pPr>
          </w:p>
        </w:tc>
        <w:tc>
          <w:tcPr>
            <w:tcW w:w="1120" w:type="dxa"/>
            <w:vAlign w:val="bottom"/>
            <w:shd w:val="clear" w:color="auto" w:fill="E1F4FD"/>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30"/>
        </w:trPr>
        <w:tc>
          <w:tcPr>
            <w:tcW w:w="7660" w:type="dxa"/>
            <w:vAlign w:val="bottom"/>
          </w:tcPr>
          <w:p>
            <w:pPr>
              <w:ind w:left="40"/>
              <w:spacing w:after="0"/>
              <w:rPr>
                <w:sz w:val="20"/>
                <w:szCs w:val="20"/>
                <w:color w:val="auto"/>
              </w:rPr>
            </w:pPr>
            <w:r>
              <w:rPr>
                <w:rFonts w:ascii="Arial" w:cs="Arial" w:eastAsia="Arial" w:hAnsi="Arial"/>
                <w:sz w:val="16"/>
                <w:szCs w:val="16"/>
                <w:color w:val="282A32"/>
              </w:rPr>
              <w:t>Net change in short-term borrowings</w:t>
            </w:r>
          </w:p>
        </w:tc>
        <w:tc>
          <w:tcPr>
            <w:tcW w:w="120" w:type="dxa"/>
            <w:vAlign w:val="bottom"/>
            <w:shd w:val="clear" w:color="auto" w:fill="E1F4FD"/>
          </w:tcPr>
          <w:p>
            <w:pPr>
              <w:spacing w:after="0"/>
              <w:rPr>
                <w:sz w:val="24"/>
                <w:szCs w:val="24"/>
                <w:color w:val="auto"/>
              </w:rPr>
            </w:pPr>
          </w:p>
        </w:tc>
        <w:tc>
          <w:tcPr>
            <w:tcW w:w="112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4.1</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16.0</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(5.7)</w:t>
            </w: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282A32"/>
              </w:rPr>
              <w:t>Proceeds from long-term debt</w:t>
            </w:r>
          </w:p>
        </w:tc>
        <w:tc>
          <w:tcPr>
            <w:tcW w:w="1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4F8ABE"/>
              </w:rPr>
              <w:t>454.0</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3.9</w:t>
            </w: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Repayments of long-term debt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(2.0)</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(2.6)</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(269.5)</w:t>
            </w: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Payments for debt issuance costs</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(2.5)</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w:t>
            </w: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Proceeds from share-based awards and other equity transactions</w:t>
            </w:r>
          </w:p>
        </w:tc>
        <w:tc>
          <w:tcPr>
            <w:tcW w:w="1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4F8ABE"/>
              </w:rPr>
              <w:t>104.1</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282A32"/>
              </w:rPr>
              <w:t>25.5</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101.0</w:t>
            </w: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Other share-based award transactions, net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(0.7)</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(6.3)</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16.1</w:t>
            </w:r>
          </w:p>
        </w:tc>
      </w:tr>
      <w:tr>
        <w:trPr>
          <w:trHeight w:val="311"/>
        </w:trPr>
        <w:tc>
          <w:tcPr>
            <w:tcW w:w="7660" w:type="dxa"/>
            <w:vAlign w:val="bottom"/>
          </w:tcPr>
          <w:p>
            <w:pPr>
              <w:ind w:left="40"/>
              <w:spacing w:after="0"/>
              <w:rPr>
                <w:sz w:val="20"/>
                <w:szCs w:val="20"/>
                <w:color w:val="auto"/>
              </w:rPr>
            </w:pPr>
            <w:r>
              <w:rPr>
                <w:rFonts w:ascii="Arial" w:cs="Arial" w:eastAsia="Arial" w:hAnsi="Arial"/>
                <w:sz w:val="16"/>
                <w:szCs w:val="16"/>
                <w:color w:val="282A32"/>
              </w:rPr>
              <w:t>Repurchases of common stock</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(580.2)</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(143.5)</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w:t>
            </w:r>
          </w:p>
        </w:tc>
      </w:tr>
      <w:tr>
        <w:trPr>
          <w:trHeight w:val="32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Dividends paid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(121.0)</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(77.3)</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(72.0)</w:t>
            </w: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282A32"/>
              </w:rPr>
              <w:t>Cash used in financing activities</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4F8ABE"/>
              </w:rPr>
              <w:t>(144.2)</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(188.2)</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82A32"/>
              </w:rPr>
              <w:t>(226.2)</w:t>
            </w:r>
          </w:p>
        </w:tc>
      </w:tr>
      <w:tr>
        <w:trPr>
          <w:trHeight w:val="32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Effect of exchange rate changes on cash</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(37.9)</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(75.0)</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6.6</w:t>
            </w: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282A32"/>
              </w:rPr>
              <w:t>Net increase (decrease) in cash and cash equivalents</w:t>
            </w:r>
          </w:p>
        </w:tc>
        <w:tc>
          <w:tcPr>
            <w:tcW w:w="1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4F8ABE"/>
              </w:rPr>
              <w:t>31.3</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(38.4)</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89.5</w:t>
            </w:r>
          </w:p>
        </w:tc>
      </w:tr>
      <w:tr>
        <w:trPr>
          <w:trHeight w:val="32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Cash and cash equivalents, beginning of year</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4F8ABE"/>
              </w:rPr>
              <w:t>699.2</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737.6</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648.1</w:t>
            </w:r>
          </w:p>
        </w:tc>
      </w:tr>
      <w:tr>
        <w:trPr>
          <w:trHeight w:val="30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Cash and cash equivalents,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4F8ABE"/>
              </w:rPr>
              <w:t>730.5</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699.2</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282A32"/>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737.6</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2989B9"/>
              </w:rPr>
              <w:t>Supplemental Cash Flow Information</w:t>
            </w:r>
          </w:p>
        </w:tc>
        <w:tc>
          <w:tcPr>
            <w:tcW w:w="120" w:type="dxa"/>
            <w:vAlign w:val="bottom"/>
            <w:shd w:val="clear" w:color="auto" w:fill="E1F4FD"/>
          </w:tcPr>
          <w:p>
            <w:pPr>
              <w:spacing w:after="0"/>
              <w:rPr>
                <w:sz w:val="21"/>
                <w:szCs w:val="21"/>
                <w:color w:val="auto"/>
              </w:rPr>
            </w:pPr>
          </w:p>
        </w:tc>
        <w:tc>
          <w:tcPr>
            <w:tcW w:w="1120" w:type="dxa"/>
            <w:vAlign w:val="bottom"/>
            <w:shd w:val="clear" w:color="auto" w:fill="E1F4FD"/>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2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Interest paid</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w w:val="89"/>
              </w:rPr>
              <w:t>$</w:t>
            </w:r>
          </w:p>
        </w:tc>
        <w:tc>
          <w:tcPr>
            <w:tcW w:w="112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32.2</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36.6</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282A32"/>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43.5</w:t>
            </w:r>
          </w:p>
        </w:tc>
      </w:tr>
      <w:tr>
        <w:trPr>
          <w:trHeight w:val="237"/>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Income taxes paid, net</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w w:val="89"/>
              </w:rPr>
              <w:t>$</w:t>
            </w:r>
          </w:p>
        </w:tc>
        <w:tc>
          <w:tcPr>
            <w:tcW w:w="112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75.9</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105.8</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282A32"/>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60.3</w:t>
            </w:r>
          </w:p>
        </w:tc>
      </w:tr>
      <w:tr>
        <w:trPr>
          <w:trHeight w:val="122"/>
        </w:trPr>
        <w:tc>
          <w:tcPr>
            <w:tcW w:w="7660" w:type="dxa"/>
            <w:vAlign w:val="bottom"/>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1120" w:type="dxa"/>
            <w:vAlign w:val="bottom"/>
            <w:shd w:val="clear" w:color="auto" w:fill="2989B9"/>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-6010910</wp:posOffset>
            </wp:positionV>
            <wp:extent cx="797560" cy="771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7560" cy="77152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-5041900</wp:posOffset>
            </wp:positionV>
            <wp:extent cx="797560" cy="668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7560" cy="6686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-4192905</wp:posOffset>
            </wp:positionV>
            <wp:extent cx="797560" cy="3567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356743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282A32"/>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tabs>
          <w:tab w:leader="none" w:pos="9980" w:val="left"/>
        </w:tabs>
        <w:rPr>
          <w:sz w:val="20"/>
          <w:szCs w:val="20"/>
          <w:color w:val="auto"/>
        </w:rPr>
      </w:pPr>
      <w:r>
        <w:rPr>
          <w:rFonts w:ascii="Arial" w:cs="Arial" w:eastAsia="Arial" w:hAnsi="Arial"/>
          <w:sz w:val="12"/>
          <w:szCs w:val="12"/>
          <w:color w:val="auto"/>
        </w:rPr>
        <w:t>Consolidated Statements of Cash Flows</w:t>
      </w:r>
      <w:r>
        <w:rPr>
          <w:sz w:val="20"/>
          <w:szCs w:val="20"/>
          <w:color w:val="auto"/>
        </w:rPr>
        <w:tab/>
      </w:r>
      <w:r>
        <w:rPr>
          <w:rFonts w:ascii="Arial" w:cs="Arial" w:eastAsia="Arial" w:hAnsi="Arial"/>
          <w:sz w:val="11"/>
          <w:szCs w:val="11"/>
          <w:b w:val="1"/>
          <w:bCs w:val="1"/>
          <w:color w:val="auto"/>
        </w:rPr>
        <w:t xml:space="preserve">48 </w:t>
      </w:r>
      <w:r>
        <w:rPr>
          <w:rFonts w:ascii="Arial" w:cs="Arial" w:eastAsia="Arial" w:hAnsi="Arial"/>
          <w:sz w:val="11"/>
          <w:szCs w:val="11"/>
          <w:color w:val="auto"/>
        </w:rPr>
        <w:t>| ManpowerGroup</w:t>
      </w:r>
    </w:p>
    <w:p>
      <w:pPr>
        <w:sectPr>
          <w:pgSz w:w="11900" w:h="16838" w:orient="portrait"/>
          <w:cols w:equalWidth="0" w:num="1">
            <w:col w:w="11420"/>
          </w:cols>
          <w:pgMar w:left="240" w:top="174" w:right="239" w:bottom="1440" w:gutter="0" w:footer="0" w:header="0"/>
        </w:sectPr>
      </w:pPr>
    </w:p>
    <w:bookmarkStart w:id="86" w:name="page87"/>
    <w:bookmarkEnd w:id="86"/>
    <w:p>
      <w:pPr>
        <w:ind w:right="5120"/>
        <w:spacing w:after="0"/>
        <w:rPr>
          <w:sz w:val="20"/>
          <w:szCs w:val="20"/>
          <w:color w:val="auto"/>
        </w:rPr>
      </w:pPr>
      <w:r>
        <w:rPr>
          <w:rFonts w:ascii="Arial" w:cs="Arial" w:eastAsia="Arial" w:hAnsi="Arial"/>
          <w:sz w:val="22"/>
          <w:szCs w:val="22"/>
          <w:color w:val="2989B9"/>
        </w:rPr>
        <w:t xml:space="preserve">CONSOLIDATED STATEMENTS OF SHAREHOLDERS’ EQUITY </w:t>
      </w:r>
      <w:r>
        <w:rPr>
          <w:rFonts w:ascii="Arial" w:cs="Arial" w:eastAsia="Arial" w:hAnsi="Arial"/>
          <w:sz w:val="18"/>
          <w:szCs w:val="18"/>
          <w:i w:val="1"/>
          <w:iCs w:val="1"/>
          <w:color w:val="4A89BE"/>
        </w:rPr>
        <w:t>in millions, except share and per share data</w:t>
      </w:r>
    </w:p>
    <w:p>
      <w:pPr>
        <w:spacing w:after="0" w:line="299" w:lineRule="exact"/>
        <w:rPr>
          <w:sz w:val="20"/>
          <w:szCs w:val="20"/>
          <w:color w:val="auto"/>
        </w:rPr>
      </w:pPr>
    </w:p>
    <w:p>
      <w:pPr>
        <w:ind w:left="4860"/>
        <w:spacing w:after="0"/>
        <w:rPr>
          <w:sz w:val="20"/>
          <w:szCs w:val="20"/>
          <w:color w:val="auto"/>
        </w:rPr>
      </w:pPr>
      <w:r>
        <w:rPr>
          <w:rFonts w:ascii="Arial" w:cs="Arial" w:eastAsia="Arial" w:hAnsi="Arial"/>
          <w:sz w:val="16"/>
          <w:szCs w:val="16"/>
          <w:color w:val="282A32"/>
        </w:rPr>
        <w:t>ManpowerGroup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19050</wp:posOffset>
            </wp:positionV>
            <wp:extent cx="42106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300" w:type="dxa"/>
            <w:vAlign w:val="bottom"/>
            <w:gridSpan w:val="3"/>
          </w:tcPr>
          <w:p>
            <w:pPr>
              <w:jc w:val="right"/>
              <w:ind w:right="560"/>
              <w:spacing w:after="0"/>
              <w:rPr>
                <w:sz w:val="20"/>
                <w:szCs w:val="20"/>
                <w:color w:val="auto"/>
              </w:rPr>
            </w:pPr>
            <w:r>
              <w:rPr>
                <w:rFonts w:ascii="Arial" w:cs="Arial" w:eastAsia="Arial" w:hAnsi="Arial"/>
                <w:sz w:val="14"/>
                <w:szCs w:val="14"/>
                <w:color w:val="282A32"/>
              </w:rPr>
              <w:t>Common Stock</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4"/>
                <w:szCs w:val="14"/>
                <w:color w:val="282A32"/>
              </w:rPr>
              <w:t>Accumulated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64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jc w:val="right"/>
              <w:ind w:right="21"/>
              <w:spacing w:after="0"/>
              <w:rPr>
                <w:sz w:val="20"/>
                <w:szCs w:val="20"/>
                <w:color w:val="auto"/>
              </w:rPr>
            </w:pPr>
            <w:r>
              <w:rPr>
                <w:rFonts w:ascii="Arial" w:cs="Arial" w:eastAsia="Arial" w:hAnsi="Arial"/>
                <w:sz w:val="14"/>
                <w:szCs w:val="14"/>
                <w:color w:val="282A32"/>
              </w:rPr>
              <w:t>Capital in</w:t>
            </w: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color w:val="282A32"/>
              </w:rPr>
              <w:t>Other</w:t>
            </w: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282A32"/>
              </w:rPr>
              <w:t>Non-</w:t>
            </w: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4"/>
                <w:szCs w:val="14"/>
                <w:color w:val="282A32"/>
              </w:rPr>
              <w:t>Excess of</w:t>
            </w:r>
          </w:p>
        </w:tc>
        <w:tc>
          <w:tcPr>
            <w:tcW w:w="24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4"/>
                <w:szCs w:val="14"/>
                <w:color w:val="282A32"/>
              </w:rPr>
              <w:t>Retained</w:t>
            </w:r>
          </w:p>
        </w:tc>
        <w:tc>
          <w:tcPr>
            <w:tcW w:w="14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4"/>
                <w:szCs w:val="14"/>
                <w:color w:val="282A32"/>
              </w:rPr>
              <w:t>Comprehensive</w:t>
            </w:r>
          </w:p>
        </w:tc>
        <w:tc>
          <w:tcPr>
            <w:tcW w:w="2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282A32"/>
              </w:rPr>
              <w:t>Treasury</w:t>
            </w: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282A32"/>
              </w:rPr>
              <w:t>controlling</w:t>
            </w:r>
          </w:p>
        </w:tc>
        <w:tc>
          <w:tcPr>
            <w:tcW w:w="180" w:type="dxa"/>
            <w:vAlign w:val="bottom"/>
          </w:tcPr>
          <w:p>
            <w:pPr>
              <w:spacing w:after="0"/>
              <w:rPr>
                <w:sz w:val="14"/>
                <w:szCs w:val="1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282A32"/>
              </w:rPr>
              <w:t>Total</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282A32"/>
              </w:rPr>
              <w:t>Shares Issued</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282A32"/>
              </w:rPr>
              <w:t>Par Value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282A32"/>
              </w:rPr>
              <w:t>Par Value</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Earnings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282A32"/>
              </w:rPr>
              <w:t>(Loss) Income</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282A32"/>
              </w:rPr>
              <w:t>Stock</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282A32"/>
              </w:rPr>
              <w:t>Interests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640" w:type="dxa"/>
            <w:vAlign w:val="bottom"/>
          </w:tcPr>
          <w:p>
            <w:pPr>
              <w:ind w:left="40"/>
              <w:spacing w:after="0"/>
              <w:rPr>
                <w:sz w:val="20"/>
                <w:szCs w:val="20"/>
                <w:color w:val="auto"/>
              </w:rPr>
            </w:pPr>
            <w:r>
              <w:rPr>
                <w:rFonts w:ascii="Arial" w:cs="Arial" w:eastAsia="Arial" w:hAnsi="Arial"/>
                <w:sz w:val="16"/>
                <w:szCs w:val="16"/>
                <w:color w:val="282A32"/>
              </w:rPr>
              <w:t>Balance, January 1, 2013</w:t>
            </w:r>
          </w:p>
        </w:tc>
        <w:tc>
          <w:tcPr>
            <w:tcW w:w="1340" w:type="dxa"/>
            <w:vAlign w:val="bottom"/>
          </w:tcPr>
          <w:p>
            <w:pPr>
              <w:jc w:val="right"/>
              <w:ind w:right="1"/>
              <w:spacing w:after="0"/>
              <w:rPr>
                <w:sz w:val="20"/>
                <w:szCs w:val="20"/>
                <w:color w:val="auto"/>
              </w:rPr>
            </w:pPr>
            <w:r>
              <w:rPr>
                <w:rFonts w:ascii="Arial" w:cs="Arial" w:eastAsia="Arial" w:hAnsi="Arial"/>
                <w:sz w:val="16"/>
                <w:szCs w:val="16"/>
                <w:color w:val="282A32"/>
              </w:rPr>
              <w:t>109,543,492</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282A32"/>
              </w:rPr>
              <w:t>1.1</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2,873.2</w:t>
            </w:r>
          </w:p>
        </w:tc>
        <w:tc>
          <w:tcPr>
            <w:tcW w:w="240" w:type="dxa"/>
            <w:vAlign w:val="bottom"/>
          </w:tcPr>
          <w:p>
            <w:pPr>
              <w:jc w:val="right"/>
              <w:ind w:right="39"/>
              <w:spacing w:after="0"/>
              <w:rPr>
                <w:sz w:val="20"/>
                <w:szCs w:val="20"/>
                <w:color w:val="auto"/>
              </w:rPr>
            </w:pPr>
            <w:r>
              <w:rPr>
                <w:rFonts w:ascii="Arial" w:cs="Arial" w:eastAsia="Arial" w:hAnsi="Arial"/>
                <w:sz w:val="16"/>
                <w:szCs w:val="16"/>
                <w:color w:val="282A32"/>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282A32"/>
              </w:rPr>
              <w:t>1,101.5</w:t>
            </w:r>
          </w:p>
        </w:tc>
        <w:tc>
          <w:tcPr>
            <w:tcW w:w="140" w:type="dxa"/>
            <w:vAlign w:val="bottom"/>
          </w:tcPr>
          <w:p>
            <w:pPr>
              <w:jc w:val="right"/>
              <w:spacing w:after="0"/>
              <w:rPr>
                <w:sz w:val="20"/>
                <w:szCs w:val="20"/>
                <w:color w:val="auto"/>
              </w:rPr>
            </w:pPr>
            <w:r>
              <w:rPr>
                <w:rFonts w:ascii="Arial" w:cs="Arial" w:eastAsia="Arial" w:hAnsi="Arial"/>
                <w:sz w:val="16"/>
                <w:szCs w:val="16"/>
                <w:color w:val="282A32"/>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282A32"/>
              </w:rPr>
              <w:t>34.4</w:t>
            </w:r>
          </w:p>
        </w:tc>
        <w:tc>
          <w:tcPr>
            <w:tcW w:w="220" w:type="dxa"/>
            <w:vAlign w:val="bottom"/>
          </w:tcPr>
          <w:p>
            <w:pPr>
              <w:jc w:val="right"/>
              <w:ind w:right="19"/>
              <w:spacing w:after="0"/>
              <w:rPr>
                <w:sz w:val="20"/>
                <w:szCs w:val="20"/>
                <w:color w:val="auto"/>
              </w:rPr>
            </w:pPr>
            <w:r>
              <w:rPr>
                <w:rFonts w:ascii="Arial" w:cs="Arial" w:eastAsia="Arial" w:hAnsi="Arial"/>
                <w:sz w:val="16"/>
                <w:szCs w:val="16"/>
                <w:color w:val="282A32"/>
              </w:rPr>
              <w:t>$</w:t>
            </w:r>
          </w:p>
        </w:tc>
        <w:tc>
          <w:tcPr>
            <w:tcW w:w="820" w:type="dxa"/>
            <w:vAlign w:val="bottom"/>
          </w:tcPr>
          <w:p>
            <w:pPr>
              <w:jc w:val="right"/>
              <w:spacing w:after="0"/>
              <w:rPr>
                <w:sz w:val="20"/>
                <w:szCs w:val="20"/>
                <w:color w:val="auto"/>
              </w:rPr>
            </w:pPr>
            <w:r>
              <w:rPr>
                <w:rFonts w:ascii="Arial" w:cs="Arial" w:eastAsia="Arial" w:hAnsi="Arial"/>
                <w:sz w:val="16"/>
                <w:szCs w:val="16"/>
                <w:color w:val="282A32"/>
              </w:rPr>
              <w:t>(1,509.4)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282A32"/>
              </w:rPr>
              <w:t>—</w:t>
            </w:r>
          </w:p>
        </w:tc>
        <w:tc>
          <w:tcPr>
            <w:tcW w:w="180" w:type="dxa"/>
            <w:vAlign w:val="bottom"/>
          </w:tcPr>
          <w:p>
            <w:pPr>
              <w:jc w:val="right"/>
              <w:spacing w:after="0"/>
              <w:rPr>
                <w:sz w:val="20"/>
                <w:szCs w:val="20"/>
                <w:color w:val="auto"/>
              </w:rPr>
            </w:pPr>
            <w:r>
              <w:rPr>
                <w:rFonts w:ascii="Arial" w:cs="Arial" w:eastAsia="Arial" w:hAnsi="Arial"/>
                <w:sz w:val="16"/>
                <w:szCs w:val="16"/>
                <w:color w:val="282A32"/>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2,500.8</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Net earnings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282A32"/>
              </w:rPr>
              <w:t>288.0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288.0</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Other comprehensive income</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282A32"/>
              </w:rPr>
              <w:t>47.8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47.8</w:t>
            </w:r>
          </w:p>
        </w:tc>
        <w:tc>
          <w:tcPr>
            <w:tcW w:w="0" w:type="dxa"/>
            <w:vAlign w:val="bottom"/>
          </w:tcPr>
          <w:p>
            <w:pPr>
              <w:spacing w:after="0"/>
              <w:rPr>
                <w:sz w:val="1"/>
                <w:szCs w:val="1"/>
                <w:color w:val="auto"/>
              </w:rPr>
            </w:pPr>
          </w:p>
        </w:tc>
      </w:tr>
      <w:tr>
        <w:trPr>
          <w:trHeight w:val="305"/>
        </w:trPr>
        <w:tc>
          <w:tcPr>
            <w:tcW w:w="2640" w:type="dxa"/>
            <w:vAlign w:val="bottom"/>
          </w:tcPr>
          <w:p>
            <w:pPr>
              <w:ind w:left="40"/>
              <w:spacing w:after="0"/>
              <w:rPr>
                <w:sz w:val="20"/>
                <w:szCs w:val="20"/>
                <w:color w:val="auto"/>
              </w:rPr>
            </w:pPr>
            <w:r>
              <w:rPr>
                <w:rFonts w:ascii="Arial" w:cs="Arial" w:eastAsia="Arial" w:hAnsi="Arial"/>
                <w:sz w:val="16"/>
                <w:szCs w:val="16"/>
                <w:color w:val="282A32"/>
              </w:rPr>
              <w:t>Issuances under equity plans,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282A32"/>
              </w:rPr>
              <w:t>including tax benefits</w:t>
            </w:r>
          </w:p>
        </w:tc>
        <w:tc>
          <w:tcPr>
            <w:tcW w:w="1340" w:type="dxa"/>
            <w:vAlign w:val="bottom"/>
          </w:tcPr>
          <w:p>
            <w:pPr>
              <w:jc w:val="right"/>
              <w:ind w:right="1"/>
              <w:spacing w:after="0"/>
              <w:rPr>
                <w:sz w:val="20"/>
                <w:szCs w:val="20"/>
                <w:color w:val="auto"/>
              </w:rPr>
            </w:pPr>
            <w:r>
              <w:rPr>
                <w:rFonts w:ascii="Arial" w:cs="Arial" w:eastAsia="Arial" w:hAnsi="Arial"/>
                <w:sz w:val="16"/>
                <w:szCs w:val="16"/>
                <w:color w:val="282A32"/>
              </w:rPr>
              <w:t>2,471,181</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109.3</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282A32"/>
              </w:rPr>
              <w:t>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118.1</w:t>
            </w:r>
          </w:p>
        </w:tc>
        <w:tc>
          <w:tcPr>
            <w:tcW w:w="0" w:type="dxa"/>
            <w:vAlign w:val="bottom"/>
          </w:tcPr>
          <w:p>
            <w:pPr>
              <w:spacing w:after="0"/>
              <w:rPr>
                <w:sz w:val="1"/>
                <w:szCs w:val="1"/>
                <w:color w:val="auto"/>
              </w:rPr>
            </w:pPr>
          </w:p>
        </w:tc>
      </w:tr>
      <w:tr>
        <w:trPr>
          <w:trHeight w:val="305"/>
        </w:trPr>
        <w:tc>
          <w:tcPr>
            <w:tcW w:w="2640" w:type="dxa"/>
            <w:vAlign w:val="bottom"/>
          </w:tcPr>
          <w:p>
            <w:pPr>
              <w:ind w:left="40"/>
              <w:spacing w:after="0"/>
              <w:rPr>
                <w:sz w:val="20"/>
                <w:szCs w:val="20"/>
                <w:color w:val="auto"/>
              </w:rPr>
            </w:pPr>
            <w:r>
              <w:rPr>
                <w:rFonts w:ascii="Arial" w:cs="Arial" w:eastAsia="Arial" w:hAnsi="Arial"/>
                <w:sz w:val="16"/>
                <w:szCs w:val="16"/>
                <w:color w:val="282A32"/>
              </w:rPr>
              <w:t>Share-based compensation</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282A32"/>
              </w:rPr>
              <w:t>expense</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31.5</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31.5</w:t>
            </w:r>
          </w:p>
        </w:tc>
        <w:tc>
          <w:tcPr>
            <w:tcW w:w="0" w:type="dxa"/>
            <w:vAlign w:val="bottom"/>
          </w:tcPr>
          <w:p>
            <w:pPr>
              <w:spacing w:after="0"/>
              <w:rPr>
                <w:sz w:val="1"/>
                <w:szCs w:val="1"/>
                <w:color w:val="auto"/>
              </w:rPr>
            </w:pPr>
          </w:p>
        </w:tc>
      </w:tr>
      <w:tr>
        <w:trPr>
          <w:trHeight w:val="324"/>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Dividends ($0.92 per share)</w:t>
            </w: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(72.0)</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(72.0)</w:t>
            </w:r>
          </w:p>
        </w:tc>
        <w:tc>
          <w:tcPr>
            <w:tcW w:w="0" w:type="dxa"/>
            <w:vAlign w:val="bottom"/>
          </w:tcPr>
          <w:p>
            <w:pPr>
              <w:spacing w:after="0"/>
              <w:rPr>
                <w:sz w:val="1"/>
                <w:szCs w:val="1"/>
                <w:color w:val="auto"/>
              </w:rPr>
            </w:pPr>
          </w:p>
        </w:tc>
      </w:tr>
      <w:tr>
        <w:trPr>
          <w:trHeight w:val="291"/>
        </w:trPr>
        <w:tc>
          <w:tcPr>
            <w:tcW w:w="2640" w:type="dxa"/>
            <w:vAlign w:val="bottom"/>
          </w:tcPr>
          <w:p>
            <w:pPr>
              <w:ind w:left="40"/>
              <w:spacing w:after="0"/>
              <w:rPr>
                <w:sz w:val="20"/>
                <w:szCs w:val="20"/>
                <w:color w:val="auto"/>
              </w:rPr>
            </w:pPr>
            <w:r>
              <w:rPr>
                <w:rFonts w:ascii="Arial" w:cs="Arial" w:eastAsia="Arial" w:hAnsi="Arial"/>
                <w:sz w:val="16"/>
                <w:szCs w:val="16"/>
                <w:color w:val="282A32"/>
              </w:rPr>
              <w:t>Balance, December 31, 2013</w:t>
            </w:r>
          </w:p>
        </w:tc>
        <w:tc>
          <w:tcPr>
            <w:tcW w:w="1340" w:type="dxa"/>
            <w:vAlign w:val="bottom"/>
          </w:tcPr>
          <w:p>
            <w:pPr>
              <w:jc w:val="right"/>
              <w:ind w:right="1"/>
              <w:spacing w:after="0"/>
              <w:rPr>
                <w:sz w:val="20"/>
                <w:szCs w:val="20"/>
                <w:color w:val="auto"/>
              </w:rPr>
            </w:pPr>
            <w:r>
              <w:rPr>
                <w:rFonts w:ascii="Arial" w:cs="Arial" w:eastAsia="Arial" w:hAnsi="Arial"/>
                <w:sz w:val="16"/>
                <w:szCs w:val="16"/>
                <w:color w:val="282A32"/>
              </w:rPr>
              <w:t>112,014,673</w:t>
            </w:r>
          </w:p>
        </w:tc>
        <w:tc>
          <w:tcPr>
            <w:tcW w:w="20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282A32"/>
              </w:rPr>
              <w:t>1.1</w:t>
            </w:r>
          </w:p>
        </w:tc>
        <w:tc>
          <w:tcPr>
            <w:tcW w:w="20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3,014.0</w:t>
            </w:r>
          </w:p>
        </w:tc>
        <w:tc>
          <w:tcPr>
            <w:tcW w:w="2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282A32"/>
              </w:rPr>
              <w:t>1,317.5</w:t>
            </w:r>
          </w:p>
        </w:tc>
        <w:tc>
          <w:tcPr>
            <w:tcW w:w="14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282A32"/>
              </w:rPr>
              <w:t>82.2</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82A32"/>
              </w:rPr>
              <w:t>(1,500.6)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282A32"/>
              </w:rPr>
              <w:t>—</w:t>
            </w: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2,914.2</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Net earnings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282A32"/>
              </w:rPr>
              <w:t>427.6</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427.6</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Other comprehensive loss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82A32"/>
              </w:rPr>
              <w:t>(237.4)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82A32"/>
              </w:rPr>
              <w:t>(237.4)</w:t>
            </w:r>
          </w:p>
        </w:tc>
        <w:tc>
          <w:tcPr>
            <w:tcW w:w="0" w:type="dxa"/>
            <w:vAlign w:val="bottom"/>
          </w:tcPr>
          <w:p>
            <w:pPr>
              <w:spacing w:after="0"/>
              <w:rPr>
                <w:sz w:val="1"/>
                <w:szCs w:val="1"/>
                <w:color w:val="auto"/>
              </w:rPr>
            </w:pPr>
          </w:p>
        </w:tc>
      </w:tr>
      <w:tr>
        <w:trPr>
          <w:trHeight w:val="305"/>
        </w:trPr>
        <w:tc>
          <w:tcPr>
            <w:tcW w:w="2640" w:type="dxa"/>
            <w:vAlign w:val="bottom"/>
          </w:tcPr>
          <w:p>
            <w:pPr>
              <w:ind w:left="40"/>
              <w:spacing w:after="0"/>
              <w:rPr>
                <w:sz w:val="20"/>
                <w:szCs w:val="20"/>
                <w:color w:val="auto"/>
              </w:rPr>
            </w:pPr>
            <w:r>
              <w:rPr>
                <w:rFonts w:ascii="Arial" w:cs="Arial" w:eastAsia="Arial" w:hAnsi="Arial"/>
                <w:sz w:val="16"/>
                <w:szCs w:val="16"/>
                <w:color w:val="282A32"/>
              </w:rPr>
              <w:t>Issuances under equity plans,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282A32"/>
              </w:rPr>
              <w:t>including tax benefits</w:t>
            </w:r>
          </w:p>
        </w:tc>
        <w:tc>
          <w:tcPr>
            <w:tcW w:w="1340" w:type="dxa"/>
            <w:vAlign w:val="bottom"/>
          </w:tcPr>
          <w:p>
            <w:pPr>
              <w:jc w:val="right"/>
              <w:ind w:right="1"/>
              <w:spacing w:after="0"/>
              <w:rPr>
                <w:sz w:val="20"/>
                <w:szCs w:val="20"/>
                <w:color w:val="auto"/>
              </w:rPr>
            </w:pPr>
            <w:r>
              <w:rPr>
                <w:rFonts w:ascii="Arial" w:cs="Arial" w:eastAsia="Arial" w:hAnsi="Arial"/>
                <w:sz w:val="16"/>
                <w:szCs w:val="16"/>
                <w:color w:val="282A32"/>
              </w:rPr>
              <w:t>861,879</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29.6</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82A32"/>
              </w:rPr>
              <w:t>(10.8)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18.8</w:t>
            </w:r>
          </w:p>
        </w:tc>
        <w:tc>
          <w:tcPr>
            <w:tcW w:w="0" w:type="dxa"/>
            <w:vAlign w:val="bottom"/>
          </w:tcPr>
          <w:p>
            <w:pPr>
              <w:spacing w:after="0"/>
              <w:rPr>
                <w:sz w:val="1"/>
                <w:szCs w:val="1"/>
                <w:color w:val="auto"/>
              </w:rPr>
            </w:pPr>
          </w:p>
        </w:tc>
      </w:tr>
      <w:tr>
        <w:trPr>
          <w:trHeight w:val="305"/>
        </w:trPr>
        <w:tc>
          <w:tcPr>
            <w:tcW w:w="2640" w:type="dxa"/>
            <w:vAlign w:val="bottom"/>
          </w:tcPr>
          <w:p>
            <w:pPr>
              <w:ind w:left="40"/>
              <w:spacing w:after="0"/>
              <w:rPr>
                <w:sz w:val="20"/>
                <w:szCs w:val="20"/>
                <w:color w:val="auto"/>
              </w:rPr>
            </w:pPr>
            <w:r>
              <w:rPr>
                <w:rFonts w:ascii="Arial" w:cs="Arial" w:eastAsia="Arial" w:hAnsi="Arial"/>
                <w:sz w:val="16"/>
                <w:szCs w:val="16"/>
                <w:color w:val="282A32"/>
              </w:rPr>
              <w:t>Share-based compensation</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282A32"/>
              </w:rPr>
              <w:t>expense</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40.6</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40.6</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Dividends ($0.98 per share)</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82A32"/>
              </w:rPr>
              <w:t>(77.3)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82A32"/>
              </w:rPr>
              <w:t>(77.3)</w:t>
            </w:r>
          </w:p>
        </w:tc>
        <w:tc>
          <w:tcPr>
            <w:tcW w:w="0" w:type="dxa"/>
            <w:vAlign w:val="bottom"/>
          </w:tcPr>
          <w:p>
            <w:pPr>
              <w:spacing w:after="0"/>
              <w:rPr>
                <w:sz w:val="1"/>
                <w:szCs w:val="1"/>
                <w:color w:val="auto"/>
              </w:rPr>
            </w:pPr>
          </w:p>
        </w:tc>
      </w:tr>
      <w:tr>
        <w:trPr>
          <w:trHeight w:val="324"/>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Repurchases of common stock</w:t>
            </w: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(143.5)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(143.5)</w:t>
            </w:r>
          </w:p>
        </w:tc>
        <w:tc>
          <w:tcPr>
            <w:tcW w:w="0" w:type="dxa"/>
            <w:vAlign w:val="bottom"/>
          </w:tcPr>
          <w:p>
            <w:pPr>
              <w:spacing w:after="0"/>
              <w:rPr>
                <w:sz w:val="1"/>
                <w:szCs w:val="1"/>
                <w:color w:val="auto"/>
              </w:rPr>
            </w:pPr>
          </w:p>
        </w:tc>
      </w:tr>
      <w:tr>
        <w:trPr>
          <w:trHeight w:val="291"/>
        </w:trPr>
        <w:tc>
          <w:tcPr>
            <w:tcW w:w="2640" w:type="dxa"/>
            <w:vAlign w:val="bottom"/>
          </w:tcPr>
          <w:p>
            <w:pPr>
              <w:ind w:left="40"/>
              <w:spacing w:after="0"/>
              <w:rPr>
                <w:sz w:val="20"/>
                <w:szCs w:val="20"/>
                <w:color w:val="auto"/>
              </w:rPr>
            </w:pPr>
            <w:r>
              <w:rPr>
                <w:rFonts w:ascii="Arial" w:cs="Arial" w:eastAsia="Arial" w:hAnsi="Arial"/>
                <w:sz w:val="16"/>
                <w:szCs w:val="16"/>
                <w:color w:val="282A32"/>
              </w:rPr>
              <w:t>Balance, December 31, 2014</w:t>
            </w:r>
          </w:p>
        </w:tc>
        <w:tc>
          <w:tcPr>
            <w:tcW w:w="1340" w:type="dxa"/>
            <w:vAlign w:val="bottom"/>
          </w:tcPr>
          <w:p>
            <w:pPr>
              <w:jc w:val="right"/>
              <w:ind w:right="1"/>
              <w:spacing w:after="0"/>
              <w:rPr>
                <w:sz w:val="20"/>
                <w:szCs w:val="20"/>
                <w:color w:val="auto"/>
              </w:rPr>
            </w:pPr>
            <w:r>
              <w:rPr>
                <w:rFonts w:ascii="Arial" w:cs="Arial" w:eastAsia="Arial" w:hAnsi="Arial"/>
                <w:sz w:val="16"/>
                <w:szCs w:val="16"/>
                <w:color w:val="282A32"/>
              </w:rPr>
              <w:t>112,876,552</w:t>
            </w:r>
          </w:p>
        </w:tc>
        <w:tc>
          <w:tcPr>
            <w:tcW w:w="20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282A32"/>
              </w:rPr>
              <w:t>1.1</w:t>
            </w:r>
          </w:p>
        </w:tc>
        <w:tc>
          <w:tcPr>
            <w:tcW w:w="20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3,084.2</w:t>
            </w:r>
          </w:p>
        </w:tc>
        <w:tc>
          <w:tcPr>
            <w:tcW w:w="2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282A32"/>
              </w:rPr>
              <w:t>1,667.8</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82A32"/>
              </w:rPr>
              <w:t>(155.2)</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82A32"/>
              </w:rPr>
              <w:t>(1,654.9)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282A32"/>
              </w:rPr>
              <w:t>—</w:t>
            </w: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2,943.0</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Net earnings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282A32"/>
              </w:rPr>
              <w:t>419.2</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419.2</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Other comprehensive loss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82A32"/>
              </w:rPr>
              <w:t>(130.8)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82A32"/>
              </w:rPr>
              <w:t>(130.8)</w:t>
            </w:r>
          </w:p>
        </w:tc>
        <w:tc>
          <w:tcPr>
            <w:tcW w:w="0" w:type="dxa"/>
            <w:vAlign w:val="bottom"/>
          </w:tcPr>
          <w:p>
            <w:pPr>
              <w:spacing w:after="0"/>
              <w:rPr>
                <w:sz w:val="1"/>
                <w:szCs w:val="1"/>
                <w:color w:val="auto"/>
              </w:rPr>
            </w:pPr>
          </w:p>
        </w:tc>
      </w:tr>
      <w:tr>
        <w:trPr>
          <w:trHeight w:val="305"/>
        </w:trPr>
        <w:tc>
          <w:tcPr>
            <w:tcW w:w="2640" w:type="dxa"/>
            <w:vAlign w:val="bottom"/>
          </w:tcPr>
          <w:p>
            <w:pPr>
              <w:ind w:left="40"/>
              <w:spacing w:after="0"/>
              <w:rPr>
                <w:sz w:val="20"/>
                <w:szCs w:val="20"/>
                <w:color w:val="auto"/>
              </w:rPr>
            </w:pPr>
            <w:r>
              <w:rPr>
                <w:rFonts w:ascii="Arial" w:cs="Arial" w:eastAsia="Arial" w:hAnsi="Arial"/>
                <w:sz w:val="16"/>
                <w:szCs w:val="16"/>
                <w:color w:val="282A32"/>
              </w:rPr>
              <w:t>Issuances under equity plans,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282A32"/>
              </w:rPr>
              <w:t>including tax benefits</w:t>
            </w:r>
          </w:p>
        </w:tc>
        <w:tc>
          <w:tcPr>
            <w:tcW w:w="1340" w:type="dxa"/>
            <w:vAlign w:val="bottom"/>
          </w:tcPr>
          <w:p>
            <w:pPr>
              <w:jc w:val="right"/>
              <w:ind w:right="1"/>
              <w:spacing w:after="0"/>
              <w:rPr>
                <w:sz w:val="20"/>
                <w:szCs w:val="20"/>
                <w:color w:val="auto"/>
              </w:rPr>
            </w:pPr>
            <w:r>
              <w:rPr>
                <w:rFonts w:ascii="Arial" w:cs="Arial" w:eastAsia="Arial" w:hAnsi="Arial"/>
                <w:sz w:val="16"/>
                <w:szCs w:val="16"/>
                <w:color w:val="282A32"/>
              </w:rPr>
              <w:t>1,628,376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282A32"/>
              </w:rPr>
              <w:t>0.1</w:t>
            </w: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77.5</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82A32"/>
              </w:rPr>
              <w:t>(8.1)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69.5</w:t>
            </w:r>
          </w:p>
        </w:tc>
        <w:tc>
          <w:tcPr>
            <w:tcW w:w="0" w:type="dxa"/>
            <w:vAlign w:val="bottom"/>
          </w:tcPr>
          <w:p>
            <w:pPr>
              <w:spacing w:after="0"/>
              <w:rPr>
                <w:sz w:val="1"/>
                <w:szCs w:val="1"/>
                <w:color w:val="auto"/>
              </w:rPr>
            </w:pPr>
          </w:p>
        </w:tc>
      </w:tr>
      <w:tr>
        <w:trPr>
          <w:trHeight w:val="305"/>
        </w:trPr>
        <w:tc>
          <w:tcPr>
            <w:tcW w:w="2640" w:type="dxa"/>
            <w:vAlign w:val="bottom"/>
          </w:tcPr>
          <w:p>
            <w:pPr>
              <w:ind w:left="40"/>
              <w:spacing w:after="0"/>
              <w:rPr>
                <w:sz w:val="20"/>
                <w:szCs w:val="20"/>
                <w:color w:val="auto"/>
              </w:rPr>
            </w:pPr>
            <w:r>
              <w:rPr>
                <w:rFonts w:ascii="Arial" w:cs="Arial" w:eastAsia="Arial" w:hAnsi="Arial"/>
                <w:sz w:val="16"/>
                <w:szCs w:val="16"/>
                <w:color w:val="282A32"/>
              </w:rPr>
              <w:t>Share-based compensation</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282A32"/>
              </w:rPr>
              <w:t>expense</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282A32"/>
              </w:rPr>
              <w:t>31.1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282A32"/>
              </w:rPr>
              <w:t>31.1</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Dividends ($1.60 per share)</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82A32"/>
              </w:rPr>
              <w:t>(121.0)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82A32"/>
              </w:rPr>
              <w:t>(121.0)</w:t>
            </w:r>
          </w:p>
        </w:tc>
        <w:tc>
          <w:tcPr>
            <w:tcW w:w="0" w:type="dxa"/>
            <w:vAlign w:val="bottom"/>
          </w:tcPr>
          <w:p>
            <w:pPr>
              <w:spacing w:after="0"/>
              <w:rPr>
                <w:sz w:val="1"/>
                <w:szCs w:val="1"/>
                <w:color w:val="auto"/>
              </w:rPr>
            </w:pPr>
          </w:p>
        </w:tc>
      </w:tr>
      <w:tr>
        <w:trPr>
          <w:trHeight w:val="311"/>
        </w:trPr>
        <w:tc>
          <w:tcPr>
            <w:tcW w:w="2640" w:type="dxa"/>
            <w:vAlign w:val="bottom"/>
          </w:tcPr>
          <w:p>
            <w:pPr>
              <w:ind w:left="40"/>
              <w:spacing w:after="0"/>
              <w:rPr>
                <w:sz w:val="20"/>
                <w:szCs w:val="20"/>
                <w:color w:val="auto"/>
              </w:rPr>
            </w:pPr>
            <w:r>
              <w:rPr>
                <w:rFonts w:ascii="Arial" w:cs="Arial" w:eastAsia="Arial" w:hAnsi="Arial"/>
                <w:sz w:val="16"/>
                <w:szCs w:val="16"/>
                <w:color w:val="282A32"/>
              </w:rPr>
              <w:t>Repurchases of common stock</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82A32"/>
              </w:rPr>
              <w:t>(580.2)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82A32"/>
              </w:rPr>
              <w:t>(580.2)</w:t>
            </w:r>
          </w:p>
        </w:tc>
        <w:tc>
          <w:tcPr>
            <w:tcW w:w="0" w:type="dxa"/>
            <w:vAlign w:val="bottom"/>
          </w:tcPr>
          <w:p>
            <w:pPr>
              <w:spacing w:after="0"/>
              <w:rPr>
                <w:sz w:val="1"/>
                <w:szCs w:val="1"/>
                <w:color w:val="auto"/>
              </w:rPr>
            </w:pPr>
          </w:p>
        </w:tc>
      </w:tr>
      <w:tr>
        <w:trPr>
          <w:trHeight w:val="305"/>
        </w:trPr>
        <w:tc>
          <w:tcPr>
            <w:tcW w:w="2640" w:type="dxa"/>
            <w:vAlign w:val="bottom"/>
          </w:tcPr>
          <w:p>
            <w:pPr>
              <w:ind w:left="40"/>
              <w:spacing w:after="0"/>
              <w:rPr>
                <w:sz w:val="20"/>
                <w:szCs w:val="20"/>
                <w:color w:val="auto"/>
              </w:rPr>
            </w:pPr>
            <w:r>
              <w:rPr>
                <w:rFonts w:ascii="Arial" w:cs="Arial" w:eastAsia="Arial" w:hAnsi="Arial"/>
                <w:sz w:val="16"/>
                <w:szCs w:val="16"/>
                <w:color w:val="282A32"/>
              </w:rPr>
              <w:t>Contribution from a noncontrolling</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40"/>
              <w:spacing w:after="0"/>
              <w:rPr>
                <w:sz w:val="20"/>
                <w:szCs w:val="20"/>
                <w:color w:val="auto"/>
              </w:rPr>
            </w:pPr>
            <w:r>
              <w:rPr>
                <w:rFonts w:ascii="Arial" w:cs="Arial" w:eastAsia="Arial" w:hAnsi="Arial"/>
                <w:sz w:val="16"/>
                <w:szCs w:val="16"/>
                <w:color w:val="282A32"/>
              </w:rPr>
              <w:t>interest and other noncontrolling</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interest transactions</w:t>
            </w:r>
          </w:p>
        </w:tc>
        <w:tc>
          <w:tcPr>
            <w:tcW w:w="1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(6.1)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282A32"/>
              </w:rPr>
              <w:t>67.8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61.7</w:t>
            </w:r>
          </w:p>
        </w:tc>
        <w:tc>
          <w:tcPr>
            <w:tcW w:w="0" w:type="dxa"/>
            <w:vAlign w:val="bottom"/>
          </w:tcPr>
          <w:p>
            <w:pPr>
              <w:spacing w:after="0"/>
              <w:rPr>
                <w:sz w:val="1"/>
                <w:szCs w:val="1"/>
                <w:color w:val="auto"/>
              </w:rPr>
            </w:pPr>
          </w:p>
        </w:tc>
      </w:tr>
      <w:tr>
        <w:trPr>
          <w:trHeight w:val="304"/>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Balance, December 31, 2015</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82A32"/>
              </w:rPr>
              <w:t>114,504,928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282A32"/>
              </w:rPr>
              <w:t>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3,186.7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1,966.0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(286.0)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(2,243.2)</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282A32"/>
              </w:rPr>
              <w:t>67.8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2,692.5</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82A32"/>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49</w:t>
      </w:r>
      <w:r>
        <w:rPr>
          <w:sz w:val="20"/>
          <w:szCs w:val="20"/>
          <w:color w:val="auto"/>
        </w:rPr>
        <w:tab/>
      </w:r>
      <w:r>
        <w:rPr>
          <w:rFonts w:ascii="Arial" w:cs="Arial" w:eastAsia="Arial" w:hAnsi="Arial"/>
          <w:sz w:val="11"/>
          <w:szCs w:val="11"/>
          <w:color w:val="auto"/>
        </w:rPr>
        <w:t>Consolidated Statements of Shareholders' Equity</w:t>
      </w:r>
    </w:p>
    <w:p>
      <w:pPr>
        <w:sectPr>
          <w:pgSz w:w="11900" w:h="16838" w:orient="portrait"/>
          <w:cols w:equalWidth="0" w:num="1">
            <w:col w:w="11420"/>
          </w:cols>
          <w:pgMar w:left="240" w:top="417"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color w:val="2989B9"/>
        </w:rPr>
        <w:t>Note 01. Summary of Significant Accounting Policies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2989B9"/>
        </w:rPr>
        <w:t>Nature of Operations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ManpowerGroup Inc. is a world leader in the innovative workforce solutions and services industry. Our global network of over 2,900 offices in 80 countries and territories allows us to meet the needs of our global, multinational and local clients across all major industry segments. Our largest operations, based on revenues, are located in the United States, France,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Use of Estimates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2989B9"/>
        </w:rPr>
        <w:t>Basis of Consolidation</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the accounting guidance on consolidation of variable interest entities. These investments were $137.9 and $132.3 as of December 31, 2015 and 2014, respectively, and are included in other assets in the Consolidated Balance Sheets. Included in shareholders’ equity as of December 31, 2015 and 2014 are $85.4 and $77.4, respectively, of unremitted earnings from investments accounted for using the equity method. All significant intercompany accounts and transactions have been eliminated in consolidation.</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2989B9"/>
        </w:rPr>
        <w:t>Revenues and Receivables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revenues based on the hours worked. Permanent recruitment revenues are recorded as placements are made. Provisions for sales allowances, based on historical experience, are recognized at the time the related sale is recognized.</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50</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16"/>
          <w:szCs w:val="16"/>
          <w:color w:val="282A32"/>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$24.2, $25.4 and $24.4 for the years ended December 31, 2015, 2014 and 2013, respectively.</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our outplacement business, we recognize revenues from individual programs and for large projects over the estimated period in which services are rendered to candidates. In our consulting business, revenues are recognized upon the performance of the service under the consulting service contract. For performance-based contracts, we defer recognizing revenues until the performance criteria have been met.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 As of December 31, 2015 and 2014, deferred revenue was $38.4 and $35.5, respectively, all of which was current.</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record revenues from sales of services and the related direct costs in accordance with the accounting guidance on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Allowance for Doubtful Accounts</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82A32"/>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Bad debt expense is recorded as selling and administrative expenses in our Consolidated Statements of Operations and was $16.3, $18.9 and $24.1 in 2015, 2014 and 2013,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$20.3, $15.8 and $26.4 for 2015, 2014 and 2013, respectively.</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Advertising Costs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We expense production costs of advertising as they are incurred. Advertising expenses were $28.8, $25.7 and $22.3 in 2015, 2014 and 2013,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2989B9"/>
        </w:rPr>
        <w:t>Restructuring Costs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recorded net restructuring costs of $16.4 and $89.4 in 2015 and 2013, respectively, in selling and administrative expenses, primarily related to severances and office closures and consolidations in multiple countries and territories. During 2015 and 2014, we made payments of $12.9 and $35.5, respectively, out of our restructuring reserve. We expect a</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51 </w:t>
      </w:r>
      <w:r>
        <w:rPr>
          <w:rFonts w:ascii="Arial" w:cs="Arial" w:eastAsia="Arial" w:hAnsi="Arial"/>
          <w:sz w:val="11"/>
          <w:szCs w:val="11"/>
          <w:color w:val="auto"/>
        </w:rPr>
        <w:t>| ManpowerGroup</w:t>
      </w:r>
    </w:p>
    <w:p>
      <w:pPr>
        <w:sectPr>
          <w:pgSz w:w="11900" w:h="16838" w:orient="portrait"/>
          <w:cols w:equalWidth="0" w:num="1">
            <w:col w:w="11420"/>
          </w:cols>
          <w:pgMar w:left="240" w:top="573" w:right="2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282A32"/>
        </w:rPr>
        <w:t>majority of the remaining $16.4 reserve will be paid by the end of 2016. Changes in the restructuring liability balances for each reportable segment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82A32"/>
        </w:rPr>
        <w:t>Corporate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color w:val="282A32"/>
              </w:rPr>
              <w:t>Southern</w:t>
            </w:r>
          </w:p>
        </w:tc>
        <w:tc>
          <w:tcPr>
            <w:tcW w:w="3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color w:val="282A32"/>
              </w:rPr>
              <w:t>Northern</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color w:val="auto"/>
              </w:rPr>
              <w:t>Right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color w:val="282A32"/>
              </w:rPr>
              <w:t>Americas</w:t>
            </w:r>
            <w:r>
              <w:rPr>
                <w:rFonts w:ascii="Arial" w:cs="Arial" w:eastAsia="Arial" w:hAnsi="Arial"/>
                <w:sz w:val="17"/>
                <w:szCs w:val="17"/>
                <w:color w:val="282A32"/>
                <w:vertAlign w:val="superscript"/>
              </w:rPr>
              <w:t>(1)</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
              <w:spacing w:after="0" w:line="189" w:lineRule="exact"/>
              <w:rPr>
                <w:sz w:val="20"/>
                <w:szCs w:val="20"/>
                <w:color w:val="auto"/>
              </w:rPr>
            </w:pPr>
            <w:r>
              <w:rPr>
                <w:rFonts w:ascii="Arial" w:cs="Arial" w:eastAsia="Arial" w:hAnsi="Arial"/>
                <w:sz w:val="14"/>
                <w:szCs w:val="14"/>
                <w:color w:val="282A32"/>
              </w:rPr>
              <w:t>Europe</w:t>
            </w:r>
            <w:r>
              <w:rPr>
                <w:rFonts w:ascii="Arial" w:cs="Arial" w:eastAsia="Arial" w:hAnsi="Arial"/>
                <w:sz w:val="17"/>
                <w:szCs w:val="17"/>
                <w:color w:val="282A32"/>
                <w:vertAlign w:val="superscript"/>
              </w:rPr>
              <w:t>(2)</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282A32"/>
              </w:rPr>
              <w:t>Europe</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APME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Management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Corporate</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Total</w:t>
            </w:r>
          </w:p>
        </w:tc>
      </w:tr>
      <w:tr>
        <w:trPr>
          <w:trHeight w:val="217"/>
        </w:trPr>
        <w:tc>
          <w:tcPr>
            <w:tcW w:w="2800" w:type="dxa"/>
            <w:vAlign w:val="bottom"/>
          </w:tcPr>
          <w:p>
            <w:pPr>
              <w:ind w:left="40"/>
              <w:spacing w:after="0"/>
              <w:rPr>
                <w:sz w:val="20"/>
                <w:szCs w:val="20"/>
                <w:color w:val="auto"/>
              </w:rPr>
            </w:pPr>
            <w:r>
              <w:rPr>
                <w:rFonts w:ascii="Arial" w:cs="Arial" w:eastAsia="Arial" w:hAnsi="Arial"/>
                <w:sz w:val="16"/>
                <w:szCs w:val="16"/>
                <w:color w:val="282A32"/>
              </w:rPr>
              <w:t>Balance, January 1, 2014</w:t>
            </w:r>
          </w:p>
        </w:tc>
        <w:tc>
          <w:tcPr>
            <w:tcW w:w="860" w:type="dxa"/>
            <w:vAlign w:val="bottom"/>
          </w:tcPr>
          <w:p>
            <w:pPr>
              <w:jc w:val="right"/>
              <w:ind w:right="19"/>
              <w:spacing w:after="0"/>
              <w:rPr>
                <w:sz w:val="20"/>
                <w:szCs w:val="20"/>
                <w:color w:val="auto"/>
              </w:rPr>
            </w:pPr>
            <w:r>
              <w:rPr>
                <w:rFonts w:ascii="Arial" w:cs="Arial" w:eastAsia="Arial" w:hAnsi="Arial"/>
                <w:sz w:val="16"/>
                <w:szCs w:val="16"/>
                <w:color w:val="282A32"/>
              </w:rPr>
              <w:t>$</w:t>
            </w:r>
          </w:p>
        </w:tc>
        <w:tc>
          <w:tcPr>
            <w:tcW w:w="920" w:type="dxa"/>
            <w:vAlign w:val="bottom"/>
          </w:tcPr>
          <w:p>
            <w:pPr>
              <w:jc w:val="right"/>
              <w:spacing w:after="0"/>
              <w:rPr>
                <w:sz w:val="20"/>
                <w:szCs w:val="20"/>
                <w:color w:val="auto"/>
              </w:rPr>
            </w:pPr>
            <w:r>
              <w:rPr>
                <w:rFonts w:ascii="Arial" w:cs="Arial" w:eastAsia="Arial" w:hAnsi="Arial"/>
                <w:sz w:val="16"/>
                <w:szCs w:val="16"/>
                <w:color w:val="282A32"/>
              </w:rPr>
              <w:t>6.8</w:t>
            </w:r>
          </w:p>
        </w:tc>
        <w:tc>
          <w:tcPr>
            <w:tcW w:w="300" w:type="dxa"/>
            <w:vAlign w:val="bottom"/>
          </w:tcPr>
          <w:p>
            <w:pPr>
              <w:jc w:val="right"/>
              <w:ind w:right="79"/>
              <w:spacing w:after="0"/>
              <w:rPr>
                <w:sz w:val="20"/>
                <w:szCs w:val="20"/>
                <w:color w:val="auto"/>
              </w:rPr>
            </w:pPr>
            <w:r>
              <w:rPr>
                <w:rFonts w:ascii="Arial" w:cs="Arial" w:eastAsia="Arial" w:hAnsi="Arial"/>
                <w:sz w:val="16"/>
                <w:szCs w:val="16"/>
                <w:color w:val="282A32"/>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282A32"/>
              </w:rPr>
              <w:t>4.5</w:t>
            </w:r>
          </w:p>
        </w:tc>
        <w:tc>
          <w:tcPr>
            <w:tcW w:w="300" w:type="dxa"/>
            <w:vAlign w:val="bottom"/>
          </w:tcPr>
          <w:p>
            <w:pPr>
              <w:jc w:val="right"/>
              <w:ind w:right="79"/>
              <w:spacing w:after="0"/>
              <w:rPr>
                <w:sz w:val="20"/>
                <w:szCs w:val="20"/>
                <w:color w:val="auto"/>
              </w:rPr>
            </w:pPr>
            <w:r>
              <w:rPr>
                <w:rFonts w:ascii="Arial" w:cs="Arial" w:eastAsia="Arial" w:hAnsi="Arial"/>
                <w:sz w:val="16"/>
                <w:szCs w:val="16"/>
                <w:color w:val="282A32"/>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282A32"/>
              </w:rPr>
              <w:t>22.2</w:t>
            </w:r>
          </w:p>
        </w:tc>
        <w:tc>
          <w:tcPr>
            <w:tcW w:w="380" w:type="dxa"/>
            <w:vAlign w:val="bottom"/>
          </w:tcPr>
          <w:p>
            <w:pPr>
              <w:jc w:val="right"/>
              <w:ind w:right="179"/>
              <w:spacing w:after="0"/>
              <w:rPr>
                <w:sz w:val="20"/>
                <w:szCs w:val="20"/>
                <w:color w:val="auto"/>
              </w:rPr>
            </w:pPr>
            <w:r>
              <w:rPr>
                <w:rFonts w:ascii="Arial" w:cs="Arial" w:eastAsia="Arial" w:hAnsi="Arial"/>
                <w:sz w:val="16"/>
                <w:szCs w:val="16"/>
                <w:color w:val="282A32"/>
              </w:rPr>
              <w:t>$</w:t>
            </w:r>
          </w:p>
        </w:tc>
        <w:tc>
          <w:tcPr>
            <w:tcW w:w="740" w:type="dxa"/>
            <w:vAlign w:val="bottom"/>
          </w:tcPr>
          <w:p>
            <w:pPr>
              <w:jc w:val="right"/>
              <w:spacing w:after="0"/>
              <w:rPr>
                <w:sz w:val="20"/>
                <w:szCs w:val="20"/>
                <w:color w:val="auto"/>
              </w:rPr>
            </w:pPr>
            <w:r>
              <w:rPr>
                <w:rFonts w:ascii="Arial" w:cs="Arial" w:eastAsia="Arial" w:hAnsi="Arial"/>
                <w:sz w:val="16"/>
                <w:szCs w:val="16"/>
                <w:color w:val="282A32"/>
              </w:rPr>
              <w:t>1.8</w:t>
            </w:r>
          </w:p>
        </w:tc>
        <w:tc>
          <w:tcPr>
            <w:tcW w:w="240" w:type="dxa"/>
            <w:vAlign w:val="bottom"/>
          </w:tcPr>
          <w:p>
            <w:pPr>
              <w:jc w:val="right"/>
              <w:ind w:right="19"/>
              <w:spacing w:after="0"/>
              <w:rPr>
                <w:sz w:val="20"/>
                <w:szCs w:val="20"/>
                <w:color w:val="auto"/>
              </w:rPr>
            </w:pPr>
            <w:r>
              <w:rPr>
                <w:rFonts w:ascii="Arial" w:cs="Arial" w:eastAsia="Arial" w:hAnsi="Arial"/>
                <w:sz w:val="16"/>
                <w:szCs w:val="16"/>
                <w:color w:val="282A32"/>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282A32"/>
              </w:rPr>
              <w:t>12.3</w:t>
            </w:r>
          </w:p>
        </w:tc>
        <w:tc>
          <w:tcPr>
            <w:tcW w:w="220" w:type="dxa"/>
            <w:vAlign w:val="bottom"/>
          </w:tcPr>
          <w:p>
            <w:pPr>
              <w:jc w:val="right"/>
              <w:spacing w:after="0"/>
              <w:rPr>
                <w:sz w:val="20"/>
                <w:szCs w:val="20"/>
                <w:color w:val="auto"/>
              </w:rPr>
            </w:pPr>
            <w:r>
              <w:rPr>
                <w:rFonts w:ascii="Arial" w:cs="Arial" w:eastAsia="Arial" w:hAnsi="Arial"/>
                <w:sz w:val="16"/>
                <w:szCs w:val="16"/>
                <w:color w:val="282A32"/>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282A32"/>
              </w:rPr>
              <w:t>0.8</w:t>
            </w:r>
          </w:p>
        </w:tc>
        <w:tc>
          <w:tcPr>
            <w:tcW w:w="400" w:type="dxa"/>
            <w:vAlign w:val="bottom"/>
          </w:tcPr>
          <w:p>
            <w:pPr>
              <w:jc w:val="right"/>
              <w:ind w:right="199"/>
              <w:spacing w:after="0"/>
              <w:rPr>
                <w:sz w:val="20"/>
                <w:szCs w:val="20"/>
                <w:color w:val="auto"/>
              </w:rPr>
            </w:pPr>
            <w:r>
              <w:rPr>
                <w:rFonts w:ascii="Arial" w:cs="Arial" w:eastAsia="Arial" w:hAnsi="Arial"/>
                <w:sz w:val="16"/>
                <w:szCs w:val="16"/>
                <w:color w:val="282A32"/>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282A32"/>
              </w:rPr>
              <w:t>48.4</w:t>
            </w:r>
          </w:p>
        </w:tc>
      </w:tr>
      <w:tr>
        <w:trPr>
          <w:trHeight w:val="25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Costs paid or utilized</w:t>
            </w: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(5.7)</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(2.2)</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(16.4)</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(1.3)</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(10.0)</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0.1</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(35.5)</w:t>
            </w:r>
          </w:p>
        </w:tc>
      </w:tr>
      <w:tr>
        <w:trPr>
          <w:trHeight w:val="237"/>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Balance, December 31, 2014</w:t>
            </w: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1.1</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2.3</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5.8</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0.5</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82A32"/>
              </w:rPr>
              <w:t>2.3</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0.9</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12.9</w:t>
            </w:r>
          </w:p>
        </w:tc>
      </w:tr>
      <w:tr>
        <w:trPr>
          <w:trHeight w:val="224"/>
        </w:trPr>
        <w:tc>
          <w:tcPr>
            <w:tcW w:w="2800" w:type="dxa"/>
            <w:vAlign w:val="bottom"/>
          </w:tcPr>
          <w:p>
            <w:pPr>
              <w:ind w:left="40"/>
              <w:spacing w:after="0"/>
              <w:rPr>
                <w:sz w:val="20"/>
                <w:szCs w:val="20"/>
                <w:color w:val="auto"/>
              </w:rPr>
            </w:pPr>
            <w:r>
              <w:rPr>
                <w:rFonts w:ascii="Arial" w:cs="Arial" w:eastAsia="Arial" w:hAnsi="Arial"/>
                <w:sz w:val="16"/>
                <w:szCs w:val="16"/>
                <w:color w:val="282A32"/>
              </w:rPr>
              <w:t>Severance costs</w:t>
            </w:r>
          </w:p>
        </w:tc>
        <w:tc>
          <w:tcPr>
            <w:tcW w:w="8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82A32"/>
              </w:rPr>
              <w:t>2.5</w:t>
            </w:r>
          </w:p>
        </w:tc>
        <w:tc>
          <w:tcPr>
            <w:tcW w:w="30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282A32"/>
              </w:rPr>
              <w:t>—</w:t>
            </w:r>
          </w:p>
        </w:tc>
        <w:tc>
          <w:tcPr>
            <w:tcW w:w="30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282A32"/>
              </w:rPr>
              <w:t>8.6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82A32"/>
              </w:rPr>
              <w:t>0.9</w:t>
            </w:r>
          </w:p>
        </w:tc>
        <w:tc>
          <w:tcPr>
            <w:tcW w:w="2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282A32"/>
              </w:rPr>
              <w:t>1.1</w:t>
            </w:r>
          </w:p>
        </w:tc>
        <w:tc>
          <w:tcPr>
            <w:tcW w:w="22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282A32"/>
              </w:rPr>
              <w:t>—</w:t>
            </w:r>
          </w:p>
        </w:tc>
        <w:tc>
          <w:tcPr>
            <w:tcW w:w="40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282A32"/>
              </w:rPr>
              <w:t>13.1</w:t>
            </w:r>
          </w:p>
        </w:tc>
      </w:tr>
      <w:tr>
        <w:trPr>
          <w:trHeight w:val="243"/>
        </w:trPr>
        <w:tc>
          <w:tcPr>
            <w:tcW w:w="2800" w:type="dxa"/>
            <w:vAlign w:val="bottom"/>
          </w:tcPr>
          <w:p>
            <w:pPr>
              <w:ind w:left="40"/>
              <w:spacing w:after="0"/>
              <w:rPr>
                <w:sz w:val="20"/>
                <w:szCs w:val="20"/>
                <w:color w:val="auto"/>
              </w:rPr>
            </w:pPr>
            <w:r>
              <w:rPr>
                <w:rFonts w:ascii="Arial" w:cs="Arial" w:eastAsia="Arial" w:hAnsi="Arial"/>
                <w:sz w:val="16"/>
                <w:szCs w:val="16"/>
                <w:color w:val="282A32"/>
              </w:rPr>
              <w:t>Office closure costs</w:t>
            </w:r>
          </w:p>
        </w:tc>
        <w:tc>
          <w:tcPr>
            <w:tcW w:w="8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82A32"/>
              </w:rPr>
              <w:t>0.7</w:t>
            </w:r>
          </w:p>
        </w:tc>
        <w:tc>
          <w:tcPr>
            <w:tcW w:w="30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282A32"/>
              </w:rPr>
              <w:t>—</w:t>
            </w:r>
          </w:p>
        </w:tc>
        <w:tc>
          <w:tcPr>
            <w:tcW w:w="30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282A32"/>
              </w:rPr>
              <w:t>0.4</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82A32"/>
              </w:rPr>
              <w:t>2.0</w:t>
            </w:r>
          </w:p>
        </w:tc>
        <w:tc>
          <w:tcPr>
            <w:tcW w:w="24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282A32"/>
              </w:rPr>
              <w:t>0.2</w:t>
            </w:r>
          </w:p>
        </w:tc>
        <w:tc>
          <w:tcPr>
            <w:tcW w:w="22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282A32"/>
              </w:rPr>
              <w:t>—</w:t>
            </w:r>
          </w:p>
        </w:tc>
        <w:tc>
          <w:tcPr>
            <w:tcW w:w="40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282A32"/>
              </w:rPr>
              <w:t>3.3</w:t>
            </w:r>
          </w:p>
        </w:tc>
      </w:tr>
      <w:tr>
        <w:trPr>
          <w:trHeight w:val="25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Costs paid or utilized</w:t>
            </w: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(0.8)</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(6.3)</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(1.7)</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(2.8)</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(12.9)</w:t>
            </w:r>
          </w:p>
        </w:tc>
      </w:tr>
      <w:tr>
        <w:trPr>
          <w:trHeight w:val="30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Balance, December 31, 2015</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3.5</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1.7</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8.5</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282A3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82A32"/>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82A32"/>
              </w:rPr>
              <w:t>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0.2</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282A32"/>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16.4</w:t>
            </w:r>
          </w:p>
        </w:tc>
      </w:tr>
    </w:tbl>
    <w:p>
      <w:pPr>
        <w:spacing w:after="0" w:line="153" w:lineRule="exact"/>
        <w:rPr>
          <w:sz w:val="20"/>
          <w:szCs w:val="20"/>
          <w:color w:val="auto"/>
        </w:rPr>
      </w:pPr>
    </w:p>
    <w:p>
      <w:pPr>
        <w:ind w:right="20" w:firstLine="8"/>
        <w:spacing w:after="0" w:line="241" w:lineRule="auto"/>
        <w:tabs>
          <w:tab w:leader="none" w:pos="226" w:val="left"/>
        </w:tabs>
        <w:numPr>
          <w:ilvl w:val="0"/>
          <w:numId w:val="77"/>
        </w:numPr>
        <w:rPr>
          <w:rFonts w:ascii="Arial" w:cs="Arial" w:eastAsia="Arial" w:hAnsi="Arial"/>
          <w:sz w:val="14"/>
          <w:szCs w:val="14"/>
          <w:color w:val="282A32"/>
        </w:rPr>
      </w:pPr>
      <w:r>
        <w:rPr>
          <w:rFonts w:ascii="Arial" w:cs="Arial" w:eastAsia="Arial" w:hAnsi="Arial"/>
          <w:sz w:val="14"/>
          <w:szCs w:val="14"/>
          <w:color w:val="282A32"/>
        </w:rPr>
        <w:t>Balance related to United States was $5.1 as of January 1, 2014. In 2014, United States paid/utilized $4.1, leaving a $1.0 liability as of December 31, 2014. In 2015, United States incurred $2.3 for severance costs and $0.7 for office closure costs and paid/utilized $1.1, leaving a $2.9 liability as of December 31, 2015.</w:t>
      </w:r>
    </w:p>
    <w:p>
      <w:pPr>
        <w:jc w:val="both"/>
        <w:ind w:right="20" w:firstLine="8"/>
        <w:spacing w:after="0" w:line="253" w:lineRule="auto"/>
        <w:tabs>
          <w:tab w:leader="none" w:pos="225" w:val="left"/>
        </w:tabs>
        <w:numPr>
          <w:ilvl w:val="0"/>
          <w:numId w:val="77"/>
        </w:numPr>
        <w:rPr>
          <w:rFonts w:ascii="Arial" w:cs="Arial" w:eastAsia="Arial" w:hAnsi="Arial"/>
          <w:sz w:val="14"/>
          <w:szCs w:val="14"/>
          <w:color w:val="282A32"/>
        </w:rPr>
      </w:pPr>
      <w:r>
        <w:rPr>
          <w:rFonts w:ascii="Arial" w:cs="Arial" w:eastAsia="Arial" w:hAnsi="Arial"/>
          <w:sz w:val="14"/>
          <w:szCs w:val="14"/>
          <w:color w:val="282A32"/>
        </w:rPr>
        <w:t>Balance related to France was $3.5 as of January 1, 2014. In 2014, France paid/utilized $1.4, leaving a $2.1 liability as of December 31, 2014. In 2015, France paid/utilized $0.6, leaving a $1.5 liability as of December 31, 2015. Italy had a $0.9 liability as of January 1, 2014. In 2014, Italy paid/utilized $0.9, leaving no liability as of December 31, 2014 or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2989B9"/>
        </w:rPr>
        <w:t>Income Taxes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The assets and liabilities measured and recorded at fair value on a recurring basis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gridSpan w:val="5"/>
          </w:tcPr>
          <w:p>
            <w:pPr>
              <w:jc w:val="right"/>
              <w:ind w:right="220"/>
              <w:spacing w:after="0"/>
              <w:rPr>
                <w:sz w:val="20"/>
                <w:szCs w:val="20"/>
                <w:color w:val="auto"/>
              </w:rPr>
            </w:pPr>
            <w:r>
              <w:rPr>
                <w:rFonts w:ascii="Arial" w:cs="Arial" w:eastAsia="Arial" w:hAnsi="Arial"/>
                <w:sz w:val="14"/>
                <w:szCs w:val="14"/>
                <w:color w:val="282A32"/>
              </w:rPr>
              <w:t>Fair Value Measurements Using</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20" w:type="dxa"/>
            <w:vAlign w:val="bottom"/>
            <w:gridSpan w:val="4"/>
          </w:tcPr>
          <w:p>
            <w:pPr>
              <w:jc w:val="right"/>
              <w:ind w:right="23"/>
              <w:spacing w:after="0"/>
              <w:rPr>
                <w:sz w:val="20"/>
                <w:szCs w:val="20"/>
                <w:color w:val="auto"/>
              </w:rPr>
            </w:pPr>
            <w:r>
              <w:rPr>
                <w:rFonts w:ascii="Arial" w:cs="Arial" w:eastAsia="Arial" w:hAnsi="Arial"/>
                <w:sz w:val="14"/>
                <w:szCs w:val="14"/>
                <w:color w:val="282A32"/>
              </w:rPr>
              <w:t>Fair Value Measurements Using</w:t>
            </w:r>
          </w:p>
        </w:tc>
        <w:tc>
          <w:tcPr>
            <w:tcW w:w="0" w:type="dxa"/>
            <w:vAlign w:val="bottom"/>
          </w:tcPr>
          <w:p>
            <w:pPr>
              <w:spacing w:after="0"/>
              <w:rPr>
                <w:sz w:val="1"/>
                <w:szCs w:val="1"/>
                <w:color w:val="auto"/>
              </w:rPr>
            </w:pPr>
          </w:p>
        </w:tc>
      </w:tr>
      <w:tr>
        <w:trPr>
          <w:trHeight w:val="193"/>
        </w:trPr>
        <w:tc>
          <w:tcPr>
            <w:tcW w:w="2640" w:type="dxa"/>
            <w:vAlign w:val="bottom"/>
          </w:tcPr>
          <w:p>
            <w:pPr>
              <w:spacing w:after="0"/>
              <w:rPr>
                <w:sz w:val="16"/>
                <w:szCs w:val="16"/>
                <w:color w:val="auto"/>
              </w:rPr>
            </w:pPr>
          </w:p>
        </w:tc>
        <w:tc>
          <w:tcPr>
            <w:tcW w:w="140" w:type="dxa"/>
            <w:vAlign w:val="bottom"/>
            <w:tcBorders>
              <w:top w:val="single" w:sz="8" w:color="auto"/>
            </w:tcBorders>
            <w:shd w:val="clear" w:color="auto" w:fill="E1F4FD"/>
          </w:tcPr>
          <w:p>
            <w:pPr>
              <w:spacing w:after="0"/>
              <w:rPr>
                <w:sz w:val="16"/>
                <w:szCs w:val="16"/>
                <w:color w:val="auto"/>
              </w:rPr>
            </w:pPr>
          </w:p>
        </w:tc>
        <w:tc>
          <w:tcPr>
            <w:tcW w:w="1020" w:type="dxa"/>
            <w:vAlign w:val="bottom"/>
            <w:tcBorders>
              <w:top w:val="single" w:sz="8" w:color="auto"/>
            </w:tcBorders>
            <w:shd w:val="clear" w:color="auto" w:fill="E1F4FD"/>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82A32"/>
              </w:rPr>
              <w:t>Quoted</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82A32"/>
              </w:rPr>
              <w:t>Quoted</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shd w:val="clear" w:color="auto" w:fill="E1F4FD"/>
          </w:tcPr>
          <w:p>
            <w:pPr>
              <w:spacing w:after="0"/>
              <w:rPr>
                <w:sz w:val="14"/>
                <w:szCs w:val="14"/>
                <w:color w:val="auto"/>
              </w:rPr>
            </w:pPr>
          </w:p>
        </w:tc>
        <w:tc>
          <w:tcPr>
            <w:tcW w:w="1020" w:type="dxa"/>
            <w:vAlign w:val="bottom"/>
            <w:shd w:val="clear" w:color="auto" w:fill="E1F4FD"/>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82A32"/>
              </w:rPr>
              <w:t>Prices in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82A32"/>
              </w:rPr>
              <w:t>Prices in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shd w:val="clear" w:color="auto" w:fill="E1F4FD"/>
          </w:tcPr>
          <w:p>
            <w:pPr>
              <w:spacing w:after="0"/>
              <w:rPr>
                <w:sz w:val="14"/>
                <w:szCs w:val="14"/>
                <w:color w:val="auto"/>
              </w:rPr>
            </w:pPr>
          </w:p>
        </w:tc>
        <w:tc>
          <w:tcPr>
            <w:tcW w:w="1020" w:type="dxa"/>
            <w:vAlign w:val="bottom"/>
            <w:shd w:val="clear" w:color="auto" w:fill="E1F4FD"/>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82A32"/>
              </w:rPr>
              <w:t>Active</w:t>
            </w:r>
          </w:p>
        </w:tc>
        <w:tc>
          <w:tcPr>
            <w:tcW w:w="20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4"/>
                <w:szCs w:val="14"/>
                <w:color w:val="282A32"/>
              </w:rPr>
              <w:t>Significant</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82A32"/>
              </w:rPr>
              <w:t>Active</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282A32"/>
              </w:rPr>
              <w:t>Significant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shd w:val="clear" w:color="auto" w:fill="E1F4FD"/>
          </w:tcPr>
          <w:p>
            <w:pPr>
              <w:spacing w:after="0"/>
              <w:rPr>
                <w:sz w:val="14"/>
                <w:szCs w:val="14"/>
                <w:color w:val="auto"/>
              </w:rPr>
            </w:pPr>
          </w:p>
        </w:tc>
        <w:tc>
          <w:tcPr>
            <w:tcW w:w="1020" w:type="dxa"/>
            <w:vAlign w:val="bottom"/>
            <w:shd w:val="clear" w:color="auto" w:fill="E1F4FD"/>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82A32"/>
              </w:rPr>
              <w:t>Markets for</w:t>
            </w:r>
          </w:p>
        </w:tc>
        <w:tc>
          <w:tcPr>
            <w:tcW w:w="20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4"/>
                <w:szCs w:val="14"/>
                <w:color w:val="282A32"/>
              </w:rPr>
              <w:t>Other</w:t>
            </w: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282A32"/>
              </w:rPr>
              <w:t>Significant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82A32"/>
              </w:rPr>
              <w:t>Markets for</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282A32"/>
              </w:rPr>
              <w:t>Other</w:t>
            </w:r>
          </w:p>
        </w:tc>
        <w:tc>
          <w:tcPr>
            <w:tcW w:w="18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color w:val="282A32"/>
              </w:rPr>
              <w:t>Significant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shd w:val="clear" w:color="auto" w:fill="E1F4FD"/>
          </w:tcPr>
          <w:p>
            <w:pPr>
              <w:spacing w:after="0"/>
              <w:rPr>
                <w:sz w:val="14"/>
                <w:szCs w:val="14"/>
                <w:color w:val="auto"/>
              </w:rPr>
            </w:pPr>
          </w:p>
        </w:tc>
        <w:tc>
          <w:tcPr>
            <w:tcW w:w="1020" w:type="dxa"/>
            <w:vAlign w:val="bottom"/>
            <w:shd w:val="clear" w:color="auto" w:fill="E1F4FD"/>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82A32"/>
              </w:rPr>
              <w:t>Identical</w:t>
            </w:r>
          </w:p>
        </w:tc>
        <w:tc>
          <w:tcPr>
            <w:tcW w:w="20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4"/>
                <w:szCs w:val="14"/>
                <w:color w:val="282A32"/>
              </w:rPr>
              <w:t>Observable</w:t>
            </w: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282A32"/>
              </w:rPr>
              <w:t>Unobservable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82A32"/>
              </w:rPr>
              <w:t>Identical</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282A32"/>
              </w:rPr>
              <w:t>Observable</w:t>
            </w:r>
          </w:p>
        </w:tc>
        <w:tc>
          <w:tcPr>
            <w:tcW w:w="18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color w:val="282A32"/>
              </w:rPr>
              <w:t>Unobservable</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shd w:val="clear" w:color="auto" w:fill="E1F4FD"/>
          </w:tcPr>
          <w:p>
            <w:pPr>
              <w:spacing w:after="0"/>
              <w:rPr>
                <w:sz w:val="14"/>
                <w:szCs w:val="14"/>
                <w:color w:val="auto"/>
              </w:rPr>
            </w:pPr>
          </w:p>
        </w:tc>
        <w:tc>
          <w:tcPr>
            <w:tcW w:w="1020" w:type="dxa"/>
            <w:vAlign w:val="bottom"/>
            <w:shd w:val="clear" w:color="auto" w:fill="E1F4FD"/>
          </w:tcPr>
          <w:p>
            <w:pPr>
              <w:jc w:val="right"/>
              <w:ind w:right="22"/>
              <w:spacing w:after="0"/>
              <w:rPr>
                <w:sz w:val="20"/>
                <w:szCs w:val="20"/>
                <w:color w:val="auto"/>
              </w:rPr>
            </w:pPr>
            <w:r>
              <w:rPr>
                <w:rFonts w:ascii="Arial" w:cs="Arial" w:eastAsia="Arial" w:hAnsi="Arial"/>
                <w:sz w:val="14"/>
                <w:szCs w:val="14"/>
                <w:color w:val="4F8ABE"/>
              </w:rPr>
              <w:t>December 31,</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82A32"/>
              </w:rPr>
              <w:t>Assets</w:t>
            </w:r>
          </w:p>
        </w:tc>
        <w:tc>
          <w:tcPr>
            <w:tcW w:w="20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4"/>
                <w:szCs w:val="14"/>
                <w:color w:val="282A32"/>
              </w:rPr>
              <w:t>Inputs</w:t>
            </w: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282A32"/>
              </w:rPr>
              <w:t>Inputs</w:t>
            </w:r>
          </w:p>
        </w:tc>
        <w:tc>
          <w:tcPr>
            <w:tcW w:w="12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4"/>
                <w:szCs w:val="14"/>
                <w:color w:val="282A32"/>
              </w:rPr>
              <w:t>December 31,</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82A32"/>
              </w:rPr>
              <w:t>Assets</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282A32"/>
              </w:rPr>
              <w:t>Inputs</w:t>
            </w:r>
          </w:p>
        </w:tc>
        <w:tc>
          <w:tcPr>
            <w:tcW w:w="18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color w:val="282A32"/>
              </w:rPr>
              <w:t>Inputs</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shd w:val="clear" w:color="auto" w:fill="E1F4FD"/>
          </w:tcPr>
          <w:p>
            <w:pPr>
              <w:spacing w:after="0"/>
              <w:rPr>
                <w:sz w:val="15"/>
                <w:szCs w:val="15"/>
                <w:color w:val="auto"/>
              </w:rPr>
            </w:pPr>
          </w:p>
        </w:tc>
        <w:tc>
          <w:tcPr>
            <w:tcW w:w="102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4"/>
                <w:szCs w:val="14"/>
                <w:color w:val="4F8ABE"/>
              </w:rPr>
              <w:t>2015</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(Level 1)</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282A32"/>
              </w:rPr>
              <w:t>(Level 2)</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282A32"/>
              </w:rPr>
              <w:t>(Level 3)</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282A32"/>
              </w:rPr>
              <w:t>2014</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(Level 1)</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(Level 2)</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282A32"/>
              </w:rPr>
              <w:t>(Level 3)</w:t>
            </w:r>
          </w:p>
        </w:tc>
        <w:tc>
          <w:tcPr>
            <w:tcW w:w="0" w:type="dxa"/>
            <w:vAlign w:val="bottom"/>
          </w:tcPr>
          <w:p>
            <w:pPr>
              <w:spacing w:after="0"/>
              <w:rPr>
                <w:sz w:val="1"/>
                <w:szCs w:val="1"/>
                <w:color w:val="auto"/>
              </w:rPr>
            </w:pPr>
          </w:p>
        </w:tc>
      </w:tr>
      <w:tr>
        <w:trPr>
          <w:trHeight w:val="291"/>
        </w:trPr>
        <w:tc>
          <w:tcPr>
            <w:tcW w:w="2640" w:type="dxa"/>
            <w:vAlign w:val="bottom"/>
          </w:tcPr>
          <w:p>
            <w:pPr>
              <w:ind w:left="40"/>
              <w:spacing w:after="0"/>
              <w:rPr>
                <w:sz w:val="20"/>
                <w:szCs w:val="20"/>
                <w:color w:val="auto"/>
              </w:rPr>
            </w:pPr>
            <w:r>
              <w:rPr>
                <w:rFonts w:ascii="Arial" w:cs="Arial" w:eastAsia="Arial" w:hAnsi="Arial"/>
                <w:sz w:val="16"/>
                <w:szCs w:val="16"/>
                <w:color w:val="2989B9"/>
              </w:rPr>
              <w:t>Assets</w:t>
            </w:r>
          </w:p>
        </w:tc>
        <w:tc>
          <w:tcPr>
            <w:tcW w:w="140" w:type="dxa"/>
            <w:vAlign w:val="bottom"/>
            <w:shd w:val="clear" w:color="auto" w:fill="E1F4FD"/>
          </w:tcPr>
          <w:p>
            <w:pPr>
              <w:spacing w:after="0"/>
              <w:rPr>
                <w:sz w:val="24"/>
                <w:szCs w:val="24"/>
                <w:color w:val="auto"/>
              </w:rPr>
            </w:pPr>
          </w:p>
        </w:tc>
        <w:tc>
          <w:tcPr>
            <w:tcW w:w="1020" w:type="dxa"/>
            <w:vAlign w:val="bottom"/>
            <w:shd w:val="clear" w:color="auto" w:fill="E1F4FD"/>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282A32"/>
              </w:rPr>
              <w:t>Foreign currency forward contracts</w:t>
            </w:r>
          </w:p>
        </w:tc>
        <w:tc>
          <w:tcPr>
            <w:tcW w:w="14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020" w:type="dxa"/>
            <w:vAlign w:val="bottom"/>
            <w:shd w:val="clear" w:color="auto" w:fill="E1F4FD"/>
          </w:tcPr>
          <w:p>
            <w:pPr>
              <w:jc w:val="right"/>
              <w:ind w:right="22"/>
              <w:spacing w:after="0"/>
              <w:rPr>
                <w:sz w:val="20"/>
                <w:szCs w:val="20"/>
                <w:color w:val="auto"/>
              </w:rPr>
            </w:pPr>
            <w:r>
              <w:rPr>
                <w:rFonts w:ascii="Arial" w:cs="Arial" w:eastAsia="Arial" w:hAnsi="Arial"/>
                <w:sz w:val="16"/>
                <w:szCs w:val="16"/>
                <w:color w:val="4F8ABE"/>
              </w:rPr>
              <w:t>0.1</w:t>
            </w:r>
          </w:p>
        </w:tc>
        <w:tc>
          <w:tcPr>
            <w:tcW w:w="160" w:type="dxa"/>
            <w:vAlign w:val="bottom"/>
          </w:tcPr>
          <w:p>
            <w:pPr>
              <w:jc w:val="right"/>
              <w:spacing w:after="0"/>
              <w:rPr>
                <w:sz w:val="20"/>
                <w:szCs w:val="20"/>
                <w:color w:val="auto"/>
              </w:rPr>
            </w:pPr>
            <w:r>
              <w:rPr>
                <w:rFonts w:ascii="Arial" w:cs="Arial" w:eastAsia="Arial" w:hAnsi="Arial"/>
                <w:sz w:val="16"/>
                <w:szCs w:val="16"/>
                <w:color w:val="282A32"/>
              </w:rPr>
              <w:t>$</w:t>
            </w:r>
          </w:p>
        </w:tc>
        <w:tc>
          <w:tcPr>
            <w:tcW w:w="820" w:type="dxa"/>
            <w:vAlign w:val="bottom"/>
          </w:tcPr>
          <w:p>
            <w:pPr>
              <w:jc w:val="right"/>
              <w:spacing w:after="0"/>
              <w:rPr>
                <w:sz w:val="20"/>
                <w:szCs w:val="20"/>
                <w:color w:val="auto"/>
              </w:rPr>
            </w:pPr>
            <w:r>
              <w:rPr>
                <w:rFonts w:ascii="Arial" w:cs="Arial" w:eastAsia="Arial" w:hAnsi="Arial"/>
                <w:sz w:val="16"/>
                <w:szCs w:val="16"/>
                <w:color w:val="282A32"/>
              </w:rPr>
              <w:t>—</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282A32"/>
              </w:rPr>
              <w:t>0.1</w:t>
            </w:r>
          </w:p>
        </w:tc>
        <w:tc>
          <w:tcPr>
            <w:tcW w:w="160" w:type="dxa"/>
            <w:vAlign w:val="bottom"/>
          </w:tcPr>
          <w:p>
            <w:pPr>
              <w:jc w:val="right"/>
              <w:spacing w:after="0"/>
              <w:rPr>
                <w:sz w:val="20"/>
                <w:szCs w:val="20"/>
                <w:color w:val="auto"/>
              </w:rPr>
            </w:pPr>
            <w:r>
              <w:rPr>
                <w:rFonts w:ascii="Arial" w:cs="Arial" w:eastAsia="Arial" w:hAnsi="Arial"/>
                <w:sz w:val="16"/>
                <w:szCs w:val="16"/>
                <w:color w:val="282A32"/>
              </w:rPr>
              <w:t>$</w:t>
            </w:r>
          </w:p>
        </w:tc>
        <w:tc>
          <w:tcPr>
            <w:tcW w:w="1120" w:type="dxa"/>
            <w:vAlign w:val="bottom"/>
            <w:gridSpan w:val="2"/>
          </w:tcPr>
          <w:p>
            <w:pPr>
              <w:ind w:left="740"/>
              <w:spacing w:after="0"/>
              <w:rPr>
                <w:sz w:val="20"/>
                <w:szCs w:val="20"/>
                <w:color w:val="auto"/>
              </w:rPr>
            </w:pPr>
            <w:r>
              <w:rPr>
                <w:rFonts w:ascii="Arial" w:cs="Arial" w:eastAsia="Arial" w:hAnsi="Arial"/>
                <w:sz w:val="16"/>
                <w:szCs w:val="16"/>
                <w:color w:val="282A32"/>
              </w:rPr>
              <w:t>—</w:t>
            </w:r>
          </w:p>
        </w:tc>
        <w:tc>
          <w:tcPr>
            <w:tcW w:w="120" w:type="dxa"/>
            <w:vAlign w:val="bottom"/>
          </w:tcPr>
          <w:p>
            <w:pPr>
              <w:jc w:val="right"/>
              <w:spacing w:after="0"/>
              <w:rPr>
                <w:sz w:val="20"/>
                <w:szCs w:val="20"/>
                <w:color w:val="auto"/>
              </w:rPr>
            </w:pPr>
            <w:r>
              <w:rPr>
                <w:rFonts w:ascii="Arial" w:cs="Arial" w:eastAsia="Arial" w:hAnsi="Arial"/>
                <w:sz w:val="16"/>
                <w:szCs w:val="16"/>
                <w:color w:val="282A32"/>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282A32"/>
              </w:rPr>
              <w:t>0.1</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800" w:type="dxa"/>
            <w:vAlign w:val="bottom"/>
          </w:tcPr>
          <w:p>
            <w:pPr>
              <w:jc w:val="right"/>
              <w:spacing w:after="0"/>
              <w:rPr>
                <w:sz w:val="20"/>
                <w:szCs w:val="20"/>
                <w:color w:val="auto"/>
              </w:rPr>
            </w:pPr>
            <w:r>
              <w:rPr>
                <w:rFonts w:ascii="Arial" w:cs="Arial" w:eastAsia="Arial" w:hAnsi="Arial"/>
                <w:sz w:val="16"/>
                <w:szCs w:val="16"/>
                <w:color w:val="282A32"/>
              </w:rPr>
              <w:t>—</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840" w:type="dxa"/>
            <w:vAlign w:val="bottom"/>
          </w:tcPr>
          <w:p>
            <w:pPr>
              <w:jc w:val="right"/>
              <w:spacing w:after="0"/>
              <w:rPr>
                <w:sz w:val="20"/>
                <w:szCs w:val="20"/>
                <w:color w:val="auto"/>
              </w:rPr>
            </w:pPr>
            <w:r>
              <w:rPr>
                <w:rFonts w:ascii="Arial" w:cs="Arial" w:eastAsia="Arial" w:hAnsi="Arial"/>
                <w:sz w:val="16"/>
                <w:szCs w:val="16"/>
                <w:color w:val="282A32"/>
              </w:rPr>
              <w:t>0.1</w:t>
            </w:r>
          </w:p>
        </w:tc>
        <w:tc>
          <w:tcPr>
            <w:tcW w:w="180" w:type="dxa"/>
            <w:vAlign w:val="bottom"/>
          </w:tcPr>
          <w:p>
            <w:pPr>
              <w:jc w:val="right"/>
              <w:spacing w:after="0"/>
              <w:rPr>
                <w:sz w:val="20"/>
                <w:szCs w:val="20"/>
                <w:color w:val="auto"/>
              </w:rPr>
            </w:pPr>
            <w:r>
              <w:rPr>
                <w:rFonts w:ascii="Arial" w:cs="Arial" w:eastAsia="Arial" w:hAnsi="Arial"/>
                <w:sz w:val="16"/>
                <w:szCs w:val="16"/>
                <w:color w:val="282A32"/>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282A32"/>
              </w:rPr>
              <w:t>—</w:t>
            </w:r>
          </w:p>
        </w:tc>
        <w:tc>
          <w:tcPr>
            <w:tcW w:w="0" w:type="dxa"/>
            <w:vAlign w:val="bottom"/>
          </w:tcPr>
          <w:p>
            <w:pPr>
              <w:spacing w:after="0"/>
              <w:rPr>
                <w:sz w:val="1"/>
                <w:szCs w:val="1"/>
                <w:color w:val="auto"/>
              </w:rPr>
            </w:pPr>
          </w:p>
        </w:tc>
      </w:tr>
      <w:tr>
        <w:trPr>
          <w:trHeight w:val="28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Deferred compensation plan assets</w:t>
            </w:r>
          </w:p>
        </w:tc>
        <w:tc>
          <w:tcPr>
            <w:tcW w:w="140" w:type="dxa"/>
            <w:vAlign w:val="bottom"/>
            <w:tcBorders>
              <w:bottom w:val="single" w:sz="8" w:color="auto"/>
            </w:tcBorders>
            <w:shd w:val="clear" w:color="auto" w:fill="E1F4FD"/>
          </w:tcPr>
          <w:p>
            <w:pPr>
              <w:spacing w:after="0"/>
              <w:rPr>
                <w:sz w:val="24"/>
                <w:szCs w:val="24"/>
                <w:color w:val="auto"/>
              </w:rPr>
            </w:pPr>
          </w:p>
        </w:tc>
        <w:tc>
          <w:tcPr>
            <w:tcW w:w="102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6"/>
                <w:szCs w:val="16"/>
                <w:color w:val="4F8ABE"/>
              </w:rPr>
              <w:t>84.1</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84.1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282A32"/>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740"/>
              <w:spacing w:after="0"/>
              <w:rPr>
                <w:sz w:val="20"/>
                <w:szCs w:val="20"/>
                <w:color w:val="auto"/>
              </w:rPr>
            </w:pPr>
            <w:r>
              <w:rPr>
                <w:rFonts w:ascii="Arial" w:cs="Arial" w:eastAsia="Arial" w:hAnsi="Arial"/>
                <w:sz w:val="16"/>
                <w:szCs w:val="16"/>
                <w:color w:val="282A32"/>
              </w:rPr>
              <w:t>—</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82A32"/>
              </w:rPr>
              <w:t>81.4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81.4</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282A32"/>
              </w:rPr>
              <w:t>—</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02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6"/>
                <w:szCs w:val="16"/>
                <w:color w:val="4F8ABE"/>
              </w:rPr>
              <w:t>84.2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282A32"/>
              </w:rPr>
              <w:t>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120" w:type="dxa"/>
            <w:vAlign w:val="bottom"/>
            <w:tcBorders>
              <w:bottom w:val="single" w:sz="8" w:color="auto"/>
            </w:tcBorders>
            <w:gridSpan w:val="2"/>
          </w:tcPr>
          <w:p>
            <w:pPr>
              <w:ind w:left="740"/>
              <w:spacing w:after="0"/>
              <w:rPr>
                <w:sz w:val="20"/>
                <w:szCs w:val="20"/>
                <w:color w:val="auto"/>
              </w:rPr>
            </w:pPr>
            <w:r>
              <w:rPr>
                <w:rFonts w:ascii="Arial" w:cs="Arial" w:eastAsia="Arial" w:hAnsi="Arial"/>
                <w:sz w:val="16"/>
                <w:szCs w:val="16"/>
                <w:color w:val="282A32"/>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82A32"/>
              </w:rPr>
              <w:t>81.5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282A32"/>
              </w:rPr>
              <w:t>—</w:t>
            </w:r>
          </w:p>
        </w:tc>
        <w:tc>
          <w:tcPr>
            <w:tcW w:w="0" w:type="dxa"/>
            <w:vAlign w:val="bottom"/>
          </w:tcPr>
          <w:p>
            <w:pPr>
              <w:spacing w:after="0"/>
              <w:rPr>
                <w:sz w:val="1"/>
                <w:szCs w:val="1"/>
                <w:color w:val="auto"/>
              </w:rPr>
            </w:pPr>
          </w:p>
        </w:tc>
      </w:tr>
      <w:tr>
        <w:trPr>
          <w:trHeight w:val="251"/>
        </w:trPr>
        <w:tc>
          <w:tcPr>
            <w:tcW w:w="2640" w:type="dxa"/>
            <w:vAlign w:val="bottom"/>
          </w:tcPr>
          <w:p>
            <w:pPr>
              <w:ind w:left="20"/>
              <w:spacing w:after="0"/>
              <w:rPr>
                <w:sz w:val="20"/>
                <w:szCs w:val="20"/>
                <w:color w:val="auto"/>
              </w:rPr>
            </w:pPr>
            <w:r>
              <w:rPr>
                <w:rFonts w:ascii="Arial" w:cs="Arial" w:eastAsia="Arial" w:hAnsi="Arial"/>
                <w:sz w:val="16"/>
                <w:szCs w:val="16"/>
                <w:color w:val="2989B9"/>
              </w:rPr>
              <w:t>Liabilities</w:t>
            </w:r>
          </w:p>
        </w:tc>
        <w:tc>
          <w:tcPr>
            <w:tcW w:w="140" w:type="dxa"/>
            <w:vAlign w:val="bottom"/>
            <w:shd w:val="clear" w:color="auto" w:fill="E1F4FD"/>
          </w:tcPr>
          <w:p>
            <w:pPr>
              <w:spacing w:after="0"/>
              <w:rPr>
                <w:sz w:val="21"/>
                <w:szCs w:val="21"/>
                <w:color w:val="auto"/>
              </w:rPr>
            </w:pPr>
          </w:p>
        </w:tc>
        <w:tc>
          <w:tcPr>
            <w:tcW w:w="1020" w:type="dxa"/>
            <w:vAlign w:val="bottom"/>
            <w:shd w:val="clear" w:color="auto" w:fill="E1F4FD"/>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Foreign currency forward contracts</w:t>
            </w: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02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6"/>
                <w:szCs w:val="16"/>
                <w:color w:val="4F8ABE"/>
              </w:rPr>
              <w:t>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282A32"/>
              </w:rPr>
              <w:t>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120" w:type="dxa"/>
            <w:vAlign w:val="bottom"/>
            <w:tcBorders>
              <w:bottom w:val="single" w:sz="8" w:color="auto"/>
            </w:tcBorders>
            <w:gridSpan w:val="2"/>
          </w:tcPr>
          <w:p>
            <w:pPr>
              <w:ind w:left="740"/>
              <w:spacing w:after="0"/>
              <w:rPr>
                <w:sz w:val="20"/>
                <w:szCs w:val="20"/>
                <w:color w:val="auto"/>
              </w:rPr>
            </w:pPr>
            <w:r>
              <w:rPr>
                <w:rFonts w:ascii="Arial" w:cs="Arial" w:eastAsia="Arial" w:hAnsi="Arial"/>
                <w:sz w:val="16"/>
                <w:szCs w:val="16"/>
                <w:color w:val="282A32"/>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82A32"/>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282A32"/>
              </w:rPr>
              <w:t>—</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02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6"/>
                <w:szCs w:val="16"/>
                <w:color w:val="4F8ABE"/>
              </w:rPr>
              <w:t>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282A32"/>
              </w:rPr>
              <w:t>—  $</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282A32"/>
              </w:rPr>
              <w:t>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2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color w:val="282A32"/>
              </w:rPr>
              <w:t>—   $</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282A32"/>
              </w:rPr>
              <w:t>—  $</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282A32"/>
              </w:rPr>
              <w:t>—  $</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282A32"/>
              </w:rPr>
              <w:t>—  $</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282A32"/>
              </w:rPr>
              <w:t>—</w:t>
            </w:r>
          </w:p>
        </w:tc>
        <w:tc>
          <w:tcPr>
            <w:tcW w:w="0" w:type="dxa"/>
            <w:vAlign w:val="bottom"/>
          </w:tcPr>
          <w:p>
            <w:pPr>
              <w:spacing w:after="0"/>
              <w:rPr>
                <w:sz w:val="1"/>
                <w:szCs w:val="1"/>
                <w:color w:val="auto"/>
              </w:rPr>
            </w:pPr>
          </w:p>
        </w:tc>
      </w:tr>
      <w:tr>
        <w:trPr>
          <w:trHeight w:val="122"/>
        </w:trPr>
        <w:tc>
          <w:tcPr>
            <w:tcW w:w="2640" w:type="dxa"/>
            <w:vAlign w:val="bottom"/>
            <w:vMerge w:val="restart"/>
          </w:tcPr>
          <w:p>
            <w:pPr>
              <w:ind w:left="40"/>
              <w:spacing w:after="0"/>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52</w:t>
            </w:r>
          </w:p>
        </w:tc>
        <w:tc>
          <w:tcPr>
            <w:tcW w:w="140" w:type="dxa"/>
            <w:vAlign w:val="bottom"/>
            <w:shd w:val="clear" w:color="auto" w:fill="2989B9"/>
          </w:tcPr>
          <w:p>
            <w:pPr>
              <w:spacing w:after="0"/>
              <w:rPr>
                <w:sz w:val="10"/>
                <w:szCs w:val="10"/>
                <w:color w:val="auto"/>
              </w:rPr>
            </w:pPr>
          </w:p>
        </w:tc>
        <w:tc>
          <w:tcPr>
            <w:tcW w:w="1020" w:type="dxa"/>
            <w:vAlign w:val="bottom"/>
            <w:shd w:val="clear" w:color="auto" w:fill="2989B9"/>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20" w:type="dxa"/>
            <w:vAlign w:val="bottom"/>
            <w:gridSpan w:val="5"/>
            <w:vMerge w:val="restart"/>
          </w:tcPr>
          <w:p>
            <w:pPr>
              <w:jc w:val="right"/>
              <w:spacing w:after="0"/>
              <w:rPr>
                <w:sz w:val="20"/>
                <w:szCs w:val="20"/>
                <w:color w:val="auto"/>
              </w:rPr>
            </w:pPr>
            <w:r>
              <w:rPr>
                <w:rFonts w:ascii="Arial" w:cs="Arial" w:eastAsia="Arial" w:hAnsi="Arial"/>
                <w:sz w:val="12"/>
                <w:szCs w:val="12"/>
                <w:color w:val="auto"/>
              </w:rPr>
              <w:t>Notes to Consolidated Financial Statements</w:t>
            </w:r>
          </w:p>
        </w:tc>
        <w:tc>
          <w:tcPr>
            <w:tcW w:w="0" w:type="dxa"/>
            <w:vAlign w:val="bottom"/>
          </w:tcPr>
          <w:p>
            <w:pPr>
              <w:spacing w:after="0"/>
              <w:rPr>
                <w:sz w:val="1"/>
                <w:szCs w:val="1"/>
                <w:color w:val="auto"/>
              </w:rPr>
            </w:pPr>
          </w:p>
        </w:tc>
      </w:tr>
      <w:tr>
        <w:trPr>
          <w:trHeight w:val="642"/>
        </w:trPr>
        <w:tc>
          <w:tcPr>
            <w:tcW w:w="2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90" w:name="page91"/>
    <w:bookmarkEnd w:id="90"/>
    <w:p>
      <w:pPr>
        <w:jc w:val="both"/>
        <w:spacing w:after="0" w:line="260" w:lineRule="auto"/>
        <w:rPr>
          <w:sz w:val="20"/>
          <w:szCs w:val="20"/>
          <w:color w:val="auto"/>
        </w:rPr>
      </w:pPr>
      <w:r>
        <w:rPr>
          <w:rFonts w:ascii="Arial" w:cs="Arial" w:eastAsia="Arial" w:hAnsi="Arial"/>
          <w:sz w:val="16"/>
          <w:szCs w:val="16"/>
          <w:color w:val="282A32"/>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third parties.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carrying values of cash and cash equivalents, accounts receivable, accounts payable, and other current assets and liabilities approximate their fair values because of the short-term nature of these instruments. The carrying value of our variable-rate long-term debt approximates fair value. The fair value of the euro-denominated notes, as observable at commonly quoted intervals (Level 2 inputs), was $858.2 and $471.6 as of December 31, 2015 and 2014, respectively, compared to a carrying value of $810.2 and $422.1, respectively.</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Goodwill and Other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goodwill, finite-lived intangible assets and indefinite-lived intangible assets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shd w:val="clear" w:color="auto" w:fill="E1F4FD"/>
          </w:tcPr>
          <w:p>
            <w:pPr>
              <w:spacing w:after="0"/>
              <w:rPr>
                <w:sz w:val="22"/>
                <w:szCs w:val="22"/>
                <w:color w:val="auto"/>
              </w:rPr>
            </w:pPr>
          </w:p>
        </w:tc>
        <w:tc>
          <w:tcPr>
            <w:tcW w:w="840" w:type="dxa"/>
            <w:vAlign w:val="bottom"/>
            <w:tcBorders>
              <w:bottom w:val="single" w:sz="8" w:color="auto"/>
            </w:tcBorders>
            <w:shd w:val="clear" w:color="auto" w:fill="E1F4FD"/>
          </w:tcPr>
          <w:p>
            <w:pPr>
              <w:spacing w:after="0"/>
              <w:rPr>
                <w:sz w:val="22"/>
                <w:szCs w:val="22"/>
                <w:color w:val="auto"/>
              </w:rPr>
            </w:pPr>
          </w:p>
        </w:tc>
        <w:tc>
          <w:tcPr>
            <w:tcW w:w="160" w:type="dxa"/>
            <w:vAlign w:val="bottom"/>
            <w:tcBorders>
              <w:bottom w:val="single" w:sz="8" w:color="auto"/>
            </w:tcBorders>
            <w:shd w:val="clear" w:color="auto" w:fill="E1F4FD"/>
          </w:tcPr>
          <w:p>
            <w:pPr>
              <w:spacing w:after="0"/>
              <w:rPr>
                <w:sz w:val="22"/>
                <w:szCs w:val="22"/>
                <w:color w:val="auto"/>
              </w:rPr>
            </w:pPr>
          </w:p>
        </w:tc>
        <w:tc>
          <w:tcPr>
            <w:tcW w:w="980" w:type="dxa"/>
            <w:vAlign w:val="bottom"/>
            <w:tcBorders>
              <w:bottom w:val="single" w:sz="8" w:color="auto"/>
            </w:tcBorders>
            <w:shd w:val="clear" w:color="auto" w:fill="E1F4FD"/>
          </w:tcPr>
          <w:p>
            <w:pPr>
              <w:spacing w:after="0"/>
              <w:rPr>
                <w:sz w:val="22"/>
                <w:szCs w:val="22"/>
                <w:color w:val="auto"/>
              </w:rPr>
            </w:pPr>
          </w:p>
        </w:tc>
        <w:tc>
          <w:tcPr>
            <w:tcW w:w="300" w:type="dxa"/>
            <w:vAlign w:val="bottom"/>
            <w:tcBorders>
              <w:bottom w:val="single" w:sz="8" w:color="auto"/>
            </w:tcBorders>
            <w:shd w:val="clear" w:color="auto" w:fill="E1F4FD"/>
          </w:tcPr>
          <w:p>
            <w:pPr>
              <w:spacing w:after="0"/>
              <w:rPr>
                <w:sz w:val="22"/>
                <w:szCs w:val="22"/>
                <w:color w:val="auto"/>
              </w:rPr>
            </w:pP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r>
      <w:tr>
        <w:trPr>
          <w:trHeight w:val="193"/>
        </w:trPr>
        <w:tc>
          <w:tcPr>
            <w:tcW w:w="4580" w:type="dxa"/>
            <w:vAlign w:val="bottom"/>
          </w:tcPr>
          <w:p>
            <w:pPr>
              <w:spacing w:after="0"/>
              <w:rPr>
                <w:sz w:val="16"/>
                <w:szCs w:val="16"/>
                <w:color w:val="auto"/>
              </w:rPr>
            </w:pPr>
          </w:p>
        </w:tc>
        <w:tc>
          <w:tcPr>
            <w:tcW w:w="320" w:type="dxa"/>
            <w:vAlign w:val="bottom"/>
            <w:shd w:val="clear" w:color="auto" w:fill="E1F4FD"/>
          </w:tcPr>
          <w:p>
            <w:pPr>
              <w:spacing w:after="0"/>
              <w:rPr>
                <w:sz w:val="16"/>
                <w:szCs w:val="16"/>
                <w:color w:val="auto"/>
              </w:rPr>
            </w:pPr>
          </w:p>
        </w:tc>
        <w:tc>
          <w:tcPr>
            <w:tcW w:w="840" w:type="dxa"/>
            <w:vAlign w:val="bottom"/>
            <w:shd w:val="clear" w:color="auto" w:fill="E1F4FD"/>
          </w:tcPr>
          <w:p>
            <w:pPr>
              <w:spacing w:after="0"/>
              <w:rPr>
                <w:sz w:val="16"/>
                <w:szCs w:val="16"/>
                <w:color w:val="auto"/>
              </w:rPr>
            </w:pPr>
          </w:p>
        </w:tc>
        <w:tc>
          <w:tcPr>
            <w:tcW w:w="160" w:type="dxa"/>
            <w:vAlign w:val="bottom"/>
            <w:shd w:val="clear" w:color="auto" w:fill="E1F4FD"/>
          </w:tcPr>
          <w:p>
            <w:pPr>
              <w:spacing w:after="0"/>
              <w:rPr>
                <w:sz w:val="16"/>
                <w:szCs w:val="16"/>
                <w:color w:val="auto"/>
              </w:rPr>
            </w:pPr>
          </w:p>
        </w:tc>
        <w:tc>
          <w:tcPr>
            <w:tcW w:w="980" w:type="dxa"/>
            <w:vAlign w:val="bottom"/>
            <w:shd w:val="clear" w:color="auto" w:fill="E1F4FD"/>
          </w:tcPr>
          <w:p>
            <w:pPr>
              <w:jc w:val="right"/>
              <w:ind w:right="20"/>
              <w:spacing w:after="0"/>
              <w:rPr>
                <w:sz w:val="20"/>
                <w:szCs w:val="20"/>
                <w:color w:val="auto"/>
              </w:rPr>
            </w:pPr>
            <w:r>
              <w:rPr>
                <w:rFonts w:ascii="Arial" w:cs="Arial" w:eastAsia="Arial" w:hAnsi="Arial"/>
                <w:sz w:val="14"/>
                <w:szCs w:val="14"/>
                <w:color w:val="4F8ABE"/>
              </w:rPr>
              <w:t>Accumulated</w:t>
            </w:r>
          </w:p>
        </w:tc>
        <w:tc>
          <w:tcPr>
            <w:tcW w:w="300" w:type="dxa"/>
            <w:vAlign w:val="bottom"/>
            <w:shd w:val="clear" w:color="auto" w:fill="E1F4FD"/>
          </w:tcPr>
          <w:p>
            <w:pPr>
              <w:spacing w:after="0"/>
              <w:rPr>
                <w:sz w:val="16"/>
                <w:szCs w:val="16"/>
                <w:color w:val="auto"/>
              </w:rPr>
            </w:pPr>
          </w:p>
        </w:tc>
        <w:tc>
          <w:tcPr>
            <w:tcW w:w="840" w:type="dxa"/>
            <w:vAlign w:val="bottom"/>
            <w:shd w:val="clear" w:color="auto" w:fill="E1F4FD"/>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282A32"/>
              </w:rPr>
              <w:t>Accumulated</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December 31</w:t>
            </w:r>
          </w:p>
        </w:tc>
        <w:tc>
          <w:tcPr>
            <w:tcW w:w="320" w:type="dxa"/>
            <w:vAlign w:val="bottom"/>
            <w:tcBorders>
              <w:bottom w:val="single" w:sz="8" w:color="auto"/>
            </w:tcBorders>
            <w:shd w:val="clear" w:color="auto" w:fill="E1F4FD"/>
          </w:tcPr>
          <w:p>
            <w:pPr>
              <w:spacing w:after="0"/>
              <w:rPr>
                <w:sz w:val="15"/>
                <w:szCs w:val="15"/>
                <w:color w:val="auto"/>
              </w:rPr>
            </w:pPr>
          </w:p>
        </w:tc>
        <w:tc>
          <w:tcPr>
            <w:tcW w:w="8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Gross</w:t>
            </w:r>
          </w:p>
        </w:tc>
        <w:tc>
          <w:tcPr>
            <w:tcW w:w="160" w:type="dxa"/>
            <w:vAlign w:val="bottom"/>
            <w:tcBorders>
              <w:bottom w:val="single" w:sz="8" w:color="auto"/>
            </w:tcBorders>
            <w:shd w:val="clear" w:color="auto" w:fill="E1F4FD"/>
          </w:tcPr>
          <w:p>
            <w:pPr>
              <w:spacing w:after="0"/>
              <w:rPr>
                <w:sz w:val="15"/>
                <w:szCs w:val="15"/>
                <w:color w:val="auto"/>
              </w:rPr>
            </w:pPr>
          </w:p>
        </w:tc>
        <w:tc>
          <w:tcPr>
            <w:tcW w:w="9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Amortization</w:t>
            </w:r>
          </w:p>
        </w:tc>
        <w:tc>
          <w:tcPr>
            <w:tcW w:w="300" w:type="dxa"/>
            <w:vAlign w:val="bottom"/>
            <w:tcBorders>
              <w:bottom w:val="single" w:sz="8" w:color="auto"/>
            </w:tcBorders>
            <w:shd w:val="clear" w:color="auto" w:fill="E1F4FD"/>
          </w:tcPr>
          <w:p>
            <w:pPr>
              <w:spacing w:after="0"/>
              <w:rPr>
                <w:sz w:val="15"/>
                <w:szCs w:val="15"/>
                <w:color w:val="auto"/>
              </w:rPr>
            </w:pP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Net</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Gross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Amortization</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Net</w:t>
            </w:r>
          </w:p>
        </w:tc>
      </w:tr>
      <w:tr>
        <w:trPr>
          <w:trHeight w:val="31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Goodwill</w:t>
            </w:r>
            <w:r>
              <w:rPr>
                <w:rFonts w:ascii="Arial" w:cs="Arial" w:eastAsia="Arial" w:hAnsi="Arial"/>
                <w:sz w:val="21"/>
                <w:szCs w:val="21"/>
                <w:color w:val="282A32"/>
                <w:vertAlign w:val="superscript"/>
              </w:rPr>
              <w:t>(1)</w:t>
            </w:r>
          </w:p>
        </w:tc>
        <w:tc>
          <w:tcPr>
            <w:tcW w:w="320" w:type="dxa"/>
            <w:vAlign w:val="bottom"/>
            <w:tcBorders>
              <w:bottom w:val="single" w:sz="8" w:color="auto"/>
            </w:tcBorders>
            <w:shd w:val="clear" w:color="auto" w:fill="E1F4FD"/>
          </w:tcPr>
          <w:p>
            <w:pPr>
              <w:jc w:val="right"/>
              <w:ind w:right="119"/>
              <w:spacing w:after="0"/>
              <w:rPr>
                <w:sz w:val="20"/>
                <w:szCs w:val="20"/>
                <w:color w:val="auto"/>
              </w:rPr>
            </w:pPr>
            <w:r>
              <w:rPr>
                <w:rFonts w:ascii="Arial" w:cs="Arial" w:eastAsia="Arial" w:hAnsi="Arial"/>
                <w:sz w:val="16"/>
                <w:szCs w:val="16"/>
                <w:color w:val="4F8ABE"/>
              </w:rPr>
              <w:t>$</w:t>
            </w:r>
          </w:p>
        </w:tc>
        <w:tc>
          <w:tcPr>
            <w:tcW w:w="8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1,257.4</w:t>
            </w:r>
          </w:p>
        </w:tc>
        <w:tc>
          <w:tcPr>
            <w:tcW w:w="1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9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300" w:type="dxa"/>
            <w:vAlign w:val="bottom"/>
            <w:tcBorders>
              <w:bottom w:val="single" w:sz="8" w:color="auto"/>
            </w:tcBorders>
            <w:shd w:val="clear" w:color="auto" w:fill="E1F4FD"/>
          </w:tcPr>
          <w:p>
            <w:pPr>
              <w:jc w:val="right"/>
              <w:ind w:right="99"/>
              <w:spacing w:after="0"/>
              <w:rPr>
                <w:sz w:val="20"/>
                <w:szCs w:val="20"/>
                <w:color w:val="auto"/>
              </w:rPr>
            </w:pPr>
            <w:r>
              <w:rPr>
                <w:rFonts w:ascii="Arial" w:cs="Arial" w:eastAsia="Arial" w:hAnsi="Arial"/>
                <w:sz w:val="16"/>
                <w:szCs w:val="16"/>
                <w:color w:val="4F8ABE"/>
              </w:rPr>
              <w:t>$</w:t>
            </w: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1,257.4</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282A3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1,075.2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1,075.2</w:t>
            </w:r>
          </w:p>
        </w:tc>
      </w:tr>
      <w:tr>
        <w:trPr>
          <w:trHeight w:val="244"/>
        </w:trPr>
        <w:tc>
          <w:tcPr>
            <w:tcW w:w="4580" w:type="dxa"/>
            <w:vAlign w:val="bottom"/>
          </w:tcPr>
          <w:p>
            <w:pPr>
              <w:ind w:left="20"/>
              <w:spacing w:after="0"/>
              <w:rPr>
                <w:sz w:val="20"/>
                <w:szCs w:val="20"/>
                <w:color w:val="auto"/>
              </w:rPr>
            </w:pPr>
            <w:r>
              <w:rPr>
                <w:rFonts w:ascii="Arial" w:cs="Arial" w:eastAsia="Arial" w:hAnsi="Arial"/>
                <w:sz w:val="16"/>
                <w:szCs w:val="16"/>
                <w:color w:val="282A32"/>
              </w:rPr>
              <w:t>Intangible assets:</w:t>
            </w:r>
          </w:p>
        </w:tc>
        <w:tc>
          <w:tcPr>
            <w:tcW w:w="320" w:type="dxa"/>
            <w:vAlign w:val="bottom"/>
            <w:shd w:val="clear" w:color="auto" w:fill="E1F4FD"/>
          </w:tcPr>
          <w:p>
            <w:pPr>
              <w:spacing w:after="0"/>
              <w:rPr>
                <w:sz w:val="21"/>
                <w:szCs w:val="21"/>
                <w:color w:val="auto"/>
              </w:rPr>
            </w:pPr>
          </w:p>
        </w:tc>
        <w:tc>
          <w:tcPr>
            <w:tcW w:w="840" w:type="dxa"/>
            <w:vAlign w:val="bottom"/>
            <w:shd w:val="clear" w:color="auto" w:fill="E1F4FD"/>
          </w:tcPr>
          <w:p>
            <w:pPr>
              <w:spacing w:after="0"/>
              <w:rPr>
                <w:sz w:val="21"/>
                <w:szCs w:val="21"/>
                <w:color w:val="auto"/>
              </w:rPr>
            </w:pPr>
          </w:p>
        </w:tc>
        <w:tc>
          <w:tcPr>
            <w:tcW w:w="160" w:type="dxa"/>
            <w:vAlign w:val="bottom"/>
            <w:shd w:val="clear" w:color="auto" w:fill="E1F4FD"/>
          </w:tcPr>
          <w:p>
            <w:pPr>
              <w:spacing w:after="0"/>
              <w:rPr>
                <w:sz w:val="21"/>
                <w:szCs w:val="21"/>
                <w:color w:val="auto"/>
              </w:rPr>
            </w:pPr>
          </w:p>
        </w:tc>
        <w:tc>
          <w:tcPr>
            <w:tcW w:w="980" w:type="dxa"/>
            <w:vAlign w:val="bottom"/>
            <w:shd w:val="clear" w:color="auto" w:fill="E1F4FD"/>
          </w:tcPr>
          <w:p>
            <w:pPr>
              <w:spacing w:after="0"/>
              <w:rPr>
                <w:sz w:val="21"/>
                <w:szCs w:val="21"/>
                <w:color w:val="auto"/>
              </w:rPr>
            </w:pPr>
          </w:p>
        </w:tc>
        <w:tc>
          <w:tcPr>
            <w:tcW w:w="300" w:type="dxa"/>
            <w:vAlign w:val="bottom"/>
            <w:shd w:val="clear" w:color="auto" w:fill="E1F4FD"/>
          </w:tcPr>
          <w:p>
            <w:pPr>
              <w:spacing w:after="0"/>
              <w:rPr>
                <w:sz w:val="21"/>
                <w:szCs w:val="21"/>
                <w:color w:val="auto"/>
              </w:rPr>
            </w:pPr>
          </w:p>
        </w:tc>
        <w:tc>
          <w:tcPr>
            <w:tcW w:w="840" w:type="dxa"/>
            <w:vAlign w:val="bottom"/>
            <w:shd w:val="clear" w:color="auto" w:fill="E1F4FD"/>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4580" w:type="dxa"/>
            <w:vAlign w:val="bottom"/>
          </w:tcPr>
          <w:p>
            <w:pPr>
              <w:ind w:left="200"/>
              <w:spacing w:after="0"/>
              <w:rPr>
                <w:sz w:val="20"/>
                <w:szCs w:val="20"/>
                <w:color w:val="auto"/>
              </w:rPr>
            </w:pPr>
            <w:r>
              <w:rPr>
                <w:rFonts w:ascii="Arial" w:cs="Arial" w:eastAsia="Arial" w:hAnsi="Arial"/>
                <w:sz w:val="16"/>
                <w:szCs w:val="16"/>
                <w:color w:val="282A32"/>
              </w:rPr>
              <w:t>Finite-lived:</w:t>
            </w:r>
          </w:p>
        </w:tc>
        <w:tc>
          <w:tcPr>
            <w:tcW w:w="320" w:type="dxa"/>
            <w:vAlign w:val="bottom"/>
            <w:shd w:val="clear" w:color="auto" w:fill="E1F4FD"/>
          </w:tcPr>
          <w:p>
            <w:pPr>
              <w:spacing w:after="0"/>
              <w:rPr>
                <w:sz w:val="23"/>
                <w:szCs w:val="23"/>
                <w:color w:val="auto"/>
              </w:rPr>
            </w:pPr>
          </w:p>
        </w:tc>
        <w:tc>
          <w:tcPr>
            <w:tcW w:w="840" w:type="dxa"/>
            <w:vAlign w:val="bottom"/>
            <w:shd w:val="clear" w:color="auto" w:fill="E1F4FD"/>
          </w:tcPr>
          <w:p>
            <w:pPr>
              <w:spacing w:after="0"/>
              <w:rPr>
                <w:sz w:val="23"/>
                <w:szCs w:val="23"/>
                <w:color w:val="auto"/>
              </w:rPr>
            </w:pPr>
          </w:p>
        </w:tc>
        <w:tc>
          <w:tcPr>
            <w:tcW w:w="160" w:type="dxa"/>
            <w:vAlign w:val="bottom"/>
            <w:shd w:val="clear" w:color="auto" w:fill="E1F4FD"/>
          </w:tcPr>
          <w:p>
            <w:pPr>
              <w:spacing w:after="0"/>
              <w:rPr>
                <w:sz w:val="23"/>
                <w:szCs w:val="23"/>
                <w:color w:val="auto"/>
              </w:rPr>
            </w:pPr>
          </w:p>
        </w:tc>
        <w:tc>
          <w:tcPr>
            <w:tcW w:w="980" w:type="dxa"/>
            <w:vAlign w:val="bottom"/>
            <w:shd w:val="clear" w:color="auto" w:fill="E1F4FD"/>
          </w:tcPr>
          <w:p>
            <w:pPr>
              <w:spacing w:after="0"/>
              <w:rPr>
                <w:sz w:val="23"/>
                <w:szCs w:val="23"/>
                <w:color w:val="auto"/>
              </w:rPr>
            </w:pPr>
          </w:p>
        </w:tc>
        <w:tc>
          <w:tcPr>
            <w:tcW w:w="300" w:type="dxa"/>
            <w:vAlign w:val="bottom"/>
            <w:shd w:val="clear" w:color="auto" w:fill="E1F4FD"/>
          </w:tcPr>
          <w:p>
            <w:pPr>
              <w:spacing w:after="0"/>
              <w:rPr>
                <w:sz w:val="23"/>
                <w:szCs w:val="23"/>
                <w:color w:val="auto"/>
              </w:rPr>
            </w:pPr>
          </w:p>
        </w:tc>
        <w:tc>
          <w:tcPr>
            <w:tcW w:w="840" w:type="dxa"/>
            <w:vAlign w:val="bottom"/>
            <w:shd w:val="clear" w:color="auto" w:fill="E1F4FD"/>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3"/>
        </w:trPr>
        <w:tc>
          <w:tcPr>
            <w:tcW w:w="4580" w:type="dxa"/>
            <w:vAlign w:val="bottom"/>
          </w:tcPr>
          <w:p>
            <w:pPr>
              <w:ind w:left="440"/>
              <w:spacing w:after="0"/>
              <w:rPr>
                <w:sz w:val="20"/>
                <w:szCs w:val="20"/>
                <w:color w:val="auto"/>
              </w:rPr>
            </w:pPr>
            <w:r>
              <w:rPr>
                <w:rFonts w:ascii="Arial" w:cs="Arial" w:eastAsia="Arial" w:hAnsi="Arial"/>
                <w:sz w:val="16"/>
                <w:szCs w:val="16"/>
                <w:color w:val="282A32"/>
              </w:rPr>
              <w:t>Technology</w:t>
            </w:r>
          </w:p>
        </w:tc>
        <w:tc>
          <w:tcPr>
            <w:tcW w:w="320" w:type="dxa"/>
            <w:vAlign w:val="bottom"/>
            <w:shd w:val="clear" w:color="auto" w:fill="E1F4FD"/>
          </w:tcPr>
          <w:p>
            <w:pPr>
              <w:jc w:val="right"/>
              <w:ind w:right="119"/>
              <w:spacing w:after="0"/>
              <w:rPr>
                <w:sz w:val="20"/>
                <w:szCs w:val="20"/>
                <w:color w:val="auto"/>
              </w:rPr>
            </w:pPr>
            <w:r>
              <w:rPr>
                <w:rFonts w:ascii="Arial" w:cs="Arial" w:eastAsia="Arial" w:hAnsi="Arial"/>
                <w:sz w:val="16"/>
                <w:szCs w:val="16"/>
                <w:color w:val="4F8ABE"/>
              </w:rPr>
              <w:t>$</w:t>
            </w:r>
          </w:p>
        </w:tc>
        <w:tc>
          <w:tcPr>
            <w:tcW w:w="8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16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98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300" w:type="dxa"/>
            <w:vAlign w:val="bottom"/>
            <w:shd w:val="clear" w:color="auto" w:fill="E1F4FD"/>
          </w:tcPr>
          <w:p>
            <w:pPr>
              <w:jc w:val="right"/>
              <w:ind w:right="99"/>
              <w:spacing w:after="0"/>
              <w:rPr>
                <w:sz w:val="20"/>
                <w:szCs w:val="20"/>
                <w:color w:val="auto"/>
              </w:rPr>
            </w:pPr>
            <w:r>
              <w:rPr>
                <w:rFonts w:ascii="Arial" w:cs="Arial" w:eastAsia="Arial" w:hAnsi="Arial"/>
                <w:sz w:val="16"/>
                <w:szCs w:val="16"/>
                <w:color w:val="4F8ABE"/>
              </w:rPr>
              <w:t>$</w:t>
            </w:r>
          </w:p>
        </w:tc>
        <w:tc>
          <w:tcPr>
            <w:tcW w:w="84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282A32"/>
              </w:rPr>
              <w:t>$</w:t>
            </w:r>
          </w:p>
        </w:tc>
        <w:tc>
          <w:tcPr>
            <w:tcW w:w="800" w:type="dxa"/>
            <w:vAlign w:val="bottom"/>
          </w:tcPr>
          <w:p>
            <w:pPr>
              <w:jc w:val="right"/>
              <w:spacing w:after="0"/>
              <w:rPr>
                <w:sz w:val="20"/>
                <w:szCs w:val="20"/>
                <w:color w:val="auto"/>
              </w:rPr>
            </w:pPr>
            <w:r>
              <w:rPr>
                <w:rFonts w:ascii="Arial" w:cs="Arial" w:eastAsia="Arial" w:hAnsi="Arial"/>
                <w:sz w:val="16"/>
                <w:szCs w:val="16"/>
                <w:color w:val="282A32"/>
              </w:rPr>
              <w:t>19.6</w:t>
            </w:r>
          </w:p>
        </w:tc>
        <w:tc>
          <w:tcPr>
            <w:tcW w:w="180" w:type="dxa"/>
            <w:vAlign w:val="bottom"/>
          </w:tcPr>
          <w:p>
            <w:pPr>
              <w:jc w:val="right"/>
              <w:spacing w:after="0"/>
              <w:rPr>
                <w:sz w:val="20"/>
                <w:szCs w:val="20"/>
                <w:color w:val="auto"/>
              </w:rPr>
            </w:pPr>
            <w:r>
              <w:rPr>
                <w:rFonts w:ascii="Arial" w:cs="Arial" w:eastAsia="Arial" w:hAnsi="Arial"/>
                <w:sz w:val="16"/>
                <w:szCs w:val="16"/>
                <w:color w:val="282A32"/>
              </w:rPr>
              <w:t>$</w:t>
            </w:r>
          </w:p>
        </w:tc>
        <w:tc>
          <w:tcPr>
            <w:tcW w:w="940" w:type="dxa"/>
            <w:vAlign w:val="bottom"/>
          </w:tcPr>
          <w:p>
            <w:pPr>
              <w:jc w:val="right"/>
              <w:spacing w:after="0"/>
              <w:rPr>
                <w:sz w:val="20"/>
                <w:szCs w:val="20"/>
                <w:color w:val="auto"/>
              </w:rPr>
            </w:pPr>
            <w:r>
              <w:rPr>
                <w:rFonts w:ascii="Arial" w:cs="Arial" w:eastAsia="Arial" w:hAnsi="Arial"/>
                <w:sz w:val="16"/>
                <w:szCs w:val="16"/>
                <w:color w:val="282A32"/>
              </w:rPr>
              <w:t>19.6</w:t>
            </w:r>
          </w:p>
        </w:tc>
        <w:tc>
          <w:tcPr>
            <w:tcW w:w="340" w:type="dxa"/>
            <w:vAlign w:val="bottom"/>
          </w:tcPr>
          <w:p>
            <w:pPr>
              <w:jc w:val="right"/>
              <w:ind w:right="99"/>
              <w:spacing w:after="0"/>
              <w:rPr>
                <w:sz w:val="20"/>
                <w:szCs w:val="20"/>
                <w:color w:val="auto"/>
              </w:rPr>
            </w:pPr>
            <w:r>
              <w:rPr>
                <w:rFonts w:ascii="Arial" w:cs="Arial" w:eastAsia="Arial" w:hAnsi="Arial"/>
                <w:sz w:val="16"/>
                <w:szCs w:val="16"/>
                <w:color w:val="282A32"/>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282A32"/>
              </w:rPr>
              <w:t>—</w:t>
            </w:r>
          </w:p>
        </w:tc>
      </w:tr>
      <w:tr>
        <w:trPr>
          <w:trHeight w:val="270"/>
        </w:trPr>
        <w:tc>
          <w:tcPr>
            <w:tcW w:w="4580" w:type="dxa"/>
            <w:vAlign w:val="bottom"/>
          </w:tcPr>
          <w:p>
            <w:pPr>
              <w:ind w:left="440"/>
              <w:spacing w:after="0"/>
              <w:rPr>
                <w:sz w:val="20"/>
                <w:szCs w:val="20"/>
                <w:color w:val="auto"/>
              </w:rPr>
            </w:pPr>
            <w:r>
              <w:rPr>
                <w:rFonts w:ascii="Arial" w:cs="Arial" w:eastAsia="Arial" w:hAnsi="Arial"/>
                <w:sz w:val="16"/>
                <w:szCs w:val="16"/>
                <w:color w:val="282A32"/>
              </w:rPr>
              <w:t>Franchise agreements</w:t>
            </w:r>
          </w:p>
        </w:tc>
        <w:tc>
          <w:tcPr>
            <w:tcW w:w="320" w:type="dxa"/>
            <w:vAlign w:val="bottom"/>
            <w:shd w:val="clear" w:color="auto" w:fill="E1F4FD"/>
          </w:tcPr>
          <w:p>
            <w:pPr>
              <w:spacing w:after="0"/>
              <w:rPr>
                <w:sz w:val="23"/>
                <w:szCs w:val="23"/>
                <w:color w:val="auto"/>
              </w:rPr>
            </w:pPr>
          </w:p>
        </w:tc>
        <w:tc>
          <w:tcPr>
            <w:tcW w:w="8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160" w:type="dxa"/>
            <w:vAlign w:val="bottom"/>
            <w:shd w:val="clear" w:color="auto" w:fill="E1F4FD"/>
          </w:tcPr>
          <w:p>
            <w:pPr>
              <w:spacing w:after="0"/>
              <w:rPr>
                <w:sz w:val="23"/>
                <w:szCs w:val="23"/>
                <w:color w:val="auto"/>
              </w:rPr>
            </w:pPr>
          </w:p>
        </w:tc>
        <w:tc>
          <w:tcPr>
            <w:tcW w:w="98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300" w:type="dxa"/>
            <w:vAlign w:val="bottom"/>
            <w:shd w:val="clear" w:color="auto" w:fill="E1F4FD"/>
          </w:tcPr>
          <w:p>
            <w:pPr>
              <w:spacing w:after="0"/>
              <w:rPr>
                <w:sz w:val="23"/>
                <w:szCs w:val="23"/>
                <w:color w:val="auto"/>
              </w:rPr>
            </w:pPr>
          </w:p>
        </w:tc>
        <w:tc>
          <w:tcPr>
            <w:tcW w:w="84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82A32"/>
              </w:rPr>
              <w:t>18.0</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82A32"/>
              </w:rPr>
              <w:t>18.0</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282A32"/>
              </w:rPr>
              <w:t>—</w:t>
            </w:r>
          </w:p>
        </w:tc>
      </w:tr>
      <w:tr>
        <w:trPr>
          <w:trHeight w:val="270"/>
        </w:trPr>
        <w:tc>
          <w:tcPr>
            <w:tcW w:w="4580" w:type="dxa"/>
            <w:vAlign w:val="bottom"/>
          </w:tcPr>
          <w:p>
            <w:pPr>
              <w:ind w:left="440"/>
              <w:spacing w:after="0"/>
              <w:rPr>
                <w:sz w:val="20"/>
                <w:szCs w:val="20"/>
                <w:color w:val="auto"/>
              </w:rPr>
            </w:pPr>
            <w:r>
              <w:rPr>
                <w:rFonts w:ascii="Arial" w:cs="Arial" w:eastAsia="Arial" w:hAnsi="Arial"/>
                <w:sz w:val="16"/>
                <w:szCs w:val="16"/>
                <w:color w:val="282A32"/>
              </w:rPr>
              <w:t>Customer relationships</w:t>
            </w:r>
          </w:p>
        </w:tc>
        <w:tc>
          <w:tcPr>
            <w:tcW w:w="320" w:type="dxa"/>
            <w:vAlign w:val="bottom"/>
            <w:shd w:val="clear" w:color="auto" w:fill="E1F4FD"/>
          </w:tcPr>
          <w:p>
            <w:pPr>
              <w:spacing w:after="0"/>
              <w:rPr>
                <w:sz w:val="23"/>
                <w:szCs w:val="23"/>
                <w:color w:val="auto"/>
              </w:rPr>
            </w:pPr>
          </w:p>
        </w:tc>
        <w:tc>
          <w:tcPr>
            <w:tcW w:w="8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425.6</w:t>
            </w:r>
          </w:p>
        </w:tc>
        <w:tc>
          <w:tcPr>
            <w:tcW w:w="160" w:type="dxa"/>
            <w:vAlign w:val="bottom"/>
            <w:shd w:val="clear" w:color="auto" w:fill="E1F4FD"/>
          </w:tcPr>
          <w:p>
            <w:pPr>
              <w:spacing w:after="0"/>
              <w:rPr>
                <w:sz w:val="23"/>
                <w:szCs w:val="23"/>
                <w:color w:val="auto"/>
              </w:rPr>
            </w:pPr>
          </w:p>
        </w:tc>
        <w:tc>
          <w:tcPr>
            <w:tcW w:w="98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256.7</w:t>
            </w:r>
          </w:p>
        </w:tc>
        <w:tc>
          <w:tcPr>
            <w:tcW w:w="300" w:type="dxa"/>
            <w:vAlign w:val="bottom"/>
            <w:shd w:val="clear" w:color="auto" w:fill="E1F4FD"/>
          </w:tcPr>
          <w:p>
            <w:pPr>
              <w:spacing w:after="0"/>
              <w:rPr>
                <w:sz w:val="23"/>
                <w:szCs w:val="23"/>
                <w:color w:val="auto"/>
              </w:rPr>
            </w:pPr>
          </w:p>
        </w:tc>
        <w:tc>
          <w:tcPr>
            <w:tcW w:w="84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168.9</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82A32"/>
              </w:rPr>
              <w:t>359.9</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82A32"/>
              </w:rPr>
              <w:t>225.6</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282A32"/>
              </w:rPr>
              <w:t>134.3</w:t>
            </w:r>
          </w:p>
        </w:tc>
      </w:tr>
      <w:tr>
        <w:trPr>
          <w:trHeight w:val="283"/>
        </w:trPr>
        <w:tc>
          <w:tcPr>
            <w:tcW w:w="45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282A32"/>
              </w:rPr>
              <w:t>Other</w:t>
            </w:r>
          </w:p>
        </w:tc>
        <w:tc>
          <w:tcPr>
            <w:tcW w:w="320" w:type="dxa"/>
            <w:vAlign w:val="bottom"/>
            <w:tcBorders>
              <w:bottom w:val="single" w:sz="8" w:color="auto"/>
            </w:tcBorders>
            <w:shd w:val="clear" w:color="auto" w:fill="E1F4FD"/>
          </w:tcPr>
          <w:p>
            <w:pPr>
              <w:spacing w:after="0"/>
              <w:rPr>
                <w:sz w:val="24"/>
                <w:szCs w:val="24"/>
                <w:color w:val="auto"/>
              </w:rPr>
            </w:pPr>
          </w:p>
        </w:tc>
        <w:tc>
          <w:tcPr>
            <w:tcW w:w="8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16.9</w:t>
            </w:r>
          </w:p>
        </w:tc>
        <w:tc>
          <w:tcPr>
            <w:tcW w:w="160" w:type="dxa"/>
            <w:vAlign w:val="bottom"/>
            <w:tcBorders>
              <w:bottom w:val="single" w:sz="8" w:color="auto"/>
            </w:tcBorders>
            <w:shd w:val="clear" w:color="auto" w:fill="E1F4FD"/>
          </w:tcPr>
          <w:p>
            <w:pPr>
              <w:spacing w:after="0"/>
              <w:rPr>
                <w:sz w:val="24"/>
                <w:szCs w:val="24"/>
                <w:color w:val="auto"/>
              </w:rPr>
            </w:pPr>
          </w:p>
        </w:tc>
        <w:tc>
          <w:tcPr>
            <w:tcW w:w="9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9.9</w:t>
            </w:r>
          </w:p>
        </w:tc>
        <w:tc>
          <w:tcPr>
            <w:tcW w:w="300" w:type="dxa"/>
            <w:vAlign w:val="bottom"/>
            <w:tcBorders>
              <w:bottom w:val="single" w:sz="8" w:color="auto"/>
            </w:tcBorders>
            <w:shd w:val="clear" w:color="auto" w:fill="E1F4FD"/>
          </w:tcPr>
          <w:p>
            <w:pPr>
              <w:spacing w:after="0"/>
              <w:rPr>
                <w:sz w:val="24"/>
                <w:szCs w:val="24"/>
                <w:color w:val="auto"/>
              </w:rPr>
            </w:pP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7.0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14.2</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13.0</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1.2</w:t>
            </w:r>
          </w:p>
        </w:tc>
      </w:tr>
      <w:tr>
        <w:trPr>
          <w:trHeight w:val="264"/>
        </w:trPr>
        <w:tc>
          <w:tcPr>
            <w:tcW w:w="4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shd w:val="clear" w:color="auto" w:fill="E1F4FD"/>
          </w:tcPr>
          <w:p>
            <w:pPr>
              <w:spacing w:after="0"/>
              <w:rPr>
                <w:sz w:val="22"/>
                <w:szCs w:val="22"/>
                <w:color w:val="auto"/>
              </w:rPr>
            </w:pPr>
          </w:p>
        </w:tc>
        <w:tc>
          <w:tcPr>
            <w:tcW w:w="8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442.5</w:t>
            </w:r>
          </w:p>
        </w:tc>
        <w:tc>
          <w:tcPr>
            <w:tcW w:w="160" w:type="dxa"/>
            <w:vAlign w:val="bottom"/>
            <w:tcBorders>
              <w:bottom w:val="single" w:sz="8" w:color="auto"/>
            </w:tcBorders>
            <w:shd w:val="clear" w:color="auto" w:fill="E1F4FD"/>
          </w:tcPr>
          <w:p>
            <w:pPr>
              <w:spacing w:after="0"/>
              <w:rPr>
                <w:sz w:val="22"/>
                <w:szCs w:val="22"/>
                <w:color w:val="auto"/>
              </w:rPr>
            </w:pPr>
          </w:p>
        </w:tc>
        <w:tc>
          <w:tcPr>
            <w:tcW w:w="9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266.6</w:t>
            </w:r>
          </w:p>
        </w:tc>
        <w:tc>
          <w:tcPr>
            <w:tcW w:w="300" w:type="dxa"/>
            <w:vAlign w:val="bottom"/>
            <w:tcBorders>
              <w:bottom w:val="single" w:sz="8" w:color="auto"/>
            </w:tcBorders>
            <w:shd w:val="clear" w:color="auto" w:fill="E1F4FD"/>
          </w:tcPr>
          <w:p>
            <w:pPr>
              <w:spacing w:after="0"/>
              <w:rPr>
                <w:sz w:val="22"/>
                <w:szCs w:val="22"/>
                <w:color w:val="auto"/>
              </w:rPr>
            </w:pP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175.9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411.7</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276.2</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135.5</w:t>
            </w:r>
          </w:p>
        </w:tc>
      </w:tr>
      <w:tr>
        <w:trPr>
          <w:trHeight w:val="251"/>
        </w:trPr>
        <w:tc>
          <w:tcPr>
            <w:tcW w:w="4580" w:type="dxa"/>
            <w:vAlign w:val="bottom"/>
          </w:tcPr>
          <w:p>
            <w:pPr>
              <w:ind w:left="160"/>
              <w:spacing w:after="0"/>
              <w:rPr>
                <w:sz w:val="20"/>
                <w:szCs w:val="20"/>
                <w:color w:val="auto"/>
              </w:rPr>
            </w:pPr>
            <w:r>
              <w:rPr>
                <w:rFonts w:ascii="Arial" w:cs="Arial" w:eastAsia="Arial" w:hAnsi="Arial"/>
                <w:sz w:val="16"/>
                <w:szCs w:val="16"/>
                <w:color w:val="282A32"/>
              </w:rPr>
              <w:t>Indefinite-lived:</w:t>
            </w:r>
          </w:p>
        </w:tc>
        <w:tc>
          <w:tcPr>
            <w:tcW w:w="320" w:type="dxa"/>
            <w:vAlign w:val="bottom"/>
            <w:shd w:val="clear" w:color="auto" w:fill="E1F4FD"/>
          </w:tcPr>
          <w:p>
            <w:pPr>
              <w:spacing w:after="0"/>
              <w:rPr>
                <w:sz w:val="21"/>
                <w:szCs w:val="21"/>
                <w:color w:val="auto"/>
              </w:rPr>
            </w:pPr>
          </w:p>
        </w:tc>
        <w:tc>
          <w:tcPr>
            <w:tcW w:w="840" w:type="dxa"/>
            <w:vAlign w:val="bottom"/>
            <w:shd w:val="clear" w:color="auto" w:fill="E1F4FD"/>
          </w:tcPr>
          <w:p>
            <w:pPr>
              <w:spacing w:after="0"/>
              <w:rPr>
                <w:sz w:val="21"/>
                <w:szCs w:val="21"/>
                <w:color w:val="auto"/>
              </w:rPr>
            </w:pPr>
          </w:p>
        </w:tc>
        <w:tc>
          <w:tcPr>
            <w:tcW w:w="160" w:type="dxa"/>
            <w:vAlign w:val="bottom"/>
            <w:shd w:val="clear" w:color="auto" w:fill="E1F4FD"/>
          </w:tcPr>
          <w:p>
            <w:pPr>
              <w:spacing w:after="0"/>
              <w:rPr>
                <w:sz w:val="21"/>
                <w:szCs w:val="21"/>
                <w:color w:val="auto"/>
              </w:rPr>
            </w:pPr>
          </w:p>
        </w:tc>
        <w:tc>
          <w:tcPr>
            <w:tcW w:w="980" w:type="dxa"/>
            <w:vAlign w:val="bottom"/>
            <w:shd w:val="clear" w:color="auto" w:fill="E1F4FD"/>
          </w:tcPr>
          <w:p>
            <w:pPr>
              <w:spacing w:after="0"/>
              <w:rPr>
                <w:sz w:val="21"/>
                <w:szCs w:val="21"/>
                <w:color w:val="auto"/>
              </w:rPr>
            </w:pPr>
          </w:p>
        </w:tc>
        <w:tc>
          <w:tcPr>
            <w:tcW w:w="300" w:type="dxa"/>
            <w:vAlign w:val="bottom"/>
            <w:shd w:val="clear" w:color="auto" w:fill="E1F4FD"/>
          </w:tcPr>
          <w:p>
            <w:pPr>
              <w:spacing w:after="0"/>
              <w:rPr>
                <w:sz w:val="21"/>
                <w:szCs w:val="21"/>
                <w:color w:val="auto"/>
              </w:rPr>
            </w:pPr>
          </w:p>
        </w:tc>
        <w:tc>
          <w:tcPr>
            <w:tcW w:w="840" w:type="dxa"/>
            <w:vAlign w:val="bottom"/>
            <w:shd w:val="clear" w:color="auto" w:fill="E1F4FD"/>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3"/>
        </w:trPr>
        <w:tc>
          <w:tcPr>
            <w:tcW w:w="4580" w:type="dxa"/>
            <w:vAlign w:val="bottom"/>
          </w:tcPr>
          <w:p>
            <w:pPr>
              <w:ind w:left="440"/>
              <w:spacing w:after="0"/>
              <w:rPr>
                <w:sz w:val="20"/>
                <w:szCs w:val="20"/>
                <w:color w:val="auto"/>
              </w:rPr>
            </w:pPr>
            <w:r>
              <w:rPr>
                <w:rFonts w:ascii="Arial" w:cs="Arial" w:eastAsia="Arial" w:hAnsi="Arial"/>
                <w:sz w:val="16"/>
                <w:szCs w:val="16"/>
                <w:color w:val="282A32"/>
              </w:rPr>
              <w:t>Tradenames</w:t>
            </w:r>
            <w:r>
              <w:rPr>
                <w:rFonts w:ascii="Arial" w:cs="Arial" w:eastAsia="Arial" w:hAnsi="Arial"/>
                <w:sz w:val="21"/>
                <w:szCs w:val="21"/>
                <w:color w:val="282A32"/>
                <w:vertAlign w:val="superscript"/>
              </w:rPr>
              <w:t>(2)</w:t>
            </w:r>
          </w:p>
        </w:tc>
        <w:tc>
          <w:tcPr>
            <w:tcW w:w="320" w:type="dxa"/>
            <w:vAlign w:val="bottom"/>
            <w:shd w:val="clear" w:color="auto" w:fill="E1F4FD"/>
          </w:tcPr>
          <w:p>
            <w:pPr>
              <w:spacing w:after="0"/>
              <w:rPr>
                <w:sz w:val="22"/>
                <w:szCs w:val="22"/>
                <w:color w:val="auto"/>
              </w:rPr>
            </w:pPr>
          </w:p>
        </w:tc>
        <w:tc>
          <w:tcPr>
            <w:tcW w:w="8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54.0</w:t>
            </w:r>
          </w:p>
        </w:tc>
        <w:tc>
          <w:tcPr>
            <w:tcW w:w="160" w:type="dxa"/>
            <w:vAlign w:val="bottom"/>
            <w:shd w:val="clear" w:color="auto" w:fill="E1F4FD"/>
          </w:tcPr>
          <w:p>
            <w:pPr>
              <w:spacing w:after="0"/>
              <w:rPr>
                <w:sz w:val="22"/>
                <w:szCs w:val="22"/>
                <w:color w:val="auto"/>
              </w:rPr>
            </w:pPr>
          </w:p>
        </w:tc>
        <w:tc>
          <w:tcPr>
            <w:tcW w:w="98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300" w:type="dxa"/>
            <w:vAlign w:val="bottom"/>
            <w:shd w:val="clear" w:color="auto" w:fill="E1F4FD"/>
          </w:tcPr>
          <w:p>
            <w:pPr>
              <w:spacing w:after="0"/>
              <w:rPr>
                <w:sz w:val="22"/>
                <w:szCs w:val="22"/>
                <w:color w:val="auto"/>
              </w:rPr>
            </w:pPr>
          </w:p>
        </w:tc>
        <w:tc>
          <w:tcPr>
            <w:tcW w:w="84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54.0</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82A32"/>
              </w:rPr>
              <w:t>54.0</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82A32"/>
              </w:rPr>
              <w:t>—</w:t>
            </w:r>
          </w:p>
        </w:tc>
        <w:tc>
          <w:tcPr>
            <w:tcW w:w="34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282A32"/>
              </w:rPr>
              <w:t>54.0</w:t>
            </w:r>
          </w:p>
        </w:tc>
      </w:tr>
      <w:tr>
        <w:trPr>
          <w:trHeight w:val="237"/>
        </w:trPr>
        <w:tc>
          <w:tcPr>
            <w:tcW w:w="45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282A32"/>
              </w:rPr>
              <w:t>Reacquired franchise rights</w:t>
            </w:r>
          </w:p>
        </w:tc>
        <w:tc>
          <w:tcPr>
            <w:tcW w:w="320" w:type="dxa"/>
            <w:vAlign w:val="bottom"/>
            <w:tcBorders>
              <w:bottom w:val="single" w:sz="8" w:color="auto"/>
            </w:tcBorders>
            <w:shd w:val="clear" w:color="auto" w:fill="E1F4FD"/>
          </w:tcPr>
          <w:p>
            <w:pPr>
              <w:spacing w:after="0"/>
              <w:rPr>
                <w:sz w:val="20"/>
                <w:szCs w:val="20"/>
                <w:color w:val="auto"/>
              </w:rPr>
            </w:pPr>
          </w:p>
        </w:tc>
        <w:tc>
          <w:tcPr>
            <w:tcW w:w="8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96.6</w:t>
            </w:r>
          </w:p>
        </w:tc>
        <w:tc>
          <w:tcPr>
            <w:tcW w:w="160" w:type="dxa"/>
            <w:vAlign w:val="bottom"/>
            <w:tcBorders>
              <w:bottom w:val="single" w:sz="8" w:color="auto"/>
            </w:tcBorders>
            <w:shd w:val="clear" w:color="auto" w:fill="E1F4FD"/>
          </w:tcPr>
          <w:p>
            <w:pPr>
              <w:spacing w:after="0"/>
              <w:rPr>
                <w:sz w:val="20"/>
                <w:szCs w:val="20"/>
                <w:color w:val="auto"/>
              </w:rPr>
            </w:pPr>
          </w:p>
        </w:tc>
        <w:tc>
          <w:tcPr>
            <w:tcW w:w="9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300" w:type="dxa"/>
            <w:vAlign w:val="bottom"/>
            <w:tcBorders>
              <w:bottom w:val="single" w:sz="8" w:color="auto"/>
            </w:tcBorders>
            <w:shd w:val="clear" w:color="auto" w:fill="E1F4FD"/>
          </w:tcPr>
          <w:p>
            <w:pPr>
              <w:spacing w:after="0"/>
              <w:rPr>
                <w:sz w:val="20"/>
                <w:szCs w:val="20"/>
                <w:color w:val="auto"/>
              </w:rPr>
            </w:pP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96.6</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97.3</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97.3</w:t>
            </w:r>
          </w:p>
        </w:tc>
      </w:tr>
      <w:tr>
        <w:trPr>
          <w:trHeight w:val="264"/>
        </w:trPr>
        <w:tc>
          <w:tcPr>
            <w:tcW w:w="4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shd w:val="clear" w:color="auto" w:fill="E1F4FD"/>
          </w:tcPr>
          <w:p>
            <w:pPr>
              <w:spacing w:after="0"/>
              <w:rPr>
                <w:sz w:val="22"/>
                <w:szCs w:val="22"/>
                <w:color w:val="auto"/>
              </w:rPr>
            </w:pPr>
          </w:p>
        </w:tc>
        <w:tc>
          <w:tcPr>
            <w:tcW w:w="8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150.6</w:t>
            </w:r>
          </w:p>
        </w:tc>
        <w:tc>
          <w:tcPr>
            <w:tcW w:w="160" w:type="dxa"/>
            <w:vAlign w:val="bottom"/>
            <w:tcBorders>
              <w:bottom w:val="single" w:sz="8" w:color="auto"/>
            </w:tcBorders>
            <w:shd w:val="clear" w:color="auto" w:fill="E1F4FD"/>
          </w:tcPr>
          <w:p>
            <w:pPr>
              <w:spacing w:after="0"/>
              <w:rPr>
                <w:sz w:val="22"/>
                <w:szCs w:val="22"/>
                <w:color w:val="auto"/>
              </w:rPr>
            </w:pPr>
          </w:p>
        </w:tc>
        <w:tc>
          <w:tcPr>
            <w:tcW w:w="9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300" w:type="dxa"/>
            <w:vAlign w:val="bottom"/>
            <w:tcBorders>
              <w:bottom w:val="single" w:sz="8" w:color="auto"/>
            </w:tcBorders>
            <w:shd w:val="clear" w:color="auto" w:fill="E1F4FD"/>
          </w:tcPr>
          <w:p>
            <w:pPr>
              <w:spacing w:after="0"/>
              <w:rPr>
                <w:sz w:val="22"/>
                <w:szCs w:val="22"/>
                <w:color w:val="auto"/>
              </w:rPr>
            </w:pP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150.6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151.3</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151.3</w:t>
            </w:r>
          </w:p>
        </w:tc>
      </w:tr>
      <w:tr>
        <w:trPr>
          <w:trHeight w:val="277"/>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Total intangible assets</w:t>
            </w:r>
          </w:p>
        </w:tc>
        <w:tc>
          <w:tcPr>
            <w:tcW w:w="320" w:type="dxa"/>
            <w:vAlign w:val="bottom"/>
            <w:tcBorders>
              <w:bottom w:val="single" w:sz="8" w:color="auto"/>
            </w:tcBorders>
            <w:shd w:val="clear" w:color="auto" w:fill="E1F4FD"/>
          </w:tcPr>
          <w:p>
            <w:pPr>
              <w:jc w:val="right"/>
              <w:ind w:right="119"/>
              <w:spacing w:after="0"/>
              <w:rPr>
                <w:sz w:val="20"/>
                <w:szCs w:val="20"/>
                <w:color w:val="auto"/>
              </w:rPr>
            </w:pPr>
            <w:r>
              <w:rPr>
                <w:rFonts w:ascii="Arial" w:cs="Arial" w:eastAsia="Arial" w:hAnsi="Arial"/>
                <w:sz w:val="16"/>
                <w:szCs w:val="16"/>
                <w:color w:val="4F8ABE"/>
              </w:rPr>
              <w:t>$</w:t>
            </w:r>
          </w:p>
        </w:tc>
        <w:tc>
          <w:tcPr>
            <w:tcW w:w="8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593.1</w:t>
            </w:r>
          </w:p>
        </w:tc>
        <w:tc>
          <w:tcPr>
            <w:tcW w:w="1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9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266.6</w:t>
            </w:r>
          </w:p>
        </w:tc>
        <w:tc>
          <w:tcPr>
            <w:tcW w:w="300" w:type="dxa"/>
            <w:vAlign w:val="bottom"/>
            <w:tcBorders>
              <w:bottom w:val="single" w:sz="8" w:color="auto"/>
            </w:tcBorders>
            <w:shd w:val="clear" w:color="auto" w:fill="E1F4FD"/>
          </w:tcPr>
          <w:p>
            <w:pPr>
              <w:jc w:val="right"/>
              <w:ind w:right="99"/>
              <w:spacing w:after="0"/>
              <w:rPr>
                <w:sz w:val="20"/>
                <w:szCs w:val="20"/>
                <w:color w:val="auto"/>
              </w:rPr>
            </w:pPr>
            <w:r>
              <w:rPr>
                <w:rFonts w:ascii="Arial" w:cs="Arial" w:eastAsia="Arial" w:hAnsi="Arial"/>
                <w:sz w:val="16"/>
                <w:szCs w:val="16"/>
                <w:color w:val="4F8ABE"/>
              </w:rPr>
              <w:t>$</w:t>
            </w:r>
          </w:p>
        </w:tc>
        <w:tc>
          <w:tcPr>
            <w:tcW w:w="8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326.5</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282A3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563.0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276.2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282A32"/>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286.8</w:t>
            </w:r>
          </w:p>
        </w:tc>
      </w:tr>
      <w:tr>
        <w:trPr>
          <w:trHeight w:val="122"/>
        </w:trPr>
        <w:tc>
          <w:tcPr>
            <w:tcW w:w="4580" w:type="dxa"/>
            <w:vAlign w:val="bottom"/>
          </w:tcPr>
          <w:p>
            <w:pPr>
              <w:spacing w:after="0"/>
              <w:rPr>
                <w:sz w:val="10"/>
                <w:szCs w:val="10"/>
                <w:color w:val="auto"/>
              </w:rPr>
            </w:pPr>
          </w:p>
        </w:tc>
        <w:tc>
          <w:tcPr>
            <w:tcW w:w="320" w:type="dxa"/>
            <w:vAlign w:val="bottom"/>
            <w:shd w:val="clear" w:color="auto" w:fill="2989B9"/>
          </w:tcPr>
          <w:p>
            <w:pPr>
              <w:spacing w:after="0"/>
              <w:rPr>
                <w:sz w:val="10"/>
                <w:szCs w:val="10"/>
                <w:color w:val="auto"/>
              </w:rPr>
            </w:pPr>
          </w:p>
        </w:tc>
        <w:tc>
          <w:tcPr>
            <w:tcW w:w="840" w:type="dxa"/>
            <w:vAlign w:val="bottom"/>
            <w:shd w:val="clear" w:color="auto" w:fill="2989B9"/>
          </w:tcPr>
          <w:p>
            <w:pPr>
              <w:spacing w:after="0"/>
              <w:rPr>
                <w:sz w:val="10"/>
                <w:szCs w:val="10"/>
                <w:color w:val="auto"/>
              </w:rPr>
            </w:pPr>
          </w:p>
        </w:tc>
        <w:tc>
          <w:tcPr>
            <w:tcW w:w="160" w:type="dxa"/>
            <w:vAlign w:val="bottom"/>
            <w:shd w:val="clear" w:color="auto" w:fill="2989B9"/>
          </w:tcPr>
          <w:p>
            <w:pPr>
              <w:spacing w:after="0"/>
              <w:rPr>
                <w:sz w:val="10"/>
                <w:szCs w:val="10"/>
                <w:color w:val="auto"/>
              </w:rPr>
            </w:pPr>
          </w:p>
        </w:tc>
        <w:tc>
          <w:tcPr>
            <w:tcW w:w="980" w:type="dxa"/>
            <w:vAlign w:val="bottom"/>
            <w:shd w:val="clear" w:color="auto" w:fill="2989B9"/>
          </w:tcPr>
          <w:p>
            <w:pPr>
              <w:spacing w:after="0"/>
              <w:rPr>
                <w:sz w:val="10"/>
                <w:szCs w:val="10"/>
                <w:color w:val="auto"/>
              </w:rPr>
            </w:pPr>
          </w:p>
        </w:tc>
        <w:tc>
          <w:tcPr>
            <w:tcW w:w="300" w:type="dxa"/>
            <w:vAlign w:val="bottom"/>
            <w:shd w:val="clear" w:color="auto" w:fill="2989B9"/>
          </w:tcPr>
          <w:p>
            <w:pPr>
              <w:spacing w:after="0"/>
              <w:rPr>
                <w:sz w:val="10"/>
                <w:szCs w:val="10"/>
                <w:color w:val="auto"/>
              </w:rPr>
            </w:pPr>
          </w:p>
        </w:tc>
        <w:tc>
          <w:tcPr>
            <w:tcW w:w="840" w:type="dxa"/>
            <w:vAlign w:val="bottom"/>
            <w:shd w:val="clear" w:color="auto" w:fill="2989B9"/>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153"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$513.4 as of both December 31, 2015 and 2014.</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$139.5 as of both December 31, 2015 and 2014.</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Amortization expense related to intangibles was $32.8, $33.4 and $34.1 in 2015, 2014 and 2013, respectively. Amortization expense expected in each of the next five years related to acquisitions completed as of December 31, 2015 is as follows: 2016 - $34.8, 2017 - $31.8, 2018 - $29.0, 2019 - $24.7 and 2020 - $20.2. The weighted-average useful lives of the customer relationships and other are 13 and 4 years, respectively. The tradenames have been assigned an indefinite life based on our expectation of renewing the tradenames, as required, without material modifications and at a minimal cost, and our expectation of positive cash flows beyond the foreseeable future. The reacquired franchise rights result from our franchise acquisitions in the United States and Canada completed prior to 2009.</w:t>
      </w:r>
    </w:p>
    <w:p>
      <w:pPr>
        <w:spacing w:after="0" w:line="17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82A32"/>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performed our annual impairment test of our goodwill and indefinite-lived intangible assets during the third quarter of 2015, 2014 and 2013, and there was no impairment of our goodwill or indefinite-lived intangible as a result of our annual tests.</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53 </w:t>
      </w:r>
      <w:r>
        <w:rPr>
          <w:rFonts w:ascii="Arial" w:cs="Arial" w:eastAsia="Arial" w:hAnsi="Arial"/>
          <w:sz w:val="11"/>
          <w:szCs w:val="11"/>
          <w:color w:val="auto"/>
        </w:rPr>
        <w:t>| ManpowerGroup</w:t>
      </w:r>
    </w:p>
    <w:p>
      <w:pPr>
        <w:sectPr>
          <w:pgSz w:w="11900" w:h="16838" w:orient="portrait"/>
          <w:cols w:equalWidth="0" w:num="1">
            <w:col w:w="11420"/>
          </w:cols>
          <w:pgMar w:left="240" w:top="600"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We utilize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revenues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Significant assumptions used in our goodwill impairment tests during 2015, 2014 and 2013 included: expected revenue growth rates, operating unit profit margins, working capital levels, discount rates ranging from 11.8% to 17.1% for 2015, and a terminal value multiple. The expected future revenue growth rates and the expected operating unit profit margins were determined after considering our historical revenue growth rates and operating unit profit margins, our assessment of future market potential, and our expectations of future business performance.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If the reporting unit’s fair value is less than its carrying value, we are required to perform a second step. In the second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2989B9"/>
        </w:rPr>
        <w:t>Marketable Securities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account for our marketable security investments in accordance with the accounting guidance on investments in debt and equity securities, and have historically determined that all such investments are classified as available-for-sale. Accordingly, unrealized gains and unrealized losses that are determined to be temporary, net of related income taxes, are included in accumulated other comprehensive loss, which is a separate component of shareholders’ equity. Realized gains and losses, and unrealized losses determined to be other-than-temporary, are recorded in our Consolidated Statements of Operations.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We hold a 49% interest in our Swiss franchise, accounted for under the equity method of accounting, which maintained an investment portfolio with a market value of $202.3 and $200.9 as of December 31, 2015 and 2014, respectively. This portfolio is comprised of a wide variety of European and United States debt and equity securities as well as various professionally-managed funds, all of which are classified as available-for-sale. Our share of net realized gains and losses, and declines in value determined to be other-than-temporary, are included in our Consolidated Statements of Operations. For the years ended December 31, 2015, 2014 and 2013, realized gains totaled $2.3, $2.5 and $3.6, respectively, and realized losses totaled $1.1, $0.5 and $1.4, respectively. Other-than-temporary impairment amounts for 2015 and 2013 were net gains of $0.2 and $0.9, respectively, as previously impaired investments were sold for a gain, and 2014 was a loss of $0.1. Our share of net unrealized gains and unrealized losses that are determined to be temporary related to these investments are included in accumulated other comprehensive loss, with the offsetting amount increasing or decreasing our investment in the franchise.</w:t>
      </w: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54</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2989B9"/>
        </w:rPr>
        <w:t>Capitalized Software for Internal Use</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$5.1 and $5.3 as of December 31, 2015 and 2014, respectively, is included in other assets in the Consolidated Balance Sheets. Amortization expense related to the capitalized software costs was $1.7, $2.2 and $5.6 for 2015, 2014 and 2013, respectively.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2989B9"/>
        </w:rPr>
        <w:t>Property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A summary of property and equipment as of December 31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shd w:val="clear" w:color="auto" w:fill="E1F4FD"/>
          </w:tcPr>
          <w:p>
            <w:pPr>
              <w:spacing w:after="0"/>
              <w:rPr>
                <w:sz w:val="22"/>
                <w:szCs w:val="22"/>
                <w:color w:val="auto"/>
              </w:rPr>
            </w:pPr>
          </w:p>
        </w:tc>
        <w:tc>
          <w:tcPr>
            <w:tcW w:w="76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2014</w:t>
            </w:r>
          </w:p>
        </w:tc>
      </w:tr>
      <w:tr>
        <w:trPr>
          <w:trHeight w:val="223"/>
        </w:trPr>
        <w:tc>
          <w:tcPr>
            <w:tcW w:w="9160" w:type="dxa"/>
            <w:vAlign w:val="bottom"/>
          </w:tcPr>
          <w:p>
            <w:pPr>
              <w:ind w:left="40"/>
              <w:spacing w:after="0"/>
              <w:rPr>
                <w:sz w:val="20"/>
                <w:szCs w:val="20"/>
                <w:color w:val="auto"/>
              </w:rPr>
            </w:pPr>
            <w:r>
              <w:rPr>
                <w:rFonts w:ascii="Arial" w:cs="Arial" w:eastAsia="Arial" w:hAnsi="Arial"/>
                <w:sz w:val="16"/>
                <w:szCs w:val="16"/>
                <w:color w:val="282A32"/>
              </w:rPr>
              <w:t>Land</w:t>
            </w:r>
          </w:p>
        </w:tc>
        <w:tc>
          <w:tcPr>
            <w:tcW w:w="360" w:type="dxa"/>
            <w:vAlign w:val="bottom"/>
            <w:shd w:val="clear" w:color="auto" w:fill="E1F4FD"/>
          </w:tcPr>
          <w:p>
            <w:pPr>
              <w:jc w:val="right"/>
              <w:ind w:right="179"/>
              <w:spacing w:after="0"/>
              <w:rPr>
                <w:sz w:val="20"/>
                <w:szCs w:val="20"/>
                <w:color w:val="auto"/>
              </w:rPr>
            </w:pPr>
            <w:r>
              <w:rPr>
                <w:rFonts w:ascii="Arial" w:cs="Arial" w:eastAsia="Arial" w:hAnsi="Arial"/>
                <w:sz w:val="16"/>
                <w:szCs w:val="16"/>
                <w:color w:val="4F8ABE"/>
                <w:w w:val="89"/>
              </w:rPr>
              <w:t>$</w:t>
            </w:r>
          </w:p>
        </w:tc>
        <w:tc>
          <w:tcPr>
            <w:tcW w:w="76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5.4</w:t>
            </w:r>
          </w:p>
        </w:tc>
        <w:tc>
          <w:tcPr>
            <w:tcW w:w="380" w:type="dxa"/>
            <w:vAlign w:val="bottom"/>
          </w:tcPr>
          <w:p>
            <w:pPr>
              <w:jc w:val="right"/>
              <w:ind w:right="179"/>
              <w:spacing w:after="0"/>
              <w:rPr>
                <w:sz w:val="20"/>
                <w:szCs w:val="20"/>
                <w:color w:val="auto"/>
              </w:rPr>
            </w:pPr>
            <w:r>
              <w:rPr>
                <w:rFonts w:ascii="Arial" w:cs="Arial" w:eastAsia="Arial" w:hAnsi="Arial"/>
                <w:sz w:val="16"/>
                <w:szCs w:val="16"/>
                <w:color w:val="282A32"/>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282A32"/>
              </w:rPr>
              <w:t>5.7</w:t>
            </w:r>
          </w:p>
        </w:tc>
      </w:tr>
      <w:tr>
        <w:trPr>
          <w:trHeight w:val="243"/>
        </w:trPr>
        <w:tc>
          <w:tcPr>
            <w:tcW w:w="9160" w:type="dxa"/>
            <w:vAlign w:val="bottom"/>
          </w:tcPr>
          <w:p>
            <w:pPr>
              <w:ind w:left="40"/>
              <w:spacing w:after="0"/>
              <w:rPr>
                <w:sz w:val="20"/>
                <w:szCs w:val="20"/>
                <w:color w:val="auto"/>
              </w:rPr>
            </w:pPr>
            <w:r>
              <w:rPr>
                <w:rFonts w:ascii="Arial" w:cs="Arial" w:eastAsia="Arial" w:hAnsi="Arial"/>
                <w:sz w:val="16"/>
                <w:szCs w:val="16"/>
                <w:color w:val="282A32"/>
              </w:rPr>
              <w:t>Buildings</w:t>
            </w:r>
          </w:p>
        </w:tc>
        <w:tc>
          <w:tcPr>
            <w:tcW w:w="360" w:type="dxa"/>
            <w:vAlign w:val="bottom"/>
            <w:shd w:val="clear" w:color="auto" w:fill="E1F4FD"/>
          </w:tcPr>
          <w:p>
            <w:pPr>
              <w:spacing w:after="0"/>
              <w:rPr>
                <w:sz w:val="21"/>
                <w:szCs w:val="21"/>
                <w:color w:val="auto"/>
              </w:rPr>
            </w:pPr>
          </w:p>
        </w:tc>
        <w:tc>
          <w:tcPr>
            <w:tcW w:w="76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16.7</w:t>
            </w:r>
          </w:p>
        </w:tc>
        <w:tc>
          <w:tcPr>
            <w:tcW w:w="38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282A32"/>
              </w:rPr>
              <w:t>19.2</w:t>
            </w:r>
          </w:p>
        </w:tc>
      </w:tr>
      <w:tr>
        <w:trPr>
          <w:trHeight w:val="243"/>
        </w:trPr>
        <w:tc>
          <w:tcPr>
            <w:tcW w:w="9160" w:type="dxa"/>
            <w:vAlign w:val="bottom"/>
          </w:tcPr>
          <w:p>
            <w:pPr>
              <w:ind w:left="40"/>
              <w:spacing w:after="0"/>
              <w:rPr>
                <w:sz w:val="20"/>
                <w:szCs w:val="20"/>
                <w:color w:val="auto"/>
              </w:rPr>
            </w:pPr>
            <w:r>
              <w:rPr>
                <w:rFonts w:ascii="Arial" w:cs="Arial" w:eastAsia="Arial" w:hAnsi="Arial"/>
                <w:sz w:val="16"/>
                <w:szCs w:val="16"/>
                <w:color w:val="282A32"/>
              </w:rPr>
              <w:t>Furniture, fixtures, and autos</w:t>
            </w:r>
          </w:p>
        </w:tc>
        <w:tc>
          <w:tcPr>
            <w:tcW w:w="360" w:type="dxa"/>
            <w:vAlign w:val="bottom"/>
            <w:shd w:val="clear" w:color="auto" w:fill="E1F4FD"/>
          </w:tcPr>
          <w:p>
            <w:pPr>
              <w:spacing w:after="0"/>
              <w:rPr>
                <w:sz w:val="21"/>
                <w:szCs w:val="21"/>
                <w:color w:val="auto"/>
              </w:rPr>
            </w:pPr>
          </w:p>
        </w:tc>
        <w:tc>
          <w:tcPr>
            <w:tcW w:w="76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166.6</w:t>
            </w:r>
          </w:p>
        </w:tc>
        <w:tc>
          <w:tcPr>
            <w:tcW w:w="38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282A32"/>
              </w:rPr>
              <w:t>178.2</w:t>
            </w:r>
          </w:p>
        </w:tc>
      </w:tr>
      <w:tr>
        <w:trPr>
          <w:trHeight w:val="243"/>
        </w:trPr>
        <w:tc>
          <w:tcPr>
            <w:tcW w:w="9160" w:type="dxa"/>
            <w:vAlign w:val="bottom"/>
          </w:tcPr>
          <w:p>
            <w:pPr>
              <w:ind w:left="40"/>
              <w:spacing w:after="0"/>
              <w:rPr>
                <w:sz w:val="20"/>
                <w:szCs w:val="20"/>
                <w:color w:val="auto"/>
              </w:rPr>
            </w:pPr>
            <w:r>
              <w:rPr>
                <w:rFonts w:ascii="Arial" w:cs="Arial" w:eastAsia="Arial" w:hAnsi="Arial"/>
                <w:sz w:val="16"/>
                <w:szCs w:val="16"/>
                <w:color w:val="282A32"/>
              </w:rPr>
              <w:t>Computer equipment</w:t>
            </w:r>
          </w:p>
        </w:tc>
        <w:tc>
          <w:tcPr>
            <w:tcW w:w="360" w:type="dxa"/>
            <w:vAlign w:val="bottom"/>
            <w:shd w:val="clear" w:color="auto" w:fill="E1F4FD"/>
          </w:tcPr>
          <w:p>
            <w:pPr>
              <w:spacing w:after="0"/>
              <w:rPr>
                <w:sz w:val="21"/>
                <w:szCs w:val="21"/>
                <w:color w:val="auto"/>
              </w:rPr>
            </w:pPr>
          </w:p>
        </w:tc>
        <w:tc>
          <w:tcPr>
            <w:tcW w:w="76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133.2</w:t>
            </w:r>
          </w:p>
        </w:tc>
        <w:tc>
          <w:tcPr>
            <w:tcW w:w="38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282A32"/>
              </w:rPr>
              <w:t>153.0</w:t>
            </w:r>
          </w:p>
        </w:tc>
      </w:tr>
      <w:tr>
        <w:trPr>
          <w:trHeight w:val="256"/>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Leasehold improvements</w:t>
            </w:r>
          </w:p>
        </w:tc>
        <w:tc>
          <w:tcPr>
            <w:tcW w:w="360" w:type="dxa"/>
            <w:vAlign w:val="bottom"/>
            <w:tcBorders>
              <w:bottom w:val="single" w:sz="8" w:color="auto"/>
            </w:tcBorders>
            <w:shd w:val="clear" w:color="auto" w:fill="E1F4FD"/>
          </w:tcPr>
          <w:p>
            <w:pPr>
              <w:spacing w:after="0"/>
              <w:rPr>
                <w:sz w:val="22"/>
                <w:szCs w:val="22"/>
                <w:color w:val="auto"/>
              </w:rPr>
            </w:pPr>
          </w:p>
        </w:tc>
        <w:tc>
          <w:tcPr>
            <w:tcW w:w="76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263.5</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277.4</w:t>
            </w:r>
          </w:p>
        </w:tc>
      </w:tr>
      <w:tr>
        <w:trPr>
          <w:trHeight w:val="237"/>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Property and equipment</w:t>
            </w:r>
          </w:p>
        </w:tc>
        <w:tc>
          <w:tcPr>
            <w:tcW w:w="360" w:type="dxa"/>
            <w:vAlign w:val="bottom"/>
            <w:tcBorders>
              <w:bottom w:val="single" w:sz="8" w:color="auto"/>
            </w:tcBorders>
            <w:shd w:val="clear" w:color="auto" w:fill="E1F4FD"/>
          </w:tcPr>
          <w:p>
            <w:pPr>
              <w:jc w:val="right"/>
              <w:ind w:right="179"/>
              <w:spacing w:after="0"/>
              <w:rPr>
                <w:sz w:val="20"/>
                <w:szCs w:val="20"/>
                <w:color w:val="auto"/>
              </w:rPr>
            </w:pPr>
            <w:r>
              <w:rPr>
                <w:rFonts w:ascii="Arial" w:cs="Arial" w:eastAsia="Arial" w:hAnsi="Arial"/>
                <w:sz w:val="16"/>
                <w:szCs w:val="16"/>
                <w:color w:val="4F8ABE"/>
                <w:w w:val="89"/>
              </w:rPr>
              <w:t>$</w:t>
            </w:r>
          </w:p>
        </w:tc>
        <w:tc>
          <w:tcPr>
            <w:tcW w:w="76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585.4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282A32"/>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633.5</w:t>
            </w:r>
          </w:p>
        </w:tc>
      </w:tr>
      <w:tr>
        <w:trPr>
          <w:trHeight w:val="122"/>
        </w:trPr>
        <w:tc>
          <w:tcPr>
            <w:tcW w:w="9160" w:type="dxa"/>
            <w:vAlign w:val="bottom"/>
          </w:tcPr>
          <w:p>
            <w:pPr>
              <w:spacing w:after="0"/>
              <w:rPr>
                <w:sz w:val="10"/>
                <w:szCs w:val="10"/>
                <w:color w:val="auto"/>
              </w:rPr>
            </w:pPr>
          </w:p>
        </w:tc>
        <w:tc>
          <w:tcPr>
            <w:tcW w:w="360" w:type="dxa"/>
            <w:vAlign w:val="bottom"/>
            <w:shd w:val="clear" w:color="auto" w:fill="2989B9"/>
          </w:tcPr>
          <w:p>
            <w:pPr>
              <w:spacing w:after="0"/>
              <w:rPr>
                <w:sz w:val="10"/>
                <w:szCs w:val="10"/>
                <w:color w:val="auto"/>
              </w:rPr>
            </w:pPr>
          </w:p>
        </w:tc>
        <w:tc>
          <w:tcPr>
            <w:tcW w:w="760" w:type="dxa"/>
            <w:vAlign w:val="bottom"/>
            <w:shd w:val="clear" w:color="auto" w:fill="2989B9"/>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Property and equipment are stated at cost and are depreciated using primarily the straight-line method over the following estimated useful lives: buildings - up to 40 years; furniture, fixtures, autos and computer equipment - 2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2989B9"/>
        </w:rPr>
        <w:t>Derivative Financial Instruments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2989B9"/>
        </w:rPr>
        <w:t>Foreign Currency Translation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financial statements of our non-United States subsidiaries have been translated in accordance with the accounting guidance on foreign currency translation. Under the accounting guidance, asset and liability accounts are translated at the current exchange rates and income statement items are translated at the average exchange rates each month. The resulting translation adjustments are recorded as a component of accumulated other comprehensive loss, which is included in shareholders’ equity.</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55 </w:t>
      </w:r>
      <w:r>
        <w:rPr>
          <w:rFonts w:ascii="Arial" w:cs="Arial" w:eastAsia="Arial" w:hAnsi="Arial"/>
          <w:sz w:val="11"/>
          <w:szCs w:val="11"/>
          <w:color w:val="auto"/>
        </w:rPr>
        <w:t>| ManpowerGroup</w:t>
      </w:r>
    </w:p>
    <w:p>
      <w:pPr>
        <w:sectPr>
          <w:pgSz w:w="11900" w:h="16838" w:orient="portrait"/>
          <w:cols w:equalWidth="0" w:num="1">
            <w:col w:w="11420"/>
          </w:cols>
          <w:pgMar w:left="240" w:top="736"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A portion of our euro-denominated notes are accounted for as a hedge of our net investment in our subsidiaries with a euro-functional currency. Since our net investment in these subsidiaries exceeds the amount of the related borrowings, net of tax, all translation gains or losses related to these borrowings are included as a component of accumulated other comprehensive loss.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2989B9"/>
        </w:rPr>
        <w:t>Shareholders’ Equity</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In October 2015 and December 2012, the Board of Directors authorized the repurchase of 6.0 million and 8.0 million shares of our common stock, respectively. Share repurchases may be made from time to time through a variety of methods, including open market purchases, block transactions, privately negotiated transactions or similar facilities. In 2015, we repurchased a total of 6.7 million shares, comprised of 6.0 million shares under the 2012 authorization and 0.7 million shares under the 2015 authorization, at a total cost of $587.9, including a nominal amount of shares at a cost of $7.7 that settled in January 2016. The share repurchases that settled in January are not reflected in the treasury stock in our Consolidated Balance Sheets as of December 31, 2015. In 2014, we repurchased 2.0 million shares under the 2012 authorization at a cost of $143.5. No repurchases were made in 2013. As of December 31, 2015, there were 5.3 million shares remaining authorized for repurchase under the 2015 authorization and no shares remaining under the 2012 authorization.</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During 2015, 2014 and 2013, the Board of Directors declared total cash dividends of $1.60, $0.98 and $0.92 per share, respectively, resulting in total dividend payments of $121.0, $77.3 and $72.0, respectively.</w:t>
      </w:r>
    </w:p>
    <w:p>
      <w:pPr>
        <w:spacing w:after="0" w:line="16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During the third quarter of 2015, we entered into a joint venture to expand our business in the Greater China region. We contributed a majority of the net assets of our China, Hong Kong, Macau and Taiwan operations and the noncontrolling shareholder contributed cash. The joint venture is included in our Consolidated Balance Sheets as of December 31, 2015 as we have a controlling financial interest. The noncontrolling equity interest is included in noncontrolling interests in total shareholders’ equity in our Consolidated Balance Sheets as of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interests also includes amounts related to other majority-owned subsidiaries for which we have a controlling financial interest.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earnings, net of tax, attributable to these noncontrolling interests were $6.6 for the year ended December 31, 2015.</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2989B9"/>
        </w:rPr>
        <w:t>Cash and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82A32"/>
        </w:rPr>
        <w:t>We consider all highly liquid investments with an original maturity of three months or less when purchased to be cash equivalents.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2989B9"/>
        </w:rPr>
        <w:t>Payroll Tax Credit</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In January 2013, the French government passed legislation, Credit d’Impôt pour la Compétitivité et l’Emploi (“CICE”), effective January 1, 2013, that provides payroll tax credits based on a percentage of wages paid to employees receiving less than two-and-a-half times the French minimum wage. The payroll tax credit was equal to 4% of eligible wages in 2013 and 6% of eligible wages in 2014 and beyond. The CICE payroll tax credit is accounted for as a reduction of our cost of services in the period earned.</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payroll tax credit is creditable against our current French income tax payable, with any remaining amount being paid after three years. Given the amount of our current income taxes payable, we would generally receive the vast majority of these payroll tax credits after the three-year period. In July 2015 and December 2013, we entered into an agreement to sell a portion of the credits earned in 2014 and 2013, respectively, for net proceeds of $132.8 (€120.1) and $104.0 (€75.8), respectively. We derecognized these receivables upon the sale as the terms of the agreement are such that the transaction</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56</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94" w:name="page95"/>
    <w:bookmarkEnd w:id="94"/>
    <w:p>
      <w:pPr>
        <w:jc w:val="both"/>
        <w:ind w:right="20"/>
        <w:spacing w:after="0" w:line="260" w:lineRule="auto"/>
        <w:rPr>
          <w:sz w:val="20"/>
          <w:szCs w:val="20"/>
          <w:color w:val="auto"/>
        </w:rPr>
      </w:pPr>
      <w:r>
        <w:rPr>
          <w:rFonts w:ascii="Arial" w:cs="Arial" w:eastAsia="Arial" w:hAnsi="Arial"/>
          <w:sz w:val="16"/>
          <w:szCs w:val="16"/>
          <w:color w:val="282A32"/>
        </w:rPr>
        <w:t>qualifies for sale treatment according to the accounting guidance on the transfer and servicing of assets. The discount on the sale of these receivables was recorded as a reduction of the payroll tax credits earned in the respective years in cost of services.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2989B9"/>
        </w:rPr>
        <w:t>Recently Issued Accounting Standards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in exchange for those goods or services. The original guidance was effective for us in 2017; however in August 2015, the FASB issued guidance that deferred the effective date by one year for all entities. The new guidance is effective for us in 2018 and can be adopted either retrospectively to each prior reporting period presented or as a cumulative-effect adjustment as of the date of adoption, with early adoption permitted, but not before the original effective date. We are currently assessing the impact of the adoption of this guidance on our Consolidated Financial Statements.</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282A32"/>
        </w:rPr>
        <w:t>In April 2015, the FASB issued new accounting guidance on debt issuance costs. The new guidance requires debt issuance costs related to a recognized debt liability to be presented in the balance sheet as a direct deduction from the associated liability, consistent with debt discounts. As of September 2015, we adopted this guidance and reclassified debt issuance costs associated with our long-term debt from other assets to long-term debt in prior-period financial statements to conform to the current period's presentation. The impact of the adoption of this guidance is disclosed in Note 7 to the Consolidated Financial Statements.</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282A32"/>
        </w:rPr>
        <w:t>In September 2015, the FASB issued new accounting guidance on business combinations. The new guidance eliminates the requirement to restate prior period financial statements for measurement period adjustments following a business combination. It requires that the cumulative impact of a measurement period adjustment (including the impact on prior periods) be recognized in the reporting period in which the adjustment is identified. The prior period impact of the adjustment should be either presented separately on the face of the income statement or disclosed in the notes. The guidance is effective for us in 2016. We do not expect the adoption of this guidance to have a material impact on our Consolidated Financial Statements.</w:t>
      </w:r>
    </w:p>
    <w:p>
      <w:pPr>
        <w:spacing w:after="0" w:line="176"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282A32"/>
        </w:rPr>
        <w:t>In November 2015, the FASB issued new accounting guidance on the balance sheet classification of deferred taxes. The new guidance requires that all deferred taxes be presented as noncurrent. In the fourth quarter of 2015, we adopted this guidance and reclassified current deferred tax assets and current deferred tax liabilities from future income tax benefits and accrued liabilities, respectively, to other assets and other long-term liabilities, respectively, in prior-period financial statements to conform to the current period's presentation. The impact of the adoption of this guidance is disclosed in Note 5 to the Consolidated Financial Statements.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January 2016, the FASB issued new accounting guidance on financial instruments. The new guidance changes the accounting for equity investments, financial liability under the fair value option and the presentation and disclosure requirements for financial instruments. The guidance is effective for us in 2018. We do not expect the adoption of this guidance to have a material impact on our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2989B9"/>
        </w:rPr>
        <w:t>Reclassification</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282A32"/>
        </w:rPr>
        <w:t>In connection with the adoption in the third quarter of 2015 of the new accounting guidance on debt issuance costs, we have reclassified certain amounts in prior-period financial statements to conform to the current period's presentation. In our Consolidated Balance Sheets, we have reclassified debt issuance costs associated with our long-term debt from other assets to long-term debt (see Note 7 to the Consolidated Financial Statements).</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57 </w:t>
      </w:r>
      <w:r>
        <w:rPr>
          <w:rFonts w:ascii="Arial" w:cs="Arial" w:eastAsia="Arial" w:hAnsi="Arial"/>
          <w:sz w:val="11"/>
          <w:szCs w:val="11"/>
          <w:color w:val="auto"/>
        </w:rPr>
        <w:t>| ManpowerGroup</w:t>
      </w:r>
    </w:p>
    <w:p>
      <w:pPr>
        <w:sectPr>
          <w:pgSz w:w="11900" w:h="16838" w:orient="portrait"/>
          <w:cols w:equalWidth="0" w:num="1">
            <w:col w:w="11420"/>
          </w:cols>
          <w:pgMar w:left="240" w:top="385" w:right="2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282A32"/>
        </w:rPr>
        <w:t>In connection with the adoption in the fourth quarter of 2015 of the new accounting guidance on balance sheet classification of deferred taxes, we have reclassified certain amounts in prior-period financial statements to conform to the current period's presentation. In our Consolidated Balance Sheets, we have reclassified current deferred tax assets and current deferred tax liabilities from future income tax (expense) benefits and accrued liabilities, respectively, to other assets and other long-term liabilities, respectively (see Note 5 to the Consolidated Financial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Subsequent Events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282A32"/>
        </w:rPr>
        <w:t>We have evaluated events and transactions occurring after the balance sheet date through our filing date and noted no events that are subject to recognition or disclosure.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color w:val="2989B9"/>
        </w:rPr>
        <w:t>Note 02. Acquisitions</w:t>
      </w:r>
    </w:p>
    <w:p>
      <w:pPr>
        <w:spacing w:after="0" w:line="172"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282A32"/>
        </w:rPr>
        <w:t>On September 3, 2015, we acquired 7S Group GmbH (“7S”), for total consideration, net of cash acquired, of $140.4 (€125.3). In addition, we incurred approximately $3.4 of transaction costs associated with the acquisition during the year ended December 31, 2015, which have been recorded in selling and administrative expenses. Based primarily in Germany, 7S is a highly specialized provider of human resource services focusing on a number of core sectors including skilled trades, engineering and IT.</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282A32"/>
        </w:rPr>
        <w:t>Of the $153.0 (€136.5) of net acquired assets, $48.8 (€43.5) was recorded as finite-lived intangible assets, of which $44.2 (€39.4) was assigned to customer relationships and will be amortized over 10 years using the straight line method. As of December 31, 2015, the customer relationships were $41.4 (€38.1). Total amortization expense related to this intangible asset in each of the next five years is $4.3.</w:t>
      </w:r>
    </w:p>
    <w:p>
      <w:pPr>
        <w:spacing w:after="0" w:line="161"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282A32"/>
        </w:rPr>
        <w:t>The fair value of $119.3 (€106.4), which was not directly attributable to any specific assets or liabilities, was assigned to goodwill as part of the Germany reporting unit.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282A32"/>
        </w:rPr>
        <w:t>As of December 31, 2015, the purchase accounting and figures associated with the above acquisition were preliminary and will be finalized in early 2016.</w:t>
      </w:r>
    </w:p>
    <w:p>
      <w:pPr>
        <w:spacing w:after="0" w:line="18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282A32"/>
        </w:rPr>
        <w:t>From time to time, we acquire and invest in companies throughout the world, including franchises. The total cash consideration for acquisitions excluding 7S, net of cash acquired, was $120.1 for the year ended December 31, 2015, the majority of which took place in Australia, Canada and the Netherlands. The total cash consideration for acquisitions, net of cash acquired, for the years ended 2014 and 2013 was $32.0 and $46.3, respectively. Goodwill and intangible assets resulting from the remaining 2015 acquisitions were $108.7 and $28.5, respectively, as of December 31, 2015. Goodwill and intangible assets resulting from the 2014 acquisitions, the majority of which took place in the Netherlands and the United Kingdom, were $39.4 and $10.1, respectively, as of December 31, 2014.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2989B9"/>
        </w:rPr>
        <w:t>Note 03. Share-Based Compensation Plans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We account for share-based payments according to the accounting guidance on share-based payments. During 2015, 2014 and 2013, we recognized $31.1, $40.6 and $31.5, respectively, in share-based compensation expense related to stock options, deferred stock, restricted stock and performance share units, all of which is recorded in selling and administrative expenses. The total income tax benefit recognized related to share-based compensation during 2015, 2014 and 2013 was $16.9, $12.2 and $21.2, respectively. Consideration received from share-based awards for 2015, 2014 and 2013 was $70.1, $25.5 and $101.0, respectively. The excess income tax benefit recognized related to share-based compensation awards, which is recorded in capital in excess of par value, for 2015, 2014 and 2013 was approximately $7.4, $4.6 and $8.4, respectively. We recognize compensation expense on grants of share-based compensation awards on a straight-line basis over the vesting period of each award.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58</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2989B9"/>
        </w:rPr>
        <w:t>Stock Options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82A32"/>
        </w:rPr>
        <w:t>All share-based compensation is granted under the 2011 Equity Incentive Plan of Manpower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2015 or 2014.</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282A32"/>
        </w:rPr>
        <w:t>A summary of stock option activity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282A32"/>
              </w:rPr>
              <w:t>Wtd. Avg.</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ind w:right="260"/>
              <w:spacing w:after="0"/>
              <w:rPr>
                <w:sz w:val="20"/>
                <w:szCs w:val="20"/>
                <w:color w:val="auto"/>
              </w:rPr>
            </w:pPr>
            <w:r>
              <w:rPr>
                <w:rFonts w:ascii="Arial" w:cs="Arial" w:eastAsia="Arial" w:hAnsi="Arial"/>
                <w:sz w:val="14"/>
                <w:szCs w:val="14"/>
                <w:color w:val="282A32"/>
              </w:rPr>
              <w:t>Wtd. Avg.</w:t>
            </w:r>
          </w:p>
        </w:tc>
        <w:tc>
          <w:tcPr>
            <w:tcW w:w="1460" w:type="dxa"/>
            <w:vAlign w:val="bottom"/>
          </w:tcPr>
          <w:p>
            <w:pPr>
              <w:jc w:val="right"/>
              <w:spacing w:after="0"/>
              <w:rPr>
                <w:sz w:val="20"/>
                <w:szCs w:val="20"/>
                <w:color w:val="auto"/>
              </w:rPr>
            </w:pPr>
            <w:r>
              <w:rPr>
                <w:rFonts w:ascii="Arial" w:cs="Arial" w:eastAsia="Arial" w:hAnsi="Arial"/>
                <w:sz w:val="14"/>
                <w:szCs w:val="14"/>
                <w:color w:val="282A32"/>
              </w:rPr>
              <w:t>Remaining</w:t>
            </w:r>
          </w:p>
        </w:tc>
        <w:tc>
          <w:tcPr>
            <w:tcW w:w="360" w:type="dxa"/>
            <w:vAlign w:val="bottom"/>
          </w:tcPr>
          <w:p>
            <w:pPr>
              <w:spacing w:after="0"/>
              <w:rPr>
                <w:sz w:val="14"/>
                <w:szCs w:val="14"/>
                <w:color w:val="auto"/>
              </w:rPr>
            </w:pPr>
          </w:p>
        </w:tc>
        <w:tc>
          <w:tcPr>
            <w:tcW w:w="1240" w:type="dxa"/>
            <w:vAlign w:val="bottom"/>
          </w:tcPr>
          <w:p>
            <w:pPr>
              <w:jc w:val="right"/>
              <w:ind w:right="21"/>
              <w:spacing w:after="0"/>
              <w:rPr>
                <w:sz w:val="20"/>
                <w:szCs w:val="20"/>
                <w:color w:val="auto"/>
              </w:rPr>
            </w:pPr>
            <w:r>
              <w:rPr>
                <w:rFonts w:ascii="Arial" w:cs="Arial" w:eastAsia="Arial" w:hAnsi="Arial"/>
                <w:sz w:val="14"/>
                <w:szCs w:val="14"/>
                <w:color w:val="282A32"/>
              </w:rPr>
              <w:t>Aggregate</w:t>
            </w:r>
          </w:p>
        </w:tc>
      </w:tr>
      <w:tr>
        <w:trPr>
          <w:trHeight w:val="162"/>
        </w:trPr>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ind w:right="260"/>
              <w:spacing w:after="0"/>
              <w:rPr>
                <w:sz w:val="20"/>
                <w:szCs w:val="20"/>
                <w:color w:val="auto"/>
              </w:rPr>
            </w:pPr>
            <w:r>
              <w:rPr>
                <w:rFonts w:ascii="Arial" w:cs="Arial" w:eastAsia="Arial" w:hAnsi="Arial"/>
                <w:sz w:val="14"/>
                <w:szCs w:val="14"/>
                <w:color w:val="282A32"/>
              </w:rPr>
              <w:t>Exercise Price</w:t>
            </w:r>
          </w:p>
        </w:tc>
        <w:tc>
          <w:tcPr>
            <w:tcW w:w="1460" w:type="dxa"/>
            <w:vAlign w:val="bottom"/>
          </w:tcPr>
          <w:p>
            <w:pPr>
              <w:jc w:val="right"/>
              <w:spacing w:after="0"/>
              <w:rPr>
                <w:sz w:val="20"/>
                <w:szCs w:val="20"/>
                <w:color w:val="auto"/>
              </w:rPr>
            </w:pPr>
            <w:r>
              <w:rPr>
                <w:rFonts w:ascii="Arial" w:cs="Arial" w:eastAsia="Arial" w:hAnsi="Arial"/>
                <w:sz w:val="14"/>
                <w:szCs w:val="14"/>
                <w:color w:val="282A32"/>
              </w:rPr>
              <w:t>Contractual Term</w:t>
            </w:r>
          </w:p>
        </w:tc>
        <w:tc>
          <w:tcPr>
            <w:tcW w:w="360" w:type="dxa"/>
            <w:vAlign w:val="bottom"/>
          </w:tcPr>
          <w:p>
            <w:pPr>
              <w:spacing w:after="0"/>
              <w:rPr>
                <w:sz w:val="14"/>
                <w:szCs w:val="14"/>
                <w:color w:val="auto"/>
              </w:rPr>
            </w:pPr>
          </w:p>
        </w:tc>
        <w:tc>
          <w:tcPr>
            <w:tcW w:w="1240" w:type="dxa"/>
            <w:vAlign w:val="bottom"/>
          </w:tcPr>
          <w:p>
            <w:pPr>
              <w:jc w:val="right"/>
              <w:ind w:right="21"/>
              <w:spacing w:after="0"/>
              <w:rPr>
                <w:sz w:val="20"/>
                <w:szCs w:val="20"/>
                <w:color w:val="auto"/>
              </w:rPr>
            </w:pPr>
            <w:r>
              <w:rPr>
                <w:rFonts w:ascii="Arial" w:cs="Arial" w:eastAsia="Arial" w:hAnsi="Arial"/>
                <w:sz w:val="14"/>
                <w:szCs w:val="14"/>
                <w:color w:val="282A32"/>
              </w:rPr>
              <w:t>Intrinsic Value</w:t>
            </w:r>
          </w:p>
        </w:tc>
      </w:tr>
      <w:tr>
        <w:trPr>
          <w:trHeight w:val="178"/>
        </w:trPr>
        <w:tc>
          <w:tcPr>
            <w:tcW w:w="45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282A32"/>
              </w:rPr>
              <w:t>Shares (000)</w:t>
            </w: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282A32"/>
              </w:rPr>
              <w:t>Per Share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(years)</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282A32"/>
              </w:rPr>
              <w:t>(in millions)</w:t>
            </w:r>
          </w:p>
        </w:tc>
      </w:tr>
      <w:tr>
        <w:trPr>
          <w:trHeight w:val="250"/>
        </w:trPr>
        <w:tc>
          <w:tcPr>
            <w:tcW w:w="4520" w:type="dxa"/>
            <w:vAlign w:val="bottom"/>
          </w:tcPr>
          <w:p>
            <w:pPr>
              <w:ind w:left="40"/>
              <w:spacing w:after="0"/>
              <w:rPr>
                <w:sz w:val="20"/>
                <w:szCs w:val="20"/>
                <w:color w:val="auto"/>
              </w:rPr>
            </w:pPr>
            <w:r>
              <w:rPr>
                <w:rFonts w:ascii="Arial" w:cs="Arial" w:eastAsia="Arial" w:hAnsi="Arial"/>
                <w:sz w:val="16"/>
                <w:szCs w:val="16"/>
                <w:color w:val="282A32"/>
              </w:rPr>
              <w:t>Outstanding, January 1, 2013</w:t>
            </w:r>
          </w:p>
        </w:tc>
        <w:tc>
          <w:tcPr>
            <w:tcW w:w="2000" w:type="dxa"/>
            <w:vAlign w:val="bottom"/>
          </w:tcPr>
          <w:p>
            <w:pPr>
              <w:jc w:val="right"/>
              <w:ind w:right="39"/>
              <w:spacing w:after="0"/>
              <w:rPr>
                <w:sz w:val="20"/>
                <w:szCs w:val="20"/>
                <w:color w:val="auto"/>
              </w:rPr>
            </w:pPr>
            <w:r>
              <w:rPr>
                <w:rFonts w:ascii="Arial" w:cs="Arial" w:eastAsia="Arial" w:hAnsi="Arial"/>
                <w:sz w:val="16"/>
                <w:szCs w:val="16"/>
                <w:color w:val="282A32"/>
              </w:rPr>
              <w:t>5,344</w:t>
            </w:r>
          </w:p>
        </w:tc>
        <w:tc>
          <w:tcPr>
            <w:tcW w:w="360" w:type="dxa"/>
            <w:vAlign w:val="bottom"/>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50</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6"/>
                <w:szCs w:val="16"/>
                <w:color w:val="282A32"/>
              </w:rPr>
              <w:t>Granted</w:t>
            </w:r>
          </w:p>
        </w:tc>
        <w:tc>
          <w:tcPr>
            <w:tcW w:w="2000" w:type="dxa"/>
            <w:vAlign w:val="bottom"/>
          </w:tcPr>
          <w:p>
            <w:pPr>
              <w:jc w:val="right"/>
              <w:ind w:right="39"/>
              <w:spacing w:after="0"/>
              <w:rPr>
                <w:sz w:val="20"/>
                <w:szCs w:val="20"/>
                <w:color w:val="auto"/>
              </w:rPr>
            </w:pPr>
            <w:r>
              <w:rPr>
                <w:rFonts w:ascii="Arial" w:cs="Arial" w:eastAsia="Arial" w:hAnsi="Arial"/>
                <w:sz w:val="16"/>
                <w:szCs w:val="16"/>
                <w:color w:val="282A32"/>
              </w:rPr>
              <w:t>221</w:t>
            </w:r>
          </w:p>
        </w:tc>
        <w:tc>
          <w:tcPr>
            <w:tcW w:w="360" w:type="dxa"/>
            <w:vAlign w:val="bottom"/>
          </w:tcPr>
          <w:p>
            <w:pPr>
              <w:spacing w:after="0"/>
              <w:rPr>
                <w:sz w:val="23"/>
                <w:szCs w:val="23"/>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53</w:t>
            </w:r>
          </w:p>
        </w:tc>
        <w:tc>
          <w:tcPr>
            <w:tcW w:w="1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6"/>
                <w:szCs w:val="16"/>
                <w:color w:val="282A32"/>
              </w:rPr>
              <w:t>Exercised</w:t>
            </w:r>
          </w:p>
        </w:tc>
        <w:tc>
          <w:tcPr>
            <w:tcW w:w="2000" w:type="dxa"/>
            <w:vAlign w:val="bottom"/>
          </w:tcPr>
          <w:p>
            <w:pPr>
              <w:jc w:val="right"/>
              <w:spacing w:after="0"/>
              <w:rPr>
                <w:sz w:val="20"/>
                <w:szCs w:val="20"/>
                <w:color w:val="auto"/>
              </w:rPr>
            </w:pPr>
            <w:r>
              <w:rPr>
                <w:rFonts w:ascii="Arial" w:cs="Arial" w:eastAsia="Arial" w:hAnsi="Arial"/>
                <w:sz w:val="16"/>
                <w:szCs w:val="16"/>
                <w:color w:val="282A32"/>
              </w:rPr>
              <w:t>(2,576)</w:t>
            </w:r>
          </w:p>
        </w:tc>
        <w:tc>
          <w:tcPr>
            <w:tcW w:w="360" w:type="dxa"/>
            <w:vAlign w:val="bottom"/>
          </w:tcPr>
          <w:p>
            <w:pPr>
              <w:spacing w:after="0"/>
              <w:rPr>
                <w:sz w:val="23"/>
                <w:szCs w:val="23"/>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43</w:t>
            </w:r>
          </w:p>
        </w:tc>
        <w:tc>
          <w:tcPr>
            <w:tcW w:w="146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282A32"/>
              </w:rPr>
              <w:t>63</w:t>
            </w:r>
          </w:p>
        </w:tc>
      </w:tr>
      <w:tr>
        <w:trPr>
          <w:trHeight w:val="283"/>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Expired or cancelled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(206)</w:t>
            </w: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51</w:t>
            </w: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Outstanding, December 31, 2013</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2,783</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5.1</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81</w:t>
            </w: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Vested or expected to vest, December 31, 2013</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2,769</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4.8</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Exercisable, December 31, 2013</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2,153</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60</w:t>
            </w:r>
          </w:p>
        </w:tc>
      </w:tr>
      <w:tr>
        <w:trPr>
          <w:trHeight w:val="251"/>
        </w:trPr>
        <w:tc>
          <w:tcPr>
            <w:tcW w:w="4520" w:type="dxa"/>
            <w:vAlign w:val="bottom"/>
          </w:tcPr>
          <w:p>
            <w:pPr>
              <w:ind w:left="40"/>
              <w:spacing w:after="0"/>
              <w:rPr>
                <w:sz w:val="20"/>
                <w:szCs w:val="20"/>
                <w:color w:val="auto"/>
              </w:rPr>
            </w:pPr>
            <w:r>
              <w:rPr>
                <w:rFonts w:ascii="Arial" w:cs="Arial" w:eastAsia="Arial" w:hAnsi="Arial"/>
                <w:sz w:val="16"/>
                <w:szCs w:val="16"/>
                <w:color w:val="282A32"/>
              </w:rPr>
              <w:t>Outstanding, January 1, 2014</w:t>
            </w:r>
          </w:p>
        </w:tc>
        <w:tc>
          <w:tcPr>
            <w:tcW w:w="2000" w:type="dxa"/>
            <w:vAlign w:val="bottom"/>
          </w:tcPr>
          <w:p>
            <w:pPr>
              <w:jc w:val="right"/>
              <w:ind w:right="39"/>
              <w:spacing w:after="0"/>
              <w:rPr>
                <w:sz w:val="20"/>
                <w:szCs w:val="20"/>
                <w:color w:val="auto"/>
              </w:rPr>
            </w:pPr>
            <w:r>
              <w:rPr>
                <w:rFonts w:ascii="Arial" w:cs="Arial" w:eastAsia="Arial" w:hAnsi="Arial"/>
                <w:sz w:val="16"/>
                <w:szCs w:val="16"/>
                <w:color w:val="282A32"/>
              </w:rPr>
              <w:t>2,783</w:t>
            </w:r>
          </w:p>
        </w:tc>
        <w:tc>
          <w:tcPr>
            <w:tcW w:w="360" w:type="dxa"/>
            <w:vAlign w:val="bottom"/>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57</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6"/>
                <w:szCs w:val="16"/>
                <w:color w:val="282A32"/>
              </w:rPr>
              <w:t>Granted</w:t>
            </w:r>
          </w:p>
        </w:tc>
        <w:tc>
          <w:tcPr>
            <w:tcW w:w="2000" w:type="dxa"/>
            <w:vAlign w:val="bottom"/>
          </w:tcPr>
          <w:p>
            <w:pPr>
              <w:jc w:val="right"/>
              <w:ind w:right="39"/>
              <w:spacing w:after="0"/>
              <w:rPr>
                <w:sz w:val="20"/>
                <w:szCs w:val="20"/>
                <w:color w:val="auto"/>
              </w:rPr>
            </w:pPr>
            <w:r>
              <w:rPr>
                <w:rFonts w:ascii="Arial" w:cs="Arial" w:eastAsia="Arial" w:hAnsi="Arial"/>
                <w:sz w:val="16"/>
                <w:szCs w:val="16"/>
                <w:color w:val="282A32"/>
              </w:rPr>
              <w:t>204</w:t>
            </w:r>
          </w:p>
        </w:tc>
        <w:tc>
          <w:tcPr>
            <w:tcW w:w="360" w:type="dxa"/>
            <w:vAlign w:val="bottom"/>
          </w:tcPr>
          <w:p>
            <w:pPr>
              <w:spacing w:after="0"/>
              <w:rPr>
                <w:sz w:val="23"/>
                <w:szCs w:val="23"/>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77</w:t>
            </w:r>
          </w:p>
        </w:tc>
        <w:tc>
          <w:tcPr>
            <w:tcW w:w="1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6"/>
                <w:szCs w:val="16"/>
                <w:color w:val="282A32"/>
              </w:rPr>
              <w:t>Exercised</w:t>
            </w:r>
          </w:p>
        </w:tc>
        <w:tc>
          <w:tcPr>
            <w:tcW w:w="2000" w:type="dxa"/>
            <w:vAlign w:val="bottom"/>
          </w:tcPr>
          <w:p>
            <w:pPr>
              <w:jc w:val="right"/>
              <w:spacing w:after="0"/>
              <w:rPr>
                <w:sz w:val="20"/>
                <w:szCs w:val="20"/>
                <w:color w:val="auto"/>
              </w:rPr>
            </w:pPr>
            <w:r>
              <w:rPr>
                <w:rFonts w:ascii="Arial" w:cs="Arial" w:eastAsia="Arial" w:hAnsi="Arial"/>
                <w:sz w:val="16"/>
                <w:szCs w:val="16"/>
                <w:color w:val="282A32"/>
              </w:rPr>
              <w:t>(473)</w:t>
            </w:r>
          </w:p>
        </w:tc>
        <w:tc>
          <w:tcPr>
            <w:tcW w:w="360" w:type="dxa"/>
            <w:vAlign w:val="bottom"/>
          </w:tcPr>
          <w:p>
            <w:pPr>
              <w:spacing w:after="0"/>
              <w:rPr>
                <w:sz w:val="23"/>
                <w:szCs w:val="23"/>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53</w:t>
            </w:r>
          </w:p>
        </w:tc>
        <w:tc>
          <w:tcPr>
            <w:tcW w:w="146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282A32"/>
              </w:rPr>
              <w:t>13</w:t>
            </w:r>
          </w:p>
        </w:tc>
      </w:tr>
      <w:tr>
        <w:trPr>
          <w:trHeight w:val="283"/>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Expired or cancelled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(30)</w:t>
            </w: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43</w:t>
            </w: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Outstanding, December 31, 2014</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2,484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28</w:t>
            </w: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Vested or expected to vest, December 31, 2014</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2,476</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4.5</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Exercisable, December 31, 2014</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1,957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3.7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23</w:t>
            </w:r>
          </w:p>
        </w:tc>
      </w:tr>
      <w:tr>
        <w:trPr>
          <w:trHeight w:val="251"/>
        </w:trPr>
        <w:tc>
          <w:tcPr>
            <w:tcW w:w="4520" w:type="dxa"/>
            <w:vAlign w:val="bottom"/>
          </w:tcPr>
          <w:p>
            <w:pPr>
              <w:ind w:left="40"/>
              <w:spacing w:after="0"/>
              <w:rPr>
                <w:sz w:val="20"/>
                <w:szCs w:val="20"/>
                <w:color w:val="auto"/>
              </w:rPr>
            </w:pPr>
            <w:r>
              <w:rPr>
                <w:rFonts w:ascii="Arial" w:cs="Arial" w:eastAsia="Arial" w:hAnsi="Arial"/>
                <w:sz w:val="16"/>
                <w:szCs w:val="16"/>
                <w:color w:val="282A32"/>
              </w:rPr>
              <w:t>Outstanding, January 1, 2015</w:t>
            </w:r>
          </w:p>
        </w:tc>
        <w:tc>
          <w:tcPr>
            <w:tcW w:w="2000" w:type="dxa"/>
            <w:vAlign w:val="bottom"/>
          </w:tcPr>
          <w:p>
            <w:pPr>
              <w:jc w:val="right"/>
              <w:ind w:right="39"/>
              <w:spacing w:after="0"/>
              <w:rPr>
                <w:sz w:val="20"/>
                <w:szCs w:val="20"/>
                <w:color w:val="auto"/>
              </w:rPr>
            </w:pPr>
            <w:r>
              <w:rPr>
                <w:rFonts w:ascii="Arial" w:cs="Arial" w:eastAsia="Arial" w:hAnsi="Arial"/>
                <w:sz w:val="16"/>
                <w:szCs w:val="16"/>
                <w:color w:val="282A32"/>
              </w:rPr>
              <w:t>2,484</w:t>
            </w:r>
          </w:p>
        </w:tc>
        <w:tc>
          <w:tcPr>
            <w:tcW w:w="360" w:type="dxa"/>
            <w:vAlign w:val="bottom"/>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59</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6"/>
                <w:szCs w:val="16"/>
                <w:color w:val="282A32"/>
              </w:rPr>
              <w:t>Granted</w:t>
            </w:r>
          </w:p>
        </w:tc>
        <w:tc>
          <w:tcPr>
            <w:tcW w:w="2000" w:type="dxa"/>
            <w:vAlign w:val="bottom"/>
          </w:tcPr>
          <w:p>
            <w:pPr>
              <w:jc w:val="right"/>
              <w:ind w:right="39"/>
              <w:spacing w:after="0"/>
              <w:rPr>
                <w:sz w:val="20"/>
                <w:szCs w:val="20"/>
                <w:color w:val="auto"/>
              </w:rPr>
            </w:pPr>
            <w:r>
              <w:rPr>
                <w:rFonts w:ascii="Arial" w:cs="Arial" w:eastAsia="Arial" w:hAnsi="Arial"/>
                <w:sz w:val="16"/>
                <w:szCs w:val="16"/>
                <w:color w:val="282A32"/>
              </w:rPr>
              <w:t>147</w:t>
            </w:r>
          </w:p>
        </w:tc>
        <w:tc>
          <w:tcPr>
            <w:tcW w:w="360" w:type="dxa"/>
            <w:vAlign w:val="bottom"/>
          </w:tcPr>
          <w:p>
            <w:pPr>
              <w:spacing w:after="0"/>
              <w:rPr>
                <w:sz w:val="23"/>
                <w:szCs w:val="23"/>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77</w:t>
            </w:r>
          </w:p>
        </w:tc>
        <w:tc>
          <w:tcPr>
            <w:tcW w:w="1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6"/>
                <w:szCs w:val="16"/>
                <w:color w:val="282A32"/>
              </w:rPr>
              <w:t>Exercised</w:t>
            </w:r>
          </w:p>
        </w:tc>
        <w:tc>
          <w:tcPr>
            <w:tcW w:w="2000" w:type="dxa"/>
            <w:vAlign w:val="bottom"/>
          </w:tcPr>
          <w:p>
            <w:pPr>
              <w:jc w:val="right"/>
              <w:spacing w:after="0"/>
              <w:rPr>
                <w:sz w:val="20"/>
                <w:szCs w:val="20"/>
                <w:color w:val="auto"/>
              </w:rPr>
            </w:pPr>
            <w:r>
              <w:rPr>
                <w:rFonts w:ascii="Arial" w:cs="Arial" w:eastAsia="Arial" w:hAnsi="Arial"/>
                <w:sz w:val="16"/>
                <w:szCs w:val="16"/>
                <w:color w:val="282A32"/>
              </w:rPr>
              <w:t>(1,255)</w:t>
            </w:r>
          </w:p>
        </w:tc>
        <w:tc>
          <w:tcPr>
            <w:tcW w:w="360" w:type="dxa"/>
            <w:vAlign w:val="bottom"/>
          </w:tcPr>
          <w:p>
            <w:pPr>
              <w:spacing w:after="0"/>
              <w:rPr>
                <w:sz w:val="23"/>
                <w:szCs w:val="23"/>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color w:val="282A32"/>
              </w:rPr>
              <w:t>56</w:t>
            </w:r>
          </w:p>
        </w:tc>
        <w:tc>
          <w:tcPr>
            <w:tcW w:w="146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282A32"/>
              </w:rPr>
              <w:t>39</w:t>
            </w:r>
          </w:p>
        </w:tc>
      </w:tr>
      <w:tr>
        <w:trPr>
          <w:trHeight w:val="283"/>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Expired or cancelled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(104)</w:t>
            </w: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56</w:t>
            </w: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Outstanding, December 31, 2015</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1,272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64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26</w:t>
            </w: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Vested or expected to vest, December 31, 2015</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1,267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64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5.2</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Exercisable, December 31, 2015</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911</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282A32"/>
              </w:rPr>
              <w:t>62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4.0</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282A32"/>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20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282A32"/>
        </w:rPr>
        <w:t>Options outstanding and exercisable as of December 31, 2015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0" w:type="dxa"/>
            <w:vAlign w:val="bottom"/>
            <w:gridSpan w:val="4"/>
          </w:tcPr>
          <w:p>
            <w:pPr>
              <w:jc w:val="right"/>
              <w:ind w:right="280"/>
              <w:spacing w:after="0"/>
              <w:rPr>
                <w:sz w:val="20"/>
                <w:szCs w:val="20"/>
                <w:color w:val="auto"/>
              </w:rPr>
            </w:pPr>
            <w:r>
              <w:rPr>
                <w:rFonts w:ascii="Arial" w:cs="Arial" w:eastAsia="Arial" w:hAnsi="Arial"/>
                <w:sz w:val="14"/>
                <w:szCs w:val="14"/>
                <w:color w:val="282A32"/>
              </w:rPr>
              <w:t>Options Outstanding</w:t>
            </w:r>
          </w:p>
        </w:tc>
        <w:tc>
          <w:tcPr>
            <w:tcW w:w="980" w:type="dxa"/>
            <w:vAlign w:val="bottom"/>
          </w:tcPr>
          <w:p>
            <w:pPr>
              <w:spacing w:after="0"/>
              <w:rPr>
                <w:sz w:val="15"/>
                <w:szCs w:val="15"/>
                <w:color w:val="auto"/>
              </w:rPr>
            </w:pPr>
          </w:p>
        </w:tc>
        <w:tc>
          <w:tcPr>
            <w:tcW w:w="2940" w:type="dxa"/>
            <w:vAlign w:val="bottom"/>
            <w:gridSpan w:val="4"/>
          </w:tcPr>
          <w:p>
            <w:pPr>
              <w:jc w:val="right"/>
              <w:ind w:right="1602"/>
              <w:spacing w:after="0"/>
              <w:rPr>
                <w:sz w:val="20"/>
                <w:szCs w:val="20"/>
                <w:color w:val="auto"/>
              </w:rPr>
            </w:pPr>
            <w:r>
              <w:rPr>
                <w:rFonts w:ascii="Arial" w:cs="Arial" w:eastAsia="Arial" w:hAnsi="Arial"/>
                <w:sz w:val="14"/>
                <w:szCs w:val="14"/>
                <w:color w:val="282A32"/>
              </w:rPr>
              <w:t>Options Exercisable</w:t>
            </w:r>
          </w:p>
        </w:tc>
      </w:tr>
      <w:tr>
        <w:trPr>
          <w:trHeight w:val="193"/>
        </w:trPr>
        <w:tc>
          <w:tcPr>
            <w:tcW w:w="286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82A32"/>
              </w:rPr>
              <w:t>Weighted-</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55565A"/>
            </w:tcBorders>
          </w:tcPr>
          <w:p>
            <w:pPr>
              <w:spacing w:after="0"/>
              <w:rPr>
                <w:sz w:val="16"/>
                <w:szCs w:val="16"/>
                <w:color w:val="auto"/>
              </w:rPr>
            </w:pPr>
          </w:p>
        </w:tc>
        <w:tc>
          <w:tcPr>
            <w:tcW w:w="280" w:type="dxa"/>
            <w:vAlign w:val="bottom"/>
            <w:tcBorders>
              <w:top w:val="single" w:sz="8" w:color="55565A"/>
            </w:tcBorders>
          </w:tcPr>
          <w:p>
            <w:pPr>
              <w:spacing w:after="0"/>
              <w:rPr>
                <w:sz w:val="16"/>
                <w:szCs w:val="16"/>
                <w:color w:val="auto"/>
              </w:rPr>
            </w:pPr>
          </w:p>
        </w:tc>
        <w:tc>
          <w:tcPr>
            <w:tcW w:w="1000" w:type="dxa"/>
            <w:vAlign w:val="bottom"/>
            <w:tcBorders>
              <w:top w:val="single" w:sz="8" w:color="55565A"/>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Pr>
          <w:p>
            <w:pPr>
              <w:spacing w:after="0"/>
              <w:rPr>
                <w:sz w:val="16"/>
                <w:szCs w:val="16"/>
                <w:color w:val="auto"/>
              </w:rPr>
            </w:pPr>
          </w:p>
        </w:tc>
      </w:tr>
      <w:tr>
        <w:trPr>
          <w:trHeight w:val="162"/>
        </w:trPr>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282A32"/>
              </w:rPr>
              <w:t>Average</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282A32"/>
              </w:rPr>
              <w:t>Remaining</w:t>
            </w: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282A32"/>
              </w:rPr>
              <w:t>Weighted-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3"/>
          </w:tcPr>
          <w:p>
            <w:pPr>
              <w:jc w:val="right"/>
              <w:ind w:right="1602"/>
              <w:spacing w:after="0"/>
              <w:rPr>
                <w:sz w:val="20"/>
                <w:szCs w:val="20"/>
                <w:color w:val="auto"/>
              </w:rPr>
            </w:pPr>
            <w:r>
              <w:rPr>
                <w:rFonts w:ascii="Arial" w:cs="Arial" w:eastAsia="Arial" w:hAnsi="Arial"/>
                <w:sz w:val="14"/>
                <w:szCs w:val="14"/>
                <w:color w:val="282A32"/>
              </w:rPr>
              <w:t>Weighted-</w:t>
            </w:r>
          </w:p>
        </w:tc>
      </w:tr>
      <w:tr>
        <w:trPr>
          <w:trHeight w:val="162"/>
        </w:trPr>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282A32"/>
              </w:rPr>
              <w:t>Contractual</w:t>
            </w: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282A32"/>
              </w:rPr>
              <w:t>Average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3"/>
          </w:tcPr>
          <w:p>
            <w:pPr>
              <w:jc w:val="right"/>
              <w:ind w:right="1602"/>
              <w:spacing w:after="0"/>
              <w:rPr>
                <w:sz w:val="20"/>
                <w:szCs w:val="20"/>
                <w:color w:val="auto"/>
              </w:rPr>
            </w:pPr>
            <w:r>
              <w:rPr>
                <w:rFonts w:ascii="Arial" w:cs="Arial" w:eastAsia="Arial" w:hAnsi="Arial"/>
                <w:sz w:val="14"/>
                <w:szCs w:val="14"/>
                <w:color w:val="282A32"/>
              </w:rPr>
              <w:t>Average</w:t>
            </w:r>
          </w:p>
        </w:tc>
      </w:tr>
      <w:tr>
        <w:trPr>
          <w:trHeight w:val="178"/>
        </w:trPr>
        <w:tc>
          <w:tcPr>
            <w:tcW w:w="2860" w:type="dxa"/>
            <w:vAlign w:val="bottom"/>
          </w:tcPr>
          <w:p>
            <w:pPr>
              <w:ind w:left="40"/>
              <w:spacing w:after="0"/>
              <w:rPr>
                <w:sz w:val="20"/>
                <w:szCs w:val="20"/>
                <w:color w:val="auto"/>
              </w:rPr>
            </w:pPr>
            <w:r>
              <w:rPr>
                <w:rFonts w:ascii="Arial" w:cs="Arial" w:eastAsia="Arial" w:hAnsi="Arial"/>
                <w:sz w:val="14"/>
                <w:szCs w:val="14"/>
                <w:color w:val="282A32"/>
              </w:rPr>
              <w:t>Exercise Price</w:t>
            </w:r>
          </w:p>
        </w:tc>
        <w:tc>
          <w:tcPr>
            <w:tcW w:w="1820" w:type="dxa"/>
            <w:vAlign w:val="bottom"/>
          </w:tcPr>
          <w:p>
            <w:pPr>
              <w:jc w:val="right"/>
              <w:ind w:right="480"/>
              <w:spacing w:after="0"/>
              <w:rPr>
                <w:sz w:val="20"/>
                <w:szCs w:val="20"/>
                <w:color w:val="auto"/>
              </w:rPr>
            </w:pPr>
            <w:r>
              <w:rPr>
                <w:rFonts w:ascii="Arial" w:cs="Arial" w:eastAsia="Arial" w:hAnsi="Arial"/>
                <w:sz w:val="14"/>
                <w:szCs w:val="14"/>
                <w:color w:val="282A32"/>
              </w:rPr>
              <w:t>Shares (000)</w:t>
            </w:r>
          </w:p>
        </w:tc>
        <w:tc>
          <w:tcPr>
            <w:tcW w:w="1320" w:type="dxa"/>
            <w:vAlign w:val="bottom"/>
          </w:tcPr>
          <w:p>
            <w:pPr>
              <w:jc w:val="right"/>
              <w:spacing w:after="0"/>
              <w:rPr>
                <w:sz w:val="20"/>
                <w:szCs w:val="20"/>
                <w:color w:val="auto"/>
              </w:rPr>
            </w:pPr>
            <w:r>
              <w:rPr>
                <w:rFonts w:ascii="Arial" w:cs="Arial" w:eastAsia="Arial" w:hAnsi="Arial"/>
                <w:sz w:val="14"/>
                <w:szCs w:val="14"/>
                <w:color w:val="282A32"/>
              </w:rPr>
              <w:t>Life (years)</w:t>
            </w:r>
          </w:p>
        </w:tc>
        <w:tc>
          <w:tcPr>
            <w:tcW w:w="2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282A32"/>
              </w:rPr>
              <w:t>Exercise Price</w:t>
            </w:r>
          </w:p>
        </w:tc>
        <w:tc>
          <w:tcPr>
            <w:tcW w:w="980" w:type="dxa"/>
            <w:vAlign w:val="bottom"/>
          </w:tcPr>
          <w:p>
            <w:pPr>
              <w:jc w:val="right"/>
              <w:spacing w:after="0"/>
              <w:rPr>
                <w:sz w:val="20"/>
                <w:szCs w:val="20"/>
                <w:color w:val="auto"/>
              </w:rPr>
            </w:pPr>
            <w:r>
              <w:rPr>
                <w:rFonts w:ascii="Arial" w:cs="Arial" w:eastAsia="Arial" w:hAnsi="Arial"/>
                <w:sz w:val="14"/>
                <w:szCs w:val="14"/>
                <w:color w:val="282A32"/>
              </w:rPr>
              <w:t>Shares (000)</w:t>
            </w:r>
          </w:p>
        </w:tc>
        <w:tc>
          <w:tcPr>
            <w:tcW w:w="280" w:type="dxa"/>
            <w:vAlign w:val="bottom"/>
          </w:tcPr>
          <w:p>
            <w:pPr>
              <w:spacing w:after="0"/>
              <w:rPr>
                <w:sz w:val="15"/>
                <w:szCs w:val="15"/>
                <w:color w:val="auto"/>
              </w:rPr>
            </w:pPr>
          </w:p>
        </w:tc>
        <w:tc>
          <w:tcPr>
            <w:tcW w:w="2660" w:type="dxa"/>
            <w:vAlign w:val="bottom"/>
            <w:gridSpan w:val="3"/>
          </w:tcPr>
          <w:p>
            <w:pPr>
              <w:jc w:val="right"/>
              <w:ind w:right="1602"/>
              <w:spacing w:after="0"/>
              <w:rPr>
                <w:sz w:val="20"/>
                <w:szCs w:val="20"/>
                <w:color w:val="auto"/>
              </w:rPr>
            </w:pPr>
            <w:r>
              <w:rPr>
                <w:rFonts w:ascii="Arial" w:cs="Arial" w:eastAsia="Arial" w:hAnsi="Arial"/>
                <w:sz w:val="14"/>
                <w:szCs w:val="14"/>
                <w:color w:val="282A32"/>
              </w:rPr>
              <w:t>Exercise Price</w:t>
            </w:r>
          </w:p>
        </w:tc>
      </w:tr>
      <w:tr>
        <w:trPr>
          <w:trHeight w:val="250"/>
        </w:trPr>
        <w:tc>
          <w:tcPr>
            <w:tcW w:w="2860" w:type="dxa"/>
            <w:vAlign w:val="bottom"/>
            <w:tcBorders>
              <w:top w:val="single" w:sz="8" w:color="55565A"/>
            </w:tcBorders>
          </w:tcPr>
          <w:p>
            <w:pPr>
              <w:ind w:left="40"/>
              <w:spacing w:after="0"/>
              <w:rPr>
                <w:sz w:val="20"/>
                <w:szCs w:val="20"/>
                <w:color w:val="auto"/>
              </w:rPr>
            </w:pPr>
            <w:r>
              <w:rPr>
                <w:rFonts w:ascii="Arial" w:cs="Arial" w:eastAsia="Arial" w:hAnsi="Arial"/>
                <w:sz w:val="16"/>
                <w:szCs w:val="16"/>
                <w:color w:val="282A32"/>
              </w:rPr>
              <w:t>$27-$34</w:t>
            </w:r>
          </w:p>
        </w:tc>
        <w:tc>
          <w:tcPr>
            <w:tcW w:w="1820" w:type="dxa"/>
            <w:vAlign w:val="bottom"/>
            <w:tcBorders>
              <w:top w:val="single" w:sz="8" w:color="55565A"/>
            </w:tcBorders>
          </w:tcPr>
          <w:p>
            <w:pPr>
              <w:jc w:val="right"/>
              <w:ind w:right="480"/>
              <w:spacing w:after="0"/>
              <w:rPr>
                <w:sz w:val="20"/>
                <w:szCs w:val="20"/>
                <w:color w:val="auto"/>
              </w:rPr>
            </w:pPr>
            <w:r>
              <w:rPr>
                <w:rFonts w:ascii="Arial" w:cs="Arial" w:eastAsia="Arial" w:hAnsi="Arial"/>
                <w:sz w:val="16"/>
                <w:szCs w:val="16"/>
                <w:color w:val="282A32"/>
              </w:rPr>
              <w:t>44</w:t>
            </w:r>
          </w:p>
        </w:tc>
        <w:tc>
          <w:tcPr>
            <w:tcW w:w="1320" w:type="dxa"/>
            <w:vAlign w:val="bottom"/>
            <w:tcBorders>
              <w:top w:val="single" w:sz="8" w:color="55565A"/>
            </w:tcBorders>
          </w:tcPr>
          <w:p>
            <w:pPr>
              <w:jc w:val="right"/>
              <w:spacing w:after="0"/>
              <w:rPr>
                <w:sz w:val="20"/>
                <w:szCs w:val="20"/>
                <w:color w:val="auto"/>
              </w:rPr>
            </w:pPr>
            <w:r>
              <w:rPr>
                <w:rFonts w:ascii="Arial" w:cs="Arial" w:eastAsia="Arial" w:hAnsi="Arial"/>
                <w:sz w:val="16"/>
                <w:szCs w:val="16"/>
                <w:color w:val="282A32"/>
              </w:rPr>
              <w:t>2.9</w:t>
            </w:r>
          </w:p>
        </w:tc>
        <w:tc>
          <w:tcPr>
            <w:tcW w:w="200" w:type="dxa"/>
            <w:vAlign w:val="bottom"/>
            <w:tcBorders>
              <w:top w:val="single" w:sz="8" w:color="55565A"/>
            </w:tcBorders>
          </w:tcPr>
          <w:p>
            <w:pPr>
              <w:jc w:val="right"/>
              <w:ind w:right="19"/>
              <w:spacing w:after="0"/>
              <w:rPr>
                <w:sz w:val="20"/>
                <w:szCs w:val="20"/>
                <w:color w:val="auto"/>
              </w:rPr>
            </w:pPr>
            <w:r>
              <w:rPr>
                <w:rFonts w:ascii="Arial" w:cs="Arial" w:eastAsia="Arial" w:hAnsi="Arial"/>
                <w:sz w:val="16"/>
                <w:szCs w:val="16"/>
                <w:color w:val="282A32"/>
                <w:w w:val="89"/>
              </w:rPr>
              <w:t>$</w:t>
            </w:r>
          </w:p>
        </w:tc>
        <w:tc>
          <w:tcPr>
            <w:tcW w:w="1080" w:type="dxa"/>
            <w:vAlign w:val="bottom"/>
            <w:tcBorders>
              <w:top w:val="single" w:sz="8" w:color="55565A"/>
            </w:tcBorders>
          </w:tcPr>
          <w:p>
            <w:pPr>
              <w:jc w:val="right"/>
              <w:ind w:right="2"/>
              <w:spacing w:after="0"/>
              <w:rPr>
                <w:sz w:val="20"/>
                <w:szCs w:val="20"/>
                <w:color w:val="auto"/>
              </w:rPr>
            </w:pPr>
            <w:r>
              <w:rPr>
                <w:rFonts w:ascii="Arial" w:cs="Arial" w:eastAsia="Arial" w:hAnsi="Arial"/>
                <w:sz w:val="16"/>
                <w:szCs w:val="16"/>
                <w:color w:val="282A32"/>
              </w:rPr>
              <w:t>30</w:t>
            </w:r>
          </w:p>
        </w:tc>
        <w:tc>
          <w:tcPr>
            <w:tcW w:w="200" w:type="dxa"/>
            <w:vAlign w:val="bottom"/>
            <w:tcBorders>
              <w:top w:val="single" w:sz="8" w:color="55565A"/>
            </w:tcBorders>
          </w:tcPr>
          <w:p>
            <w:pPr>
              <w:spacing w:after="0"/>
              <w:rPr>
                <w:sz w:val="21"/>
                <w:szCs w:val="21"/>
                <w:color w:val="auto"/>
              </w:rPr>
            </w:pPr>
          </w:p>
        </w:tc>
        <w:tc>
          <w:tcPr>
            <w:tcW w:w="980" w:type="dxa"/>
            <w:vAlign w:val="bottom"/>
            <w:tcBorders>
              <w:top w:val="single" w:sz="8" w:color="55565A"/>
            </w:tcBorders>
          </w:tcPr>
          <w:p>
            <w:pPr>
              <w:jc w:val="right"/>
              <w:spacing w:after="0"/>
              <w:rPr>
                <w:sz w:val="20"/>
                <w:szCs w:val="20"/>
                <w:color w:val="auto"/>
              </w:rPr>
            </w:pPr>
            <w:r>
              <w:rPr>
                <w:rFonts w:ascii="Arial" w:cs="Arial" w:eastAsia="Arial" w:hAnsi="Arial"/>
                <w:sz w:val="16"/>
                <w:szCs w:val="16"/>
                <w:color w:val="282A32"/>
              </w:rPr>
              <w:t>44</w:t>
            </w:r>
          </w:p>
        </w:tc>
        <w:tc>
          <w:tcPr>
            <w:tcW w:w="280" w:type="dxa"/>
            <w:vAlign w:val="bottom"/>
            <w:tcBorders>
              <w:top w:val="single" w:sz="8" w:color="55565A"/>
            </w:tcBorders>
          </w:tcPr>
          <w:p>
            <w:pPr>
              <w:jc w:val="right"/>
              <w:ind w:right="2"/>
              <w:spacing w:after="0"/>
              <w:rPr>
                <w:sz w:val="20"/>
                <w:szCs w:val="20"/>
                <w:color w:val="auto"/>
              </w:rPr>
            </w:pPr>
            <w:r>
              <w:rPr>
                <w:rFonts w:ascii="Arial" w:cs="Arial" w:eastAsia="Arial" w:hAnsi="Arial"/>
                <w:sz w:val="16"/>
                <w:szCs w:val="16"/>
                <w:color w:val="282A32"/>
              </w:rPr>
              <w:t>$</w:t>
            </w:r>
          </w:p>
        </w:tc>
        <w:tc>
          <w:tcPr>
            <w:tcW w:w="1100" w:type="dxa"/>
            <w:vAlign w:val="bottom"/>
            <w:tcBorders>
              <w:top w:val="single" w:sz="8" w:color="55565A"/>
            </w:tcBorders>
            <w:gridSpan w:val="2"/>
          </w:tcPr>
          <w:p>
            <w:pPr>
              <w:jc w:val="right"/>
              <w:ind w:right="100"/>
              <w:spacing w:after="0"/>
              <w:rPr>
                <w:sz w:val="20"/>
                <w:szCs w:val="20"/>
                <w:color w:val="auto"/>
              </w:rPr>
            </w:pPr>
            <w:r>
              <w:rPr>
                <w:rFonts w:ascii="Arial" w:cs="Arial" w:eastAsia="Arial" w:hAnsi="Arial"/>
                <w:sz w:val="16"/>
                <w:szCs w:val="16"/>
                <w:color w:val="282A32"/>
              </w:rPr>
              <w:t>30</w:t>
            </w:r>
          </w:p>
        </w:tc>
        <w:tc>
          <w:tcPr>
            <w:tcW w:w="1560" w:type="dxa"/>
            <w:vAlign w:val="bottom"/>
          </w:tcPr>
          <w:p>
            <w:pPr>
              <w:spacing w:after="0"/>
              <w:rPr>
                <w:sz w:val="21"/>
                <w:szCs w:val="2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6"/>
                <w:szCs w:val="16"/>
                <w:color w:val="282A32"/>
              </w:rPr>
              <w:t>$35-$44</w:t>
            </w:r>
          </w:p>
        </w:tc>
        <w:tc>
          <w:tcPr>
            <w:tcW w:w="1820" w:type="dxa"/>
            <w:vAlign w:val="bottom"/>
          </w:tcPr>
          <w:p>
            <w:pPr>
              <w:jc w:val="right"/>
              <w:ind w:right="480"/>
              <w:spacing w:after="0"/>
              <w:rPr>
                <w:sz w:val="20"/>
                <w:szCs w:val="20"/>
                <w:color w:val="auto"/>
              </w:rPr>
            </w:pPr>
            <w:r>
              <w:rPr>
                <w:rFonts w:ascii="Arial" w:cs="Arial" w:eastAsia="Arial" w:hAnsi="Arial"/>
                <w:sz w:val="16"/>
                <w:szCs w:val="16"/>
                <w:color w:val="282A32"/>
              </w:rPr>
              <w:t>86</w:t>
            </w:r>
          </w:p>
        </w:tc>
        <w:tc>
          <w:tcPr>
            <w:tcW w:w="1320" w:type="dxa"/>
            <w:vAlign w:val="bottom"/>
          </w:tcPr>
          <w:p>
            <w:pPr>
              <w:jc w:val="right"/>
              <w:spacing w:after="0"/>
              <w:rPr>
                <w:sz w:val="20"/>
                <w:szCs w:val="20"/>
                <w:color w:val="auto"/>
              </w:rPr>
            </w:pPr>
            <w:r>
              <w:rPr>
                <w:rFonts w:ascii="Arial" w:cs="Arial" w:eastAsia="Arial" w:hAnsi="Arial"/>
                <w:sz w:val="16"/>
                <w:szCs w:val="16"/>
                <w:color w:val="282A32"/>
              </w:rPr>
              <w:t>6.1</w:t>
            </w:r>
          </w:p>
        </w:tc>
        <w:tc>
          <w:tcPr>
            <w:tcW w:w="200" w:type="dxa"/>
            <w:vAlign w:val="bottom"/>
          </w:tcPr>
          <w:p>
            <w:pPr>
              <w:spacing w:after="0"/>
              <w:rPr>
                <w:sz w:val="23"/>
                <w:szCs w:val="23"/>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282A32"/>
              </w:rPr>
              <w:t>45</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82A32"/>
              </w:rPr>
              <w:t>54</w:t>
            </w: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282A32"/>
              </w:rPr>
              <w:t>45</w:t>
            </w:r>
          </w:p>
        </w:tc>
        <w:tc>
          <w:tcPr>
            <w:tcW w:w="1560" w:type="dxa"/>
            <w:vAlign w:val="bottom"/>
          </w:tcPr>
          <w:p>
            <w:pPr>
              <w:spacing w:after="0"/>
              <w:rPr>
                <w:sz w:val="23"/>
                <w:szCs w:val="23"/>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6"/>
                <w:szCs w:val="16"/>
                <w:color w:val="282A32"/>
              </w:rPr>
              <w:t>$45-$55</w:t>
            </w:r>
          </w:p>
        </w:tc>
        <w:tc>
          <w:tcPr>
            <w:tcW w:w="1820" w:type="dxa"/>
            <w:vAlign w:val="bottom"/>
          </w:tcPr>
          <w:p>
            <w:pPr>
              <w:jc w:val="right"/>
              <w:ind w:right="480"/>
              <w:spacing w:after="0"/>
              <w:rPr>
                <w:sz w:val="20"/>
                <w:szCs w:val="20"/>
                <w:color w:val="auto"/>
              </w:rPr>
            </w:pPr>
            <w:r>
              <w:rPr>
                <w:rFonts w:ascii="Arial" w:cs="Arial" w:eastAsia="Arial" w:hAnsi="Arial"/>
                <w:sz w:val="16"/>
                <w:szCs w:val="16"/>
                <w:color w:val="282A32"/>
              </w:rPr>
              <w:t>347</w:t>
            </w:r>
          </w:p>
        </w:tc>
        <w:tc>
          <w:tcPr>
            <w:tcW w:w="1320" w:type="dxa"/>
            <w:vAlign w:val="bottom"/>
          </w:tcPr>
          <w:p>
            <w:pPr>
              <w:jc w:val="right"/>
              <w:spacing w:after="0"/>
              <w:rPr>
                <w:sz w:val="20"/>
                <w:szCs w:val="20"/>
                <w:color w:val="auto"/>
              </w:rPr>
            </w:pPr>
            <w:r>
              <w:rPr>
                <w:rFonts w:ascii="Arial" w:cs="Arial" w:eastAsia="Arial" w:hAnsi="Arial"/>
                <w:sz w:val="16"/>
                <w:szCs w:val="16"/>
                <w:color w:val="282A32"/>
              </w:rPr>
              <w:t>5.1</w:t>
            </w:r>
          </w:p>
        </w:tc>
        <w:tc>
          <w:tcPr>
            <w:tcW w:w="200" w:type="dxa"/>
            <w:vAlign w:val="bottom"/>
          </w:tcPr>
          <w:p>
            <w:pPr>
              <w:spacing w:after="0"/>
              <w:rPr>
                <w:sz w:val="23"/>
                <w:szCs w:val="23"/>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282A32"/>
              </w:rPr>
              <w:t>53</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82A32"/>
              </w:rPr>
              <w:t>273</w:t>
            </w: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282A32"/>
              </w:rPr>
              <w:t>53</w:t>
            </w:r>
          </w:p>
        </w:tc>
        <w:tc>
          <w:tcPr>
            <w:tcW w:w="1560" w:type="dxa"/>
            <w:vAlign w:val="bottom"/>
          </w:tcPr>
          <w:p>
            <w:pPr>
              <w:spacing w:after="0"/>
              <w:rPr>
                <w:sz w:val="23"/>
                <w:szCs w:val="23"/>
                <w:color w:val="auto"/>
              </w:rPr>
            </w:pPr>
          </w:p>
        </w:tc>
      </w:tr>
      <w:tr>
        <w:trPr>
          <w:trHeight w:val="283"/>
        </w:trPr>
        <w:tc>
          <w:tcPr>
            <w:tcW w:w="2860" w:type="dxa"/>
            <w:vAlign w:val="bottom"/>
            <w:tcBorders>
              <w:bottom w:val="single" w:sz="8" w:color="55565A"/>
            </w:tcBorders>
          </w:tcPr>
          <w:p>
            <w:pPr>
              <w:ind w:left="40"/>
              <w:spacing w:after="0"/>
              <w:rPr>
                <w:sz w:val="20"/>
                <w:szCs w:val="20"/>
                <w:color w:val="auto"/>
              </w:rPr>
            </w:pPr>
            <w:r>
              <w:rPr>
                <w:rFonts w:ascii="Arial" w:cs="Arial" w:eastAsia="Arial" w:hAnsi="Arial"/>
                <w:sz w:val="16"/>
                <w:szCs w:val="16"/>
                <w:color w:val="282A32"/>
              </w:rPr>
              <w:t>$56-$93</w:t>
            </w:r>
          </w:p>
        </w:tc>
        <w:tc>
          <w:tcPr>
            <w:tcW w:w="1820" w:type="dxa"/>
            <w:vAlign w:val="bottom"/>
            <w:tcBorders>
              <w:bottom w:val="single" w:sz="8" w:color="55565A"/>
            </w:tcBorders>
          </w:tcPr>
          <w:p>
            <w:pPr>
              <w:jc w:val="right"/>
              <w:ind w:right="480"/>
              <w:spacing w:after="0"/>
              <w:rPr>
                <w:sz w:val="20"/>
                <w:szCs w:val="20"/>
                <w:color w:val="auto"/>
              </w:rPr>
            </w:pPr>
            <w:r>
              <w:rPr>
                <w:rFonts w:ascii="Arial" w:cs="Arial" w:eastAsia="Arial" w:hAnsi="Arial"/>
                <w:sz w:val="16"/>
                <w:szCs w:val="16"/>
                <w:color w:val="282A32"/>
              </w:rPr>
              <w:t>795</w:t>
            </w:r>
          </w:p>
        </w:tc>
        <w:tc>
          <w:tcPr>
            <w:tcW w:w="1320" w:type="dxa"/>
            <w:vAlign w:val="bottom"/>
            <w:tcBorders>
              <w:bottom w:val="single" w:sz="8" w:color="55565A"/>
            </w:tcBorders>
          </w:tcPr>
          <w:p>
            <w:pPr>
              <w:jc w:val="right"/>
              <w:spacing w:after="0"/>
              <w:rPr>
                <w:sz w:val="20"/>
                <w:szCs w:val="20"/>
                <w:color w:val="auto"/>
              </w:rPr>
            </w:pPr>
            <w:r>
              <w:rPr>
                <w:rFonts w:ascii="Arial" w:cs="Arial" w:eastAsia="Arial" w:hAnsi="Arial"/>
                <w:sz w:val="16"/>
                <w:szCs w:val="16"/>
                <w:color w:val="282A32"/>
              </w:rPr>
              <w:t>5.2</w:t>
            </w:r>
          </w:p>
        </w:tc>
        <w:tc>
          <w:tcPr>
            <w:tcW w:w="200" w:type="dxa"/>
            <w:vAlign w:val="bottom"/>
            <w:tcBorders>
              <w:bottom w:val="single" w:sz="8" w:color="55565A"/>
            </w:tcBorders>
          </w:tcPr>
          <w:p>
            <w:pPr>
              <w:spacing w:after="0"/>
              <w:rPr>
                <w:sz w:val="24"/>
                <w:szCs w:val="24"/>
                <w:color w:val="auto"/>
              </w:rPr>
            </w:pPr>
          </w:p>
        </w:tc>
        <w:tc>
          <w:tcPr>
            <w:tcW w:w="1080" w:type="dxa"/>
            <w:vAlign w:val="bottom"/>
            <w:tcBorders>
              <w:bottom w:val="single" w:sz="8" w:color="55565A"/>
            </w:tcBorders>
          </w:tcPr>
          <w:p>
            <w:pPr>
              <w:jc w:val="right"/>
              <w:ind w:right="2"/>
              <w:spacing w:after="0"/>
              <w:rPr>
                <w:sz w:val="20"/>
                <w:szCs w:val="20"/>
                <w:color w:val="auto"/>
              </w:rPr>
            </w:pPr>
            <w:r>
              <w:rPr>
                <w:rFonts w:ascii="Arial" w:cs="Arial" w:eastAsia="Arial" w:hAnsi="Arial"/>
                <w:sz w:val="16"/>
                <w:szCs w:val="16"/>
                <w:color w:val="282A32"/>
              </w:rPr>
              <w:t>73</w:t>
            </w:r>
          </w:p>
        </w:tc>
        <w:tc>
          <w:tcPr>
            <w:tcW w:w="200" w:type="dxa"/>
            <w:vAlign w:val="bottom"/>
            <w:tcBorders>
              <w:bottom w:val="single" w:sz="8" w:color="55565A"/>
            </w:tcBorders>
          </w:tcPr>
          <w:p>
            <w:pPr>
              <w:spacing w:after="0"/>
              <w:rPr>
                <w:sz w:val="24"/>
                <w:szCs w:val="24"/>
                <w:color w:val="auto"/>
              </w:rPr>
            </w:pPr>
          </w:p>
        </w:tc>
        <w:tc>
          <w:tcPr>
            <w:tcW w:w="980" w:type="dxa"/>
            <w:vAlign w:val="bottom"/>
            <w:tcBorders>
              <w:bottom w:val="single" w:sz="8" w:color="55565A"/>
            </w:tcBorders>
          </w:tcPr>
          <w:p>
            <w:pPr>
              <w:jc w:val="right"/>
              <w:spacing w:after="0"/>
              <w:rPr>
                <w:sz w:val="20"/>
                <w:szCs w:val="20"/>
                <w:color w:val="auto"/>
              </w:rPr>
            </w:pPr>
            <w:r>
              <w:rPr>
                <w:rFonts w:ascii="Arial" w:cs="Arial" w:eastAsia="Arial" w:hAnsi="Arial"/>
                <w:sz w:val="16"/>
                <w:szCs w:val="16"/>
                <w:color w:val="282A32"/>
              </w:rPr>
              <w:t>540</w:t>
            </w:r>
          </w:p>
        </w:tc>
        <w:tc>
          <w:tcPr>
            <w:tcW w:w="280" w:type="dxa"/>
            <w:vAlign w:val="bottom"/>
            <w:tcBorders>
              <w:bottom w:val="single" w:sz="8" w:color="55565A"/>
            </w:tcBorders>
          </w:tcPr>
          <w:p>
            <w:pPr>
              <w:spacing w:after="0"/>
              <w:rPr>
                <w:sz w:val="24"/>
                <w:szCs w:val="24"/>
                <w:color w:val="auto"/>
              </w:rPr>
            </w:pPr>
          </w:p>
        </w:tc>
        <w:tc>
          <w:tcPr>
            <w:tcW w:w="1100" w:type="dxa"/>
            <w:vAlign w:val="bottom"/>
            <w:tcBorders>
              <w:bottom w:val="single" w:sz="8" w:color="55565A"/>
            </w:tcBorders>
            <w:gridSpan w:val="2"/>
          </w:tcPr>
          <w:p>
            <w:pPr>
              <w:jc w:val="right"/>
              <w:ind w:right="100"/>
              <w:spacing w:after="0"/>
              <w:rPr>
                <w:sz w:val="20"/>
                <w:szCs w:val="20"/>
                <w:color w:val="auto"/>
              </w:rPr>
            </w:pPr>
            <w:r>
              <w:rPr>
                <w:rFonts w:ascii="Arial" w:cs="Arial" w:eastAsia="Arial" w:hAnsi="Arial"/>
                <w:sz w:val="16"/>
                <w:szCs w:val="16"/>
                <w:color w:val="282A32"/>
              </w:rPr>
              <w:t>71</w:t>
            </w:r>
          </w:p>
        </w:tc>
        <w:tc>
          <w:tcPr>
            <w:tcW w:w="1560" w:type="dxa"/>
            <w:vAlign w:val="bottom"/>
          </w:tcPr>
          <w:p>
            <w:pPr>
              <w:spacing w:after="0"/>
              <w:rPr>
                <w:sz w:val="24"/>
                <w:szCs w:val="24"/>
                <w:color w:val="auto"/>
              </w:rPr>
            </w:pPr>
          </w:p>
        </w:tc>
      </w:tr>
      <w:tr>
        <w:trPr>
          <w:trHeight w:val="264"/>
        </w:trPr>
        <w:tc>
          <w:tcPr>
            <w:tcW w:w="2860" w:type="dxa"/>
            <w:vAlign w:val="bottom"/>
            <w:tcBorders>
              <w:bottom w:val="single" w:sz="8" w:color="55565A"/>
            </w:tcBorders>
          </w:tcPr>
          <w:p>
            <w:pPr>
              <w:spacing w:after="0"/>
              <w:rPr>
                <w:sz w:val="22"/>
                <w:szCs w:val="22"/>
                <w:color w:val="auto"/>
              </w:rPr>
            </w:pPr>
          </w:p>
        </w:tc>
        <w:tc>
          <w:tcPr>
            <w:tcW w:w="1820" w:type="dxa"/>
            <w:vAlign w:val="bottom"/>
            <w:tcBorders>
              <w:bottom w:val="single" w:sz="8" w:color="55565A"/>
            </w:tcBorders>
          </w:tcPr>
          <w:p>
            <w:pPr>
              <w:jc w:val="right"/>
              <w:ind w:right="480"/>
              <w:spacing w:after="0"/>
              <w:rPr>
                <w:sz w:val="20"/>
                <w:szCs w:val="20"/>
                <w:color w:val="auto"/>
              </w:rPr>
            </w:pPr>
            <w:r>
              <w:rPr>
                <w:rFonts w:ascii="Arial" w:cs="Arial" w:eastAsia="Arial" w:hAnsi="Arial"/>
                <w:sz w:val="16"/>
                <w:szCs w:val="16"/>
                <w:color w:val="282A32"/>
              </w:rPr>
              <w:t>1,272</w:t>
            </w:r>
          </w:p>
        </w:tc>
        <w:tc>
          <w:tcPr>
            <w:tcW w:w="1320" w:type="dxa"/>
            <w:vAlign w:val="bottom"/>
            <w:tcBorders>
              <w:bottom w:val="single" w:sz="8" w:color="55565A"/>
            </w:tcBorders>
          </w:tcPr>
          <w:p>
            <w:pPr>
              <w:jc w:val="right"/>
              <w:spacing w:after="0"/>
              <w:rPr>
                <w:sz w:val="20"/>
                <w:szCs w:val="20"/>
                <w:color w:val="auto"/>
              </w:rPr>
            </w:pPr>
            <w:r>
              <w:rPr>
                <w:rFonts w:ascii="Arial" w:cs="Arial" w:eastAsia="Arial" w:hAnsi="Arial"/>
                <w:sz w:val="16"/>
                <w:szCs w:val="16"/>
                <w:color w:val="282A32"/>
              </w:rPr>
              <w:t>5.2</w:t>
            </w:r>
          </w:p>
        </w:tc>
        <w:tc>
          <w:tcPr>
            <w:tcW w:w="200" w:type="dxa"/>
            <w:vAlign w:val="bottom"/>
            <w:tcBorders>
              <w:bottom w:val="single" w:sz="8" w:color="55565A"/>
            </w:tcBorders>
          </w:tcPr>
          <w:p>
            <w:pPr>
              <w:jc w:val="right"/>
              <w:ind w:right="19"/>
              <w:spacing w:after="0"/>
              <w:rPr>
                <w:sz w:val="20"/>
                <w:szCs w:val="20"/>
                <w:color w:val="auto"/>
              </w:rPr>
            </w:pPr>
            <w:r>
              <w:rPr>
                <w:rFonts w:ascii="Arial" w:cs="Arial" w:eastAsia="Arial" w:hAnsi="Arial"/>
                <w:sz w:val="16"/>
                <w:szCs w:val="16"/>
                <w:color w:val="282A32"/>
                <w:w w:val="89"/>
              </w:rPr>
              <w:t>$</w:t>
            </w:r>
          </w:p>
        </w:tc>
        <w:tc>
          <w:tcPr>
            <w:tcW w:w="1080" w:type="dxa"/>
            <w:vAlign w:val="bottom"/>
            <w:tcBorders>
              <w:bottom w:val="single" w:sz="8" w:color="55565A"/>
            </w:tcBorders>
          </w:tcPr>
          <w:p>
            <w:pPr>
              <w:jc w:val="right"/>
              <w:ind w:right="2"/>
              <w:spacing w:after="0"/>
              <w:rPr>
                <w:sz w:val="20"/>
                <w:szCs w:val="20"/>
                <w:color w:val="auto"/>
              </w:rPr>
            </w:pPr>
            <w:r>
              <w:rPr>
                <w:rFonts w:ascii="Arial" w:cs="Arial" w:eastAsia="Arial" w:hAnsi="Arial"/>
                <w:sz w:val="16"/>
                <w:szCs w:val="16"/>
                <w:color w:val="282A32"/>
              </w:rPr>
              <w:t>64</w:t>
            </w:r>
          </w:p>
        </w:tc>
        <w:tc>
          <w:tcPr>
            <w:tcW w:w="200" w:type="dxa"/>
            <w:vAlign w:val="bottom"/>
            <w:tcBorders>
              <w:bottom w:val="single" w:sz="8" w:color="55565A"/>
            </w:tcBorders>
          </w:tcPr>
          <w:p>
            <w:pPr>
              <w:spacing w:after="0"/>
              <w:rPr>
                <w:sz w:val="22"/>
                <w:szCs w:val="22"/>
                <w:color w:val="auto"/>
              </w:rPr>
            </w:pPr>
          </w:p>
        </w:tc>
        <w:tc>
          <w:tcPr>
            <w:tcW w:w="980" w:type="dxa"/>
            <w:vAlign w:val="bottom"/>
            <w:tcBorders>
              <w:bottom w:val="single" w:sz="8" w:color="55565A"/>
            </w:tcBorders>
          </w:tcPr>
          <w:p>
            <w:pPr>
              <w:jc w:val="right"/>
              <w:spacing w:after="0"/>
              <w:rPr>
                <w:sz w:val="20"/>
                <w:szCs w:val="20"/>
                <w:color w:val="auto"/>
              </w:rPr>
            </w:pPr>
            <w:r>
              <w:rPr>
                <w:rFonts w:ascii="Arial" w:cs="Arial" w:eastAsia="Arial" w:hAnsi="Arial"/>
                <w:sz w:val="16"/>
                <w:szCs w:val="16"/>
                <w:color w:val="282A32"/>
              </w:rPr>
              <w:t>911</w:t>
            </w:r>
          </w:p>
        </w:tc>
        <w:tc>
          <w:tcPr>
            <w:tcW w:w="280" w:type="dxa"/>
            <w:vAlign w:val="bottom"/>
            <w:tcBorders>
              <w:bottom w:val="single" w:sz="8" w:color="55565A"/>
            </w:tcBorders>
          </w:tcPr>
          <w:p>
            <w:pPr>
              <w:jc w:val="right"/>
              <w:ind w:right="2"/>
              <w:spacing w:after="0"/>
              <w:rPr>
                <w:sz w:val="20"/>
                <w:szCs w:val="20"/>
                <w:color w:val="auto"/>
              </w:rPr>
            </w:pPr>
            <w:r>
              <w:rPr>
                <w:rFonts w:ascii="Arial" w:cs="Arial" w:eastAsia="Arial" w:hAnsi="Arial"/>
                <w:sz w:val="16"/>
                <w:szCs w:val="16"/>
                <w:color w:val="282A32"/>
              </w:rPr>
              <w:t>$</w:t>
            </w:r>
          </w:p>
        </w:tc>
        <w:tc>
          <w:tcPr>
            <w:tcW w:w="1100" w:type="dxa"/>
            <w:vAlign w:val="bottom"/>
            <w:tcBorders>
              <w:bottom w:val="single" w:sz="8" w:color="55565A"/>
            </w:tcBorders>
            <w:gridSpan w:val="2"/>
          </w:tcPr>
          <w:p>
            <w:pPr>
              <w:jc w:val="right"/>
              <w:ind w:right="100"/>
              <w:spacing w:after="0"/>
              <w:rPr>
                <w:sz w:val="20"/>
                <w:szCs w:val="20"/>
                <w:color w:val="auto"/>
              </w:rPr>
            </w:pPr>
            <w:r>
              <w:rPr>
                <w:rFonts w:ascii="Arial" w:cs="Arial" w:eastAsia="Arial" w:hAnsi="Arial"/>
                <w:sz w:val="16"/>
                <w:szCs w:val="16"/>
                <w:color w:val="282A32"/>
              </w:rPr>
              <w:t>62</w:t>
            </w:r>
          </w:p>
        </w:tc>
        <w:tc>
          <w:tcPr>
            <w:tcW w:w="1560" w:type="dxa"/>
            <w:vAlign w:val="bottom"/>
          </w:tcPr>
          <w:p>
            <w:pPr>
              <w:spacing w:after="0"/>
              <w:rPr>
                <w:sz w:val="22"/>
                <w:szCs w:val="22"/>
                <w:color w:val="auto"/>
              </w:rPr>
            </w:pPr>
          </w:p>
        </w:tc>
      </w:tr>
      <w:tr>
        <w:trPr>
          <w:trHeight w:val="642"/>
        </w:trPr>
        <w:tc>
          <w:tcPr>
            <w:tcW w:w="2860" w:type="dxa"/>
            <w:vAlign w:val="bottom"/>
          </w:tcPr>
          <w:p>
            <w:pPr>
              <w:ind w:left="40"/>
              <w:spacing w:after="0"/>
              <w:rPr>
                <w:sz w:val="20"/>
                <w:szCs w:val="20"/>
                <w:color w:val="auto"/>
              </w:rPr>
            </w:pPr>
            <w:r>
              <w:rPr>
                <w:rFonts w:ascii="Arial" w:cs="Arial" w:eastAsia="Arial" w:hAnsi="Arial"/>
                <w:sz w:val="12"/>
                <w:szCs w:val="12"/>
                <w:color w:val="auto"/>
              </w:rPr>
              <w:t>Notes to Consolidated Financial Statements</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ind w:left="460"/>
              <w:spacing w:after="0"/>
              <w:rPr>
                <w:sz w:val="20"/>
                <w:szCs w:val="20"/>
                <w:color w:val="auto"/>
              </w:rPr>
            </w:pPr>
            <w:r>
              <w:rPr>
                <w:rFonts w:ascii="Arial" w:cs="Arial" w:eastAsia="Arial" w:hAnsi="Arial"/>
                <w:sz w:val="12"/>
                <w:szCs w:val="12"/>
                <w:b w:val="1"/>
                <w:bCs w:val="1"/>
                <w:color w:val="auto"/>
                <w:w w:val="95"/>
              </w:rPr>
              <w:t xml:space="preserve">59 </w:t>
            </w:r>
            <w:r>
              <w:rPr>
                <w:rFonts w:ascii="Arial" w:cs="Arial" w:eastAsia="Arial" w:hAnsi="Arial"/>
                <w:sz w:val="12"/>
                <w:szCs w:val="12"/>
                <w:color w:val="auto"/>
                <w:w w:val="95"/>
              </w:rPr>
              <w:t>| ManpowerGroup</w:t>
            </w:r>
          </w:p>
        </w:tc>
      </w:tr>
    </w:tbl>
    <w:p>
      <w:pPr>
        <w:sectPr>
          <w:pgSz w:w="11900" w:h="16838" w:orient="portrait"/>
          <w:cols w:equalWidth="0" w:num="1">
            <w:col w:w="11420"/>
          </w:cols>
          <w:pgMar w:left="240" w:top="384" w:right="2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have recognized expense of $3.2, $6.8 and $7.5 related to stock options for the years ended December 31, 2015, 2014 and 2013, respectively. The total fair value of options vested during the same periods was $3.2, $11.1 and $9.0, respectively. As of December 31, 2015, total unrecognized compensation cost was approximately $2.1, net of estimated forfeitures, which we expect to recognize over a weighted-average period of approximately 1.3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82A32"/>
        </w:rPr>
        <w:t>We estimated the fair value of each stock option on the date of grant using the Black-Scholes option pricing model and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87630</wp:posOffset>
            </wp:positionV>
            <wp:extent cx="917575" cy="763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7575" cy="76327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Year Ended December 31</w:t>
            </w:r>
          </w:p>
        </w:tc>
        <w:tc>
          <w:tcPr>
            <w:tcW w:w="1620" w:type="dxa"/>
            <w:vAlign w:val="bottom"/>
            <w:tcBorders>
              <w:bottom w:val="single" w:sz="8" w:color="auto"/>
            </w:tcBorders>
            <w:shd w:val="clear" w:color="auto" w:fill="E1F4FD"/>
          </w:tcPr>
          <w:p>
            <w:pPr>
              <w:jc w:val="right"/>
              <w:ind w:right="81"/>
              <w:spacing w:after="0"/>
              <w:rPr>
                <w:sz w:val="20"/>
                <w:szCs w:val="20"/>
                <w:color w:val="auto"/>
              </w:rPr>
            </w:pPr>
            <w:r>
              <w:rPr>
                <w:rFonts w:ascii="Arial" w:cs="Arial" w:eastAsia="Arial" w:hAnsi="Arial"/>
                <w:sz w:val="14"/>
                <w:szCs w:val="14"/>
                <w:color w:val="4F8ABE"/>
              </w:rPr>
              <w:t>2015</w:t>
            </w:r>
          </w:p>
        </w:tc>
        <w:tc>
          <w:tcPr>
            <w:tcW w:w="218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282A32"/>
              </w:rPr>
              <w:t>2014</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282A32"/>
              </w:rPr>
              <w:t>2013</w:t>
            </w:r>
          </w:p>
        </w:tc>
      </w:tr>
      <w:tr>
        <w:trPr>
          <w:trHeight w:val="223"/>
        </w:trPr>
        <w:tc>
          <w:tcPr>
            <w:tcW w:w="6360" w:type="dxa"/>
            <w:vAlign w:val="bottom"/>
          </w:tcPr>
          <w:p>
            <w:pPr>
              <w:ind w:left="40"/>
              <w:spacing w:after="0"/>
              <w:rPr>
                <w:sz w:val="20"/>
                <w:szCs w:val="20"/>
                <w:color w:val="auto"/>
              </w:rPr>
            </w:pPr>
            <w:r>
              <w:rPr>
                <w:rFonts w:ascii="Arial" w:cs="Arial" w:eastAsia="Arial" w:hAnsi="Arial"/>
                <w:sz w:val="16"/>
                <w:szCs w:val="16"/>
                <w:color w:val="282A32"/>
              </w:rPr>
              <w:t>Average risk-free interest rate</w:t>
            </w:r>
          </w:p>
        </w:tc>
        <w:tc>
          <w:tcPr>
            <w:tcW w:w="1620" w:type="dxa"/>
            <w:vAlign w:val="bottom"/>
          </w:tcPr>
          <w:p>
            <w:pPr>
              <w:jc w:val="right"/>
              <w:spacing w:after="0"/>
              <w:rPr>
                <w:sz w:val="20"/>
                <w:szCs w:val="20"/>
                <w:color w:val="auto"/>
              </w:rPr>
            </w:pPr>
            <w:r>
              <w:rPr>
                <w:rFonts w:ascii="Arial" w:cs="Arial" w:eastAsia="Arial" w:hAnsi="Arial"/>
                <w:sz w:val="16"/>
                <w:szCs w:val="16"/>
                <w:color w:val="4F8ABE"/>
              </w:rPr>
              <w:t>1.6%</w:t>
            </w:r>
          </w:p>
        </w:tc>
        <w:tc>
          <w:tcPr>
            <w:tcW w:w="2180" w:type="dxa"/>
            <w:vAlign w:val="bottom"/>
          </w:tcPr>
          <w:p>
            <w:pPr>
              <w:jc w:val="right"/>
              <w:ind w:right="501"/>
              <w:spacing w:after="0"/>
              <w:rPr>
                <w:sz w:val="20"/>
                <w:szCs w:val="20"/>
                <w:color w:val="auto"/>
              </w:rPr>
            </w:pPr>
            <w:r>
              <w:rPr>
                <w:rFonts w:ascii="Arial" w:cs="Arial" w:eastAsia="Arial" w:hAnsi="Arial"/>
                <w:sz w:val="16"/>
                <w:szCs w:val="16"/>
                <w:color w:val="282A32"/>
              </w:rPr>
              <w:t>1.8%</w:t>
            </w:r>
          </w:p>
        </w:tc>
        <w:tc>
          <w:tcPr>
            <w:tcW w:w="1080" w:type="dxa"/>
            <w:vAlign w:val="bottom"/>
          </w:tcPr>
          <w:p>
            <w:pPr>
              <w:jc w:val="right"/>
              <w:spacing w:after="0"/>
              <w:rPr>
                <w:sz w:val="20"/>
                <w:szCs w:val="20"/>
                <w:color w:val="auto"/>
              </w:rPr>
            </w:pPr>
            <w:r>
              <w:rPr>
                <w:rFonts w:ascii="Arial" w:cs="Arial" w:eastAsia="Arial" w:hAnsi="Arial"/>
                <w:sz w:val="16"/>
                <w:szCs w:val="16"/>
                <w:color w:val="282A32"/>
              </w:rPr>
              <w:t>1.1%</w:t>
            </w:r>
          </w:p>
        </w:tc>
      </w:tr>
      <w:tr>
        <w:trPr>
          <w:trHeight w:val="243"/>
        </w:trPr>
        <w:tc>
          <w:tcPr>
            <w:tcW w:w="6360" w:type="dxa"/>
            <w:vAlign w:val="bottom"/>
          </w:tcPr>
          <w:p>
            <w:pPr>
              <w:ind w:left="40"/>
              <w:spacing w:after="0"/>
              <w:rPr>
                <w:sz w:val="20"/>
                <w:szCs w:val="20"/>
                <w:color w:val="auto"/>
              </w:rPr>
            </w:pPr>
            <w:r>
              <w:rPr>
                <w:rFonts w:ascii="Arial" w:cs="Arial" w:eastAsia="Arial" w:hAnsi="Arial"/>
                <w:sz w:val="16"/>
                <w:szCs w:val="16"/>
                <w:color w:val="282A32"/>
              </w:rPr>
              <w:t>Expected dividend yield</w:t>
            </w:r>
          </w:p>
        </w:tc>
        <w:tc>
          <w:tcPr>
            <w:tcW w:w="1620" w:type="dxa"/>
            <w:vAlign w:val="bottom"/>
          </w:tcPr>
          <w:p>
            <w:pPr>
              <w:jc w:val="right"/>
              <w:spacing w:after="0"/>
              <w:rPr>
                <w:sz w:val="20"/>
                <w:szCs w:val="20"/>
                <w:color w:val="auto"/>
              </w:rPr>
            </w:pPr>
            <w:r>
              <w:rPr>
                <w:rFonts w:ascii="Arial" w:cs="Arial" w:eastAsia="Arial" w:hAnsi="Arial"/>
                <w:sz w:val="16"/>
                <w:szCs w:val="16"/>
                <w:color w:val="4F8ABE"/>
              </w:rPr>
              <w:t>1.5%</w:t>
            </w:r>
          </w:p>
        </w:tc>
        <w:tc>
          <w:tcPr>
            <w:tcW w:w="2180" w:type="dxa"/>
            <w:vAlign w:val="bottom"/>
          </w:tcPr>
          <w:p>
            <w:pPr>
              <w:jc w:val="right"/>
              <w:ind w:right="501"/>
              <w:spacing w:after="0"/>
              <w:rPr>
                <w:sz w:val="20"/>
                <w:szCs w:val="20"/>
                <w:color w:val="auto"/>
              </w:rPr>
            </w:pPr>
            <w:r>
              <w:rPr>
                <w:rFonts w:ascii="Arial" w:cs="Arial" w:eastAsia="Arial" w:hAnsi="Arial"/>
                <w:sz w:val="16"/>
                <w:szCs w:val="16"/>
                <w:color w:val="282A32"/>
              </w:rPr>
              <w:t>1.2%</w:t>
            </w:r>
          </w:p>
        </w:tc>
        <w:tc>
          <w:tcPr>
            <w:tcW w:w="1080" w:type="dxa"/>
            <w:vAlign w:val="bottom"/>
          </w:tcPr>
          <w:p>
            <w:pPr>
              <w:jc w:val="right"/>
              <w:spacing w:after="0"/>
              <w:rPr>
                <w:sz w:val="20"/>
                <w:szCs w:val="20"/>
                <w:color w:val="auto"/>
              </w:rPr>
            </w:pPr>
            <w:r>
              <w:rPr>
                <w:rFonts w:ascii="Arial" w:cs="Arial" w:eastAsia="Arial" w:hAnsi="Arial"/>
                <w:sz w:val="16"/>
                <w:szCs w:val="16"/>
                <w:color w:val="282A32"/>
              </w:rPr>
              <w:t>1.7%</w:t>
            </w:r>
          </w:p>
        </w:tc>
      </w:tr>
      <w:tr>
        <w:trPr>
          <w:trHeight w:val="243"/>
        </w:trPr>
        <w:tc>
          <w:tcPr>
            <w:tcW w:w="6360" w:type="dxa"/>
            <w:vAlign w:val="bottom"/>
          </w:tcPr>
          <w:p>
            <w:pPr>
              <w:ind w:left="40"/>
              <w:spacing w:after="0"/>
              <w:rPr>
                <w:sz w:val="20"/>
                <w:szCs w:val="20"/>
                <w:color w:val="auto"/>
              </w:rPr>
            </w:pPr>
            <w:r>
              <w:rPr>
                <w:rFonts w:ascii="Arial" w:cs="Arial" w:eastAsia="Arial" w:hAnsi="Arial"/>
                <w:sz w:val="16"/>
                <w:szCs w:val="16"/>
                <w:color w:val="282A32"/>
              </w:rPr>
              <w:t>Expected volatility</w:t>
            </w:r>
          </w:p>
        </w:tc>
        <w:tc>
          <w:tcPr>
            <w:tcW w:w="1620" w:type="dxa"/>
            <w:vAlign w:val="bottom"/>
          </w:tcPr>
          <w:p>
            <w:pPr>
              <w:jc w:val="right"/>
              <w:spacing w:after="0"/>
              <w:rPr>
                <w:sz w:val="20"/>
                <w:szCs w:val="20"/>
                <w:color w:val="auto"/>
              </w:rPr>
            </w:pPr>
            <w:r>
              <w:rPr>
                <w:rFonts w:ascii="Arial" w:cs="Arial" w:eastAsia="Arial" w:hAnsi="Arial"/>
                <w:sz w:val="16"/>
                <w:szCs w:val="16"/>
                <w:color w:val="4F8ABE"/>
              </w:rPr>
              <w:t>32.0%</w:t>
            </w:r>
          </w:p>
        </w:tc>
        <w:tc>
          <w:tcPr>
            <w:tcW w:w="2180" w:type="dxa"/>
            <w:vAlign w:val="bottom"/>
          </w:tcPr>
          <w:p>
            <w:pPr>
              <w:jc w:val="right"/>
              <w:ind w:right="501"/>
              <w:spacing w:after="0"/>
              <w:rPr>
                <w:sz w:val="20"/>
                <w:szCs w:val="20"/>
                <w:color w:val="auto"/>
              </w:rPr>
            </w:pPr>
            <w:r>
              <w:rPr>
                <w:rFonts w:ascii="Arial" w:cs="Arial" w:eastAsia="Arial" w:hAnsi="Arial"/>
                <w:sz w:val="16"/>
                <w:szCs w:val="16"/>
                <w:color w:val="282A32"/>
              </w:rPr>
              <w:t>37.0%</w:t>
            </w:r>
          </w:p>
        </w:tc>
        <w:tc>
          <w:tcPr>
            <w:tcW w:w="1080" w:type="dxa"/>
            <w:vAlign w:val="bottom"/>
          </w:tcPr>
          <w:p>
            <w:pPr>
              <w:jc w:val="right"/>
              <w:spacing w:after="0"/>
              <w:rPr>
                <w:sz w:val="20"/>
                <w:szCs w:val="20"/>
                <w:color w:val="auto"/>
              </w:rPr>
            </w:pPr>
            <w:r>
              <w:rPr>
                <w:rFonts w:ascii="Arial" w:cs="Arial" w:eastAsia="Arial" w:hAnsi="Arial"/>
                <w:sz w:val="16"/>
                <w:szCs w:val="16"/>
                <w:color w:val="282A32"/>
              </w:rPr>
              <w:t>42.0%</w:t>
            </w:r>
          </w:p>
        </w:tc>
      </w:tr>
      <w:tr>
        <w:trPr>
          <w:trHeight w:val="256"/>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Expected term (years)</w:t>
            </w:r>
          </w:p>
        </w:tc>
        <w:tc>
          <w:tcPr>
            <w:tcW w:w="16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4F8ABE"/>
              </w:rPr>
              <w:t>6.0</w:t>
            </w:r>
          </w:p>
        </w:tc>
        <w:tc>
          <w:tcPr>
            <w:tcW w:w="218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282A32"/>
              </w:rPr>
              <w:t>5.9</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282A32"/>
              </w:rPr>
              <w:t>5.9</w:t>
            </w:r>
          </w:p>
        </w:tc>
      </w:tr>
      <w:tr>
        <w:trPr>
          <w:trHeight w:val="122"/>
        </w:trPr>
        <w:tc>
          <w:tcPr>
            <w:tcW w:w="6360" w:type="dxa"/>
            <w:vAlign w:val="bottom"/>
          </w:tcPr>
          <w:p>
            <w:pPr>
              <w:spacing w:after="0"/>
              <w:rPr>
                <w:sz w:val="10"/>
                <w:szCs w:val="10"/>
                <w:color w:val="auto"/>
              </w:rPr>
            </w:pPr>
          </w:p>
        </w:tc>
        <w:tc>
          <w:tcPr>
            <w:tcW w:w="1620" w:type="dxa"/>
            <w:vAlign w:val="bottom"/>
            <w:shd w:val="clear" w:color="auto" w:fill="2989B9"/>
          </w:tcPr>
          <w:p>
            <w:pPr>
              <w:spacing w:after="0"/>
              <w:rPr>
                <w:sz w:val="10"/>
                <w:szCs w:val="10"/>
                <w:color w:val="auto"/>
              </w:rPr>
            </w:pPr>
          </w:p>
        </w:tc>
        <w:tc>
          <w:tcPr>
            <w:tcW w:w="218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-711200</wp:posOffset>
            </wp:positionV>
            <wp:extent cx="111760" cy="626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760" cy="626110"/>
                    </a:xfrm>
                    <a:prstGeom prst="rect">
                      <a:avLst/>
                    </a:prstGeom>
                    <a:noFill/>
                  </pic:spPr>
                </pic:pic>
              </a:graphicData>
            </a:graphic>
          </wp:anchor>
        </w:drawing>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The average risk-free interest rate is based on the five-year United States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$21.66, $25.64 and $17.99 in 2015, 2014 and 2013, respectively.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2989B9"/>
        </w:rPr>
        <w:t>Deferred Stock</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As of December 31, 2015, 2014 and 2013, there were 36,091, 33,985 and 31,733, respectively, shares of deferred stock awarded under this arrangement, all of which are vested.</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2011 Plan. As of December 31, 2015, 2014 and 2013, there were 7,920, 5,199 and 14,844, respectively, shares of deferred stock and 13,860, 10,248 and 14,844, respectively, shares of restricted stock granted under this arrangement, all of which are vested, except for 1,752 shares of restricted stock granted in 2015 that were cancelled. We recognized expense of $0.8, $0.7 and $0.9 related to deferred stock in 2015, 2014 and 2013, respectively.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2989B9"/>
        </w:rPr>
        <w:t>Restricted Stock</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60</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282A32"/>
        </w:rPr>
        <w:t>A summary of restricted stock activity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282A32"/>
              </w:rPr>
              <w:t>Wtd. Avg.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282A32"/>
              </w:rPr>
              <w:t>Remaining</w:t>
            </w:r>
          </w:p>
        </w:tc>
        <w:tc>
          <w:tcPr>
            <w:tcW w:w="2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Arial" w:cs="Arial" w:eastAsia="Arial" w:hAnsi="Arial"/>
                <w:sz w:val="14"/>
                <w:szCs w:val="14"/>
                <w:color w:val="282A32"/>
              </w:rPr>
              <w:t>Aggregate</w:t>
            </w:r>
          </w:p>
        </w:tc>
      </w:tr>
      <w:tr>
        <w:trPr>
          <w:trHeight w:val="162"/>
        </w:trPr>
        <w:tc>
          <w:tcPr>
            <w:tcW w:w="4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240"/>
              <w:spacing w:after="0"/>
              <w:rPr>
                <w:sz w:val="20"/>
                <w:szCs w:val="20"/>
                <w:color w:val="auto"/>
              </w:rPr>
            </w:pPr>
            <w:r>
              <w:rPr>
                <w:rFonts w:ascii="Arial" w:cs="Arial" w:eastAsia="Arial" w:hAnsi="Arial"/>
                <w:sz w:val="14"/>
                <w:szCs w:val="14"/>
                <w:color w:val="282A32"/>
              </w:rPr>
              <w:t>Wtd. Avg.</w:t>
            </w:r>
          </w:p>
        </w:tc>
        <w:tc>
          <w:tcPr>
            <w:tcW w:w="1160" w:type="dxa"/>
            <w:vAlign w:val="bottom"/>
          </w:tcPr>
          <w:p>
            <w:pPr>
              <w:jc w:val="right"/>
              <w:spacing w:after="0"/>
              <w:rPr>
                <w:sz w:val="20"/>
                <w:szCs w:val="20"/>
                <w:color w:val="auto"/>
              </w:rPr>
            </w:pPr>
            <w:r>
              <w:rPr>
                <w:rFonts w:ascii="Arial" w:cs="Arial" w:eastAsia="Arial" w:hAnsi="Arial"/>
                <w:sz w:val="14"/>
                <w:szCs w:val="14"/>
                <w:color w:val="282A32"/>
              </w:rPr>
              <w:t>Contractual</w:t>
            </w:r>
          </w:p>
        </w:tc>
        <w:tc>
          <w:tcPr>
            <w:tcW w:w="2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Arial" w:cs="Arial" w:eastAsia="Arial" w:hAnsi="Arial"/>
                <w:sz w:val="14"/>
                <w:szCs w:val="14"/>
                <w:color w:val="282A32"/>
              </w:rPr>
              <w:t>Intrinsic Value</w:t>
            </w:r>
          </w:p>
        </w:tc>
      </w:tr>
      <w:tr>
        <w:trPr>
          <w:trHeight w:val="178"/>
        </w:trPr>
        <w:tc>
          <w:tcPr>
            <w:tcW w:w="43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Shares (000)</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282A32"/>
              </w:rPr>
              <w:t>Price Per Share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Term (years)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282A32"/>
              </w:rPr>
              <w:t>(in millions)</w:t>
            </w:r>
          </w:p>
        </w:tc>
      </w:tr>
      <w:tr>
        <w:trPr>
          <w:trHeight w:val="250"/>
        </w:trPr>
        <w:tc>
          <w:tcPr>
            <w:tcW w:w="4300" w:type="dxa"/>
            <w:vAlign w:val="bottom"/>
          </w:tcPr>
          <w:p>
            <w:pPr>
              <w:ind w:left="40"/>
              <w:spacing w:after="0"/>
              <w:rPr>
                <w:sz w:val="20"/>
                <w:szCs w:val="20"/>
                <w:color w:val="auto"/>
              </w:rPr>
            </w:pPr>
            <w:r>
              <w:rPr>
                <w:rFonts w:ascii="Arial" w:cs="Arial" w:eastAsia="Arial" w:hAnsi="Arial"/>
                <w:sz w:val="16"/>
                <w:szCs w:val="16"/>
                <w:color w:val="282A32"/>
              </w:rPr>
              <w:t>Unvested, January 1, 2013</w:t>
            </w:r>
          </w:p>
        </w:tc>
        <w:tc>
          <w:tcPr>
            <w:tcW w:w="3000" w:type="dxa"/>
            <w:vAlign w:val="bottom"/>
          </w:tcPr>
          <w:p>
            <w:pPr>
              <w:jc w:val="right"/>
              <w:ind w:right="20"/>
              <w:spacing w:after="0"/>
              <w:rPr>
                <w:sz w:val="20"/>
                <w:szCs w:val="20"/>
                <w:color w:val="auto"/>
              </w:rPr>
            </w:pPr>
            <w:r>
              <w:rPr>
                <w:rFonts w:ascii="Arial" w:cs="Arial" w:eastAsia="Arial" w:hAnsi="Arial"/>
                <w:sz w:val="16"/>
                <w:szCs w:val="16"/>
                <w:color w:val="282A32"/>
              </w:rPr>
              <w:t>589</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1400" w:type="dxa"/>
            <w:vAlign w:val="bottom"/>
          </w:tcPr>
          <w:p>
            <w:pPr>
              <w:jc w:val="right"/>
              <w:ind w:right="240"/>
              <w:spacing w:after="0"/>
              <w:rPr>
                <w:sz w:val="20"/>
                <w:szCs w:val="20"/>
                <w:color w:val="auto"/>
              </w:rPr>
            </w:pPr>
            <w:r>
              <w:rPr>
                <w:rFonts w:ascii="Arial" w:cs="Arial" w:eastAsia="Arial" w:hAnsi="Arial"/>
                <w:sz w:val="16"/>
                <w:szCs w:val="16"/>
                <w:color w:val="282A32"/>
              </w:rPr>
              <w:t>55</w:t>
            </w:r>
          </w:p>
        </w:tc>
        <w:tc>
          <w:tcPr>
            <w:tcW w:w="1160" w:type="dxa"/>
            <w:vAlign w:val="bottom"/>
          </w:tcPr>
          <w:p>
            <w:pPr>
              <w:jc w:val="right"/>
              <w:spacing w:after="0"/>
              <w:rPr>
                <w:sz w:val="20"/>
                <w:szCs w:val="20"/>
                <w:color w:val="auto"/>
              </w:rPr>
            </w:pPr>
            <w:r>
              <w:rPr>
                <w:rFonts w:ascii="Arial" w:cs="Arial" w:eastAsia="Arial" w:hAnsi="Arial"/>
                <w:sz w:val="16"/>
                <w:szCs w:val="16"/>
                <w:color w:val="282A32"/>
              </w:rPr>
              <w:t>1.7</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6"/>
                <w:szCs w:val="16"/>
                <w:color w:val="282A32"/>
              </w:rPr>
              <w:t>Granted</w:t>
            </w:r>
          </w:p>
        </w:tc>
        <w:tc>
          <w:tcPr>
            <w:tcW w:w="3000" w:type="dxa"/>
            <w:vAlign w:val="bottom"/>
          </w:tcPr>
          <w:p>
            <w:pPr>
              <w:jc w:val="right"/>
              <w:ind w:right="20"/>
              <w:spacing w:after="0"/>
              <w:rPr>
                <w:sz w:val="20"/>
                <w:szCs w:val="20"/>
                <w:color w:val="auto"/>
              </w:rPr>
            </w:pPr>
            <w:r>
              <w:rPr>
                <w:rFonts w:ascii="Arial" w:cs="Arial" w:eastAsia="Arial" w:hAnsi="Arial"/>
                <w:sz w:val="16"/>
                <w:szCs w:val="16"/>
                <w:color w:val="282A32"/>
              </w:rPr>
              <w:t>192</w:t>
            </w:r>
          </w:p>
        </w:tc>
        <w:tc>
          <w:tcPr>
            <w:tcW w:w="200" w:type="dxa"/>
            <w:vAlign w:val="bottom"/>
          </w:tcPr>
          <w:p>
            <w:pPr>
              <w:spacing w:after="0"/>
              <w:rPr>
                <w:sz w:val="23"/>
                <w:szCs w:val="23"/>
                <w:color w:val="auto"/>
              </w:rPr>
            </w:pPr>
          </w:p>
        </w:tc>
        <w:tc>
          <w:tcPr>
            <w:tcW w:w="1400" w:type="dxa"/>
            <w:vAlign w:val="bottom"/>
          </w:tcPr>
          <w:p>
            <w:pPr>
              <w:jc w:val="right"/>
              <w:ind w:right="240"/>
              <w:spacing w:after="0"/>
              <w:rPr>
                <w:sz w:val="20"/>
                <w:szCs w:val="20"/>
                <w:color w:val="auto"/>
              </w:rPr>
            </w:pPr>
            <w:r>
              <w:rPr>
                <w:rFonts w:ascii="Arial" w:cs="Arial" w:eastAsia="Arial" w:hAnsi="Arial"/>
                <w:sz w:val="16"/>
                <w:szCs w:val="16"/>
                <w:color w:val="282A32"/>
              </w:rPr>
              <w:t>52</w:t>
            </w: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6"/>
                <w:szCs w:val="16"/>
                <w:color w:val="282A32"/>
              </w:rPr>
              <w:t>Vested</w:t>
            </w:r>
          </w:p>
        </w:tc>
        <w:tc>
          <w:tcPr>
            <w:tcW w:w="3000" w:type="dxa"/>
            <w:vAlign w:val="bottom"/>
          </w:tcPr>
          <w:p>
            <w:pPr>
              <w:jc w:val="right"/>
              <w:spacing w:after="0"/>
              <w:rPr>
                <w:sz w:val="20"/>
                <w:szCs w:val="20"/>
                <w:color w:val="auto"/>
              </w:rPr>
            </w:pPr>
            <w:r>
              <w:rPr>
                <w:rFonts w:ascii="Arial" w:cs="Arial" w:eastAsia="Arial" w:hAnsi="Arial"/>
                <w:sz w:val="16"/>
                <w:szCs w:val="16"/>
                <w:color w:val="282A32"/>
              </w:rPr>
              <w:t>(90)</w:t>
            </w:r>
          </w:p>
        </w:tc>
        <w:tc>
          <w:tcPr>
            <w:tcW w:w="200" w:type="dxa"/>
            <w:vAlign w:val="bottom"/>
          </w:tcPr>
          <w:p>
            <w:pPr>
              <w:spacing w:after="0"/>
              <w:rPr>
                <w:sz w:val="23"/>
                <w:szCs w:val="23"/>
                <w:color w:val="auto"/>
              </w:rPr>
            </w:pPr>
          </w:p>
        </w:tc>
        <w:tc>
          <w:tcPr>
            <w:tcW w:w="1400" w:type="dxa"/>
            <w:vAlign w:val="bottom"/>
          </w:tcPr>
          <w:p>
            <w:pPr>
              <w:jc w:val="right"/>
              <w:ind w:right="240"/>
              <w:spacing w:after="0"/>
              <w:rPr>
                <w:sz w:val="20"/>
                <w:szCs w:val="20"/>
                <w:color w:val="auto"/>
              </w:rPr>
            </w:pPr>
            <w:r>
              <w:rPr>
                <w:rFonts w:ascii="Arial" w:cs="Arial" w:eastAsia="Arial" w:hAnsi="Arial"/>
                <w:sz w:val="16"/>
                <w:szCs w:val="16"/>
                <w:color w:val="282A32"/>
              </w:rPr>
              <w:t>52</w:t>
            </w: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3"/>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Forfeited</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(64)</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282A32"/>
              </w:rPr>
              <w:t>56</w:t>
            </w: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Unvested, December 31, 2013</w:t>
            </w:r>
          </w:p>
        </w:tc>
        <w:tc>
          <w:tcPr>
            <w:tcW w:w="3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627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282A32"/>
              </w:rPr>
              <w:t>54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1.3</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51"/>
        </w:trPr>
        <w:tc>
          <w:tcPr>
            <w:tcW w:w="4300" w:type="dxa"/>
            <w:vAlign w:val="bottom"/>
          </w:tcPr>
          <w:p>
            <w:pPr>
              <w:ind w:left="40"/>
              <w:spacing w:after="0"/>
              <w:rPr>
                <w:sz w:val="20"/>
                <w:szCs w:val="20"/>
                <w:color w:val="auto"/>
              </w:rPr>
            </w:pPr>
            <w:r>
              <w:rPr>
                <w:rFonts w:ascii="Arial" w:cs="Arial" w:eastAsia="Arial" w:hAnsi="Arial"/>
                <w:sz w:val="16"/>
                <w:szCs w:val="16"/>
                <w:color w:val="282A32"/>
              </w:rPr>
              <w:t>Granted</w:t>
            </w:r>
          </w:p>
        </w:tc>
        <w:tc>
          <w:tcPr>
            <w:tcW w:w="3000" w:type="dxa"/>
            <w:vAlign w:val="bottom"/>
          </w:tcPr>
          <w:p>
            <w:pPr>
              <w:jc w:val="right"/>
              <w:ind w:right="20"/>
              <w:spacing w:after="0"/>
              <w:rPr>
                <w:sz w:val="20"/>
                <w:szCs w:val="20"/>
                <w:color w:val="auto"/>
              </w:rPr>
            </w:pPr>
            <w:r>
              <w:rPr>
                <w:rFonts w:ascii="Arial" w:cs="Arial" w:eastAsia="Arial" w:hAnsi="Arial"/>
                <w:sz w:val="16"/>
                <w:szCs w:val="16"/>
                <w:color w:val="282A32"/>
              </w:rPr>
              <w:t>169</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1400" w:type="dxa"/>
            <w:vAlign w:val="bottom"/>
          </w:tcPr>
          <w:p>
            <w:pPr>
              <w:jc w:val="right"/>
              <w:ind w:right="240"/>
              <w:spacing w:after="0"/>
              <w:rPr>
                <w:sz w:val="20"/>
                <w:szCs w:val="20"/>
                <w:color w:val="auto"/>
              </w:rPr>
            </w:pPr>
            <w:r>
              <w:rPr>
                <w:rFonts w:ascii="Arial" w:cs="Arial" w:eastAsia="Arial" w:hAnsi="Arial"/>
                <w:sz w:val="16"/>
                <w:szCs w:val="16"/>
                <w:color w:val="282A32"/>
              </w:rPr>
              <w:t>77</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6"/>
                <w:szCs w:val="16"/>
                <w:color w:val="282A32"/>
              </w:rPr>
              <w:t>Vested</w:t>
            </w:r>
          </w:p>
        </w:tc>
        <w:tc>
          <w:tcPr>
            <w:tcW w:w="3000" w:type="dxa"/>
            <w:vAlign w:val="bottom"/>
          </w:tcPr>
          <w:p>
            <w:pPr>
              <w:jc w:val="right"/>
              <w:spacing w:after="0"/>
              <w:rPr>
                <w:sz w:val="20"/>
                <w:szCs w:val="20"/>
                <w:color w:val="auto"/>
              </w:rPr>
            </w:pPr>
            <w:r>
              <w:rPr>
                <w:rFonts w:ascii="Arial" w:cs="Arial" w:eastAsia="Arial" w:hAnsi="Arial"/>
                <w:sz w:val="16"/>
                <w:szCs w:val="16"/>
                <w:color w:val="282A32"/>
              </w:rPr>
              <w:t>(283)</w:t>
            </w:r>
          </w:p>
        </w:tc>
        <w:tc>
          <w:tcPr>
            <w:tcW w:w="200" w:type="dxa"/>
            <w:vAlign w:val="bottom"/>
          </w:tcPr>
          <w:p>
            <w:pPr>
              <w:spacing w:after="0"/>
              <w:rPr>
                <w:sz w:val="23"/>
                <w:szCs w:val="23"/>
                <w:color w:val="auto"/>
              </w:rPr>
            </w:pPr>
          </w:p>
        </w:tc>
        <w:tc>
          <w:tcPr>
            <w:tcW w:w="1400" w:type="dxa"/>
            <w:vAlign w:val="bottom"/>
          </w:tcPr>
          <w:p>
            <w:pPr>
              <w:jc w:val="right"/>
              <w:ind w:right="240"/>
              <w:spacing w:after="0"/>
              <w:rPr>
                <w:sz w:val="20"/>
                <w:szCs w:val="20"/>
                <w:color w:val="auto"/>
              </w:rPr>
            </w:pPr>
            <w:r>
              <w:rPr>
                <w:rFonts w:ascii="Arial" w:cs="Arial" w:eastAsia="Arial" w:hAnsi="Arial"/>
                <w:sz w:val="16"/>
                <w:szCs w:val="16"/>
                <w:color w:val="282A32"/>
              </w:rPr>
              <w:t>63</w:t>
            </w: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3"/>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Forfeited</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(50)</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282A32"/>
              </w:rPr>
              <w:t>53</w:t>
            </w: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Unvested, December 31, 2014</w:t>
            </w:r>
          </w:p>
        </w:tc>
        <w:tc>
          <w:tcPr>
            <w:tcW w:w="3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463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282A32"/>
              </w:rPr>
              <w:t>57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1.2</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51"/>
        </w:trPr>
        <w:tc>
          <w:tcPr>
            <w:tcW w:w="4300" w:type="dxa"/>
            <w:vAlign w:val="bottom"/>
          </w:tcPr>
          <w:p>
            <w:pPr>
              <w:ind w:left="40"/>
              <w:spacing w:after="0"/>
              <w:rPr>
                <w:sz w:val="20"/>
                <w:szCs w:val="20"/>
                <w:color w:val="auto"/>
              </w:rPr>
            </w:pPr>
            <w:r>
              <w:rPr>
                <w:rFonts w:ascii="Arial" w:cs="Arial" w:eastAsia="Arial" w:hAnsi="Arial"/>
                <w:sz w:val="16"/>
                <w:szCs w:val="16"/>
                <w:color w:val="282A32"/>
              </w:rPr>
              <w:t>Granted</w:t>
            </w:r>
          </w:p>
        </w:tc>
        <w:tc>
          <w:tcPr>
            <w:tcW w:w="3000" w:type="dxa"/>
            <w:vAlign w:val="bottom"/>
          </w:tcPr>
          <w:p>
            <w:pPr>
              <w:jc w:val="right"/>
              <w:ind w:right="20"/>
              <w:spacing w:after="0"/>
              <w:rPr>
                <w:sz w:val="20"/>
                <w:szCs w:val="20"/>
                <w:color w:val="auto"/>
              </w:rPr>
            </w:pPr>
            <w:r>
              <w:rPr>
                <w:rFonts w:ascii="Arial" w:cs="Arial" w:eastAsia="Arial" w:hAnsi="Arial"/>
                <w:sz w:val="16"/>
                <w:szCs w:val="16"/>
                <w:color w:val="282A32"/>
              </w:rPr>
              <w:t>179</w:t>
            </w:r>
          </w:p>
        </w:tc>
        <w:tc>
          <w:tcPr>
            <w:tcW w:w="200" w:type="dxa"/>
            <w:vAlign w:val="bottom"/>
          </w:tcPr>
          <w:p>
            <w:pPr>
              <w:jc w:val="right"/>
              <w:spacing w:after="0"/>
              <w:rPr>
                <w:sz w:val="20"/>
                <w:szCs w:val="20"/>
                <w:color w:val="auto"/>
              </w:rPr>
            </w:pPr>
            <w:r>
              <w:rPr>
                <w:rFonts w:ascii="Arial" w:cs="Arial" w:eastAsia="Arial" w:hAnsi="Arial"/>
                <w:sz w:val="16"/>
                <w:szCs w:val="16"/>
                <w:color w:val="282A32"/>
              </w:rPr>
              <w:t>$</w:t>
            </w:r>
          </w:p>
        </w:tc>
        <w:tc>
          <w:tcPr>
            <w:tcW w:w="1400" w:type="dxa"/>
            <w:vAlign w:val="bottom"/>
          </w:tcPr>
          <w:p>
            <w:pPr>
              <w:jc w:val="right"/>
              <w:ind w:right="240"/>
              <w:spacing w:after="0"/>
              <w:rPr>
                <w:sz w:val="20"/>
                <w:szCs w:val="20"/>
                <w:color w:val="auto"/>
              </w:rPr>
            </w:pPr>
            <w:r>
              <w:rPr>
                <w:rFonts w:ascii="Arial" w:cs="Arial" w:eastAsia="Arial" w:hAnsi="Arial"/>
                <w:sz w:val="16"/>
                <w:szCs w:val="16"/>
                <w:color w:val="282A32"/>
              </w:rPr>
              <w:t>76</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6"/>
                <w:szCs w:val="16"/>
                <w:color w:val="282A32"/>
              </w:rPr>
              <w:t>Vested</w:t>
            </w:r>
          </w:p>
        </w:tc>
        <w:tc>
          <w:tcPr>
            <w:tcW w:w="3000" w:type="dxa"/>
            <w:vAlign w:val="bottom"/>
          </w:tcPr>
          <w:p>
            <w:pPr>
              <w:jc w:val="right"/>
              <w:spacing w:after="0"/>
              <w:rPr>
                <w:sz w:val="20"/>
                <w:szCs w:val="20"/>
                <w:color w:val="auto"/>
              </w:rPr>
            </w:pPr>
            <w:r>
              <w:rPr>
                <w:rFonts w:ascii="Arial" w:cs="Arial" w:eastAsia="Arial" w:hAnsi="Arial"/>
                <w:sz w:val="16"/>
                <w:szCs w:val="16"/>
                <w:color w:val="282A32"/>
              </w:rPr>
              <w:t>(217)</w:t>
            </w:r>
          </w:p>
        </w:tc>
        <w:tc>
          <w:tcPr>
            <w:tcW w:w="200" w:type="dxa"/>
            <w:vAlign w:val="bottom"/>
          </w:tcPr>
          <w:p>
            <w:pPr>
              <w:spacing w:after="0"/>
              <w:rPr>
                <w:sz w:val="23"/>
                <w:szCs w:val="23"/>
                <w:color w:val="auto"/>
              </w:rPr>
            </w:pPr>
          </w:p>
        </w:tc>
        <w:tc>
          <w:tcPr>
            <w:tcW w:w="1400" w:type="dxa"/>
            <w:vAlign w:val="bottom"/>
          </w:tcPr>
          <w:p>
            <w:pPr>
              <w:jc w:val="right"/>
              <w:ind w:right="240"/>
              <w:spacing w:after="0"/>
              <w:rPr>
                <w:sz w:val="20"/>
                <w:szCs w:val="20"/>
                <w:color w:val="auto"/>
              </w:rPr>
            </w:pPr>
            <w:r>
              <w:rPr>
                <w:rFonts w:ascii="Arial" w:cs="Arial" w:eastAsia="Arial" w:hAnsi="Arial"/>
                <w:sz w:val="16"/>
                <w:szCs w:val="16"/>
                <w:color w:val="282A32"/>
              </w:rPr>
              <w:t>59</w:t>
            </w: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3"/>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Forfeited</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(20)</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282A32"/>
              </w:rPr>
              <w:t>60</w:t>
            </w: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3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Unvested, December 31, 2015</w:t>
            </w:r>
          </w:p>
        </w:tc>
        <w:tc>
          <w:tcPr>
            <w:tcW w:w="3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405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w:t>
            </w: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282A32"/>
              </w:rPr>
              <w:t>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1.3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82A32"/>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282A32"/>
              </w:rPr>
              <w:t>34</w:t>
            </w:r>
          </w:p>
        </w:tc>
      </w:tr>
    </w:tbl>
    <w:p>
      <w:pPr>
        <w:spacing w:after="0" w:line="16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82A32"/>
        </w:rPr>
        <w:t>During 2015, 2014 and 2013, we recognized $9.9, $12.9 and $9.8, respectively, of expense related to restricted stock awards. As of December 31, 2015, there was approximately $11.6 of total unrecognized compensation cost related to unvested restricted stock, which we expect to recognize over a weighted-average period of approximately 1.8 years.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2989B9"/>
        </w:rPr>
        <w:t>Performance Share Units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61 </w:t>
      </w:r>
      <w:r>
        <w:rPr>
          <w:rFonts w:ascii="Arial" w:cs="Arial" w:eastAsia="Arial" w:hAnsi="Arial"/>
          <w:sz w:val="11"/>
          <w:szCs w:val="11"/>
          <w:color w:val="auto"/>
        </w:rPr>
        <w:t>| ManpowerGroup</w:t>
      </w:r>
    </w:p>
    <w:p>
      <w:pPr>
        <w:sectPr>
          <w:pgSz w:w="11900" w:h="16838" w:orient="portrait"/>
          <w:cols w:equalWidth="0" w:num="1">
            <w:col w:w="11420"/>
          </w:cols>
          <w:pgMar w:left="240" w:top="573"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performance share units detail by grant year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55565A"/>
            </w:tcBorders>
          </w:tcPr>
          <w:p>
            <w:pPr>
              <w:spacing w:after="0"/>
              <w:rPr>
                <w:sz w:val="16"/>
                <w:szCs w:val="16"/>
                <w:color w:val="auto"/>
              </w:rPr>
            </w:pPr>
          </w:p>
        </w:tc>
        <w:tc>
          <w:tcPr>
            <w:tcW w:w="2540" w:type="dxa"/>
            <w:vAlign w:val="bottom"/>
            <w:tcBorders>
              <w:bottom w:val="single" w:sz="8" w:color="55565A"/>
            </w:tcBorders>
          </w:tcPr>
          <w:p>
            <w:pPr>
              <w:jc w:val="right"/>
              <w:ind w:right="180"/>
              <w:spacing w:after="0"/>
              <w:rPr>
                <w:sz w:val="20"/>
                <w:szCs w:val="20"/>
                <w:color w:val="auto"/>
              </w:rPr>
            </w:pPr>
            <w:r>
              <w:rPr>
                <w:rFonts w:ascii="Arial" w:cs="Arial" w:eastAsia="Arial" w:hAnsi="Arial"/>
                <w:sz w:val="14"/>
                <w:szCs w:val="14"/>
                <w:color w:val="282A32"/>
              </w:rPr>
              <w:t>2013</w:t>
            </w:r>
            <w:r>
              <w:rPr>
                <w:rFonts w:ascii="Arial" w:cs="Arial" w:eastAsia="Arial" w:hAnsi="Arial"/>
                <w:sz w:val="17"/>
                <w:szCs w:val="17"/>
                <w:color w:val="282A32"/>
                <w:vertAlign w:val="superscript"/>
              </w:rPr>
              <w:t>(a)</w:t>
            </w:r>
          </w:p>
        </w:tc>
        <w:tc>
          <w:tcPr>
            <w:tcW w:w="1700" w:type="dxa"/>
            <w:vAlign w:val="bottom"/>
            <w:tcBorders>
              <w:bottom w:val="single" w:sz="8" w:color="55565A"/>
            </w:tcBorders>
          </w:tcPr>
          <w:p>
            <w:pPr>
              <w:jc w:val="right"/>
              <w:ind w:right="160"/>
              <w:spacing w:after="0"/>
              <w:rPr>
                <w:sz w:val="20"/>
                <w:szCs w:val="20"/>
                <w:color w:val="auto"/>
              </w:rPr>
            </w:pPr>
            <w:r>
              <w:rPr>
                <w:rFonts w:ascii="Arial" w:cs="Arial" w:eastAsia="Arial" w:hAnsi="Arial"/>
                <w:sz w:val="14"/>
                <w:szCs w:val="14"/>
                <w:color w:val="282A32"/>
              </w:rPr>
              <w:t>2014</w:t>
            </w:r>
            <w:r>
              <w:rPr>
                <w:rFonts w:ascii="Arial" w:cs="Arial" w:eastAsia="Arial" w:hAnsi="Arial"/>
                <w:sz w:val="17"/>
                <w:szCs w:val="17"/>
                <w:color w:val="282A32"/>
                <w:vertAlign w:val="superscript"/>
              </w:rPr>
              <w:t>(b)</w:t>
            </w:r>
          </w:p>
        </w:tc>
        <w:tc>
          <w:tcPr>
            <w:tcW w:w="1680" w:type="dxa"/>
            <w:vAlign w:val="bottom"/>
            <w:tcBorders>
              <w:bottom w:val="single" w:sz="8" w:color="55565A"/>
            </w:tcBorders>
          </w:tcPr>
          <w:p>
            <w:pPr>
              <w:jc w:val="right"/>
              <w:ind w:right="20"/>
              <w:spacing w:after="0"/>
              <w:rPr>
                <w:sz w:val="20"/>
                <w:szCs w:val="20"/>
                <w:color w:val="auto"/>
              </w:rPr>
            </w:pPr>
            <w:r>
              <w:rPr>
                <w:rFonts w:ascii="Arial" w:cs="Arial" w:eastAsia="Arial" w:hAnsi="Arial"/>
                <w:sz w:val="14"/>
                <w:szCs w:val="14"/>
                <w:color w:val="282A32"/>
              </w:rPr>
              <w:t>2015</w:t>
            </w:r>
          </w:p>
        </w:tc>
        <w:tc>
          <w:tcPr>
            <w:tcW w:w="0" w:type="dxa"/>
            <w:vAlign w:val="bottom"/>
          </w:tcPr>
          <w:p>
            <w:pPr>
              <w:spacing w:after="0"/>
              <w:rPr>
                <w:sz w:val="1"/>
                <w:szCs w:val="1"/>
                <w:color w:val="auto"/>
              </w:rPr>
            </w:pPr>
          </w:p>
        </w:tc>
      </w:tr>
      <w:tr>
        <w:trPr>
          <w:trHeight w:val="211"/>
        </w:trPr>
        <w:tc>
          <w:tcPr>
            <w:tcW w:w="5500" w:type="dxa"/>
            <w:vAlign w:val="bottom"/>
          </w:tcPr>
          <w:p>
            <w:pPr>
              <w:ind w:left="40"/>
              <w:spacing w:after="0"/>
              <w:rPr>
                <w:sz w:val="20"/>
                <w:szCs w:val="20"/>
                <w:color w:val="auto"/>
              </w:rPr>
            </w:pPr>
            <w:r>
              <w:rPr>
                <w:rFonts w:ascii="Arial" w:cs="Arial" w:eastAsia="Arial" w:hAnsi="Arial"/>
                <w:sz w:val="16"/>
                <w:szCs w:val="16"/>
                <w:color w:val="282A32"/>
              </w:rPr>
              <w:t>Grant Date(s)</w:t>
            </w: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February 14,</w:t>
            </w:r>
          </w:p>
        </w:tc>
        <w:tc>
          <w:tcPr>
            <w:tcW w:w="1700" w:type="dxa"/>
            <w:vAlign w:val="bottom"/>
          </w:tcPr>
          <w:p>
            <w:pPr>
              <w:jc w:val="right"/>
              <w:ind w:right="160"/>
              <w:spacing w:after="0"/>
              <w:rPr>
                <w:sz w:val="20"/>
                <w:szCs w:val="20"/>
                <w:color w:val="auto"/>
              </w:rPr>
            </w:pPr>
            <w:r>
              <w:rPr>
                <w:rFonts w:ascii="Arial" w:cs="Arial" w:eastAsia="Arial" w:hAnsi="Arial"/>
                <w:sz w:val="16"/>
                <w:szCs w:val="16"/>
                <w:color w:val="282A32"/>
              </w:rPr>
              <w:t>February 11,</w:t>
            </w:r>
          </w:p>
        </w:tc>
        <w:tc>
          <w:tcPr>
            <w:tcW w:w="1680" w:type="dxa"/>
            <w:vAlign w:val="bottom"/>
          </w:tcPr>
          <w:p>
            <w:pPr>
              <w:jc w:val="right"/>
              <w:ind w:right="20"/>
              <w:spacing w:after="0"/>
              <w:rPr>
                <w:sz w:val="20"/>
                <w:szCs w:val="20"/>
                <w:color w:val="auto"/>
              </w:rPr>
            </w:pPr>
            <w:r>
              <w:rPr>
                <w:rFonts w:ascii="Arial" w:cs="Arial" w:eastAsia="Arial" w:hAnsi="Arial"/>
                <w:sz w:val="16"/>
                <w:szCs w:val="16"/>
                <w:color w:val="282A32"/>
              </w:rPr>
              <w:t>February 11, 2015</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2013</w:t>
            </w:r>
          </w:p>
        </w:tc>
        <w:tc>
          <w:tcPr>
            <w:tcW w:w="1700" w:type="dxa"/>
            <w:vAlign w:val="bottom"/>
          </w:tcPr>
          <w:p>
            <w:pPr>
              <w:jc w:val="right"/>
              <w:ind w:right="160"/>
              <w:spacing w:after="0"/>
              <w:rPr>
                <w:sz w:val="20"/>
                <w:szCs w:val="20"/>
                <w:color w:val="auto"/>
              </w:rPr>
            </w:pPr>
            <w:r>
              <w:rPr>
                <w:rFonts w:ascii="Arial" w:cs="Arial" w:eastAsia="Arial" w:hAnsi="Arial"/>
                <w:sz w:val="16"/>
                <w:szCs w:val="16"/>
                <w:color w:val="282A32"/>
              </w:rPr>
              <w:t>2014 and May 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00" w:type="dxa"/>
            <w:vAlign w:val="bottom"/>
          </w:tcPr>
          <w:p>
            <w:pPr>
              <w:jc w:val="right"/>
              <w:ind w:right="160"/>
              <w:spacing w:after="0"/>
              <w:rPr>
                <w:sz w:val="20"/>
                <w:szCs w:val="20"/>
                <w:color w:val="auto"/>
              </w:rPr>
            </w:pPr>
            <w:r>
              <w:rPr>
                <w:rFonts w:ascii="Arial" w:cs="Arial" w:eastAsia="Arial" w:hAnsi="Arial"/>
                <w:sz w:val="16"/>
                <w:szCs w:val="16"/>
                <w:color w:val="282A32"/>
              </w:rPr>
              <w:t>2014</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6"/>
                <w:szCs w:val="16"/>
                <w:color w:val="282A32"/>
              </w:rPr>
              <w:t>Performance Period (years)</w:t>
            </w: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2013</w:t>
            </w:r>
          </w:p>
        </w:tc>
        <w:tc>
          <w:tcPr>
            <w:tcW w:w="1700" w:type="dxa"/>
            <w:vAlign w:val="bottom"/>
          </w:tcPr>
          <w:p>
            <w:pPr>
              <w:jc w:val="right"/>
              <w:ind w:right="160"/>
              <w:spacing w:after="0"/>
              <w:rPr>
                <w:sz w:val="20"/>
                <w:szCs w:val="20"/>
                <w:color w:val="auto"/>
              </w:rPr>
            </w:pPr>
            <w:r>
              <w:rPr>
                <w:rFonts w:ascii="Arial" w:cs="Arial" w:eastAsia="Arial" w:hAnsi="Arial"/>
                <w:sz w:val="16"/>
                <w:szCs w:val="16"/>
                <w:color w:val="282A32"/>
              </w:rPr>
              <w:t>2014-2016</w:t>
            </w:r>
          </w:p>
        </w:tc>
        <w:tc>
          <w:tcPr>
            <w:tcW w:w="1680" w:type="dxa"/>
            <w:vAlign w:val="bottom"/>
          </w:tcPr>
          <w:p>
            <w:pPr>
              <w:jc w:val="right"/>
              <w:ind w:right="20"/>
              <w:spacing w:after="0"/>
              <w:rPr>
                <w:sz w:val="20"/>
                <w:szCs w:val="20"/>
                <w:color w:val="auto"/>
              </w:rPr>
            </w:pPr>
            <w:r>
              <w:rPr>
                <w:rFonts w:ascii="Arial" w:cs="Arial" w:eastAsia="Arial" w:hAnsi="Arial"/>
                <w:sz w:val="16"/>
                <w:szCs w:val="16"/>
                <w:color w:val="282A32"/>
              </w:rPr>
              <w:t>2015-2017</w:t>
            </w:r>
          </w:p>
        </w:tc>
        <w:tc>
          <w:tcPr>
            <w:tcW w:w="0" w:type="dxa"/>
            <w:vAlign w:val="bottom"/>
          </w:tcPr>
          <w:p>
            <w:pPr>
              <w:spacing w:after="0"/>
              <w:rPr>
                <w:sz w:val="1"/>
                <w:szCs w:val="1"/>
                <w:color w:val="auto"/>
              </w:rPr>
            </w:pPr>
          </w:p>
        </w:tc>
      </w:tr>
      <w:tr>
        <w:trPr>
          <w:trHeight w:val="238"/>
        </w:trPr>
        <w:tc>
          <w:tcPr>
            <w:tcW w:w="5500" w:type="dxa"/>
            <w:vAlign w:val="bottom"/>
          </w:tcPr>
          <w:p>
            <w:pPr>
              <w:ind w:left="40"/>
              <w:spacing w:after="0"/>
              <w:rPr>
                <w:sz w:val="20"/>
                <w:szCs w:val="20"/>
                <w:color w:val="auto"/>
              </w:rPr>
            </w:pPr>
            <w:r>
              <w:rPr>
                <w:rFonts w:ascii="Arial" w:cs="Arial" w:eastAsia="Arial" w:hAnsi="Arial"/>
                <w:sz w:val="16"/>
                <w:szCs w:val="16"/>
                <w:color w:val="282A32"/>
              </w:rPr>
              <w:t>Vesting Date(s)</w:t>
            </w: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50% on</w:t>
            </w: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December 31,</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2014 and 2015</w:t>
            </w:r>
          </w:p>
        </w:tc>
        <w:tc>
          <w:tcPr>
            <w:tcW w:w="1700" w:type="dxa"/>
            <w:vAlign w:val="bottom"/>
            <w:vMerge w:val="restart"/>
          </w:tcPr>
          <w:p>
            <w:pPr>
              <w:jc w:val="right"/>
              <w:ind w:right="160"/>
              <w:spacing w:after="0"/>
              <w:rPr>
                <w:sz w:val="20"/>
                <w:szCs w:val="20"/>
                <w:color w:val="auto"/>
              </w:rPr>
            </w:pPr>
            <w:r>
              <w:rPr>
                <w:rFonts w:ascii="Arial" w:cs="Arial" w:eastAsia="Arial" w:hAnsi="Arial"/>
                <w:sz w:val="16"/>
                <w:szCs w:val="16"/>
                <w:color w:val="282A32"/>
              </w:rPr>
              <w:t>100% in</w:t>
            </w:r>
          </w:p>
        </w:tc>
        <w:tc>
          <w:tcPr>
            <w:tcW w:w="1680" w:type="dxa"/>
            <w:vAlign w:val="bottom"/>
            <w:vMerge w:val="restart"/>
          </w:tcPr>
          <w:p>
            <w:pPr>
              <w:jc w:val="right"/>
              <w:ind w:right="20"/>
              <w:spacing w:after="0"/>
              <w:rPr>
                <w:sz w:val="20"/>
                <w:szCs w:val="20"/>
                <w:color w:val="auto"/>
              </w:rPr>
            </w:pPr>
            <w:r>
              <w:rPr>
                <w:rFonts w:ascii="Arial" w:cs="Arial" w:eastAsia="Arial" w:hAnsi="Arial"/>
                <w:sz w:val="16"/>
                <w:szCs w:val="16"/>
                <w:color w:val="282A32"/>
              </w:rPr>
              <w:t>100% in February,</w:t>
            </w:r>
          </w:p>
        </w:tc>
        <w:tc>
          <w:tcPr>
            <w:tcW w:w="0" w:type="dxa"/>
            <w:vAlign w:val="bottom"/>
          </w:tcPr>
          <w:p>
            <w:pPr>
              <w:spacing w:after="0"/>
              <w:rPr>
                <w:sz w:val="1"/>
                <w:szCs w:val="1"/>
                <w:color w:val="auto"/>
              </w:rPr>
            </w:pPr>
          </w:p>
        </w:tc>
      </w:tr>
      <w:tr>
        <w:trPr>
          <w:trHeight w:val="70"/>
        </w:trPr>
        <w:tc>
          <w:tcPr>
            <w:tcW w:w="55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5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60"/>
              <w:spacing w:after="0" w:line="219" w:lineRule="exact"/>
              <w:rPr>
                <w:sz w:val="20"/>
                <w:szCs w:val="20"/>
                <w:color w:val="auto"/>
              </w:rPr>
            </w:pPr>
            <w:r>
              <w:rPr>
                <w:rFonts w:ascii="Arial" w:cs="Arial" w:eastAsia="Arial" w:hAnsi="Arial"/>
                <w:sz w:val="16"/>
                <w:szCs w:val="16"/>
                <w:color w:val="282A32"/>
              </w:rPr>
              <w:t>February, 2017</w:t>
            </w:r>
            <w:r>
              <w:rPr>
                <w:rFonts w:ascii="Arial" w:cs="Arial" w:eastAsia="Arial" w:hAnsi="Arial"/>
                <w:sz w:val="21"/>
                <w:szCs w:val="21"/>
                <w:color w:val="282A32"/>
                <w:vertAlign w:val="superscript"/>
              </w:rPr>
              <w:t>(c)</w:t>
            </w:r>
          </w:p>
        </w:tc>
        <w:tc>
          <w:tcPr>
            <w:tcW w:w="1680" w:type="dxa"/>
            <w:vAlign w:val="bottom"/>
            <w:tcBorders>
              <w:bottom w:val="single" w:sz="8" w:color="auto"/>
            </w:tcBorders>
          </w:tcPr>
          <w:p>
            <w:pPr>
              <w:jc w:val="right"/>
              <w:ind w:right="20"/>
              <w:spacing w:after="0" w:line="219" w:lineRule="exact"/>
              <w:rPr>
                <w:sz w:val="20"/>
                <w:szCs w:val="20"/>
                <w:color w:val="auto"/>
              </w:rPr>
            </w:pPr>
            <w:r>
              <w:rPr>
                <w:rFonts w:ascii="Arial" w:cs="Arial" w:eastAsia="Arial" w:hAnsi="Arial"/>
                <w:sz w:val="16"/>
                <w:szCs w:val="16"/>
                <w:color w:val="282A32"/>
              </w:rPr>
              <w:t>2018</w:t>
            </w:r>
            <w:r>
              <w:rPr>
                <w:rFonts w:ascii="Arial" w:cs="Arial" w:eastAsia="Arial" w:hAnsi="Arial"/>
                <w:sz w:val="21"/>
                <w:szCs w:val="21"/>
                <w:color w:val="282A32"/>
                <w:vertAlign w:val="superscript"/>
              </w:rPr>
              <w:t>(c)</w:t>
            </w:r>
          </w:p>
        </w:tc>
        <w:tc>
          <w:tcPr>
            <w:tcW w:w="0" w:type="dxa"/>
            <w:vAlign w:val="bottom"/>
          </w:tcPr>
          <w:p>
            <w:pPr>
              <w:spacing w:after="0"/>
              <w:rPr>
                <w:sz w:val="1"/>
                <w:szCs w:val="1"/>
                <w:color w:val="auto"/>
              </w:rPr>
            </w:pPr>
          </w:p>
        </w:tc>
      </w:tr>
      <w:tr>
        <w:trPr>
          <w:trHeight w:val="244"/>
        </w:trPr>
        <w:tc>
          <w:tcPr>
            <w:tcW w:w="5500" w:type="dxa"/>
            <w:vAlign w:val="bottom"/>
          </w:tcPr>
          <w:p>
            <w:pPr>
              <w:ind w:left="40"/>
              <w:spacing w:after="0"/>
              <w:rPr>
                <w:sz w:val="20"/>
                <w:szCs w:val="20"/>
                <w:color w:val="auto"/>
              </w:rPr>
            </w:pPr>
            <w:r>
              <w:rPr>
                <w:rFonts w:ascii="Arial" w:cs="Arial" w:eastAsia="Arial" w:hAnsi="Arial"/>
                <w:sz w:val="16"/>
                <w:szCs w:val="16"/>
                <w:color w:val="282A32"/>
              </w:rPr>
              <w:t>Payout Levels (in units):</w:t>
            </w:r>
          </w:p>
        </w:tc>
        <w:tc>
          <w:tcPr>
            <w:tcW w:w="2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6"/>
                <w:szCs w:val="16"/>
                <w:color w:val="282A32"/>
              </w:rPr>
              <w:t>Threshold Award</w:t>
            </w: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76,120</w:t>
            </w:r>
          </w:p>
        </w:tc>
        <w:tc>
          <w:tcPr>
            <w:tcW w:w="1700" w:type="dxa"/>
            <w:vAlign w:val="bottom"/>
          </w:tcPr>
          <w:p>
            <w:pPr>
              <w:jc w:val="right"/>
              <w:ind w:right="160"/>
              <w:spacing w:after="0"/>
              <w:rPr>
                <w:sz w:val="20"/>
                <w:szCs w:val="20"/>
                <w:color w:val="auto"/>
              </w:rPr>
            </w:pPr>
            <w:r>
              <w:rPr>
                <w:rFonts w:ascii="Arial" w:cs="Arial" w:eastAsia="Arial" w:hAnsi="Arial"/>
                <w:sz w:val="16"/>
                <w:szCs w:val="16"/>
                <w:color w:val="282A32"/>
              </w:rPr>
              <w:t>94,608</w:t>
            </w:r>
          </w:p>
        </w:tc>
        <w:tc>
          <w:tcPr>
            <w:tcW w:w="1680" w:type="dxa"/>
            <w:vAlign w:val="bottom"/>
          </w:tcPr>
          <w:p>
            <w:pPr>
              <w:jc w:val="right"/>
              <w:ind w:right="20"/>
              <w:spacing w:after="0"/>
              <w:rPr>
                <w:sz w:val="20"/>
                <w:szCs w:val="20"/>
                <w:color w:val="auto"/>
              </w:rPr>
            </w:pPr>
            <w:r>
              <w:rPr>
                <w:rFonts w:ascii="Arial" w:cs="Arial" w:eastAsia="Arial" w:hAnsi="Arial"/>
                <w:sz w:val="16"/>
                <w:szCs w:val="16"/>
                <w:color w:val="282A32"/>
              </w:rPr>
              <w:t>82,298</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6"/>
                <w:szCs w:val="16"/>
                <w:color w:val="282A32"/>
              </w:rPr>
              <w:t>Target Award</w:t>
            </w: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152,240</w:t>
            </w:r>
          </w:p>
        </w:tc>
        <w:tc>
          <w:tcPr>
            <w:tcW w:w="1700" w:type="dxa"/>
            <w:vAlign w:val="bottom"/>
          </w:tcPr>
          <w:p>
            <w:pPr>
              <w:jc w:val="right"/>
              <w:ind w:right="160"/>
              <w:spacing w:after="0"/>
              <w:rPr>
                <w:sz w:val="20"/>
                <w:szCs w:val="20"/>
                <w:color w:val="auto"/>
              </w:rPr>
            </w:pPr>
            <w:r>
              <w:rPr>
                <w:rFonts w:ascii="Arial" w:cs="Arial" w:eastAsia="Arial" w:hAnsi="Arial"/>
                <w:sz w:val="16"/>
                <w:szCs w:val="16"/>
                <w:color w:val="282A32"/>
              </w:rPr>
              <w:t>189,215</w:t>
            </w:r>
          </w:p>
        </w:tc>
        <w:tc>
          <w:tcPr>
            <w:tcW w:w="1680" w:type="dxa"/>
            <w:vAlign w:val="bottom"/>
          </w:tcPr>
          <w:p>
            <w:pPr>
              <w:jc w:val="right"/>
              <w:ind w:right="20"/>
              <w:spacing w:after="0"/>
              <w:rPr>
                <w:sz w:val="20"/>
                <w:szCs w:val="20"/>
                <w:color w:val="auto"/>
              </w:rPr>
            </w:pPr>
            <w:r>
              <w:rPr>
                <w:rFonts w:ascii="Arial" w:cs="Arial" w:eastAsia="Arial" w:hAnsi="Arial"/>
                <w:sz w:val="16"/>
                <w:szCs w:val="16"/>
                <w:color w:val="282A32"/>
              </w:rPr>
              <w:t>164,595</w:t>
            </w:r>
          </w:p>
        </w:tc>
        <w:tc>
          <w:tcPr>
            <w:tcW w:w="0" w:type="dxa"/>
            <w:vAlign w:val="bottom"/>
          </w:tcPr>
          <w:p>
            <w:pPr>
              <w:spacing w:after="0"/>
              <w:rPr>
                <w:sz w:val="1"/>
                <w:szCs w:val="1"/>
                <w:color w:val="auto"/>
              </w:rPr>
            </w:pPr>
          </w:p>
        </w:tc>
      </w:tr>
      <w:tr>
        <w:trPr>
          <w:trHeight w:val="256"/>
        </w:trPr>
        <w:tc>
          <w:tcPr>
            <w:tcW w:w="5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282A32"/>
              </w:rPr>
              <w:t>Outstanding Award</w:t>
            </w:r>
          </w:p>
        </w:tc>
        <w:tc>
          <w:tcPr>
            <w:tcW w:w="25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282A32"/>
              </w:rPr>
              <w:t>304,480</w:t>
            </w:r>
          </w:p>
        </w:tc>
        <w:tc>
          <w:tcPr>
            <w:tcW w:w="1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282A32"/>
              </w:rPr>
              <w:t>378,430</w:t>
            </w: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329,190</w:t>
            </w:r>
          </w:p>
        </w:tc>
        <w:tc>
          <w:tcPr>
            <w:tcW w:w="0" w:type="dxa"/>
            <w:vAlign w:val="bottom"/>
          </w:tcPr>
          <w:p>
            <w:pPr>
              <w:spacing w:after="0"/>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6"/>
                <w:szCs w:val="16"/>
                <w:color w:val="282A32"/>
              </w:rPr>
              <w:t>Shares Issued in 2015</w:t>
            </w:r>
          </w:p>
        </w:tc>
        <w:tc>
          <w:tcPr>
            <w:tcW w:w="2540" w:type="dxa"/>
            <w:vAlign w:val="bottom"/>
          </w:tcPr>
          <w:p>
            <w:pPr>
              <w:jc w:val="right"/>
              <w:ind w:right="180"/>
              <w:spacing w:after="0"/>
              <w:rPr>
                <w:sz w:val="20"/>
                <w:szCs w:val="20"/>
                <w:color w:val="auto"/>
              </w:rPr>
            </w:pPr>
            <w:r>
              <w:rPr>
                <w:rFonts w:ascii="Arial" w:cs="Arial" w:eastAsia="Arial" w:hAnsi="Arial"/>
                <w:sz w:val="16"/>
                <w:szCs w:val="16"/>
                <w:color w:val="282A32"/>
              </w:rPr>
              <w:t>54,617</w:t>
            </w:r>
          </w:p>
        </w:tc>
        <w:tc>
          <w:tcPr>
            <w:tcW w:w="1700" w:type="dxa"/>
            <w:vAlign w:val="bottom"/>
          </w:tcPr>
          <w:p>
            <w:pPr>
              <w:jc w:val="right"/>
              <w:ind w:right="160"/>
              <w:spacing w:after="0"/>
              <w:rPr>
                <w:sz w:val="20"/>
                <w:szCs w:val="20"/>
                <w:color w:val="auto"/>
              </w:rPr>
            </w:pPr>
            <w:r>
              <w:rPr>
                <w:rFonts w:ascii="Arial" w:cs="Arial" w:eastAsia="Arial" w:hAnsi="Arial"/>
                <w:sz w:val="16"/>
                <w:szCs w:val="16"/>
                <w:color w:val="282A32"/>
              </w:rPr>
              <w:t>—</w:t>
            </w:r>
          </w:p>
        </w:tc>
        <w:tc>
          <w:tcPr>
            <w:tcW w:w="1680" w:type="dxa"/>
            <w:vAlign w:val="bottom"/>
          </w:tcPr>
          <w:p>
            <w:pPr>
              <w:jc w:val="right"/>
              <w:ind w:right="20"/>
              <w:spacing w:after="0"/>
              <w:rPr>
                <w:sz w:val="20"/>
                <w:szCs w:val="20"/>
                <w:color w:val="auto"/>
              </w:rPr>
            </w:pPr>
            <w:r>
              <w:rPr>
                <w:rFonts w:ascii="Arial" w:cs="Arial" w:eastAsia="Arial" w:hAnsi="Arial"/>
                <w:sz w:val="16"/>
                <w:szCs w:val="16"/>
                <w:color w:val="282A32"/>
              </w:rPr>
              <w:t>—</w:t>
            </w:r>
          </w:p>
        </w:tc>
        <w:tc>
          <w:tcPr>
            <w:tcW w:w="0" w:type="dxa"/>
            <w:vAlign w:val="bottom"/>
          </w:tcPr>
          <w:p>
            <w:pPr>
              <w:spacing w:after="0"/>
              <w:rPr>
                <w:sz w:val="1"/>
                <w:szCs w:val="1"/>
                <w:color w:val="auto"/>
              </w:rPr>
            </w:pPr>
          </w:p>
        </w:tc>
      </w:tr>
      <w:tr>
        <w:trPr>
          <w:trHeight w:val="25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Shares Subject to Holding Period as of December 31, 2015</w:t>
            </w:r>
          </w:p>
        </w:tc>
        <w:tc>
          <w:tcPr>
            <w:tcW w:w="25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282A32"/>
              </w:rPr>
              <w:t>46,623</w:t>
            </w:r>
          </w:p>
        </w:tc>
        <w:tc>
          <w:tcPr>
            <w:tcW w:w="1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282A32"/>
              </w:rPr>
              <w:t>—</w:t>
            </w: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8"/>
        <w:spacing w:after="0" w:line="241" w:lineRule="auto"/>
        <w:tabs>
          <w:tab w:leader="none" w:pos="216" w:val="left"/>
        </w:tabs>
        <w:numPr>
          <w:ilvl w:val="0"/>
          <w:numId w:val="79"/>
        </w:numPr>
        <w:rPr>
          <w:rFonts w:ascii="Arial" w:cs="Arial" w:eastAsia="Arial" w:hAnsi="Arial"/>
          <w:sz w:val="14"/>
          <w:szCs w:val="14"/>
          <w:color w:val="282A32"/>
        </w:rPr>
      </w:pPr>
      <w:r>
        <w:rPr>
          <w:rFonts w:ascii="Arial" w:cs="Arial" w:eastAsia="Arial" w:hAnsi="Arial"/>
          <w:sz w:val="14"/>
          <w:szCs w:val="14"/>
          <w:color w:val="282A32"/>
        </w:rPr>
        <w:t>The award achieved 140% of the Target Award level over the performance period. Included in these figures is another award consisting of 7,610 of performance share units that were granted on February 14, 2013 with a separate performance period, performance criteria and vesting date. The performance period was 2013 through 2015, with a vesting date of July 1, 2016. The award achieved 124% of the Target Award level over the performance period.</w:t>
      </w:r>
    </w:p>
    <w:p>
      <w:pPr>
        <w:spacing w:after="0" w:line="1" w:lineRule="exact"/>
        <w:rPr>
          <w:rFonts w:ascii="Arial" w:cs="Arial" w:eastAsia="Arial" w:hAnsi="Arial"/>
          <w:sz w:val="14"/>
          <w:szCs w:val="14"/>
          <w:color w:val="282A32"/>
        </w:rPr>
      </w:pPr>
    </w:p>
    <w:p>
      <w:pPr>
        <w:ind w:firstLine="8"/>
        <w:spacing w:after="0" w:line="241" w:lineRule="auto"/>
        <w:tabs>
          <w:tab w:leader="none" w:pos="225" w:val="left"/>
        </w:tabs>
        <w:numPr>
          <w:ilvl w:val="0"/>
          <w:numId w:val="79"/>
        </w:numPr>
        <w:rPr>
          <w:rFonts w:ascii="Arial" w:cs="Arial" w:eastAsia="Arial" w:hAnsi="Arial"/>
          <w:sz w:val="14"/>
          <w:szCs w:val="14"/>
          <w:color w:val="282A32"/>
        </w:rPr>
      </w:pPr>
      <w:r>
        <w:rPr>
          <w:rFonts w:ascii="Arial" w:cs="Arial" w:eastAsia="Arial" w:hAnsi="Arial"/>
          <w:sz w:val="14"/>
          <w:szCs w:val="14"/>
          <w:color w:val="282A32"/>
        </w:rPr>
        <w:t>Included in these figures are 3,046 of performance share units that were granted on October 29, 2014 with a separate performance period, performance criteria and vesting date. The performance period is June 1, 2015 through December 31, 2016, with a vesting date of October 29, 2017.</w:t>
      </w:r>
    </w:p>
    <w:p>
      <w:pPr>
        <w:ind w:left="220" w:hanging="212"/>
        <w:spacing w:after="0"/>
        <w:tabs>
          <w:tab w:leader="none" w:pos="220" w:val="left"/>
        </w:tabs>
        <w:numPr>
          <w:ilvl w:val="0"/>
          <w:numId w:val="79"/>
        </w:numPr>
        <w:rPr>
          <w:rFonts w:ascii="Arial" w:cs="Arial" w:eastAsia="Arial" w:hAnsi="Arial"/>
          <w:sz w:val="14"/>
          <w:szCs w:val="14"/>
          <w:color w:val="282A32"/>
        </w:rPr>
      </w:pPr>
      <w:r>
        <w:rPr>
          <w:rFonts w:ascii="Arial" w:cs="Arial" w:eastAsia="Arial" w:hAnsi="Arial"/>
          <w:sz w:val="14"/>
          <w:szCs w:val="14"/>
          <w:color w:val="282A32"/>
        </w:rPr>
        <w:t>2014 and 2015 awards are scheduled to vest in February 2017 and 2018, respectively, when the Board of Directors certify the Award levels that are achieved.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$17.1, $20.1 and $13.1 in 2015, 2014 and 2013, respectively, related to the performance share units.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2989B9"/>
        </w:rPr>
        <w:t>Other Stock Plans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Under the 1990 Employee Stock Purchase Plan, designated employees meeting certain service requirements may purchase shares of our common stock through payroll deductions. These shares may be purchased at their fair market value on a monthly basis. The current plan is non-compensatory according to the accounting guidance on share-based payments.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an expense of $0.1, $0.1 and $0.2 for shares purchased under the plan in 2015, 2014 and 2013, respectively.</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62</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100" w:name="page101"/>
    <w:bookmarkEnd w:id="100"/>
    <w:p>
      <w:pPr>
        <w:spacing w:after="0"/>
        <w:rPr>
          <w:sz w:val="20"/>
          <w:szCs w:val="20"/>
          <w:color w:val="auto"/>
        </w:rPr>
      </w:pPr>
      <w:r>
        <w:rPr>
          <w:rFonts w:ascii="Arial" w:cs="Arial" w:eastAsia="Arial" w:hAnsi="Arial"/>
          <w:sz w:val="25"/>
          <w:szCs w:val="25"/>
          <w:color w:val="2989B9"/>
        </w:rPr>
        <w:t>Note 04. Net Earnings Per Share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282A32"/>
        </w:rPr>
        <w:t>The calculation of net earnings per share - basic and net earnings per share - diluted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282A32"/>
              </w:rPr>
              <w:t>Year Ended December 31</w:t>
            </w:r>
          </w:p>
        </w:tc>
        <w:tc>
          <w:tcPr>
            <w:tcW w:w="120" w:type="dxa"/>
            <w:vAlign w:val="bottom"/>
            <w:tcBorders>
              <w:bottom w:val="single" w:sz="8" w:color="auto"/>
            </w:tcBorders>
            <w:shd w:val="clear" w:color="auto" w:fill="E1F4FD"/>
          </w:tcPr>
          <w:p>
            <w:pPr>
              <w:spacing w:after="0"/>
              <w:rPr>
                <w:sz w:val="18"/>
                <w:szCs w:val="18"/>
                <w:color w:val="auto"/>
              </w:rPr>
            </w:pPr>
          </w:p>
        </w:tc>
        <w:tc>
          <w:tcPr>
            <w:tcW w:w="12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82A32"/>
              </w:rPr>
              <w:t>2014</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282A32"/>
              </w:rPr>
              <w:t>2013</w:t>
            </w:r>
          </w:p>
        </w:tc>
      </w:tr>
      <w:tr>
        <w:trPr>
          <w:trHeight w:val="236"/>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Net earnings available to common shareholders:</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2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419.2</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282A32"/>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427.6</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282A32"/>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288.0</w:t>
            </w:r>
          </w:p>
        </w:tc>
      </w:tr>
      <w:tr>
        <w:trPr>
          <w:trHeight w:val="534"/>
        </w:trPr>
        <w:tc>
          <w:tcPr>
            <w:tcW w:w="732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 (in millions):</w:t>
            </w:r>
          </w:p>
        </w:tc>
        <w:tc>
          <w:tcPr>
            <w:tcW w:w="120" w:type="dxa"/>
            <w:vAlign w:val="bottom"/>
            <w:shd w:val="clear" w:color="auto" w:fill="E1F4FD"/>
          </w:tcPr>
          <w:p>
            <w:pPr>
              <w:spacing w:after="0"/>
              <w:rPr>
                <w:sz w:val="24"/>
                <w:szCs w:val="24"/>
                <w:color w:val="auto"/>
              </w:rPr>
            </w:pPr>
          </w:p>
        </w:tc>
        <w:tc>
          <w:tcPr>
            <w:tcW w:w="126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7320" w:type="dxa"/>
            <w:vAlign w:val="bottom"/>
          </w:tcPr>
          <w:p>
            <w:pPr>
              <w:ind w:left="80"/>
              <w:spacing w:after="0"/>
              <w:rPr>
                <w:sz w:val="20"/>
                <w:szCs w:val="20"/>
                <w:color w:val="auto"/>
              </w:rPr>
            </w:pPr>
            <w:r>
              <w:rPr>
                <w:rFonts w:ascii="Arial" w:cs="Arial" w:eastAsia="Arial" w:hAnsi="Arial"/>
                <w:sz w:val="16"/>
                <w:szCs w:val="16"/>
                <w:color w:val="auto"/>
              </w:rPr>
              <w:t>Weighted-average common shares outstanding - basic</w:t>
            </w:r>
          </w:p>
        </w:tc>
        <w:tc>
          <w:tcPr>
            <w:tcW w:w="120" w:type="dxa"/>
            <w:vAlign w:val="bottom"/>
            <w:shd w:val="clear" w:color="auto" w:fill="E1F4FD"/>
          </w:tcPr>
          <w:p>
            <w:pPr>
              <w:spacing w:after="0"/>
              <w:rPr>
                <w:sz w:val="21"/>
                <w:szCs w:val="21"/>
                <w:color w:val="auto"/>
              </w:rPr>
            </w:pPr>
          </w:p>
        </w:tc>
        <w:tc>
          <w:tcPr>
            <w:tcW w:w="126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76.8</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79.5</w:t>
            </w:r>
          </w:p>
        </w:tc>
        <w:tc>
          <w:tcPr>
            <w:tcW w:w="5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282A32"/>
              </w:rPr>
              <w:t>78.0</w:t>
            </w:r>
          </w:p>
        </w:tc>
      </w:tr>
      <w:tr>
        <w:trPr>
          <w:trHeight w:val="243"/>
        </w:trPr>
        <w:tc>
          <w:tcPr>
            <w:tcW w:w="7320" w:type="dxa"/>
            <w:vAlign w:val="bottom"/>
          </w:tcPr>
          <w:p>
            <w:pPr>
              <w:ind w:left="300"/>
              <w:spacing w:after="0"/>
              <w:rPr>
                <w:sz w:val="20"/>
                <w:szCs w:val="20"/>
                <w:color w:val="auto"/>
              </w:rPr>
            </w:pPr>
            <w:r>
              <w:rPr>
                <w:rFonts w:ascii="Arial" w:cs="Arial" w:eastAsia="Arial" w:hAnsi="Arial"/>
                <w:sz w:val="16"/>
                <w:szCs w:val="16"/>
                <w:color w:val="282A32"/>
              </w:rPr>
              <w:t>Effect of dilutive securities - stock options</w:t>
            </w:r>
          </w:p>
        </w:tc>
        <w:tc>
          <w:tcPr>
            <w:tcW w:w="120" w:type="dxa"/>
            <w:vAlign w:val="bottom"/>
            <w:shd w:val="clear" w:color="auto" w:fill="E1F4FD"/>
          </w:tcPr>
          <w:p>
            <w:pPr>
              <w:spacing w:after="0"/>
              <w:rPr>
                <w:sz w:val="21"/>
                <w:szCs w:val="21"/>
                <w:color w:val="auto"/>
              </w:rPr>
            </w:pPr>
          </w:p>
        </w:tc>
        <w:tc>
          <w:tcPr>
            <w:tcW w:w="126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0.5</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82A32"/>
              </w:rPr>
              <w:t>0.6</w:t>
            </w:r>
          </w:p>
        </w:tc>
        <w:tc>
          <w:tcPr>
            <w:tcW w:w="5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282A32"/>
              </w:rPr>
              <w:t>0.8</w:t>
            </w:r>
          </w:p>
        </w:tc>
      </w:tr>
      <w:tr>
        <w:trPr>
          <w:trHeight w:val="256"/>
        </w:trPr>
        <w:tc>
          <w:tcPr>
            <w:tcW w:w="73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282A32"/>
              </w:rPr>
              <w:t>Effect of other share-based awards (in millions)</w:t>
            </w:r>
          </w:p>
        </w:tc>
        <w:tc>
          <w:tcPr>
            <w:tcW w:w="120" w:type="dxa"/>
            <w:vAlign w:val="bottom"/>
            <w:tcBorders>
              <w:bottom w:val="single" w:sz="8" w:color="auto"/>
            </w:tcBorders>
            <w:shd w:val="clear" w:color="auto" w:fill="E1F4FD"/>
          </w:tcPr>
          <w:p>
            <w:pPr>
              <w:spacing w:after="0"/>
              <w:rPr>
                <w:sz w:val="22"/>
                <w:szCs w:val="22"/>
                <w:color w:val="auto"/>
              </w:rPr>
            </w:pPr>
          </w:p>
        </w:tc>
        <w:tc>
          <w:tcPr>
            <w:tcW w:w="12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0.4</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0.6</w:t>
            </w: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0.8</w:t>
            </w:r>
          </w:p>
        </w:tc>
      </w:tr>
      <w:tr>
        <w:trPr>
          <w:trHeight w:val="237"/>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tcBorders>
              <w:bottom w:val="single" w:sz="8" w:color="auto"/>
            </w:tcBorders>
            <w:shd w:val="clear" w:color="auto" w:fill="E1F4FD"/>
          </w:tcPr>
          <w:p>
            <w:pPr>
              <w:spacing w:after="0"/>
              <w:rPr>
                <w:sz w:val="20"/>
                <w:szCs w:val="20"/>
                <w:color w:val="auto"/>
              </w:rPr>
            </w:pPr>
          </w:p>
        </w:tc>
        <w:tc>
          <w:tcPr>
            <w:tcW w:w="12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77.7</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80.7</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79.6</w:t>
            </w:r>
          </w:p>
        </w:tc>
      </w:tr>
      <w:tr>
        <w:trPr>
          <w:trHeight w:val="561"/>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Net earnings per share - basic</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2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5.46</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282A32"/>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5.38</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282A32"/>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3.69</w:t>
            </w: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Net earnings per share - diluted</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w:t>
            </w:r>
          </w:p>
        </w:tc>
        <w:tc>
          <w:tcPr>
            <w:tcW w:w="12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5.40</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282A32"/>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82A32"/>
              </w:rPr>
              <w:t>5.30</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282A32"/>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282A32"/>
              </w:rPr>
              <w:t>3.62</w:t>
            </w:r>
          </w:p>
        </w:tc>
      </w:tr>
      <w:tr>
        <w:trPr>
          <w:trHeight w:val="122"/>
        </w:trPr>
        <w:tc>
          <w:tcPr>
            <w:tcW w:w="7320" w:type="dxa"/>
            <w:vAlign w:val="bottom"/>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1260" w:type="dxa"/>
            <w:vAlign w:val="bottom"/>
            <w:shd w:val="clear" w:color="auto" w:fill="2989B9"/>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There were certain share-based awards excluded from the calculation of net earnings per share - diluted for the year ended December 31, 2015, 2014 and 2013, respectively, as the exercise prices for these awards were greater than the average market price of the common shares during the period. The number, exercise prices and weighted-average remaining life of these antidilutive awards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320" w:type="dxa"/>
            <w:vAlign w:val="bottom"/>
            <w:tcBorders>
              <w:bottom w:val="single" w:sz="8" w:color="55565A"/>
            </w:tcBorders>
          </w:tcPr>
          <w:p>
            <w:pPr>
              <w:spacing w:after="0"/>
              <w:rPr>
                <w:sz w:val="22"/>
                <w:szCs w:val="22"/>
                <w:color w:val="auto"/>
              </w:rPr>
            </w:pPr>
          </w:p>
        </w:tc>
        <w:tc>
          <w:tcPr>
            <w:tcW w:w="360" w:type="dxa"/>
            <w:vAlign w:val="bottom"/>
            <w:tcBorders>
              <w:bottom w:val="single" w:sz="8" w:color="auto"/>
            </w:tcBorders>
            <w:shd w:val="clear" w:color="auto" w:fill="E1F4FD"/>
          </w:tcPr>
          <w:p>
            <w:pPr>
              <w:spacing w:after="0"/>
              <w:rPr>
                <w:sz w:val="22"/>
                <w:szCs w:val="22"/>
                <w:color w:val="auto"/>
              </w:rPr>
            </w:pPr>
          </w:p>
        </w:tc>
        <w:tc>
          <w:tcPr>
            <w:tcW w:w="1040" w:type="dxa"/>
            <w:vAlign w:val="bottom"/>
            <w:tcBorders>
              <w:bottom w:val="single" w:sz="8" w:color="auto"/>
            </w:tcBorders>
            <w:shd w:val="clear" w:color="auto" w:fill="E1F4FD"/>
          </w:tcPr>
          <w:p>
            <w:pPr>
              <w:jc w:val="right"/>
              <w:ind w:right="41"/>
              <w:spacing w:after="0"/>
              <w:rPr>
                <w:sz w:val="20"/>
                <w:szCs w:val="20"/>
                <w:color w:val="auto"/>
              </w:rPr>
            </w:pPr>
            <w:r>
              <w:rPr>
                <w:rFonts w:ascii="Arial" w:cs="Arial" w:eastAsia="Arial" w:hAnsi="Arial"/>
                <w:sz w:val="14"/>
                <w:szCs w:val="14"/>
                <w:color w:val="4F8ABE"/>
              </w:rPr>
              <w:t>2015</w:t>
            </w:r>
          </w:p>
        </w:tc>
        <w:tc>
          <w:tcPr>
            <w:tcW w:w="15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282A32"/>
              </w:rPr>
              <w:t>2014</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282A32"/>
              </w:rPr>
              <w:t>2013</w:t>
            </w:r>
          </w:p>
        </w:tc>
      </w:tr>
      <w:tr>
        <w:trPr>
          <w:trHeight w:val="223"/>
        </w:trPr>
        <w:tc>
          <w:tcPr>
            <w:tcW w:w="7320" w:type="dxa"/>
            <w:vAlign w:val="bottom"/>
          </w:tcPr>
          <w:p>
            <w:pPr>
              <w:ind w:left="40"/>
              <w:spacing w:after="0"/>
              <w:rPr>
                <w:sz w:val="20"/>
                <w:szCs w:val="20"/>
                <w:color w:val="auto"/>
              </w:rPr>
            </w:pPr>
            <w:r>
              <w:rPr>
                <w:rFonts w:ascii="Arial" w:cs="Arial" w:eastAsia="Arial" w:hAnsi="Arial"/>
                <w:sz w:val="16"/>
                <w:szCs w:val="16"/>
                <w:color w:val="282A32"/>
              </w:rPr>
              <w:t>Shares (in thousands)</w:t>
            </w:r>
          </w:p>
        </w:tc>
        <w:tc>
          <w:tcPr>
            <w:tcW w:w="360" w:type="dxa"/>
            <w:vAlign w:val="bottom"/>
            <w:shd w:val="clear" w:color="auto" w:fill="E1F4FD"/>
          </w:tcPr>
          <w:p>
            <w:pPr>
              <w:spacing w:after="0"/>
              <w:rPr>
                <w:sz w:val="19"/>
                <w:szCs w:val="19"/>
                <w:color w:val="auto"/>
              </w:rPr>
            </w:pPr>
          </w:p>
        </w:tc>
        <w:tc>
          <w:tcPr>
            <w:tcW w:w="1040" w:type="dxa"/>
            <w:vAlign w:val="bottom"/>
            <w:shd w:val="clear" w:color="auto" w:fill="E1F4FD"/>
          </w:tcPr>
          <w:p>
            <w:pPr>
              <w:jc w:val="right"/>
              <w:ind w:right="41"/>
              <w:spacing w:after="0"/>
              <w:rPr>
                <w:sz w:val="20"/>
                <w:szCs w:val="20"/>
                <w:color w:val="auto"/>
              </w:rPr>
            </w:pPr>
            <w:r>
              <w:rPr>
                <w:rFonts w:ascii="Arial" w:cs="Arial" w:eastAsia="Arial" w:hAnsi="Arial"/>
                <w:sz w:val="16"/>
                <w:szCs w:val="16"/>
                <w:color w:val="4F8ABE"/>
              </w:rPr>
              <w:t>20</w:t>
            </w:r>
          </w:p>
        </w:tc>
        <w:tc>
          <w:tcPr>
            <w:tcW w:w="1580" w:type="dxa"/>
            <w:vAlign w:val="bottom"/>
          </w:tcPr>
          <w:p>
            <w:pPr>
              <w:jc w:val="right"/>
              <w:ind w:right="261"/>
              <w:spacing w:after="0"/>
              <w:rPr>
                <w:sz w:val="20"/>
                <w:szCs w:val="20"/>
                <w:color w:val="auto"/>
              </w:rPr>
            </w:pPr>
            <w:r>
              <w:rPr>
                <w:rFonts w:ascii="Arial" w:cs="Arial" w:eastAsia="Arial" w:hAnsi="Arial"/>
                <w:sz w:val="16"/>
                <w:szCs w:val="16"/>
                <w:color w:val="282A32"/>
              </w:rPr>
              <w:t>692</w:t>
            </w:r>
          </w:p>
        </w:tc>
        <w:tc>
          <w:tcPr>
            <w:tcW w:w="1120" w:type="dxa"/>
            <w:vAlign w:val="bottom"/>
          </w:tcPr>
          <w:p>
            <w:pPr>
              <w:jc w:val="right"/>
              <w:ind w:right="21"/>
              <w:spacing w:after="0"/>
              <w:rPr>
                <w:sz w:val="20"/>
                <w:szCs w:val="20"/>
                <w:color w:val="auto"/>
              </w:rPr>
            </w:pPr>
            <w:r>
              <w:rPr>
                <w:rFonts w:ascii="Arial" w:cs="Arial" w:eastAsia="Arial" w:hAnsi="Arial"/>
                <w:sz w:val="16"/>
                <w:szCs w:val="16"/>
                <w:color w:val="282A32"/>
              </w:rPr>
              <w:t>995</w:t>
            </w:r>
          </w:p>
        </w:tc>
      </w:tr>
      <w:tr>
        <w:trPr>
          <w:trHeight w:val="243"/>
        </w:trPr>
        <w:tc>
          <w:tcPr>
            <w:tcW w:w="7320" w:type="dxa"/>
            <w:vAlign w:val="bottom"/>
          </w:tcPr>
          <w:p>
            <w:pPr>
              <w:ind w:left="40"/>
              <w:spacing w:after="0"/>
              <w:rPr>
                <w:sz w:val="20"/>
                <w:szCs w:val="20"/>
                <w:color w:val="auto"/>
              </w:rPr>
            </w:pPr>
            <w:r>
              <w:rPr>
                <w:rFonts w:ascii="Arial" w:cs="Arial" w:eastAsia="Arial" w:hAnsi="Arial"/>
                <w:sz w:val="16"/>
                <w:szCs w:val="16"/>
                <w:color w:val="282A32"/>
              </w:rPr>
              <w:t>Exercise price ranges</w:t>
            </w:r>
          </w:p>
        </w:tc>
        <w:tc>
          <w:tcPr>
            <w:tcW w:w="360" w:type="dxa"/>
            <w:vAlign w:val="bottom"/>
            <w:shd w:val="clear" w:color="auto" w:fill="E1F4FD"/>
          </w:tcPr>
          <w:p>
            <w:pPr>
              <w:jc w:val="right"/>
              <w:ind w:right="159"/>
              <w:spacing w:after="0"/>
              <w:rPr>
                <w:sz w:val="20"/>
                <w:szCs w:val="20"/>
                <w:color w:val="auto"/>
              </w:rPr>
            </w:pPr>
            <w:r>
              <w:rPr>
                <w:rFonts w:ascii="Arial" w:cs="Arial" w:eastAsia="Arial" w:hAnsi="Arial"/>
                <w:sz w:val="16"/>
                <w:szCs w:val="16"/>
                <w:color w:val="4F8ABE"/>
              </w:rPr>
              <w:t>$</w:t>
            </w:r>
          </w:p>
        </w:tc>
        <w:tc>
          <w:tcPr>
            <w:tcW w:w="1040" w:type="dxa"/>
            <w:vAlign w:val="bottom"/>
            <w:shd w:val="clear" w:color="auto" w:fill="E1F4FD"/>
          </w:tcPr>
          <w:p>
            <w:pPr>
              <w:jc w:val="right"/>
              <w:ind w:right="41"/>
              <w:spacing w:after="0"/>
              <w:rPr>
                <w:sz w:val="20"/>
                <w:szCs w:val="20"/>
                <w:color w:val="auto"/>
              </w:rPr>
            </w:pPr>
            <w:r>
              <w:rPr>
                <w:rFonts w:ascii="Arial" w:cs="Arial" w:eastAsia="Arial" w:hAnsi="Arial"/>
                <w:sz w:val="16"/>
                <w:szCs w:val="16"/>
                <w:color w:val="4F8ABE"/>
              </w:rPr>
              <w:t>93</w:t>
            </w:r>
          </w:p>
        </w:tc>
        <w:tc>
          <w:tcPr>
            <w:tcW w:w="1580" w:type="dxa"/>
            <w:vAlign w:val="bottom"/>
          </w:tcPr>
          <w:p>
            <w:pPr>
              <w:jc w:val="right"/>
              <w:ind w:right="261"/>
              <w:spacing w:after="0"/>
              <w:rPr>
                <w:sz w:val="20"/>
                <w:szCs w:val="20"/>
                <w:color w:val="auto"/>
              </w:rPr>
            </w:pPr>
            <w:r>
              <w:rPr>
                <w:rFonts w:ascii="Arial" w:cs="Arial" w:eastAsia="Arial" w:hAnsi="Arial"/>
                <w:sz w:val="16"/>
                <w:szCs w:val="16"/>
                <w:color w:val="282A32"/>
              </w:rPr>
              <w:t>$76-$93</w:t>
            </w:r>
          </w:p>
        </w:tc>
        <w:tc>
          <w:tcPr>
            <w:tcW w:w="1120" w:type="dxa"/>
            <w:vAlign w:val="bottom"/>
          </w:tcPr>
          <w:p>
            <w:pPr>
              <w:jc w:val="right"/>
              <w:ind w:right="21"/>
              <w:spacing w:after="0"/>
              <w:rPr>
                <w:sz w:val="20"/>
                <w:szCs w:val="20"/>
                <w:color w:val="auto"/>
              </w:rPr>
            </w:pPr>
            <w:r>
              <w:rPr>
                <w:rFonts w:ascii="Arial" w:cs="Arial" w:eastAsia="Arial" w:hAnsi="Arial"/>
                <w:sz w:val="16"/>
                <w:szCs w:val="16"/>
                <w:color w:val="282A32"/>
              </w:rPr>
              <w:t>$67-$93</w:t>
            </w:r>
          </w:p>
        </w:tc>
      </w:tr>
      <w:tr>
        <w:trPr>
          <w:trHeight w:val="256"/>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82A32"/>
              </w:rPr>
              <w:t>Weighted-average remaining life</w:t>
            </w:r>
          </w:p>
        </w:tc>
        <w:tc>
          <w:tcPr>
            <w:tcW w:w="360" w:type="dxa"/>
            <w:vAlign w:val="bottom"/>
            <w:tcBorders>
              <w:bottom w:val="single" w:sz="8" w:color="auto"/>
            </w:tcBorders>
            <w:shd w:val="clear" w:color="auto" w:fill="E1F4FD"/>
          </w:tcPr>
          <w:p>
            <w:pPr>
              <w:spacing w:after="0"/>
              <w:rPr>
                <w:sz w:val="22"/>
                <w:szCs w:val="22"/>
                <w:color w:val="auto"/>
              </w:rPr>
            </w:pPr>
          </w:p>
        </w:tc>
        <w:tc>
          <w:tcPr>
            <w:tcW w:w="1040" w:type="dxa"/>
            <w:vAlign w:val="bottom"/>
            <w:tcBorders>
              <w:bottom w:val="single" w:sz="8" w:color="auto"/>
            </w:tcBorders>
            <w:shd w:val="clear" w:color="auto" w:fill="E1F4FD"/>
          </w:tcPr>
          <w:p>
            <w:pPr>
              <w:jc w:val="right"/>
              <w:ind w:right="41"/>
              <w:spacing w:after="0"/>
              <w:rPr>
                <w:sz w:val="20"/>
                <w:szCs w:val="20"/>
                <w:color w:val="auto"/>
              </w:rPr>
            </w:pPr>
            <w:r>
              <w:rPr>
                <w:rFonts w:ascii="Arial" w:cs="Arial" w:eastAsia="Arial" w:hAnsi="Arial"/>
                <w:sz w:val="16"/>
                <w:szCs w:val="16"/>
                <w:color w:val="4F8ABE"/>
              </w:rPr>
              <w:t>1.4 years</w:t>
            </w:r>
          </w:p>
        </w:tc>
        <w:tc>
          <w:tcPr>
            <w:tcW w:w="15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282A32"/>
              </w:rPr>
              <w:t>4.1 years</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82A32"/>
              </w:rPr>
              <w:t>5.2 years</w:t>
            </w:r>
          </w:p>
        </w:tc>
      </w:tr>
      <w:tr>
        <w:trPr>
          <w:trHeight w:val="122"/>
        </w:trPr>
        <w:tc>
          <w:tcPr>
            <w:tcW w:w="7320" w:type="dxa"/>
            <w:vAlign w:val="bottom"/>
          </w:tcPr>
          <w:p>
            <w:pPr>
              <w:spacing w:after="0"/>
              <w:rPr>
                <w:sz w:val="10"/>
                <w:szCs w:val="10"/>
                <w:color w:val="auto"/>
              </w:rPr>
            </w:pPr>
          </w:p>
        </w:tc>
        <w:tc>
          <w:tcPr>
            <w:tcW w:w="360" w:type="dxa"/>
            <w:vAlign w:val="bottom"/>
            <w:shd w:val="clear" w:color="auto" w:fill="2989B9"/>
          </w:tcPr>
          <w:p>
            <w:pPr>
              <w:spacing w:after="0"/>
              <w:rPr>
                <w:sz w:val="10"/>
                <w:szCs w:val="10"/>
                <w:color w:val="auto"/>
              </w:rPr>
            </w:pPr>
          </w:p>
        </w:tc>
        <w:tc>
          <w:tcPr>
            <w:tcW w:w="1040" w:type="dxa"/>
            <w:vAlign w:val="bottom"/>
            <w:shd w:val="clear" w:color="auto" w:fill="2989B9"/>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color w:val="2989B9"/>
        </w:rPr>
        <w:t>Note 05. Income Taxes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282A32"/>
        </w:rPr>
        <w:t>The provision for income taxes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80" w:type="dxa"/>
            <w:vAlign w:val="bottom"/>
            <w:tcBorders>
              <w:bottom w:val="single" w:sz="8" w:color="auto"/>
            </w:tcBorders>
            <w:shd w:val="clear" w:color="auto" w:fill="E1F4FD"/>
          </w:tcPr>
          <w:p>
            <w:pPr>
              <w:spacing w:after="0"/>
              <w:rPr>
                <w:sz w:val="18"/>
                <w:szCs w:val="18"/>
                <w:color w:val="auto"/>
              </w:rPr>
            </w:pPr>
          </w:p>
        </w:tc>
        <w:tc>
          <w:tcPr>
            <w:tcW w:w="900" w:type="dxa"/>
            <w:vAlign w:val="bottom"/>
            <w:tcBorders>
              <w:bottom w:val="single" w:sz="8" w:color="auto"/>
            </w:tcBorders>
            <w:gridSpan w:val="2"/>
            <w:shd w:val="clear" w:color="auto" w:fill="E1F4FD"/>
          </w:tcPr>
          <w:p>
            <w:pPr>
              <w:jc w:val="right"/>
              <w:ind w:right="120"/>
              <w:spacing w:after="0"/>
              <w:rPr>
                <w:sz w:val="20"/>
                <w:szCs w:val="20"/>
                <w:color w:val="auto"/>
              </w:rPr>
            </w:pPr>
            <w:r>
              <w:rPr>
                <w:rFonts w:ascii="Arial" w:cs="Arial" w:eastAsia="Arial" w:hAnsi="Arial"/>
                <w:sz w:val="14"/>
                <w:szCs w:val="14"/>
                <w:color w:val="4F8ABE"/>
              </w:rPr>
              <w:t>2015</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91"/>
        </w:trPr>
        <w:tc>
          <w:tcPr>
            <w:tcW w:w="7320" w:type="dxa"/>
            <w:vAlign w:val="bottom"/>
          </w:tcPr>
          <w:p>
            <w:pPr>
              <w:ind w:left="40"/>
              <w:spacing w:after="0"/>
              <w:rPr>
                <w:sz w:val="20"/>
                <w:szCs w:val="20"/>
                <w:color w:val="auto"/>
              </w:rPr>
            </w:pPr>
            <w:r>
              <w:rPr>
                <w:rFonts w:ascii="Arial" w:cs="Arial" w:eastAsia="Arial" w:hAnsi="Arial"/>
                <w:sz w:val="16"/>
                <w:szCs w:val="16"/>
                <w:color w:val="4F8ABE"/>
              </w:rPr>
              <w:t>Current</w:t>
            </w:r>
          </w:p>
        </w:tc>
        <w:tc>
          <w:tcPr>
            <w:tcW w:w="480" w:type="dxa"/>
            <w:vAlign w:val="bottom"/>
            <w:shd w:val="clear" w:color="auto" w:fill="E1F4FD"/>
          </w:tcPr>
          <w:p>
            <w:pPr>
              <w:spacing w:after="0"/>
              <w:rPr>
                <w:sz w:val="24"/>
                <w:szCs w:val="24"/>
                <w:color w:val="auto"/>
              </w:rPr>
            </w:pPr>
          </w:p>
        </w:tc>
        <w:tc>
          <w:tcPr>
            <w:tcW w:w="780" w:type="dxa"/>
            <w:vAlign w:val="bottom"/>
            <w:shd w:val="clear" w:color="auto" w:fill="E1F4FD"/>
          </w:tcPr>
          <w:p>
            <w:pPr>
              <w:spacing w:after="0"/>
              <w:rPr>
                <w:sz w:val="24"/>
                <w:szCs w:val="24"/>
                <w:color w:val="auto"/>
              </w:rPr>
            </w:pPr>
          </w:p>
        </w:tc>
        <w:tc>
          <w:tcPr>
            <w:tcW w:w="12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480" w:type="dxa"/>
            <w:vAlign w:val="bottom"/>
            <w:shd w:val="clear" w:color="auto" w:fill="E1F4FD"/>
          </w:tcPr>
          <w:p>
            <w:pPr>
              <w:spacing w:after="0"/>
              <w:rPr>
                <w:sz w:val="23"/>
                <w:szCs w:val="23"/>
                <w:color w:val="auto"/>
              </w:rPr>
            </w:pPr>
          </w:p>
        </w:tc>
        <w:tc>
          <w:tcPr>
            <w:tcW w:w="780" w:type="dxa"/>
            <w:vAlign w:val="bottom"/>
            <w:shd w:val="clear" w:color="auto" w:fill="E1F4FD"/>
          </w:tcPr>
          <w:p>
            <w:pPr>
              <w:spacing w:after="0"/>
              <w:rPr>
                <w:sz w:val="23"/>
                <w:szCs w:val="23"/>
                <w:color w:val="auto"/>
              </w:rPr>
            </w:pPr>
          </w:p>
        </w:tc>
        <w:tc>
          <w:tcPr>
            <w:tcW w:w="120" w:type="dxa"/>
            <w:vAlign w:val="bottom"/>
            <w:shd w:val="clear" w:color="auto" w:fill="E1F4FD"/>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300"/>
              <w:spacing w:after="0"/>
              <w:rPr>
                <w:sz w:val="20"/>
                <w:szCs w:val="20"/>
                <w:color w:val="auto"/>
              </w:rPr>
            </w:pPr>
            <w:r>
              <w:rPr>
                <w:rFonts w:ascii="Arial" w:cs="Arial" w:eastAsia="Arial" w:hAnsi="Arial"/>
                <w:sz w:val="16"/>
                <w:szCs w:val="16"/>
                <w:color w:val="auto"/>
              </w:rPr>
              <w:t>Federal</w:t>
            </w:r>
          </w:p>
        </w:tc>
        <w:tc>
          <w:tcPr>
            <w:tcW w:w="480" w:type="dxa"/>
            <w:vAlign w:val="bottom"/>
            <w:shd w:val="clear" w:color="auto" w:fill="E1F4FD"/>
          </w:tcPr>
          <w:p>
            <w:pPr>
              <w:jc w:val="right"/>
              <w:ind w:right="279"/>
              <w:spacing w:after="0"/>
              <w:rPr>
                <w:sz w:val="20"/>
                <w:szCs w:val="20"/>
                <w:color w:val="auto"/>
              </w:rPr>
            </w:pPr>
            <w:r>
              <w:rPr>
                <w:rFonts w:ascii="Arial" w:cs="Arial" w:eastAsia="Arial" w:hAnsi="Arial"/>
                <w:sz w:val="16"/>
                <w:szCs w:val="16"/>
                <w:color w:val="4F8ABE"/>
              </w:rPr>
              <w:t>$</w:t>
            </w:r>
          </w:p>
        </w:tc>
        <w:tc>
          <w:tcPr>
            <w:tcW w:w="900" w:type="dxa"/>
            <w:vAlign w:val="bottom"/>
            <w:gridSpan w:val="2"/>
            <w:shd w:val="clear" w:color="auto" w:fill="E1F4FD"/>
          </w:tcPr>
          <w:p>
            <w:pPr>
              <w:jc w:val="right"/>
              <w:ind w:right="60"/>
              <w:spacing w:after="0"/>
              <w:rPr>
                <w:sz w:val="20"/>
                <w:szCs w:val="20"/>
                <w:color w:val="auto"/>
              </w:rPr>
            </w:pPr>
            <w:r>
              <w:rPr>
                <w:rFonts w:ascii="Arial" w:cs="Arial" w:eastAsia="Arial" w:hAnsi="Arial"/>
                <w:sz w:val="16"/>
                <w:szCs w:val="16"/>
                <w:color w:val="4F8ABE"/>
              </w:rPr>
              <w:t>(8.4)</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24"/>
        </w:trPr>
        <w:tc>
          <w:tcPr>
            <w:tcW w:w="7320" w:type="dxa"/>
            <w:vAlign w:val="bottom"/>
          </w:tcPr>
          <w:p>
            <w:pPr>
              <w:ind w:left="300"/>
              <w:spacing w:after="0"/>
              <w:rPr>
                <w:sz w:val="20"/>
                <w:szCs w:val="20"/>
                <w:color w:val="auto"/>
              </w:rPr>
            </w:pPr>
            <w:r>
              <w:rPr>
                <w:rFonts w:ascii="Arial" w:cs="Arial" w:eastAsia="Arial" w:hAnsi="Arial"/>
                <w:sz w:val="16"/>
                <w:szCs w:val="16"/>
                <w:color w:val="auto"/>
              </w:rPr>
              <w:t>State</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4F8ABE"/>
              </w:rPr>
              <w:t>—</w:t>
            </w:r>
          </w:p>
        </w:tc>
        <w:tc>
          <w:tcPr>
            <w:tcW w:w="120" w:type="dxa"/>
            <w:vAlign w:val="bottom"/>
            <w:shd w:val="clear" w:color="auto" w:fill="E1F4FD"/>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Non-United States</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158.7</w:t>
            </w:r>
          </w:p>
        </w:tc>
        <w:tc>
          <w:tcPr>
            <w:tcW w:w="120" w:type="dxa"/>
            <w:vAlign w:val="bottom"/>
            <w:tcBorders>
              <w:bottom w:val="single" w:sz="8" w:color="auto"/>
            </w:tcBorders>
            <w:shd w:val="clear" w:color="auto" w:fill="E1F4FD"/>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148.2</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current</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150.3</w:t>
            </w:r>
          </w:p>
        </w:tc>
        <w:tc>
          <w:tcPr>
            <w:tcW w:w="120" w:type="dxa"/>
            <w:vAlign w:val="bottom"/>
            <w:tcBorders>
              <w:bottom w:val="single" w:sz="8" w:color="auto"/>
            </w:tcBorders>
            <w:shd w:val="clear" w:color="auto" w:fill="E1F4FD"/>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200.0</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91"/>
        </w:trPr>
        <w:tc>
          <w:tcPr>
            <w:tcW w:w="7320" w:type="dxa"/>
            <w:vAlign w:val="bottom"/>
          </w:tcPr>
          <w:p>
            <w:pPr>
              <w:ind w:left="40"/>
              <w:spacing w:after="0"/>
              <w:rPr>
                <w:sz w:val="20"/>
                <w:szCs w:val="20"/>
                <w:color w:val="auto"/>
              </w:rPr>
            </w:pPr>
            <w:r>
              <w:rPr>
                <w:rFonts w:ascii="Arial" w:cs="Arial" w:eastAsia="Arial" w:hAnsi="Arial"/>
                <w:sz w:val="16"/>
                <w:szCs w:val="16"/>
                <w:color w:val="4F8ABE"/>
              </w:rPr>
              <w:t>Deferred</w:t>
            </w:r>
          </w:p>
        </w:tc>
        <w:tc>
          <w:tcPr>
            <w:tcW w:w="480" w:type="dxa"/>
            <w:vAlign w:val="bottom"/>
            <w:shd w:val="clear" w:color="auto" w:fill="E1F4FD"/>
          </w:tcPr>
          <w:p>
            <w:pPr>
              <w:spacing w:after="0"/>
              <w:rPr>
                <w:sz w:val="24"/>
                <w:szCs w:val="24"/>
                <w:color w:val="auto"/>
              </w:rPr>
            </w:pPr>
          </w:p>
        </w:tc>
        <w:tc>
          <w:tcPr>
            <w:tcW w:w="780" w:type="dxa"/>
            <w:vAlign w:val="bottom"/>
            <w:shd w:val="clear" w:color="auto" w:fill="E1F4FD"/>
          </w:tcPr>
          <w:p>
            <w:pPr>
              <w:spacing w:after="0"/>
              <w:rPr>
                <w:sz w:val="24"/>
                <w:szCs w:val="24"/>
                <w:color w:val="auto"/>
              </w:rPr>
            </w:pPr>
          </w:p>
        </w:tc>
        <w:tc>
          <w:tcPr>
            <w:tcW w:w="12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480" w:type="dxa"/>
            <w:vAlign w:val="bottom"/>
            <w:shd w:val="clear" w:color="auto" w:fill="E1F4FD"/>
          </w:tcPr>
          <w:p>
            <w:pPr>
              <w:spacing w:after="0"/>
              <w:rPr>
                <w:sz w:val="23"/>
                <w:szCs w:val="23"/>
                <w:color w:val="auto"/>
              </w:rPr>
            </w:pPr>
          </w:p>
        </w:tc>
        <w:tc>
          <w:tcPr>
            <w:tcW w:w="780" w:type="dxa"/>
            <w:vAlign w:val="bottom"/>
            <w:shd w:val="clear" w:color="auto" w:fill="E1F4FD"/>
          </w:tcPr>
          <w:p>
            <w:pPr>
              <w:spacing w:after="0"/>
              <w:rPr>
                <w:sz w:val="23"/>
                <w:szCs w:val="23"/>
                <w:color w:val="auto"/>
              </w:rPr>
            </w:pPr>
          </w:p>
        </w:tc>
        <w:tc>
          <w:tcPr>
            <w:tcW w:w="120" w:type="dxa"/>
            <w:vAlign w:val="bottom"/>
            <w:shd w:val="clear" w:color="auto" w:fill="E1F4FD"/>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300"/>
              <w:spacing w:after="0"/>
              <w:rPr>
                <w:sz w:val="20"/>
                <w:szCs w:val="20"/>
                <w:color w:val="auto"/>
              </w:rPr>
            </w:pPr>
            <w:r>
              <w:rPr>
                <w:rFonts w:ascii="Arial" w:cs="Arial" w:eastAsia="Arial" w:hAnsi="Arial"/>
                <w:sz w:val="16"/>
                <w:szCs w:val="16"/>
                <w:color w:val="auto"/>
              </w:rPr>
              <w:t>Federal</w:t>
            </w:r>
          </w:p>
        </w:tc>
        <w:tc>
          <w:tcPr>
            <w:tcW w:w="480" w:type="dxa"/>
            <w:vAlign w:val="bottom"/>
            <w:shd w:val="clear" w:color="auto" w:fill="E1F4FD"/>
          </w:tcPr>
          <w:p>
            <w:pPr>
              <w:spacing w:after="0"/>
              <w:rPr>
                <w:sz w:val="22"/>
                <w:szCs w:val="22"/>
                <w:color w:val="auto"/>
              </w:rPr>
            </w:pPr>
          </w:p>
        </w:tc>
        <w:tc>
          <w:tcPr>
            <w:tcW w:w="78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92.9</w:t>
            </w:r>
          </w:p>
        </w:tc>
        <w:tc>
          <w:tcPr>
            <w:tcW w:w="120" w:type="dxa"/>
            <w:vAlign w:val="bottom"/>
            <w:shd w:val="clear" w:color="auto" w:fill="E1F4FD"/>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53.2</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24"/>
        </w:trPr>
        <w:tc>
          <w:tcPr>
            <w:tcW w:w="7320" w:type="dxa"/>
            <w:vAlign w:val="bottom"/>
          </w:tcPr>
          <w:p>
            <w:pPr>
              <w:ind w:left="300"/>
              <w:spacing w:after="0"/>
              <w:rPr>
                <w:sz w:val="20"/>
                <w:szCs w:val="20"/>
                <w:color w:val="auto"/>
              </w:rPr>
            </w:pPr>
            <w:r>
              <w:rPr>
                <w:rFonts w:ascii="Arial" w:cs="Arial" w:eastAsia="Arial" w:hAnsi="Arial"/>
                <w:sz w:val="16"/>
                <w:szCs w:val="16"/>
                <w:color w:val="auto"/>
              </w:rPr>
              <w:t>State</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4F8ABE"/>
              </w:rPr>
              <w:t>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Non-United States</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4F8ABE"/>
              </w:rPr>
              <w:t>(3.5)</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deferred</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4F8ABE"/>
              </w:rPr>
              <w:t>91.2</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54.0</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provision</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4F8ABE"/>
              </w:rPr>
              <w:t>$</w:t>
            </w: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4F8ABE"/>
              </w:rPr>
              <w:t>241.5</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122"/>
        </w:trPr>
        <w:tc>
          <w:tcPr>
            <w:tcW w:w="7320" w:type="dxa"/>
            <w:vAlign w:val="bottom"/>
            <w:vMerge w:val="restart"/>
          </w:tcPr>
          <w:p>
            <w:pPr>
              <w:ind w:left="40"/>
              <w:spacing w:after="0"/>
              <w:rPr>
                <w:sz w:val="20"/>
                <w:szCs w:val="20"/>
                <w:color w:val="auto"/>
              </w:rPr>
            </w:pPr>
            <w:r>
              <w:rPr>
                <w:rFonts w:ascii="Arial" w:cs="Arial" w:eastAsia="Arial" w:hAnsi="Arial"/>
                <w:sz w:val="12"/>
                <w:szCs w:val="12"/>
                <w:color w:val="auto"/>
              </w:rPr>
              <w:t>Notes to Consolidated Financial Statements</w:t>
            </w:r>
          </w:p>
        </w:tc>
        <w:tc>
          <w:tcPr>
            <w:tcW w:w="480" w:type="dxa"/>
            <w:vAlign w:val="bottom"/>
            <w:shd w:val="clear" w:color="auto" w:fill="2989B9"/>
          </w:tcPr>
          <w:p>
            <w:pPr>
              <w:spacing w:after="0"/>
              <w:rPr>
                <w:sz w:val="10"/>
                <w:szCs w:val="10"/>
                <w:color w:val="auto"/>
              </w:rPr>
            </w:pPr>
          </w:p>
        </w:tc>
        <w:tc>
          <w:tcPr>
            <w:tcW w:w="780" w:type="dxa"/>
            <w:vAlign w:val="bottom"/>
            <w:shd w:val="clear" w:color="auto" w:fill="2989B9"/>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63 </w:t>
            </w:r>
            <w:r>
              <w:rPr>
                <w:rFonts w:ascii="Arial" w:cs="Arial" w:eastAsia="Arial" w:hAnsi="Arial"/>
                <w:sz w:val="12"/>
                <w:szCs w:val="12"/>
                <w:color w:val="auto"/>
              </w:rPr>
              <w:t>| ManpowerGroup</w:t>
            </w:r>
          </w:p>
        </w:tc>
        <w:tc>
          <w:tcPr>
            <w:tcW w:w="0" w:type="dxa"/>
            <w:vAlign w:val="bottom"/>
          </w:tcPr>
          <w:p>
            <w:pPr>
              <w:spacing w:after="0"/>
              <w:rPr>
                <w:sz w:val="1"/>
                <w:szCs w:val="1"/>
                <w:color w:val="auto"/>
              </w:rPr>
            </w:pPr>
          </w:p>
        </w:tc>
      </w:tr>
      <w:tr>
        <w:trPr>
          <w:trHeight w:val="804"/>
        </w:trPr>
        <w:tc>
          <w:tcPr>
            <w:tcW w:w="73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-2387600</wp:posOffset>
            </wp:positionV>
            <wp:extent cx="805815" cy="626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62611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-1384300</wp:posOffset>
            </wp:positionV>
            <wp:extent cx="875030" cy="788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5030" cy="788670"/>
                    </a:xfrm>
                    <a:prstGeom prst="rect">
                      <a:avLst/>
                    </a:prstGeom>
                    <a:noFill/>
                  </pic:spPr>
                </pic:pic>
              </a:graphicData>
            </a:graphic>
          </wp:anchor>
        </w:drawing>
      </w:r>
    </w:p>
    <w:p>
      <w:pPr>
        <w:sectPr>
          <w:pgSz w:w="11900" w:h="16838" w:orient="portrait"/>
          <w:cols w:equalWidth="0" w:num="1">
            <w:col w:w="11420"/>
          </w:cols>
          <w:pgMar w:left="240" w:top="870"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282A32"/>
        </w:rPr>
        <w:t>A reconciliation between taxes computed at the United States Federal statutory rate of 35% and the consolidated effective tax rate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80" w:type="dxa"/>
            <w:vAlign w:val="bottom"/>
            <w:tcBorders>
              <w:bottom w:val="single" w:sz="8" w:color="auto"/>
            </w:tcBorders>
            <w:shd w:val="clear" w:color="auto" w:fill="E1F4FD"/>
          </w:tcPr>
          <w:p>
            <w:pPr>
              <w:spacing w:after="0"/>
              <w:rPr>
                <w:sz w:val="18"/>
                <w:szCs w:val="18"/>
                <w:color w:val="auto"/>
              </w:rPr>
            </w:pPr>
          </w:p>
        </w:tc>
        <w:tc>
          <w:tcPr>
            <w:tcW w:w="9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r>
      <w:tr>
        <w:trPr>
          <w:trHeight w:val="291"/>
        </w:trPr>
        <w:tc>
          <w:tcPr>
            <w:tcW w:w="7320" w:type="dxa"/>
            <w:vAlign w:val="bottom"/>
          </w:tcPr>
          <w:p>
            <w:pPr>
              <w:ind w:left="40"/>
              <w:spacing w:after="0"/>
              <w:rPr>
                <w:sz w:val="20"/>
                <w:szCs w:val="20"/>
                <w:color w:val="auto"/>
              </w:rPr>
            </w:pPr>
            <w:r>
              <w:rPr>
                <w:rFonts w:ascii="Arial" w:cs="Arial" w:eastAsia="Arial" w:hAnsi="Arial"/>
                <w:sz w:val="16"/>
                <w:szCs w:val="16"/>
                <w:color w:val="auto"/>
              </w:rPr>
              <w:t>Income tax based on statutory rate</w:t>
            </w:r>
          </w:p>
        </w:tc>
        <w:tc>
          <w:tcPr>
            <w:tcW w:w="480" w:type="dxa"/>
            <w:vAlign w:val="bottom"/>
            <w:shd w:val="clear" w:color="auto" w:fill="E1F4FD"/>
          </w:tcPr>
          <w:p>
            <w:pPr>
              <w:jc w:val="right"/>
              <w:ind w:right="279"/>
              <w:spacing w:after="0"/>
              <w:rPr>
                <w:sz w:val="20"/>
                <w:szCs w:val="20"/>
                <w:color w:val="auto"/>
              </w:rPr>
            </w:pPr>
            <w:r>
              <w:rPr>
                <w:rFonts w:ascii="Arial" w:cs="Arial" w:eastAsia="Arial" w:hAnsi="Arial"/>
                <w:sz w:val="16"/>
                <w:szCs w:val="16"/>
                <w:color w:val="4F8ABE"/>
              </w:rPr>
              <w:t>$</w:t>
            </w:r>
          </w:p>
        </w:tc>
        <w:tc>
          <w:tcPr>
            <w:tcW w:w="90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231.2</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238.6</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166.4</w:t>
            </w:r>
          </w:p>
        </w:tc>
      </w:tr>
      <w:tr>
        <w:trPr>
          <w:trHeight w:val="270"/>
        </w:trPr>
        <w:tc>
          <w:tcPr>
            <w:tcW w:w="7320" w:type="dxa"/>
            <w:vAlign w:val="bottom"/>
          </w:tcPr>
          <w:p>
            <w:pPr>
              <w:ind w:left="40"/>
              <w:spacing w:after="0"/>
              <w:rPr>
                <w:sz w:val="20"/>
                <w:szCs w:val="20"/>
                <w:color w:val="auto"/>
              </w:rPr>
            </w:pPr>
            <w:r>
              <w:rPr>
                <w:rFonts w:ascii="Arial" w:cs="Arial" w:eastAsia="Arial" w:hAnsi="Arial"/>
                <w:sz w:val="16"/>
                <w:szCs w:val="16"/>
                <w:color w:val="auto"/>
              </w:rPr>
              <w:t>Increase (decrease) resulting from:</w:t>
            </w:r>
          </w:p>
        </w:tc>
        <w:tc>
          <w:tcPr>
            <w:tcW w:w="480" w:type="dxa"/>
            <w:vAlign w:val="bottom"/>
            <w:shd w:val="clear" w:color="auto" w:fill="E1F4FD"/>
          </w:tcPr>
          <w:p>
            <w:pPr>
              <w:spacing w:after="0"/>
              <w:rPr>
                <w:sz w:val="23"/>
                <w:szCs w:val="23"/>
                <w:color w:val="auto"/>
              </w:rPr>
            </w:pPr>
          </w:p>
        </w:tc>
        <w:tc>
          <w:tcPr>
            <w:tcW w:w="900" w:type="dxa"/>
            <w:vAlign w:val="bottom"/>
            <w:shd w:val="clear" w:color="auto" w:fill="E1F4FD"/>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3"/>
        </w:trPr>
        <w:tc>
          <w:tcPr>
            <w:tcW w:w="7320" w:type="dxa"/>
            <w:vAlign w:val="bottom"/>
          </w:tcPr>
          <w:p>
            <w:pPr>
              <w:ind w:left="300"/>
              <w:spacing w:after="0"/>
              <w:rPr>
                <w:sz w:val="20"/>
                <w:szCs w:val="20"/>
                <w:color w:val="auto"/>
              </w:rPr>
            </w:pPr>
            <w:r>
              <w:rPr>
                <w:rFonts w:ascii="Arial" w:cs="Arial" w:eastAsia="Arial" w:hAnsi="Arial"/>
                <w:sz w:val="16"/>
                <w:szCs w:val="16"/>
                <w:color w:val="auto"/>
              </w:rPr>
              <w:t>Non-United States tax rate difference</w:t>
            </w:r>
          </w:p>
        </w:tc>
        <w:tc>
          <w:tcPr>
            <w:tcW w:w="480" w:type="dxa"/>
            <w:vAlign w:val="bottom"/>
            <w:shd w:val="clear" w:color="auto" w:fill="E1F4FD"/>
          </w:tcPr>
          <w:p>
            <w:pPr>
              <w:spacing w:after="0"/>
              <w:rPr>
                <w:sz w:val="22"/>
                <w:szCs w:val="22"/>
                <w:color w:val="auto"/>
              </w:rPr>
            </w:pPr>
          </w:p>
        </w:tc>
        <w:tc>
          <w:tcPr>
            <w:tcW w:w="90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20.4</w:t>
            </w:r>
          </w:p>
        </w:tc>
        <w:tc>
          <w:tcPr>
            <w:tcW w:w="4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20.1</w:t>
            </w:r>
          </w:p>
        </w:tc>
        <w:tc>
          <w:tcPr>
            <w:tcW w:w="50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27.7</w:t>
            </w:r>
          </w:p>
        </w:tc>
      </w:tr>
      <w:tr>
        <w:trPr>
          <w:trHeight w:val="224"/>
        </w:trPr>
        <w:tc>
          <w:tcPr>
            <w:tcW w:w="7320" w:type="dxa"/>
            <w:vAlign w:val="bottom"/>
          </w:tcPr>
          <w:p>
            <w:pPr>
              <w:ind w:left="300"/>
              <w:spacing w:after="0"/>
              <w:rPr>
                <w:sz w:val="20"/>
                <w:szCs w:val="20"/>
                <w:color w:val="auto"/>
              </w:rPr>
            </w:pPr>
            <w:r>
              <w:rPr>
                <w:rFonts w:ascii="Arial" w:cs="Arial" w:eastAsia="Arial" w:hAnsi="Arial"/>
                <w:sz w:val="16"/>
                <w:szCs w:val="16"/>
                <w:color w:val="auto"/>
              </w:rPr>
              <w:t>Repatriation of non-United States earnings</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F8ABE"/>
              </w:rPr>
              <w:t>(16.9)</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43"/>
        </w:trPr>
        <w:tc>
          <w:tcPr>
            <w:tcW w:w="7320" w:type="dxa"/>
            <w:vAlign w:val="bottom"/>
          </w:tcPr>
          <w:p>
            <w:pPr>
              <w:ind w:left="300"/>
              <w:spacing w:after="0"/>
              <w:rPr>
                <w:sz w:val="20"/>
                <w:szCs w:val="20"/>
                <w:color w:val="auto"/>
              </w:rPr>
            </w:pPr>
            <w:r>
              <w:rPr>
                <w:rFonts w:ascii="Arial" w:cs="Arial" w:eastAsia="Arial" w:hAnsi="Arial"/>
                <w:sz w:val="16"/>
                <w:szCs w:val="16"/>
                <w:color w:val="auto"/>
              </w:rPr>
              <w:t>State income taxes, net of Federal benefit</w:t>
            </w:r>
          </w:p>
        </w:tc>
        <w:tc>
          <w:tcPr>
            <w:tcW w:w="48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4F8ABE"/>
              </w:rPr>
              <w:t>2.7</w:t>
            </w:r>
          </w:p>
        </w:tc>
        <w:tc>
          <w:tcPr>
            <w:tcW w:w="4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50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243"/>
        </w:trPr>
        <w:tc>
          <w:tcPr>
            <w:tcW w:w="7320" w:type="dxa"/>
            <w:vAlign w:val="bottom"/>
          </w:tcPr>
          <w:p>
            <w:pPr>
              <w:ind w:left="300"/>
              <w:spacing w:after="0"/>
              <w:rPr>
                <w:sz w:val="20"/>
                <w:szCs w:val="20"/>
                <w:color w:val="auto"/>
              </w:rPr>
            </w:pPr>
            <w:r>
              <w:rPr>
                <w:rFonts w:ascii="Arial" w:cs="Arial" w:eastAsia="Arial" w:hAnsi="Arial"/>
                <w:sz w:val="16"/>
                <w:szCs w:val="16"/>
                <w:color w:val="auto"/>
              </w:rPr>
              <w:t>Change in valuation allowance</w:t>
            </w:r>
          </w:p>
        </w:tc>
        <w:tc>
          <w:tcPr>
            <w:tcW w:w="48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4F8ABE"/>
              </w:rPr>
              <w:t>3.3</w:t>
            </w:r>
          </w:p>
        </w:tc>
        <w:tc>
          <w:tcPr>
            <w:tcW w:w="4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56"/>
        </w:trPr>
        <w:tc>
          <w:tcPr>
            <w:tcW w:w="73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0.8</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w:t>
            </w: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Tax provision</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4F8ABE"/>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241.5</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254.0</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187.5</w:t>
            </w:r>
          </w:p>
        </w:tc>
      </w:tr>
      <w:tr>
        <w:trPr>
          <w:trHeight w:val="122"/>
        </w:trPr>
        <w:tc>
          <w:tcPr>
            <w:tcW w:w="7320" w:type="dxa"/>
            <w:vAlign w:val="bottom"/>
          </w:tcPr>
          <w:p>
            <w:pPr>
              <w:spacing w:after="0"/>
              <w:rPr>
                <w:sz w:val="10"/>
                <w:szCs w:val="10"/>
                <w:color w:val="auto"/>
              </w:rPr>
            </w:pPr>
          </w:p>
        </w:tc>
        <w:tc>
          <w:tcPr>
            <w:tcW w:w="480" w:type="dxa"/>
            <w:vAlign w:val="bottom"/>
            <w:shd w:val="clear" w:color="auto" w:fill="2989B9"/>
          </w:tcPr>
          <w:p>
            <w:pPr>
              <w:spacing w:after="0"/>
              <w:rPr>
                <w:sz w:val="10"/>
                <w:szCs w:val="10"/>
                <w:color w:val="auto"/>
              </w:rPr>
            </w:pPr>
          </w:p>
        </w:tc>
        <w:tc>
          <w:tcPr>
            <w:tcW w:w="900" w:type="dxa"/>
            <w:vAlign w:val="bottom"/>
            <w:shd w:val="clear" w:color="auto" w:fill="2989B9"/>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-1019810</wp:posOffset>
            </wp:positionV>
            <wp:extent cx="875030" cy="934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5030" cy="934720"/>
                    </a:xfrm>
                    <a:prstGeom prst="rect">
                      <a:avLst/>
                    </a:prstGeom>
                    <a:noFill/>
                  </pic:spPr>
                </pic:pic>
              </a:graphicData>
            </a:graphic>
          </wp:anchor>
        </w:drawing>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Included in non-United States tax rate difference are benefits of $1.5 and $2.8 for 2015 and 2014, respectively, related to the French CICE payroll tax credit because the CICE credit is tax-free for French tax purposes. The tax benefits related to the CICE credit in excess of these amounts are offset by related increases in United States tax expense. For United States tax purposes, certain French earnings impacted by the CICE credit are treated as a deemed dividend in the current year or future years, resulting in an increase in United States tax expense.</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Deferred income taxes are recorded on temporary differences at the tax rate expected to be in effect when the temporary differences reverse. Temporary differences, which gave rise to the deferred taxes,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680" w:type="dxa"/>
            <w:vAlign w:val="bottom"/>
            <w:tcBorders>
              <w:bottom w:val="single" w:sz="8" w:color="auto"/>
            </w:tcBorders>
            <w:shd w:val="clear" w:color="auto" w:fill="E1F4FD"/>
          </w:tcPr>
          <w:p>
            <w:pPr>
              <w:spacing w:after="0"/>
              <w:rPr>
                <w:sz w:val="18"/>
                <w:szCs w:val="18"/>
                <w:color w:val="auto"/>
              </w:rPr>
            </w:pPr>
          </w:p>
        </w:tc>
        <w:tc>
          <w:tcPr>
            <w:tcW w:w="11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r>
      <w:tr>
        <w:trPr>
          <w:trHeight w:val="291"/>
        </w:trPr>
        <w:tc>
          <w:tcPr>
            <w:tcW w:w="7780" w:type="dxa"/>
            <w:vAlign w:val="bottom"/>
          </w:tcPr>
          <w:p>
            <w:pPr>
              <w:ind w:left="40"/>
              <w:spacing w:after="0"/>
              <w:rPr>
                <w:sz w:val="20"/>
                <w:szCs w:val="20"/>
                <w:color w:val="auto"/>
              </w:rPr>
            </w:pPr>
            <w:r>
              <w:rPr>
                <w:rFonts w:ascii="Arial" w:cs="Arial" w:eastAsia="Arial" w:hAnsi="Arial"/>
                <w:sz w:val="16"/>
                <w:szCs w:val="16"/>
                <w:color w:val="4F8ABE"/>
              </w:rPr>
              <w:t>Future Income Tax (Expense) Benefits</w:t>
            </w:r>
          </w:p>
        </w:tc>
        <w:tc>
          <w:tcPr>
            <w:tcW w:w="680" w:type="dxa"/>
            <w:vAlign w:val="bottom"/>
            <w:shd w:val="clear" w:color="auto" w:fill="E1F4FD"/>
          </w:tcPr>
          <w:p>
            <w:pPr>
              <w:spacing w:after="0"/>
              <w:rPr>
                <w:sz w:val="24"/>
                <w:szCs w:val="24"/>
                <w:color w:val="auto"/>
              </w:rPr>
            </w:pPr>
          </w:p>
        </w:tc>
        <w:tc>
          <w:tcPr>
            <w:tcW w:w="1140" w:type="dxa"/>
            <w:vAlign w:val="bottom"/>
            <w:shd w:val="clear" w:color="auto" w:fill="E1F4FD"/>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color w:val="auto"/>
              </w:rPr>
              <w:t>Accrued payroll taxes and insurance</w:t>
            </w:r>
          </w:p>
        </w:tc>
        <w:tc>
          <w:tcPr>
            <w:tcW w:w="680" w:type="dxa"/>
            <w:vAlign w:val="bottom"/>
            <w:shd w:val="clear" w:color="auto" w:fill="E1F4FD"/>
          </w:tcPr>
          <w:p>
            <w:pPr>
              <w:jc w:val="right"/>
              <w:ind w:right="479"/>
              <w:spacing w:after="0"/>
              <w:rPr>
                <w:sz w:val="20"/>
                <w:szCs w:val="20"/>
                <w:color w:val="auto"/>
              </w:rPr>
            </w:pPr>
            <w:r>
              <w:rPr>
                <w:rFonts w:ascii="Arial" w:cs="Arial" w:eastAsia="Arial" w:hAnsi="Arial"/>
                <w:sz w:val="16"/>
                <w:szCs w:val="16"/>
                <w:color w:val="2989B9"/>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2989B9"/>
              </w:rPr>
              <w:t>31.5</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32.8</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Employee compensation payable</w:t>
            </w:r>
          </w:p>
        </w:tc>
        <w:tc>
          <w:tcPr>
            <w:tcW w:w="68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2989B9"/>
              </w:rPr>
              <w:t>31.7</w:t>
            </w:r>
          </w:p>
        </w:tc>
        <w:tc>
          <w:tcPr>
            <w:tcW w:w="68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28.1</w:t>
            </w:r>
          </w:p>
        </w:tc>
      </w:tr>
      <w:tr>
        <w:trPr>
          <w:trHeight w:val="243"/>
        </w:trPr>
        <w:tc>
          <w:tcPr>
            <w:tcW w:w="7780" w:type="dxa"/>
            <w:vAlign w:val="bottom"/>
          </w:tcPr>
          <w:p>
            <w:pPr>
              <w:ind w:left="40"/>
              <w:spacing w:after="0"/>
              <w:rPr>
                <w:sz w:val="20"/>
                <w:szCs w:val="20"/>
                <w:color w:val="auto"/>
              </w:rPr>
            </w:pPr>
            <w:r>
              <w:rPr>
                <w:rFonts w:ascii="Arial" w:cs="Arial" w:eastAsia="Arial" w:hAnsi="Arial"/>
                <w:sz w:val="16"/>
                <w:szCs w:val="16"/>
                <w:color w:val="auto"/>
              </w:rPr>
              <w:t>Pension and postretirement benefits</w:t>
            </w:r>
          </w:p>
        </w:tc>
        <w:tc>
          <w:tcPr>
            <w:tcW w:w="68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2989B9"/>
              </w:rPr>
              <w:t>57.5</w:t>
            </w:r>
          </w:p>
        </w:tc>
        <w:tc>
          <w:tcPr>
            <w:tcW w:w="68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60.5</w:t>
            </w:r>
          </w:p>
        </w:tc>
      </w:tr>
      <w:tr>
        <w:trPr>
          <w:trHeight w:val="243"/>
        </w:trPr>
        <w:tc>
          <w:tcPr>
            <w:tcW w:w="77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2989B9"/>
              </w:rPr>
              <w:t>(144.7)</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(124.7)</w:t>
            </w:r>
          </w:p>
        </w:tc>
      </w:tr>
      <w:tr>
        <w:trPr>
          <w:trHeight w:val="243"/>
        </w:trPr>
        <w:tc>
          <w:tcPr>
            <w:tcW w:w="7780" w:type="dxa"/>
            <w:vAlign w:val="bottom"/>
          </w:tcPr>
          <w:p>
            <w:pPr>
              <w:ind w:left="40"/>
              <w:spacing w:after="0"/>
              <w:rPr>
                <w:sz w:val="20"/>
                <w:szCs w:val="20"/>
                <w:color w:val="auto"/>
              </w:rPr>
            </w:pPr>
            <w:r>
              <w:rPr>
                <w:rFonts w:ascii="Arial" w:cs="Arial" w:eastAsia="Arial" w:hAnsi="Arial"/>
                <w:sz w:val="16"/>
                <w:szCs w:val="16"/>
                <w:color w:val="auto"/>
              </w:rPr>
              <w:t>Repatriation of non-United States earnings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2989B9"/>
              </w:rPr>
              <w:t>(132.0)</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43"/>
        </w:trPr>
        <w:tc>
          <w:tcPr>
            <w:tcW w:w="7780" w:type="dxa"/>
            <w:vAlign w:val="bottom"/>
          </w:tcPr>
          <w:p>
            <w:pPr>
              <w:ind w:left="40"/>
              <w:spacing w:after="0"/>
              <w:rPr>
                <w:sz w:val="20"/>
                <w:szCs w:val="20"/>
                <w:color w:val="auto"/>
              </w:rPr>
            </w:pPr>
            <w:r>
              <w:rPr>
                <w:rFonts w:ascii="Arial" w:cs="Arial" w:eastAsia="Arial" w:hAnsi="Arial"/>
                <w:sz w:val="16"/>
                <w:szCs w:val="16"/>
                <w:color w:val="auto"/>
              </w:rPr>
              <w:t>Intercompany loans denominated in foreign currencies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2989B9"/>
              </w:rPr>
              <w:t>(61.2)</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43"/>
        </w:trPr>
        <w:tc>
          <w:tcPr>
            <w:tcW w:w="7780" w:type="dxa"/>
            <w:vAlign w:val="bottom"/>
          </w:tcPr>
          <w:p>
            <w:pPr>
              <w:ind w:left="40"/>
              <w:spacing w:after="0"/>
              <w:rPr>
                <w:sz w:val="20"/>
                <w:szCs w:val="20"/>
                <w:color w:val="auto"/>
              </w:rPr>
            </w:pPr>
            <w:r>
              <w:rPr>
                <w:rFonts w:ascii="Arial" w:cs="Arial" w:eastAsia="Arial" w:hAnsi="Arial"/>
                <w:sz w:val="16"/>
                <w:szCs w:val="16"/>
                <w:color w:val="auto"/>
              </w:rPr>
              <w:t>Net operating losses</w:t>
            </w:r>
          </w:p>
        </w:tc>
        <w:tc>
          <w:tcPr>
            <w:tcW w:w="68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2989B9"/>
              </w:rPr>
              <w:t>106.5</w:t>
            </w:r>
          </w:p>
        </w:tc>
        <w:tc>
          <w:tcPr>
            <w:tcW w:w="68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129.7</w:t>
            </w:r>
          </w:p>
        </w:tc>
      </w:tr>
      <w:tr>
        <w:trPr>
          <w:trHeight w:val="243"/>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68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2989B9"/>
              </w:rPr>
              <w:t>133.1</w:t>
            </w:r>
          </w:p>
        </w:tc>
        <w:tc>
          <w:tcPr>
            <w:tcW w:w="68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119.7</w:t>
            </w:r>
          </w:p>
        </w:tc>
      </w:tr>
      <w:tr>
        <w:trPr>
          <w:trHeight w:val="25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Valuation allowance</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989B9"/>
              </w:rPr>
              <w:t>(95.9)</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r>
      <w:tr>
        <w:trPr>
          <w:trHeight w:val="237"/>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future tax (expense) benefits</w:t>
            </w: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2989B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989B9"/>
              </w:rPr>
              <w:t>(73.5)</w:t>
            </w: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59.5</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68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2989B9"/>
              </w:rPr>
              <w:t>83.9</w:t>
            </w:r>
          </w:p>
        </w:tc>
        <w:tc>
          <w:tcPr>
            <w:tcW w:w="68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106.2</w:t>
            </w:r>
          </w:p>
        </w:tc>
      </w:tr>
      <w:tr>
        <w:trPr>
          <w:trHeight w:val="25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Deferred tax liability</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989B9"/>
              </w:rPr>
              <w:t>(157.4)</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37"/>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future tax (expense) benefits</w:t>
            </w: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2989B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989B9"/>
              </w:rPr>
              <w:t>(73.5)</w:t>
            </w: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59.5</w:t>
            </w:r>
          </w:p>
        </w:tc>
      </w:tr>
      <w:tr>
        <w:trPr>
          <w:trHeight w:val="122"/>
        </w:trPr>
        <w:tc>
          <w:tcPr>
            <w:tcW w:w="7780" w:type="dxa"/>
            <w:vAlign w:val="bottom"/>
          </w:tcPr>
          <w:p>
            <w:pPr>
              <w:spacing w:after="0"/>
              <w:rPr>
                <w:sz w:val="10"/>
                <w:szCs w:val="10"/>
                <w:color w:val="auto"/>
              </w:rPr>
            </w:pPr>
          </w:p>
        </w:tc>
        <w:tc>
          <w:tcPr>
            <w:tcW w:w="680" w:type="dxa"/>
            <w:vAlign w:val="bottom"/>
            <w:shd w:val="clear" w:color="auto" w:fill="2989B9"/>
          </w:tcPr>
          <w:p>
            <w:pPr>
              <w:spacing w:after="0"/>
              <w:rPr>
                <w:sz w:val="10"/>
                <w:szCs w:val="10"/>
                <w:color w:val="auto"/>
              </w:rPr>
            </w:pPr>
          </w:p>
        </w:tc>
        <w:tc>
          <w:tcPr>
            <w:tcW w:w="1140" w:type="dxa"/>
            <w:vAlign w:val="bottom"/>
            <w:shd w:val="clear" w:color="auto" w:fill="2989B9"/>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-2117725</wp:posOffset>
            </wp:positionV>
            <wp:extent cx="1157605" cy="2032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57605" cy="2032635"/>
                    </a:xfrm>
                    <a:prstGeom prst="rect">
                      <a:avLst/>
                    </a:prstGeom>
                    <a:noFill/>
                  </pic:spPr>
                </pic:pic>
              </a:graphicData>
            </a:graphic>
          </wp:anchor>
        </w:drawing>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In November 2015, the FASB issued new accounting guidance on the balance sheet classification of deferred taxes. The new guidance requires that all deferred taxes be presented as noncurrent. In the fourth quarter of 2015, we adopted this guidance and reclassified current deferred tax assets and current deferred tax liabilities from future income tax (expense) benefits and accrued liabilities, respectively, to other assets and other long-term liabilities, respectively, in prior-period financial statements to conform to the current period's presentation. The impact of this reclassification on the 2014 balances was a reclass of $52.2 from future income tax (expense) benefits to other assets and $20.6 from accrued liabilities to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64</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102" w:name="page103"/>
    <w:bookmarkEnd w:id="102"/>
    <w:p>
      <w:pPr>
        <w:jc w:val="both"/>
        <w:spacing w:after="0" w:line="260" w:lineRule="auto"/>
        <w:rPr>
          <w:sz w:val="20"/>
          <w:szCs w:val="20"/>
          <w:color w:val="auto"/>
        </w:rPr>
      </w:pPr>
      <w:r>
        <w:rPr>
          <w:rFonts w:ascii="Arial" w:cs="Arial" w:eastAsia="Arial" w:hAnsi="Arial"/>
          <w:sz w:val="16"/>
          <w:szCs w:val="16"/>
          <w:color w:val="282A32"/>
        </w:rPr>
        <w:t>We had United States Federal and non-United States net operating loss carryforwards and United States state net operating loss carryforwards totaling $378.5 and $256.8, respectively, as of December 31, 2015. The net operating loss carryforwards expire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0" w:type="dxa"/>
            <w:vAlign w:val="bottom"/>
          </w:tcPr>
          <w:p>
            <w:pPr>
              <w:jc w:val="right"/>
              <w:ind w:right="1"/>
              <w:spacing w:after="0"/>
              <w:rPr>
                <w:sz w:val="20"/>
                <w:szCs w:val="20"/>
                <w:color w:val="auto"/>
              </w:rPr>
            </w:pPr>
            <w:r>
              <w:rPr>
                <w:rFonts w:ascii="Arial" w:cs="Arial" w:eastAsia="Arial" w:hAnsi="Arial"/>
                <w:sz w:val="14"/>
                <w:szCs w:val="14"/>
                <w:color w:val="auto"/>
              </w:rPr>
              <w:t>United States Federal</w:t>
            </w:r>
          </w:p>
        </w:tc>
        <w:tc>
          <w:tcPr>
            <w:tcW w:w="520" w:type="dxa"/>
            <w:vAlign w:val="bottom"/>
          </w:tcPr>
          <w:p>
            <w:pPr>
              <w:spacing w:after="0"/>
              <w:rPr>
                <w:sz w:val="14"/>
                <w:szCs w:val="14"/>
                <w:color w:val="auto"/>
              </w:rPr>
            </w:pPr>
          </w:p>
        </w:tc>
        <w:tc>
          <w:tcPr>
            <w:tcW w:w="1340" w:type="dxa"/>
            <w:vAlign w:val="bottom"/>
          </w:tcPr>
          <w:p>
            <w:pPr>
              <w:jc w:val="right"/>
              <w:ind w:right="21"/>
              <w:spacing w:after="0"/>
              <w:rPr>
                <w:sz w:val="20"/>
                <w:szCs w:val="20"/>
                <w:color w:val="auto"/>
              </w:rPr>
            </w:pPr>
            <w:r>
              <w:rPr>
                <w:rFonts w:ascii="Arial" w:cs="Arial" w:eastAsia="Arial" w:hAnsi="Arial"/>
                <w:sz w:val="14"/>
                <w:szCs w:val="14"/>
                <w:color w:val="auto"/>
              </w:rPr>
              <w:t>United States</w:t>
            </w:r>
          </w:p>
        </w:tc>
      </w:tr>
      <w:tr>
        <w:trPr>
          <w:trHeight w:val="178"/>
        </w:trPr>
        <w:tc>
          <w:tcPr>
            <w:tcW w:w="5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and Non-United States</w:t>
            </w: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State</w:t>
            </w:r>
          </w:p>
        </w:tc>
      </w:tr>
      <w:tr>
        <w:trPr>
          <w:trHeight w:val="223"/>
        </w:trPr>
        <w:tc>
          <w:tcPr>
            <w:tcW w:w="5260" w:type="dxa"/>
            <w:vAlign w:val="bottom"/>
          </w:tcPr>
          <w:p>
            <w:pPr>
              <w:ind w:left="40"/>
              <w:spacing w:after="0"/>
              <w:rPr>
                <w:sz w:val="20"/>
                <w:szCs w:val="20"/>
                <w:color w:val="auto"/>
              </w:rPr>
            </w:pPr>
            <w:r>
              <w:rPr>
                <w:rFonts w:ascii="Arial" w:cs="Arial" w:eastAsia="Arial" w:hAnsi="Arial"/>
                <w:sz w:val="16"/>
                <w:szCs w:val="16"/>
                <w:color w:val="auto"/>
              </w:rPr>
              <w:t>2016</w:t>
            </w:r>
          </w:p>
        </w:tc>
        <w:tc>
          <w:tcPr>
            <w:tcW w:w="270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1.0</w:t>
            </w: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2017</w:t>
            </w:r>
          </w:p>
        </w:tc>
        <w:tc>
          <w:tcPr>
            <w:tcW w:w="270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5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7.5</w:t>
            </w: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2018</w:t>
            </w:r>
          </w:p>
        </w:tc>
        <w:tc>
          <w:tcPr>
            <w:tcW w:w="270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5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3.5</w:t>
            </w: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2019</w:t>
            </w:r>
          </w:p>
        </w:tc>
        <w:tc>
          <w:tcPr>
            <w:tcW w:w="270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5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4.5</w:t>
            </w: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2020</w:t>
            </w:r>
          </w:p>
        </w:tc>
        <w:tc>
          <w:tcPr>
            <w:tcW w:w="270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4.3</w:t>
            </w:r>
          </w:p>
        </w:tc>
        <w:tc>
          <w:tcPr>
            <w:tcW w:w="5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70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27.4</w:t>
            </w:r>
          </w:p>
        </w:tc>
        <w:tc>
          <w:tcPr>
            <w:tcW w:w="5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240.3</w:t>
            </w:r>
          </w:p>
        </w:tc>
      </w:tr>
      <w:tr>
        <w:trPr>
          <w:trHeight w:val="25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 expirations</w:t>
            </w:r>
          </w:p>
        </w:tc>
        <w:tc>
          <w:tcPr>
            <w:tcW w:w="27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328.8</w:t>
            </w:r>
          </w:p>
        </w:tc>
        <w:tc>
          <w:tcPr>
            <w:tcW w:w="5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net operating loss carryforwards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378.5</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256.8</w:t>
            </w:r>
          </w:p>
        </w:tc>
      </w:tr>
    </w:tbl>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have recorded a deferred tax asset of $106.5 as of December 31, 2015, for the benefit of these net operating losses. Realization of this asset is dependent on generating sufficient taxable income prior to the expiration of the loss carryforwards. A related valuation allowance of $91.1 has been recorded as of December 31, 2015, as management believes that realization of certain net operating loss carryforwards is unlikely.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Pre-tax earnings of non-United States operations was $511.2, $485.9 and $298.1 in 2015, 2014 and 2013, respectively. We have not provided United States income taxes or non-United States withholding taxes on $516.9 of unremitted earnings of non-United States subsidiaries that are considered to be permanently invested. As of December 31, 2015, deferred taxes are provided on $604.4 of unremitted earnings of non-United States subsidiaries that may be remitted to the United States. As of December 31, 2015 and 2014, we have recorded a deferred tax liability of $132.0 and $53.1, respectively, related to these non-United States earnings that may be remitted.</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82A32"/>
        </w:rPr>
        <w:t>As of December 31, 2015, we had gross unrecognized tax benefits related to various tax jurisdictions, including interest and penalties, of $38.9. We have related tax benefits of $1.0, and the net amount of $37.9 would favorably affect the effective tax rate if recognized. We do not expect our unrecognized tax benefits to change significantly over the next year.</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82A32"/>
        </w:rPr>
        <w:t>As of December 31, 2014, we had gross unrecognized tax benefits related to various tax jurisdictions, including interest and penalties, of $30.8. We had related tax benefits of $1.4 for a net amount of $29.4.</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recognize accrued interest and penalties related to unrecognized tax benefits in income tax expense. During 2015, we accrued net interest and penalties of $12.1. We recorded a benefit of $0.6 in 2014 and accrued net interest and penalties of $6.3 in 2013.</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our unrecognized tax benefits during 2015, 2014 and 2013: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shd w:val="clear" w:color="auto" w:fill="E1F4FD"/>
          </w:tcPr>
          <w:p>
            <w:pPr>
              <w:spacing w:after="0"/>
              <w:rPr>
                <w:sz w:val="22"/>
                <w:szCs w:val="22"/>
                <w:color w:val="auto"/>
              </w:rPr>
            </w:pPr>
          </w:p>
        </w:tc>
        <w:tc>
          <w:tcPr>
            <w:tcW w:w="8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6"/>
                <w:szCs w:val="16"/>
                <w:color w:val="auto"/>
              </w:rPr>
              <w:t>Gross unrecognized tax benefits, beginning of year</w:t>
            </w:r>
          </w:p>
        </w:tc>
        <w:tc>
          <w:tcPr>
            <w:tcW w:w="520" w:type="dxa"/>
            <w:vAlign w:val="bottom"/>
            <w:shd w:val="clear" w:color="auto" w:fill="E1F4FD"/>
          </w:tcPr>
          <w:p>
            <w:pPr>
              <w:jc w:val="right"/>
              <w:ind w:right="319"/>
              <w:spacing w:after="0"/>
              <w:rPr>
                <w:sz w:val="20"/>
                <w:szCs w:val="20"/>
                <w:color w:val="auto"/>
              </w:rPr>
            </w:pPr>
            <w:r>
              <w:rPr>
                <w:rFonts w:ascii="Arial" w:cs="Arial" w:eastAsia="Arial" w:hAnsi="Arial"/>
                <w:sz w:val="16"/>
                <w:szCs w:val="16"/>
                <w:color w:val="4F8ABE"/>
              </w:rPr>
              <w:t>$</w:t>
            </w:r>
          </w:p>
        </w:tc>
        <w:tc>
          <w:tcPr>
            <w:tcW w:w="86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23.0</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24"/>
        </w:trPr>
        <w:tc>
          <w:tcPr>
            <w:tcW w:w="7320" w:type="dxa"/>
            <w:vAlign w:val="bottom"/>
          </w:tcPr>
          <w:p>
            <w:pPr>
              <w:ind w:left="300"/>
              <w:spacing w:after="0"/>
              <w:rPr>
                <w:sz w:val="20"/>
                <w:szCs w:val="20"/>
                <w:color w:val="auto"/>
              </w:rPr>
            </w:pPr>
            <w:r>
              <w:rPr>
                <w:rFonts w:ascii="Arial" w:cs="Arial" w:eastAsia="Arial" w:hAnsi="Arial"/>
                <w:sz w:val="16"/>
                <w:szCs w:val="16"/>
                <w:color w:val="auto"/>
              </w:rPr>
              <w:t>Increases in prior year tax positions</w:t>
            </w:r>
          </w:p>
        </w:tc>
        <w:tc>
          <w:tcPr>
            <w:tcW w:w="52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4F8ABE"/>
              </w:rPr>
              <w:t>2.3</w:t>
            </w:r>
          </w:p>
        </w:tc>
        <w:tc>
          <w:tcPr>
            <w:tcW w:w="52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7320" w:type="dxa"/>
            <w:vAlign w:val="bottom"/>
          </w:tcPr>
          <w:p>
            <w:pPr>
              <w:ind w:left="300"/>
              <w:spacing w:after="0"/>
              <w:rPr>
                <w:sz w:val="20"/>
                <w:szCs w:val="20"/>
                <w:color w:val="auto"/>
              </w:rPr>
            </w:pPr>
            <w:r>
              <w:rPr>
                <w:rFonts w:ascii="Arial" w:cs="Arial" w:eastAsia="Arial" w:hAnsi="Arial"/>
                <w:sz w:val="16"/>
                <w:szCs w:val="16"/>
                <w:color w:val="auto"/>
              </w:rPr>
              <w:t>Decreases in prior year tax positions</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4F8ABE"/>
              </w:rPr>
              <w:t>(0.5)</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3"/>
        </w:trPr>
        <w:tc>
          <w:tcPr>
            <w:tcW w:w="7320" w:type="dxa"/>
            <w:vAlign w:val="bottom"/>
          </w:tcPr>
          <w:p>
            <w:pPr>
              <w:ind w:left="300"/>
              <w:spacing w:after="0"/>
              <w:rPr>
                <w:sz w:val="20"/>
                <w:szCs w:val="20"/>
                <w:color w:val="auto"/>
              </w:rPr>
            </w:pPr>
            <w:r>
              <w:rPr>
                <w:rFonts w:ascii="Arial" w:cs="Arial" w:eastAsia="Arial" w:hAnsi="Arial"/>
                <w:sz w:val="16"/>
                <w:szCs w:val="16"/>
                <w:color w:val="auto"/>
              </w:rPr>
              <w:t>Increases for current year tax positions</w:t>
            </w:r>
          </w:p>
        </w:tc>
        <w:tc>
          <w:tcPr>
            <w:tcW w:w="52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4F8ABE"/>
              </w:rPr>
              <w:t>3.1</w:t>
            </w:r>
          </w:p>
        </w:tc>
        <w:tc>
          <w:tcPr>
            <w:tcW w:w="52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Expiration of statute of limitations and audit settlements</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(8.9)</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Gross unrecognized tax benefits, end of year</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4F8ABE"/>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19.0</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Potential interest and penalties</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19.9</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Balance, end of year</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4F8ABE"/>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38.9</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22"/>
        </w:trPr>
        <w:tc>
          <w:tcPr>
            <w:tcW w:w="7320" w:type="dxa"/>
            <w:vAlign w:val="bottom"/>
            <w:vMerge w:val="restart"/>
          </w:tcPr>
          <w:p>
            <w:pPr>
              <w:ind w:left="40"/>
              <w:spacing w:after="0"/>
              <w:rPr>
                <w:sz w:val="20"/>
                <w:szCs w:val="20"/>
                <w:color w:val="auto"/>
              </w:rPr>
            </w:pPr>
            <w:r>
              <w:rPr>
                <w:rFonts w:ascii="Arial" w:cs="Arial" w:eastAsia="Arial" w:hAnsi="Arial"/>
                <w:sz w:val="12"/>
                <w:szCs w:val="12"/>
                <w:color w:val="auto"/>
              </w:rPr>
              <w:t>Notes to Consolidated Financial Statements</w:t>
            </w:r>
          </w:p>
        </w:tc>
        <w:tc>
          <w:tcPr>
            <w:tcW w:w="520" w:type="dxa"/>
            <w:vAlign w:val="bottom"/>
            <w:shd w:val="clear" w:color="auto" w:fill="2989B9"/>
          </w:tcPr>
          <w:p>
            <w:pPr>
              <w:spacing w:after="0"/>
              <w:rPr>
                <w:sz w:val="10"/>
                <w:szCs w:val="10"/>
                <w:color w:val="auto"/>
              </w:rPr>
            </w:pPr>
          </w:p>
        </w:tc>
        <w:tc>
          <w:tcPr>
            <w:tcW w:w="860" w:type="dxa"/>
            <w:vAlign w:val="bottom"/>
            <w:shd w:val="clear" w:color="auto" w:fill="2989B9"/>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65 </w:t>
            </w:r>
            <w:r>
              <w:rPr>
                <w:rFonts w:ascii="Arial" w:cs="Arial" w:eastAsia="Arial" w:hAnsi="Arial"/>
                <w:sz w:val="12"/>
                <w:szCs w:val="12"/>
                <w:color w:val="auto"/>
              </w:rPr>
              <w:t>| ManpowerGroup</w:t>
            </w:r>
          </w:p>
        </w:tc>
        <w:tc>
          <w:tcPr>
            <w:tcW w:w="0" w:type="dxa"/>
            <w:vAlign w:val="bottom"/>
          </w:tcPr>
          <w:p>
            <w:pPr>
              <w:spacing w:after="0"/>
              <w:rPr>
                <w:sz w:val="1"/>
                <w:szCs w:val="1"/>
                <w:color w:val="auto"/>
              </w:rPr>
            </w:pPr>
          </w:p>
        </w:tc>
      </w:tr>
      <w:tr>
        <w:trPr>
          <w:trHeight w:val="642"/>
        </w:trPr>
        <w:tc>
          <w:tcPr>
            <w:tcW w:w="7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-1762125</wp:posOffset>
            </wp:positionV>
            <wp:extent cx="875030" cy="1269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5030" cy="1269365"/>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conduct business globally in 80 countries and territories. We are routinely audited by the tax authorities of the various tax jurisdictions in which we operate. Generally, the tax years that could be subject to examination are 2008 through 2015 for our major operations in France, Germany, Italy, Japan, the United Kingdom and the United States. As of December 31, 2015, we were subject to tax audits in Austria, Canada, Denmark, France, Germany, Italy, Portugal, Russia, Spain and the United States. We believe that the resolution of these audits will not have a material impact on earnings.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2989B9"/>
        </w:rPr>
        <w:t>Note 06. Goodwill</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282A32"/>
        </w:rPr>
        <w:t>Changes in the carrying value of goodwill by reportable segment and Corporate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color w:val="auto"/>
              </w:rPr>
              <w:t>Southern</w:t>
            </w:r>
          </w:p>
        </w:tc>
        <w:tc>
          <w:tcPr>
            <w:tcW w:w="28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4"/>
                <w:szCs w:val="14"/>
                <w:color w:val="auto"/>
              </w:rPr>
              <w:t>Northern</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Right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2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
              <w:spacing w:after="0" w:line="189" w:lineRule="exact"/>
              <w:rPr>
                <w:sz w:val="20"/>
                <w:szCs w:val="20"/>
                <w:color w:val="auto"/>
              </w:rPr>
            </w:pPr>
            <w:r>
              <w:rPr>
                <w:rFonts w:ascii="Arial" w:cs="Arial" w:eastAsia="Arial" w:hAnsi="Arial"/>
                <w:sz w:val="14"/>
                <w:szCs w:val="14"/>
                <w:color w:val="auto"/>
              </w:rPr>
              <w:t>Americas</w:t>
            </w:r>
            <w:r>
              <w:rPr>
                <w:rFonts w:ascii="Arial" w:cs="Arial" w:eastAsia="Arial" w:hAnsi="Arial"/>
                <w:sz w:val="17"/>
                <w:szCs w:val="17"/>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
              <w:spacing w:after="0" w:line="189" w:lineRule="exact"/>
              <w:rPr>
                <w:sz w:val="20"/>
                <w:szCs w:val="20"/>
                <w:color w:val="auto"/>
              </w:rPr>
            </w:pPr>
            <w:r>
              <w:rPr>
                <w:rFonts w:ascii="Arial" w:cs="Arial" w:eastAsia="Arial" w:hAnsi="Arial"/>
                <w:sz w:val="14"/>
                <w:szCs w:val="14"/>
                <w:color w:val="auto"/>
              </w:rPr>
              <w:t>Europe</w:t>
            </w:r>
            <w:r>
              <w:rPr>
                <w:rFonts w:ascii="Arial" w:cs="Arial" w:eastAsia="Arial" w:hAnsi="Arial"/>
                <w:sz w:val="17"/>
                <w:szCs w:val="17"/>
                <w:color w:val="auto"/>
                <w:vertAlign w:val="superscript"/>
              </w:rPr>
              <w:t>(2)</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Europe</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APME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Management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color w:val="auto"/>
              </w:rPr>
              <w:t>Corporate</w:t>
            </w:r>
            <w:r>
              <w:rPr>
                <w:rFonts w:ascii="Arial" w:cs="Arial" w:eastAsia="Arial" w:hAnsi="Arial"/>
                <w:sz w:val="17"/>
                <w:szCs w:val="17"/>
                <w:color w:val="auto"/>
                <w:vertAlign w:val="superscript"/>
              </w:rPr>
              <w:t>(3)</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
              <w:spacing w:after="0" w:line="189" w:lineRule="exact"/>
              <w:rPr>
                <w:sz w:val="20"/>
                <w:szCs w:val="20"/>
                <w:color w:val="auto"/>
              </w:rPr>
            </w:pPr>
            <w:r>
              <w:rPr>
                <w:rFonts w:ascii="Arial" w:cs="Arial" w:eastAsia="Arial" w:hAnsi="Arial"/>
                <w:sz w:val="14"/>
                <w:szCs w:val="14"/>
                <w:color w:val="auto"/>
              </w:rPr>
              <w:t>Total</w:t>
            </w:r>
            <w:r>
              <w:rPr>
                <w:rFonts w:ascii="Arial" w:cs="Arial" w:eastAsia="Arial" w:hAnsi="Arial"/>
                <w:sz w:val="17"/>
                <w:szCs w:val="17"/>
                <w:color w:val="auto"/>
                <w:vertAlign w:val="superscript"/>
              </w:rPr>
              <w:t>(4)</w:t>
            </w:r>
          </w:p>
        </w:tc>
      </w:tr>
      <w:tr>
        <w:trPr>
          <w:trHeight w:val="217"/>
        </w:trPr>
        <w:tc>
          <w:tcPr>
            <w:tcW w:w="2780" w:type="dxa"/>
            <w:vAlign w:val="bottom"/>
          </w:tcPr>
          <w:p>
            <w:pPr>
              <w:ind w:left="40"/>
              <w:spacing w:after="0"/>
              <w:rPr>
                <w:sz w:val="20"/>
                <w:szCs w:val="20"/>
                <w:color w:val="auto"/>
              </w:rPr>
            </w:pPr>
            <w:r>
              <w:rPr>
                <w:rFonts w:ascii="Arial" w:cs="Arial" w:eastAsia="Arial" w:hAnsi="Arial"/>
                <w:sz w:val="16"/>
                <w:szCs w:val="16"/>
                <w:color w:val="auto"/>
              </w:rPr>
              <w:t>Balance, January 1, 2014</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465.9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107.8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318.2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1,090.9</w:t>
            </w:r>
          </w:p>
        </w:tc>
      </w:tr>
      <w:tr>
        <w:trPr>
          <w:trHeight w:val="243"/>
        </w:trPr>
        <w:tc>
          <w:tcPr>
            <w:tcW w:w="2780" w:type="dxa"/>
            <w:vAlign w:val="bottom"/>
          </w:tcPr>
          <w:p>
            <w:pPr>
              <w:ind w:left="300"/>
              <w:spacing w:after="0"/>
              <w:rPr>
                <w:sz w:val="20"/>
                <w:szCs w:val="20"/>
                <w:color w:val="auto"/>
              </w:rPr>
            </w:pPr>
            <w:r>
              <w:rPr>
                <w:rFonts w:ascii="Arial" w:cs="Arial" w:eastAsia="Arial" w:hAnsi="Arial"/>
                <w:sz w:val="16"/>
                <w:szCs w:val="16"/>
                <w:color w:val="auto"/>
              </w:rPr>
              <w:t>Goodwill acquired</w:t>
            </w:r>
          </w:p>
        </w:tc>
        <w:tc>
          <w:tcPr>
            <w:tcW w:w="7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28.0</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39.4</w:t>
            </w:r>
          </w:p>
        </w:tc>
      </w:tr>
      <w:tr>
        <w:trPr>
          <w:trHeight w:val="256"/>
        </w:trPr>
        <w:tc>
          <w:tcPr>
            <w:tcW w:w="27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Currency impact and other</w:t>
            </w: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r>
      <w:tr>
        <w:trPr>
          <w:trHeight w:val="224"/>
        </w:trPr>
        <w:tc>
          <w:tcPr>
            <w:tcW w:w="2780" w:type="dxa"/>
            <w:vAlign w:val="bottom"/>
          </w:tcPr>
          <w:p>
            <w:pPr>
              <w:ind w:left="40"/>
              <w:spacing w:after="0"/>
              <w:rPr>
                <w:sz w:val="20"/>
                <w:szCs w:val="20"/>
                <w:color w:val="auto"/>
              </w:rPr>
            </w:pPr>
            <w:r>
              <w:rPr>
                <w:rFonts w:ascii="Arial" w:cs="Arial" w:eastAsia="Arial" w:hAnsi="Arial"/>
                <w:sz w:val="16"/>
                <w:szCs w:val="16"/>
                <w:color w:val="auto"/>
              </w:rPr>
              <w:t>Balance, December 31, 2014</w:t>
            </w:r>
          </w:p>
        </w:tc>
        <w:tc>
          <w:tcPr>
            <w:tcW w:w="76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466.3</w:t>
            </w:r>
          </w:p>
        </w:tc>
        <w:tc>
          <w:tcPr>
            <w:tcW w:w="28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100.5</w:t>
            </w:r>
          </w:p>
        </w:tc>
        <w:tc>
          <w:tcPr>
            <w:tcW w:w="28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311.3</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64.9</w:t>
            </w:r>
          </w:p>
        </w:tc>
        <w:tc>
          <w:tcPr>
            <w:tcW w:w="32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1,075.2</w:t>
            </w:r>
          </w:p>
        </w:tc>
      </w:tr>
      <w:tr>
        <w:trPr>
          <w:trHeight w:val="243"/>
        </w:trPr>
        <w:tc>
          <w:tcPr>
            <w:tcW w:w="2780" w:type="dxa"/>
            <w:vAlign w:val="bottom"/>
          </w:tcPr>
          <w:p>
            <w:pPr>
              <w:ind w:left="300"/>
              <w:spacing w:after="0"/>
              <w:rPr>
                <w:sz w:val="20"/>
                <w:szCs w:val="20"/>
                <w:color w:val="auto"/>
              </w:rPr>
            </w:pPr>
            <w:r>
              <w:rPr>
                <w:rFonts w:ascii="Arial" w:cs="Arial" w:eastAsia="Arial" w:hAnsi="Arial"/>
                <w:sz w:val="16"/>
                <w:szCs w:val="16"/>
                <w:color w:val="auto"/>
              </w:rPr>
              <w:t>Goodwill acquired</w:t>
            </w:r>
          </w:p>
        </w:tc>
        <w:tc>
          <w:tcPr>
            <w:tcW w:w="7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52.9</w:t>
            </w:r>
          </w:p>
        </w:tc>
        <w:tc>
          <w:tcPr>
            <w:tcW w:w="28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163.3</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228.0</w:t>
            </w:r>
          </w:p>
        </w:tc>
      </w:tr>
      <w:tr>
        <w:trPr>
          <w:trHeight w:val="256"/>
        </w:trPr>
        <w:tc>
          <w:tcPr>
            <w:tcW w:w="27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Currency impact and other</w:t>
            </w: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Balance, December 31, 2015</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515.7</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443.7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1,257.4</w:t>
            </w:r>
          </w:p>
        </w:tc>
      </w:tr>
    </w:tbl>
    <w:p>
      <w:pPr>
        <w:spacing w:after="0" w:line="153"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4"/>
          <w:szCs w:val="14"/>
          <w:color w:val="282A32"/>
        </w:rPr>
      </w:pPr>
      <w:r>
        <w:rPr>
          <w:rFonts w:ascii="Arial" w:cs="Arial" w:eastAsia="Arial" w:hAnsi="Arial"/>
          <w:sz w:val="14"/>
          <w:szCs w:val="14"/>
          <w:color w:val="282A32"/>
        </w:rPr>
        <w:t>Balances related to United States were $448.5, $450.4 and $476.9 as of January 1, 2014, December 31, 2014 and December 31, 2015, respectively.</w:t>
      </w:r>
    </w:p>
    <w:p>
      <w:pPr>
        <w:spacing w:after="0" w:line="1" w:lineRule="exact"/>
        <w:rPr>
          <w:rFonts w:ascii="Arial" w:cs="Arial" w:eastAsia="Arial" w:hAnsi="Arial"/>
          <w:sz w:val="14"/>
          <w:szCs w:val="14"/>
          <w:color w:val="282A32"/>
        </w:rPr>
      </w:pPr>
    </w:p>
    <w:p>
      <w:pPr>
        <w:ind w:left="220" w:hanging="212"/>
        <w:spacing w:after="0"/>
        <w:tabs>
          <w:tab w:leader="none" w:pos="220" w:val="left"/>
        </w:tabs>
        <w:numPr>
          <w:ilvl w:val="0"/>
          <w:numId w:val="80"/>
        </w:numPr>
        <w:rPr>
          <w:rFonts w:ascii="Arial" w:cs="Arial" w:eastAsia="Arial" w:hAnsi="Arial"/>
          <w:sz w:val="14"/>
          <w:szCs w:val="14"/>
          <w:color w:val="282A32"/>
        </w:rPr>
      </w:pPr>
      <w:r>
        <w:rPr>
          <w:rFonts w:ascii="Arial" w:cs="Arial" w:eastAsia="Arial" w:hAnsi="Arial"/>
          <w:sz w:val="14"/>
          <w:szCs w:val="14"/>
          <w:color w:val="282A32"/>
        </w:rPr>
        <w:t>Balances related to France were $87.3, $76.9 and $69.0 as of January 1, 2014, December 31, 2014 and December 31, 2015, respectively.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82A32"/>
        </w:rPr>
        <w:t>Balances related to Italy were $5.7, $5.0 and $4.5 as of January 1, 2014, December 31, 2014 and December 31, 2015, respectively.</w:t>
      </w:r>
    </w:p>
    <w:p>
      <w:pPr>
        <w:spacing w:after="0" w:line="1" w:lineRule="exact"/>
        <w:rPr>
          <w:sz w:val="20"/>
          <w:szCs w:val="20"/>
          <w:color w:val="auto"/>
        </w:rPr>
      </w:pPr>
    </w:p>
    <w:p>
      <w:pPr>
        <w:jc w:val="both"/>
        <w:ind w:firstLine="8"/>
        <w:spacing w:after="0" w:line="241" w:lineRule="auto"/>
        <w:tabs>
          <w:tab w:leader="none" w:pos="223" w:val="left"/>
        </w:tabs>
        <w:numPr>
          <w:ilvl w:val="0"/>
          <w:numId w:val="81"/>
        </w:numPr>
        <w:rPr>
          <w:rFonts w:ascii="Arial" w:cs="Arial" w:eastAsia="Arial" w:hAnsi="Arial"/>
          <w:sz w:val="14"/>
          <w:szCs w:val="14"/>
          <w:color w:val="282A32"/>
        </w:rPr>
      </w:pPr>
      <w:r>
        <w:rPr>
          <w:rFonts w:ascii="Arial" w:cs="Arial" w:eastAsia="Arial" w:hAnsi="Arial"/>
          <w:sz w:val="14"/>
          <w:szCs w:val="14"/>
          <w:color w:val="282A32"/>
        </w:rPr>
        <w:t>The majority of the Corporate balance as of December 31, 2015 relates to goodwill attributable to our acquisition of Jefferson Wells ($55.5) which is part of the United States reporting unit. For purposes of monitoring our total assets by segment, we do not allocate the Corporate balance to the respective reportable segments. We do, however, include these balances within the appropriate reporting units for our goodwill impairment testing. See the table below for the breakout of goodwill balances by reporting unit.</w:t>
      </w:r>
    </w:p>
    <w:p>
      <w:pPr>
        <w:spacing w:after="0" w:line="1" w:lineRule="exact"/>
        <w:rPr>
          <w:rFonts w:ascii="Arial" w:cs="Arial" w:eastAsia="Arial" w:hAnsi="Arial"/>
          <w:sz w:val="14"/>
          <w:szCs w:val="14"/>
          <w:color w:val="282A32"/>
        </w:rPr>
      </w:pPr>
    </w:p>
    <w:p>
      <w:pPr>
        <w:ind w:left="220" w:hanging="212"/>
        <w:spacing w:after="0"/>
        <w:tabs>
          <w:tab w:leader="none" w:pos="220" w:val="left"/>
        </w:tabs>
        <w:numPr>
          <w:ilvl w:val="0"/>
          <w:numId w:val="81"/>
        </w:numPr>
        <w:rPr>
          <w:rFonts w:ascii="Arial" w:cs="Arial" w:eastAsia="Arial" w:hAnsi="Arial"/>
          <w:sz w:val="14"/>
          <w:szCs w:val="14"/>
          <w:color w:val="282A32"/>
        </w:rPr>
      </w:pPr>
      <w:r>
        <w:rPr>
          <w:rFonts w:ascii="Arial" w:cs="Arial" w:eastAsia="Arial" w:hAnsi="Arial"/>
          <w:sz w:val="14"/>
          <w:szCs w:val="14"/>
          <w:color w:val="282A32"/>
        </w:rPr>
        <w:t>Balances were net of accumulated impairment loss of $513.4 as of January 1, 2014, December 31, 2014 and December 31, 2015.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282A32"/>
        </w:rPr>
        <w:t>Goodwill balances by reporting unit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380" w:type="dxa"/>
            <w:vAlign w:val="bottom"/>
            <w:tcBorders>
              <w:bottom w:val="single" w:sz="8" w:color="auto"/>
            </w:tcBorders>
            <w:shd w:val="clear" w:color="auto" w:fill="E1F4FD"/>
          </w:tcPr>
          <w:p>
            <w:pPr>
              <w:spacing w:after="0"/>
              <w:rPr>
                <w:sz w:val="18"/>
                <w:szCs w:val="18"/>
                <w:color w:val="auto"/>
              </w:rPr>
            </w:pPr>
          </w:p>
        </w:tc>
        <w:tc>
          <w:tcPr>
            <w:tcW w:w="110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4"/>
                <w:szCs w:val="14"/>
                <w:color w:val="4F8ABE"/>
              </w:rPr>
              <w:t>2015</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23"/>
        </w:trPr>
        <w:tc>
          <w:tcPr>
            <w:tcW w:w="846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E1F4FD"/>
          </w:tcPr>
          <w:p>
            <w:pPr>
              <w:jc w:val="right"/>
              <w:ind w:right="179"/>
              <w:spacing w:after="0"/>
              <w:rPr>
                <w:sz w:val="20"/>
                <w:szCs w:val="20"/>
                <w:color w:val="auto"/>
              </w:rPr>
            </w:pPr>
            <w:r>
              <w:rPr>
                <w:rFonts w:ascii="Arial" w:cs="Arial" w:eastAsia="Arial" w:hAnsi="Arial"/>
                <w:sz w:val="16"/>
                <w:szCs w:val="16"/>
                <w:color w:val="4F8ABE"/>
              </w:rPr>
              <w:t>$</w:t>
            </w:r>
          </w:p>
        </w:tc>
        <w:tc>
          <w:tcPr>
            <w:tcW w:w="1100" w:type="dxa"/>
            <w:vAlign w:val="bottom"/>
            <w:shd w:val="clear" w:color="auto" w:fill="E1F4FD"/>
          </w:tcPr>
          <w:p>
            <w:pPr>
              <w:jc w:val="right"/>
              <w:ind w:right="22"/>
              <w:spacing w:after="0"/>
              <w:rPr>
                <w:sz w:val="20"/>
                <w:szCs w:val="20"/>
                <w:color w:val="auto"/>
              </w:rPr>
            </w:pPr>
            <w:r>
              <w:rPr>
                <w:rFonts w:ascii="Arial" w:cs="Arial" w:eastAsia="Arial" w:hAnsi="Arial"/>
                <w:sz w:val="16"/>
                <w:szCs w:val="16"/>
                <w:color w:val="4F8ABE"/>
              </w:rPr>
              <w:t>532.4</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505.9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6"/>
                <w:szCs w:val="16"/>
                <w:color w:val="auto"/>
              </w:rPr>
              <w:t>Germany</w:t>
            </w:r>
          </w:p>
        </w:tc>
        <w:tc>
          <w:tcPr>
            <w:tcW w:w="380" w:type="dxa"/>
            <w:vAlign w:val="bottom"/>
            <w:shd w:val="clear" w:color="auto" w:fill="E1F4FD"/>
          </w:tcPr>
          <w:p>
            <w:pPr>
              <w:spacing w:after="0"/>
              <w:rPr>
                <w:sz w:val="21"/>
                <w:szCs w:val="21"/>
                <w:color w:val="auto"/>
              </w:rPr>
            </w:pPr>
          </w:p>
        </w:tc>
        <w:tc>
          <w:tcPr>
            <w:tcW w:w="1100" w:type="dxa"/>
            <w:vAlign w:val="bottom"/>
            <w:shd w:val="clear" w:color="auto" w:fill="E1F4FD"/>
          </w:tcPr>
          <w:p>
            <w:pPr>
              <w:jc w:val="right"/>
              <w:ind w:right="22"/>
              <w:spacing w:after="0"/>
              <w:rPr>
                <w:sz w:val="20"/>
                <w:szCs w:val="20"/>
                <w:color w:val="auto"/>
              </w:rPr>
            </w:pPr>
            <w:r>
              <w:rPr>
                <w:rFonts w:ascii="Arial" w:cs="Arial" w:eastAsia="Arial" w:hAnsi="Arial"/>
                <w:sz w:val="16"/>
                <w:szCs w:val="16"/>
                <w:color w:val="4F8ABE"/>
              </w:rPr>
              <w:t>127.1</w:t>
            </w:r>
          </w:p>
        </w:tc>
        <w:tc>
          <w:tcPr>
            <w:tcW w:w="48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6"/>
                <w:szCs w:val="16"/>
                <w:color w:val="auto"/>
              </w:rPr>
              <w:t>United Kingdom</w:t>
            </w:r>
          </w:p>
        </w:tc>
        <w:tc>
          <w:tcPr>
            <w:tcW w:w="380" w:type="dxa"/>
            <w:vAlign w:val="bottom"/>
            <w:shd w:val="clear" w:color="auto" w:fill="E1F4FD"/>
          </w:tcPr>
          <w:p>
            <w:pPr>
              <w:spacing w:after="0"/>
              <w:rPr>
                <w:sz w:val="21"/>
                <w:szCs w:val="21"/>
                <w:color w:val="auto"/>
              </w:rPr>
            </w:pPr>
          </w:p>
        </w:tc>
        <w:tc>
          <w:tcPr>
            <w:tcW w:w="1100" w:type="dxa"/>
            <w:vAlign w:val="bottom"/>
            <w:shd w:val="clear" w:color="auto" w:fill="E1F4FD"/>
          </w:tcPr>
          <w:p>
            <w:pPr>
              <w:jc w:val="right"/>
              <w:ind w:right="22"/>
              <w:spacing w:after="0"/>
              <w:rPr>
                <w:sz w:val="20"/>
                <w:szCs w:val="20"/>
                <w:color w:val="auto"/>
              </w:rPr>
            </w:pPr>
            <w:r>
              <w:rPr>
                <w:rFonts w:ascii="Arial" w:cs="Arial" w:eastAsia="Arial" w:hAnsi="Arial"/>
                <w:sz w:val="16"/>
                <w:szCs w:val="16"/>
                <w:color w:val="4F8ABE"/>
              </w:rPr>
              <w:t>101.1</w:t>
            </w:r>
          </w:p>
        </w:tc>
        <w:tc>
          <w:tcPr>
            <w:tcW w:w="48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380" w:type="dxa"/>
            <w:vAlign w:val="bottom"/>
            <w:shd w:val="clear" w:color="auto" w:fill="E1F4FD"/>
          </w:tcPr>
          <w:p>
            <w:pPr>
              <w:spacing w:after="0"/>
              <w:rPr>
                <w:sz w:val="21"/>
                <w:szCs w:val="21"/>
                <w:color w:val="auto"/>
              </w:rPr>
            </w:pPr>
          </w:p>
        </w:tc>
        <w:tc>
          <w:tcPr>
            <w:tcW w:w="1100" w:type="dxa"/>
            <w:vAlign w:val="bottom"/>
            <w:shd w:val="clear" w:color="auto" w:fill="E1F4FD"/>
          </w:tcPr>
          <w:p>
            <w:pPr>
              <w:jc w:val="right"/>
              <w:ind w:right="22"/>
              <w:spacing w:after="0"/>
              <w:rPr>
                <w:sz w:val="20"/>
                <w:szCs w:val="20"/>
                <w:color w:val="auto"/>
              </w:rPr>
            </w:pPr>
            <w:r>
              <w:rPr>
                <w:rFonts w:ascii="Arial" w:cs="Arial" w:eastAsia="Arial" w:hAnsi="Arial"/>
                <w:sz w:val="16"/>
                <w:szCs w:val="16"/>
                <w:color w:val="4F8ABE"/>
              </w:rPr>
              <w:t>98.7</w:t>
            </w:r>
          </w:p>
        </w:tc>
        <w:tc>
          <w:tcPr>
            <w:tcW w:w="48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6"/>
                <w:szCs w:val="16"/>
                <w:color w:val="auto"/>
              </w:rPr>
              <w:t>France</w:t>
            </w:r>
          </w:p>
        </w:tc>
        <w:tc>
          <w:tcPr>
            <w:tcW w:w="380" w:type="dxa"/>
            <w:vAlign w:val="bottom"/>
            <w:shd w:val="clear" w:color="auto" w:fill="E1F4FD"/>
          </w:tcPr>
          <w:p>
            <w:pPr>
              <w:spacing w:after="0"/>
              <w:rPr>
                <w:sz w:val="21"/>
                <w:szCs w:val="21"/>
                <w:color w:val="auto"/>
              </w:rPr>
            </w:pPr>
          </w:p>
        </w:tc>
        <w:tc>
          <w:tcPr>
            <w:tcW w:w="1100" w:type="dxa"/>
            <w:vAlign w:val="bottom"/>
            <w:shd w:val="clear" w:color="auto" w:fill="E1F4FD"/>
          </w:tcPr>
          <w:p>
            <w:pPr>
              <w:jc w:val="right"/>
              <w:ind w:right="22"/>
              <w:spacing w:after="0"/>
              <w:rPr>
                <w:sz w:val="20"/>
                <w:szCs w:val="20"/>
                <w:color w:val="auto"/>
              </w:rPr>
            </w:pPr>
            <w:r>
              <w:rPr>
                <w:rFonts w:ascii="Arial" w:cs="Arial" w:eastAsia="Arial" w:hAnsi="Arial"/>
                <w:sz w:val="16"/>
                <w:szCs w:val="16"/>
                <w:color w:val="4F8ABE"/>
              </w:rPr>
              <w:t>69.0</w:t>
            </w:r>
          </w:p>
        </w:tc>
        <w:tc>
          <w:tcPr>
            <w:tcW w:w="48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6"/>
                <w:szCs w:val="16"/>
                <w:color w:val="auto"/>
              </w:rPr>
              <w:t>Right Management</w:t>
            </w:r>
          </w:p>
        </w:tc>
        <w:tc>
          <w:tcPr>
            <w:tcW w:w="380" w:type="dxa"/>
            <w:vAlign w:val="bottom"/>
            <w:shd w:val="clear" w:color="auto" w:fill="E1F4FD"/>
          </w:tcPr>
          <w:p>
            <w:pPr>
              <w:spacing w:after="0"/>
              <w:rPr>
                <w:sz w:val="21"/>
                <w:szCs w:val="21"/>
                <w:color w:val="auto"/>
              </w:rPr>
            </w:pPr>
          </w:p>
        </w:tc>
        <w:tc>
          <w:tcPr>
            <w:tcW w:w="1100" w:type="dxa"/>
            <w:vAlign w:val="bottom"/>
            <w:shd w:val="clear" w:color="auto" w:fill="E1F4FD"/>
          </w:tcPr>
          <w:p>
            <w:pPr>
              <w:jc w:val="right"/>
              <w:ind w:right="22"/>
              <w:spacing w:after="0"/>
              <w:rPr>
                <w:sz w:val="20"/>
                <w:szCs w:val="20"/>
                <w:color w:val="auto"/>
              </w:rPr>
            </w:pPr>
            <w:r>
              <w:rPr>
                <w:rFonts w:ascii="Arial" w:cs="Arial" w:eastAsia="Arial" w:hAnsi="Arial"/>
                <w:sz w:val="16"/>
                <w:szCs w:val="16"/>
                <w:color w:val="4F8ABE"/>
              </w:rPr>
              <w:t>62.1</w:t>
            </w:r>
          </w:p>
        </w:tc>
        <w:tc>
          <w:tcPr>
            <w:tcW w:w="48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reporting units</w:t>
            </w:r>
          </w:p>
        </w:tc>
        <w:tc>
          <w:tcPr>
            <w:tcW w:w="380" w:type="dxa"/>
            <w:vAlign w:val="bottom"/>
            <w:tcBorders>
              <w:bottom w:val="single" w:sz="8" w:color="auto"/>
            </w:tcBorders>
            <w:shd w:val="clear" w:color="auto" w:fill="E1F4FD"/>
          </w:tcPr>
          <w:p>
            <w:pPr>
              <w:spacing w:after="0"/>
              <w:rPr>
                <w:sz w:val="22"/>
                <w:szCs w:val="22"/>
                <w:color w:val="auto"/>
              </w:rPr>
            </w:pPr>
          </w:p>
        </w:tc>
        <w:tc>
          <w:tcPr>
            <w:tcW w:w="110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6"/>
                <w:szCs w:val="16"/>
                <w:color w:val="4F8ABE"/>
              </w:rPr>
              <w:t>267.0</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goodwill</w:t>
            </w:r>
          </w:p>
        </w:tc>
        <w:tc>
          <w:tcPr>
            <w:tcW w:w="380" w:type="dxa"/>
            <w:vAlign w:val="bottom"/>
            <w:tcBorders>
              <w:bottom w:val="single" w:sz="8" w:color="auto"/>
            </w:tcBorders>
            <w:shd w:val="clear" w:color="auto" w:fill="E1F4FD"/>
          </w:tcPr>
          <w:p>
            <w:pPr>
              <w:jc w:val="right"/>
              <w:ind w:right="179"/>
              <w:spacing w:after="0"/>
              <w:rPr>
                <w:sz w:val="20"/>
                <w:szCs w:val="20"/>
                <w:color w:val="auto"/>
              </w:rPr>
            </w:pPr>
            <w:r>
              <w:rPr>
                <w:rFonts w:ascii="Arial" w:cs="Arial" w:eastAsia="Arial" w:hAnsi="Arial"/>
                <w:sz w:val="16"/>
                <w:szCs w:val="16"/>
                <w:color w:val="4F8ABE"/>
              </w:rPr>
              <w:t>$</w:t>
            </w:r>
          </w:p>
        </w:tc>
        <w:tc>
          <w:tcPr>
            <w:tcW w:w="1100" w:type="dxa"/>
            <w:vAlign w:val="bottom"/>
            <w:tcBorders>
              <w:bottom w:val="single" w:sz="8" w:color="auto"/>
            </w:tcBorders>
            <w:shd w:val="clear" w:color="auto" w:fill="E1F4FD"/>
          </w:tcPr>
          <w:p>
            <w:pPr>
              <w:jc w:val="right"/>
              <w:ind w:right="22"/>
              <w:spacing w:after="0"/>
              <w:rPr>
                <w:sz w:val="20"/>
                <w:szCs w:val="20"/>
                <w:color w:val="auto"/>
              </w:rPr>
            </w:pPr>
            <w:r>
              <w:rPr>
                <w:rFonts w:ascii="Arial" w:cs="Arial" w:eastAsia="Arial" w:hAnsi="Arial"/>
                <w:sz w:val="16"/>
                <w:szCs w:val="16"/>
                <w:color w:val="4F8ABE"/>
              </w:rPr>
              <w:t>1,257.4</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1,075.2</w:t>
            </w:r>
          </w:p>
        </w:tc>
        <w:tc>
          <w:tcPr>
            <w:tcW w:w="0" w:type="dxa"/>
            <w:vAlign w:val="bottom"/>
          </w:tcPr>
          <w:p>
            <w:pPr>
              <w:spacing w:after="0"/>
              <w:rPr>
                <w:sz w:val="1"/>
                <w:szCs w:val="1"/>
                <w:color w:val="auto"/>
              </w:rPr>
            </w:pPr>
          </w:p>
        </w:tc>
      </w:tr>
      <w:tr>
        <w:trPr>
          <w:trHeight w:val="122"/>
        </w:trPr>
        <w:tc>
          <w:tcPr>
            <w:tcW w:w="8460" w:type="dxa"/>
            <w:vAlign w:val="bottom"/>
            <w:vMerge w:val="restart"/>
          </w:tcPr>
          <w:p>
            <w:pPr>
              <w:ind w:left="40"/>
              <w:spacing w:after="0"/>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66</w:t>
            </w:r>
          </w:p>
        </w:tc>
        <w:tc>
          <w:tcPr>
            <w:tcW w:w="380" w:type="dxa"/>
            <w:vAlign w:val="bottom"/>
            <w:shd w:val="clear" w:color="auto" w:fill="2989B9"/>
          </w:tcPr>
          <w:p>
            <w:pPr>
              <w:spacing w:after="0"/>
              <w:rPr>
                <w:sz w:val="10"/>
                <w:szCs w:val="10"/>
                <w:color w:val="auto"/>
              </w:rPr>
            </w:pPr>
          </w:p>
        </w:tc>
        <w:tc>
          <w:tcPr>
            <w:tcW w:w="1100" w:type="dxa"/>
            <w:vAlign w:val="bottom"/>
            <w:shd w:val="clear" w:color="auto" w:fill="2989B9"/>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2"/>
        </w:trPr>
        <w:tc>
          <w:tcPr>
            <w:tcW w:w="8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2"/>
                <w:szCs w:val="12"/>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04" w:name="page105"/>
    <w:bookmarkEnd w:id="104"/>
    <w:p>
      <w:pPr>
        <w:spacing w:after="0"/>
        <w:rPr>
          <w:sz w:val="20"/>
          <w:szCs w:val="20"/>
          <w:color w:val="auto"/>
        </w:rPr>
      </w:pPr>
      <w:r>
        <w:rPr>
          <w:rFonts w:ascii="Arial" w:cs="Arial" w:eastAsia="Arial" w:hAnsi="Arial"/>
          <w:sz w:val="25"/>
          <w:szCs w:val="25"/>
          <w:color w:val="2989B9"/>
        </w:rPr>
        <w:t>Note 07. Debt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282A32"/>
        </w:rPr>
        <w:t>Information concerning short-term borrowings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520" w:type="dxa"/>
            <w:vAlign w:val="bottom"/>
            <w:tcBorders>
              <w:bottom w:val="single" w:sz="8" w:color="auto"/>
            </w:tcBorders>
            <w:shd w:val="clear" w:color="auto" w:fill="E1F4FD"/>
          </w:tcPr>
          <w:p>
            <w:pPr>
              <w:spacing w:after="0"/>
              <w:rPr>
                <w:sz w:val="18"/>
                <w:szCs w:val="18"/>
                <w:color w:val="auto"/>
              </w:rPr>
            </w:pPr>
          </w:p>
        </w:tc>
        <w:tc>
          <w:tcPr>
            <w:tcW w:w="900" w:type="dxa"/>
            <w:vAlign w:val="bottom"/>
            <w:tcBorders>
              <w:bottom w:val="single" w:sz="8" w:color="auto"/>
            </w:tcBorders>
            <w:shd w:val="clear" w:color="auto" w:fill="E1F4FD"/>
          </w:tcPr>
          <w:p>
            <w:pPr>
              <w:ind w:left="420"/>
              <w:spacing w:after="0"/>
              <w:rPr>
                <w:sz w:val="20"/>
                <w:szCs w:val="20"/>
                <w:color w:val="auto"/>
              </w:rPr>
            </w:pPr>
            <w:r>
              <w:rPr>
                <w:rFonts w:ascii="Arial" w:cs="Arial" w:eastAsia="Arial" w:hAnsi="Arial"/>
                <w:sz w:val="14"/>
                <w:szCs w:val="14"/>
                <w:color w:val="4F8ABE"/>
              </w:rPr>
              <w:t>2015</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2014</w:t>
            </w:r>
          </w:p>
        </w:tc>
      </w:tr>
      <w:tr>
        <w:trPr>
          <w:trHeight w:val="243"/>
        </w:trPr>
        <w:tc>
          <w:tcPr>
            <w:tcW w:w="8560" w:type="dxa"/>
            <w:vAlign w:val="bottom"/>
          </w:tcPr>
          <w:p>
            <w:pPr>
              <w:ind w:left="40"/>
              <w:spacing w:after="0"/>
              <w:rPr>
                <w:sz w:val="20"/>
                <w:szCs w:val="20"/>
                <w:color w:val="auto"/>
              </w:rPr>
            </w:pPr>
            <w:r>
              <w:rPr>
                <w:rFonts w:ascii="Arial" w:cs="Arial" w:eastAsia="Arial" w:hAnsi="Arial"/>
                <w:sz w:val="16"/>
                <w:szCs w:val="16"/>
                <w:color w:val="auto"/>
              </w:rPr>
              <w:t>Short-term borrowings</w:t>
            </w:r>
          </w:p>
        </w:tc>
        <w:tc>
          <w:tcPr>
            <w:tcW w:w="520" w:type="dxa"/>
            <w:vAlign w:val="bottom"/>
            <w:shd w:val="clear" w:color="auto" w:fill="E1F4FD"/>
          </w:tcPr>
          <w:p>
            <w:pPr>
              <w:jc w:val="right"/>
              <w:ind w:right="319"/>
              <w:spacing w:after="0"/>
              <w:rPr>
                <w:sz w:val="20"/>
                <w:szCs w:val="20"/>
                <w:color w:val="auto"/>
              </w:rPr>
            </w:pPr>
            <w:r>
              <w:rPr>
                <w:rFonts w:ascii="Arial" w:cs="Arial" w:eastAsia="Arial" w:hAnsi="Arial"/>
                <w:sz w:val="16"/>
                <w:szCs w:val="16"/>
                <w:color w:val="4F8ABE"/>
              </w:rPr>
              <w:t>$</w:t>
            </w:r>
          </w:p>
        </w:tc>
        <w:tc>
          <w:tcPr>
            <w:tcW w:w="900" w:type="dxa"/>
            <w:vAlign w:val="bottom"/>
            <w:shd w:val="clear" w:color="auto" w:fill="E1F4FD"/>
          </w:tcPr>
          <w:p>
            <w:pPr>
              <w:ind w:left="420"/>
              <w:spacing w:after="0"/>
              <w:rPr>
                <w:sz w:val="20"/>
                <w:szCs w:val="20"/>
                <w:color w:val="auto"/>
              </w:rPr>
            </w:pPr>
            <w:r>
              <w:rPr>
                <w:rFonts w:ascii="Arial" w:cs="Arial" w:eastAsia="Arial" w:hAnsi="Arial"/>
                <w:sz w:val="16"/>
                <w:szCs w:val="16"/>
                <w:color w:val="4F8ABE"/>
              </w:rPr>
              <w:t>38.2</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43.3</w:t>
            </w:r>
          </w:p>
        </w:tc>
      </w:tr>
      <w:tr>
        <w:trPr>
          <w:trHeight w:val="237"/>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Weighted-average interest rates</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4F8ABE"/>
              </w:rPr>
              <w:t>17.8%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15.8%</w:t>
            </w:r>
          </w:p>
        </w:tc>
      </w:tr>
      <w:tr>
        <w:trPr>
          <w:trHeight w:val="122"/>
        </w:trPr>
        <w:tc>
          <w:tcPr>
            <w:tcW w:w="8560" w:type="dxa"/>
            <w:vAlign w:val="bottom"/>
          </w:tcPr>
          <w:p>
            <w:pPr>
              <w:spacing w:after="0"/>
              <w:rPr>
                <w:sz w:val="10"/>
                <w:szCs w:val="10"/>
                <w:color w:val="auto"/>
              </w:rPr>
            </w:pPr>
          </w:p>
        </w:tc>
        <w:tc>
          <w:tcPr>
            <w:tcW w:w="520" w:type="dxa"/>
            <w:vAlign w:val="bottom"/>
            <w:shd w:val="clear" w:color="auto" w:fill="2989B9"/>
          </w:tcPr>
          <w:p>
            <w:pPr>
              <w:spacing w:after="0"/>
              <w:rPr>
                <w:sz w:val="10"/>
                <w:szCs w:val="10"/>
                <w:color w:val="auto"/>
              </w:rPr>
            </w:pPr>
          </w:p>
        </w:tc>
        <w:tc>
          <w:tcPr>
            <w:tcW w:w="900" w:type="dxa"/>
            <w:vAlign w:val="bottom"/>
            <w:shd w:val="clear" w:color="auto" w:fill="2989B9"/>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-402590</wp:posOffset>
            </wp:positionV>
            <wp:extent cx="79756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317500"/>
                    </a:xfrm>
                    <a:prstGeom prst="rect">
                      <a:avLst/>
                    </a:prstGeom>
                    <a:noFill/>
                  </pic:spPr>
                </pic:pic>
              </a:graphicData>
            </a:graphic>
          </wp:anchor>
        </w:drawing>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maintain separate bank credit lines with financial institutions to meet working capital needs of our subsidiary operations. As of December 31, 2015, such uncommitted credit lines totaled $292.9, of which $248.0 was unused. Under our revolving credit agreement, total subsidiary borrowings cannot exceed $300.0 in the first, second and fourth quarters, and $600.0 in the third quarter of each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82A32"/>
        </w:rPr>
        <w:t>A summary of long-term debt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480" w:type="dxa"/>
            <w:vAlign w:val="bottom"/>
            <w:tcBorders>
              <w:bottom w:val="single" w:sz="8" w:color="auto"/>
            </w:tcBorders>
            <w:shd w:val="clear" w:color="auto" w:fill="E1F4FD"/>
          </w:tcPr>
          <w:p>
            <w:pPr>
              <w:spacing w:after="0"/>
              <w:rPr>
                <w:sz w:val="18"/>
                <w:szCs w:val="18"/>
                <w:color w:val="auto"/>
              </w:rPr>
            </w:pPr>
          </w:p>
        </w:tc>
        <w:tc>
          <w:tcPr>
            <w:tcW w:w="8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2014</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Euro-denominated notes:</w:t>
            </w:r>
          </w:p>
        </w:tc>
        <w:tc>
          <w:tcPr>
            <w:tcW w:w="480" w:type="dxa"/>
            <w:vAlign w:val="bottom"/>
            <w:shd w:val="clear" w:color="auto" w:fill="E1F4FD"/>
          </w:tcPr>
          <w:p>
            <w:pPr>
              <w:spacing w:after="0"/>
              <w:rPr>
                <w:sz w:val="21"/>
                <w:szCs w:val="21"/>
                <w:color w:val="auto"/>
              </w:rPr>
            </w:pPr>
          </w:p>
        </w:tc>
        <w:tc>
          <w:tcPr>
            <w:tcW w:w="880" w:type="dxa"/>
            <w:vAlign w:val="bottom"/>
            <w:shd w:val="clear" w:color="auto" w:fill="E1F4FD"/>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8660" w:type="dxa"/>
            <w:vAlign w:val="bottom"/>
          </w:tcPr>
          <w:p>
            <w:pPr>
              <w:ind w:left="220"/>
              <w:spacing w:after="0"/>
              <w:rPr>
                <w:sz w:val="20"/>
                <w:szCs w:val="20"/>
                <w:color w:val="auto"/>
              </w:rPr>
            </w:pPr>
            <w:r>
              <w:rPr>
                <w:rFonts w:ascii="Arial" w:cs="Arial" w:eastAsia="Arial" w:hAnsi="Arial"/>
                <w:sz w:val="16"/>
                <w:szCs w:val="16"/>
                <w:color w:val="auto"/>
              </w:rPr>
              <w:t>€400 due September 2022</w:t>
            </w:r>
          </w:p>
        </w:tc>
        <w:tc>
          <w:tcPr>
            <w:tcW w:w="480" w:type="dxa"/>
            <w:vAlign w:val="bottom"/>
            <w:shd w:val="clear" w:color="auto" w:fill="E1F4FD"/>
          </w:tcPr>
          <w:p>
            <w:pPr>
              <w:jc w:val="right"/>
              <w:ind w:right="279"/>
              <w:spacing w:after="0"/>
              <w:rPr>
                <w:sz w:val="20"/>
                <w:szCs w:val="20"/>
                <w:color w:val="auto"/>
              </w:rPr>
            </w:pPr>
            <w:r>
              <w:rPr>
                <w:rFonts w:ascii="Arial" w:cs="Arial" w:eastAsia="Arial" w:hAnsi="Arial"/>
                <w:sz w:val="16"/>
                <w:szCs w:val="16"/>
                <w:color w:val="4F8ABE"/>
              </w:rPr>
              <w:t>$</w:t>
            </w:r>
          </w:p>
        </w:tc>
        <w:tc>
          <w:tcPr>
            <w:tcW w:w="88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431.0</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43"/>
        </w:trPr>
        <w:tc>
          <w:tcPr>
            <w:tcW w:w="8660" w:type="dxa"/>
            <w:vAlign w:val="bottom"/>
          </w:tcPr>
          <w:p>
            <w:pPr>
              <w:ind w:left="220"/>
              <w:spacing w:after="0"/>
              <w:rPr>
                <w:sz w:val="20"/>
                <w:szCs w:val="20"/>
                <w:color w:val="auto"/>
              </w:rPr>
            </w:pPr>
            <w:r>
              <w:rPr>
                <w:rFonts w:ascii="Arial" w:cs="Arial" w:eastAsia="Arial" w:hAnsi="Arial"/>
                <w:sz w:val="16"/>
                <w:szCs w:val="16"/>
                <w:color w:val="auto"/>
              </w:rPr>
              <w:t>€350 due June 2018</w:t>
            </w:r>
          </w:p>
        </w:tc>
        <w:tc>
          <w:tcPr>
            <w:tcW w:w="48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379.2</w:t>
            </w:r>
          </w:p>
        </w:tc>
        <w:tc>
          <w:tcPr>
            <w:tcW w:w="5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422.1</w:t>
            </w:r>
          </w:p>
        </w:tc>
      </w:tr>
      <w:tr>
        <w:trPr>
          <w:trHeight w:val="256"/>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6.7</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w:t>
            </w:r>
          </w:p>
        </w:tc>
      </w:tr>
      <w:tr>
        <w:trPr>
          <w:trHeight w:val="264"/>
        </w:trPr>
        <w:tc>
          <w:tcPr>
            <w:tcW w:w="86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816.9</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424.5</w:t>
            </w:r>
          </w:p>
        </w:tc>
      </w:tr>
      <w:tr>
        <w:trPr>
          <w:trHeight w:val="237"/>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Less — current maturities</w:t>
            </w:r>
          </w:p>
        </w:tc>
        <w:tc>
          <w:tcPr>
            <w:tcW w:w="480" w:type="dxa"/>
            <w:vAlign w:val="bottom"/>
            <w:tcBorders>
              <w:bottom w:val="single" w:sz="8" w:color="auto"/>
            </w:tcBorders>
            <w:shd w:val="clear" w:color="auto" w:fill="E1F4FD"/>
          </w:tcPr>
          <w:p>
            <w:pPr>
              <w:spacing w:after="0"/>
              <w:rPr>
                <w:sz w:val="20"/>
                <w:szCs w:val="20"/>
                <w:color w:val="auto"/>
              </w:rPr>
            </w:pPr>
          </w:p>
        </w:tc>
        <w:tc>
          <w:tcPr>
            <w:tcW w:w="8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6.0</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w:t>
            </w:r>
          </w:p>
        </w:tc>
      </w:tr>
      <w:tr>
        <w:trPr>
          <w:trHeight w:val="237"/>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Long-term debt</w:t>
            </w:r>
          </w:p>
        </w:tc>
        <w:tc>
          <w:tcPr>
            <w:tcW w:w="480" w:type="dxa"/>
            <w:vAlign w:val="bottom"/>
            <w:tcBorders>
              <w:bottom w:val="single" w:sz="8" w:color="auto"/>
            </w:tcBorders>
            <w:shd w:val="clear" w:color="auto" w:fill="E1F4FD"/>
          </w:tcPr>
          <w:p>
            <w:pPr>
              <w:jc w:val="right"/>
              <w:ind w:right="279"/>
              <w:spacing w:after="0"/>
              <w:rPr>
                <w:sz w:val="20"/>
                <w:szCs w:val="20"/>
                <w:color w:val="auto"/>
              </w:rPr>
            </w:pPr>
            <w:r>
              <w:rPr>
                <w:rFonts w:ascii="Arial" w:cs="Arial" w:eastAsia="Arial" w:hAnsi="Arial"/>
                <w:sz w:val="16"/>
                <w:szCs w:val="16"/>
                <w:color w:val="4F8ABE"/>
              </w:rPr>
              <w:t>$</w:t>
            </w:r>
          </w:p>
        </w:tc>
        <w:tc>
          <w:tcPr>
            <w:tcW w:w="8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810.9</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422.6</w:t>
            </w:r>
          </w:p>
        </w:tc>
      </w:tr>
      <w:tr>
        <w:trPr>
          <w:trHeight w:val="122"/>
        </w:trPr>
        <w:tc>
          <w:tcPr>
            <w:tcW w:w="8660" w:type="dxa"/>
            <w:vAlign w:val="bottom"/>
          </w:tcPr>
          <w:p>
            <w:pPr>
              <w:spacing w:after="0"/>
              <w:rPr>
                <w:sz w:val="10"/>
                <w:szCs w:val="10"/>
                <w:color w:val="auto"/>
              </w:rPr>
            </w:pPr>
          </w:p>
        </w:tc>
        <w:tc>
          <w:tcPr>
            <w:tcW w:w="480" w:type="dxa"/>
            <w:vAlign w:val="bottom"/>
            <w:shd w:val="clear" w:color="auto" w:fill="2989B9"/>
          </w:tcPr>
          <w:p>
            <w:pPr>
              <w:spacing w:after="0"/>
              <w:rPr>
                <w:sz w:val="10"/>
                <w:szCs w:val="10"/>
                <w:color w:val="auto"/>
              </w:rPr>
            </w:pPr>
          </w:p>
        </w:tc>
        <w:tc>
          <w:tcPr>
            <w:tcW w:w="880" w:type="dxa"/>
            <w:vAlign w:val="bottom"/>
            <w:shd w:val="clear" w:color="auto" w:fill="2989B9"/>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2989B9"/>
        </w:rPr>
        <w:t>Euro Notes</w:t>
      </w:r>
    </w:p>
    <w:p>
      <w:pPr>
        <w:spacing w:after="0" w:line="19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282A32"/>
        </w:rPr>
        <w:t>On September 11, 2015, we offered and sold €400.0 aggregate principal amount of the Company's 1.875% notes due September 11, 2022 (the "€400.0 Notes"). The net proceeds from the €400.0 Notes of €397.4 will be used for general corporate purposes, which may include share repurchases and the acquisition of or investment in complementary businesses or other assets. The €400.0 Notes were issued at a price of 99.753% to yield an effective interest rate of 1.913%. Interest on the €400.0 Notes is payable in arrears on September 11 of each year.</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We also have €350.0 aggregate principal amount 4.50% notes due June 22, 2018 (the “€350.0 Notes”), which were issued at a price of 99.974% to yield an effective interest rate of 4.505%. Interest on the €350.0 Notes is payable in arrears on June 22 of each year. We may redeem the €350.0 Notes, in whole but not in part, at our option at any time for a redemption price determined in accordance with the term of the €350.0 Notes.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When the €400.0 Notes and €350.0 Notes mature, we plan to repay the amounts with available cash, borrowings under our $600.0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€400.0 Notes or €350.0 Notes.</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67 </w:t>
      </w:r>
      <w:r>
        <w:rPr>
          <w:rFonts w:ascii="Arial" w:cs="Arial" w:eastAsia="Arial" w:hAnsi="Arial"/>
          <w:sz w:val="11"/>
          <w:szCs w:val="11"/>
          <w:color w:val="auto"/>
        </w:rPr>
        <w:t>| ManpowerGroup</w:t>
      </w:r>
    </w:p>
    <w:p>
      <w:pPr>
        <w:sectPr>
          <w:pgSz w:w="11900" w:h="16838" w:orient="portrait"/>
          <w:cols w:equalWidth="0" w:num="1">
            <w:col w:w="11420"/>
          </w:cols>
          <w:pgMar w:left="240" w:top="843"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Both the €400.0 Notes and €350.0 Notes contain certain customary non-financial restrictive covenants and events of default and are unsecured senior obligations and rank equally with all of our existing and future senior unsecured debt and other liabilities. A portion of the €400.0 Notes and €350.0 Notes were designated as a hedge of our net investment in subsidiaries with a euro-functional currency as of December 31, 2015. Since our net investment in these subsidiaries exceeds the respective amount of the designated borrowings, translation gains or losses related to these borrowings are included as a component of accumulated other comprehensive loss (See Note 12 to the Consolidated Financial Statements for further information).</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Revolving Credit Agreement</w:t>
      </w:r>
    </w:p>
    <w:p>
      <w:pPr>
        <w:spacing w:after="0" w:line="19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282A32"/>
        </w:rPr>
        <w:t>On September 16, 2015, we amended and restated our Five Year Credit Agreement (the “Amended Agreement”) with a syndicate of commercial banks primarily to revise the termination date of the facility from October 15, 2018 to September 16, 2020. The remaining material terms and conditions of the Amended Agreement are substantially similar to the material terms and conditions of our Amended and Restated Five Year Credit Agreement dated October 15, 2013.</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Amended Agreement allows for borrowing of $600.0 in various currencies, and up to $150.0 may be used for the issuance of stand-by letters of credit. We had no borrowings under this facility as of both December 31, 2015 and 2014. Outstanding letters of credit issued under the Amended Agreement totaled $0.9 and $1.0 as of December 31, 2015 and 2014, respectively. Additional borrowings of $599.1 and $599.0 were available to us under the facility as of December 31, 2015 and 2014, respectively.</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282A32"/>
        </w:rPr>
        <w:t>Under the Amended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82A32"/>
        </w:rPr>
        <w:t>The Amended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Amended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989B9"/>
        </w:rPr>
        <w:t>Reclassification</w:t>
      </w:r>
    </w:p>
    <w:p>
      <w:pPr>
        <w:spacing w:after="0" w:line="19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282A32"/>
        </w:rPr>
        <w:t>In April 2015, the FASB issued new accounting guidance on debt issuance costs. The new guidance requires debt issuance costs related to a recognized debt liability to be presented in the balance sheet as a direct deduction from the associated liability, consistent with debt discounts. It does not affect the recognition and measurement of debt issuance costs. We elected to early adopt this guidance in the third quarter of 2015 on a retrospective basis, which required the restatement of prior periods as we reclassified debt issuance costs associated with our long-term debt from other assets to long-term debt in our Consolidated Balance Sheets. The adoption was not material to the Consolidated Financial Statements. Our revolving credit agreement is not in scope of the new accounting guidance and, therefore, the related debt issuance costs will continue to be presented in other assets.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68</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2989B9"/>
        </w:rPr>
        <w:t>Debt Maturities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282A32"/>
        </w:rPr>
        <w:t>The maturities of long-term debt payable within each of the four years subsequent to December 31, 2016 are as follows: 2017 — $0.4, 2018 — $379.3, 2019 — $0.1, 2020 — $0.1.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color w:val="2989B9"/>
        </w:rPr>
        <w:t>Note 08. Retirement and Deferred Compensation Plans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For all of our United States defined benefit and retiree health care plans, we adopted the Society of Actuaries’ RP-2006 mortality table with MP-2015 projection scale in determining the plans’ benefit obligations as of December 31, 2015.</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For two of our United States defined benefit plans, we changed the amortization period for gains and losses as of December 31, 2015. We elected to use the average remaining life expectancy instead of the average remaining service period for recognizing the gain/loss amortization component of net periodic benefit cost, as almost all of the plans' participants are now inactive. The impact of this change was not material to the Consolidated Financial Statements. This change was accounted for prospectively as a change in accounting estimate.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Beginning in 2016, we will change the method we use to estimate the service and interest cost components of net periodic benefit cost for all of our United States defined benefit plans. Historically, the service and interest cost components have been estimated utilizing a single weighted-average discount rate derived from the yield curve used to measure the benefit obligation at the beginning of the year. Beginning in 2016, we will utilize a full yield curve approach to estimate these components by applying specific spot rates along the yield curve used in the determination of the benefit obligation to the relevant projected cash flows. We will make this change to improve the correlation between projected benefit cash flows and the corresponding yield curve spot rates and to provide a more precise measurement of service and interest costs. This change will result in a decrease in the 2016 service costs and interest components with an equal offset to actuarial gains (losses) with no net impact on the total benefit obligation. This change is accounted for prospectively as a change in accounting estimate.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2989B9"/>
        </w:rPr>
        <w:t>Defined Benefit Plans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4"/>
          </w:tcPr>
          <w:p>
            <w:pPr>
              <w:ind w:left="660"/>
              <w:spacing w:after="0"/>
              <w:rPr>
                <w:sz w:val="20"/>
                <w:szCs w:val="20"/>
                <w:color w:val="auto"/>
              </w:rPr>
            </w:pPr>
            <w:r>
              <w:rPr>
                <w:rFonts w:ascii="Arial" w:cs="Arial" w:eastAsia="Arial" w:hAnsi="Arial"/>
                <w:sz w:val="14"/>
                <w:szCs w:val="14"/>
                <w:color w:val="auto"/>
              </w:rPr>
              <w:t>United States Plans</w:t>
            </w:r>
          </w:p>
        </w:tc>
        <w:tc>
          <w:tcPr>
            <w:tcW w:w="440" w:type="dxa"/>
            <w:vAlign w:val="bottom"/>
          </w:tcPr>
          <w:p>
            <w:pPr>
              <w:spacing w:after="0"/>
              <w:rPr>
                <w:sz w:val="15"/>
                <w:szCs w:val="15"/>
                <w:color w:val="auto"/>
              </w:rPr>
            </w:pPr>
          </w:p>
        </w:tc>
        <w:tc>
          <w:tcPr>
            <w:tcW w:w="2080" w:type="dxa"/>
            <w:vAlign w:val="bottom"/>
            <w:gridSpan w:val="3"/>
          </w:tcPr>
          <w:p>
            <w:pPr>
              <w:jc w:val="right"/>
              <w:ind w:right="22"/>
              <w:spacing w:after="0"/>
              <w:rPr>
                <w:sz w:val="20"/>
                <w:szCs w:val="20"/>
                <w:color w:val="auto"/>
              </w:rPr>
            </w:pPr>
            <w:r>
              <w:rPr>
                <w:rFonts w:ascii="Arial" w:cs="Arial" w:eastAsia="Arial" w:hAnsi="Arial"/>
                <w:sz w:val="14"/>
                <w:szCs w:val="14"/>
                <w:color w:val="auto"/>
              </w:rPr>
              <w:t>Non-United States Plans</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80" w:type="dxa"/>
            <w:vAlign w:val="bottom"/>
            <w:tcBorders>
              <w:top w:val="single" w:sz="8" w:color="auto"/>
              <w:bottom w:val="single" w:sz="8" w:color="auto"/>
            </w:tcBorders>
            <w:shd w:val="clear" w:color="auto" w:fill="E1F4FD"/>
          </w:tcPr>
          <w:p>
            <w:pPr>
              <w:spacing w:after="0"/>
              <w:rPr>
                <w:sz w:val="21"/>
                <w:szCs w:val="21"/>
                <w:color w:val="auto"/>
              </w:rPr>
            </w:pPr>
          </w:p>
        </w:tc>
        <w:tc>
          <w:tcPr>
            <w:tcW w:w="780" w:type="dxa"/>
            <w:vAlign w:val="bottom"/>
            <w:tcBorders>
              <w:top w:val="single" w:sz="8" w:color="auto"/>
              <w:bottom w:val="single" w:sz="8" w:color="auto"/>
            </w:tcBorders>
            <w:shd w:val="clear" w:color="auto" w:fill="E1F4FD"/>
          </w:tcPr>
          <w:p>
            <w:pPr>
              <w:jc w:val="right"/>
              <w:ind w:right="21"/>
              <w:spacing w:after="0"/>
              <w:rPr>
                <w:sz w:val="20"/>
                <w:szCs w:val="20"/>
                <w:color w:val="auto"/>
              </w:rPr>
            </w:pPr>
            <w:r>
              <w:rPr>
                <w:rFonts w:ascii="Arial" w:cs="Arial" w:eastAsia="Arial" w:hAnsi="Arial"/>
                <w:sz w:val="14"/>
                <w:szCs w:val="14"/>
                <w:color w:val="4F8ABE"/>
              </w:rPr>
              <w:t>2015</w:t>
            </w:r>
          </w:p>
        </w:tc>
        <w:tc>
          <w:tcPr>
            <w:tcW w:w="4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shd w:val="clear" w:color="auto" w:fill="E1F4FD"/>
          </w:tcPr>
          <w:p>
            <w:pPr>
              <w:spacing w:after="0"/>
              <w:rPr>
                <w:sz w:val="21"/>
                <w:szCs w:val="21"/>
                <w:color w:val="auto"/>
              </w:rPr>
            </w:pPr>
          </w:p>
        </w:tc>
        <w:tc>
          <w:tcPr>
            <w:tcW w:w="820" w:type="dxa"/>
            <w:vAlign w:val="bottom"/>
            <w:tcBorders>
              <w:top w:val="single" w:sz="8" w:color="auto"/>
              <w:bottom w:val="single" w:sz="8" w:color="auto"/>
            </w:tcBorders>
            <w:shd w:val="clear" w:color="auto" w:fill="E1F4FD"/>
          </w:tcPr>
          <w:p>
            <w:pPr>
              <w:jc w:val="right"/>
              <w:ind w:right="21"/>
              <w:spacing w:after="0"/>
              <w:rPr>
                <w:sz w:val="20"/>
                <w:szCs w:val="20"/>
                <w:color w:val="auto"/>
              </w:rPr>
            </w:pPr>
            <w:r>
              <w:rPr>
                <w:rFonts w:ascii="Arial" w:cs="Arial" w:eastAsia="Arial" w:hAnsi="Arial"/>
                <w:sz w:val="14"/>
                <w:szCs w:val="14"/>
                <w:color w:val="4F8ABE"/>
              </w:rPr>
              <w:t>2015</w:t>
            </w: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color w:val="auto"/>
              </w:rPr>
              <w:t>2014</w:t>
            </w:r>
          </w:p>
        </w:tc>
      </w:tr>
      <w:tr>
        <w:trPr>
          <w:trHeight w:val="466"/>
        </w:trPr>
        <w:tc>
          <w:tcPr>
            <w:tcW w:w="6280" w:type="dxa"/>
            <w:vAlign w:val="bottom"/>
          </w:tcPr>
          <w:p>
            <w:pPr>
              <w:ind w:left="40"/>
              <w:spacing w:after="0"/>
              <w:rPr>
                <w:sz w:val="20"/>
                <w:szCs w:val="20"/>
                <w:color w:val="auto"/>
              </w:rPr>
            </w:pPr>
            <w:r>
              <w:rPr>
                <w:rFonts w:ascii="Arial" w:cs="Arial" w:eastAsia="Arial" w:hAnsi="Arial"/>
                <w:sz w:val="16"/>
                <w:szCs w:val="16"/>
                <w:color w:val="4F8ABE"/>
              </w:rPr>
              <w:t>Change in Benefit Obligation</w:t>
            </w:r>
          </w:p>
        </w:tc>
        <w:tc>
          <w:tcPr>
            <w:tcW w:w="480" w:type="dxa"/>
            <w:vAlign w:val="bottom"/>
            <w:shd w:val="clear" w:color="auto" w:fill="E1F4FD"/>
          </w:tcPr>
          <w:p>
            <w:pPr>
              <w:spacing w:after="0"/>
              <w:rPr>
                <w:sz w:val="24"/>
                <w:szCs w:val="24"/>
                <w:color w:val="auto"/>
              </w:rPr>
            </w:pPr>
          </w:p>
        </w:tc>
        <w:tc>
          <w:tcPr>
            <w:tcW w:w="78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shd w:val="clear" w:color="auto" w:fill="E1F4FD"/>
          </w:tcPr>
          <w:p>
            <w:pPr>
              <w:spacing w:after="0"/>
              <w:rPr>
                <w:sz w:val="24"/>
                <w:szCs w:val="24"/>
                <w:color w:val="auto"/>
              </w:rPr>
            </w:pPr>
          </w:p>
        </w:tc>
        <w:tc>
          <w:tcPr>
            <w:tcW w:w="820" w:type="dxa"/>
            <w:vAlign w:val="bottom"/>
            <w:shd w:val="clear" w:color="auto" w:fill="E1F4FD"/>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0"/>
        </w:trPr>
        <w:tc>
          <w:tcPr>
            <w:tcW w:w="6280" w:type="dxa"/>
            <w:vAlign w:val="bottom"/>
          </w:tcPr>
          <w:p>
            <w:pPr>
              <w:ind w:left="40"/>
              <w:spacing w:after="0"/>
              <w:rPr>
                <w:sz w:val="20"/>
                <w:szCs w:val="20"/>
                <w:color w:val="auto"/>
              </w:rPr>
            </w:pPr>
            <w:r>
              <w:rPr>
                <w:rFonts w:ascii="Arial" w:cs="Arial" w:eastAsia="Arial" w:hAnsi="Arial"/>
                <w:sz w:val="16"/>
                <w:szCs w:val="16"/>
                <w:color w:val="auto"/>
              </w:rPr>
              <w:t>Benefit obligation, beginning of year</w:t>
            </w:r>
          </w:p>
        </w:tc>
        <w:tc>
          <w:tcPr>
            <w:tcW w:w="480" w:type="dxa"/>
            <w:vAlign w:val="bottom"/>
            <w:shd w:val="clear" w:color="auto" w:fill="E1F4FD"/>
          </w:tcPr>
          <w:p>
            <w:pPr>
              <w:jc w:val="right"/>
              <w:ind w:right="279"/>
              <w:spacing w:after="0"/>
              <w:rPr>
                <w:sz w:val="20"/>
                <w:szCs w:val="20"/>
                <w:color w:val="auto"/>
              </w:rPr>
            </w:pPr>
            <w:r>
              <w:rPr>
                <w:rFonts w:ascii="Arial" w:cs="Arial" w:eastAsia="Arial" w:hAnsi="Arial"/>
                <w:sz w:val="16"/>
                <w:szCs w:val="16"/>
                <w:color w:val="4F8ABE"/>
              </w:rPr>
              <w:t>$</w:t>
            </w:r>
          </w:p>
        </w:tc>
        <w:tc>
          <w:tcPr>
            <w:tcW w:w="78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56.6</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4"/>
                <w:szCs w:val="24"/>
                <w:color w:val="auto"/>
              </w:rPr>
            </w:pPr>
          </w:p>
        </w:tc>
        <w:tc>
          <w:tcPr>
            <w:tcW w:w="440" w:type="dxa"/>
            <w:vAlign w:val="bottom"/>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385.4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331.6</w:t>
            </w:r>
          </w:p>
        </w:tc>
      </w:tr>
      <w:tr>
        <w:trPr>
          <w:trHeight w:val="251"/>
        </w:trPr>
        <w:tc>
          <w:tcPr>
            <w:tcW w:w="6280" w:type="dxa"/>
            <w:vAlign w:val="bottom"/>
          </w:tcPr>
          <w:p>
            <w:pPr>
              <w:ind w:left="300"/>
              <w:spacing w:after="0"/>
              <w:rPr>
                <w:sz w:val="20"/>
                <w:szCs w:val="20"/>
                <w:color w:val="auto"/>
              </w:rPr>
            </w:pPr>
            <w:r>
              <w:rPr>
                <w:rFonts w:ascii="Arial" w:cs="Arial" w:eastAsia="Arial" w:hAnsi="Arial"/>
                <w:sz w:val="16"/>
                <w:szCs w:val="16"/>
                <w:color w:val="auto"/>
              </w:rPr>
              <w:t>Service cost</w:t>
            </w:r>
          </w:p>
        </w:tc>
        <w:tc>
          <w:tcPr>
            <w:tcW w:w="480" w:type="dxa"/>
            <w:vAlign w:val="bottom"/>
          </w:tcPr>
          <w:p>
            <w:pPr>
              <w:spacing w:after="0"/>
              <w:rPr>
                <w:sz w:val="21"/>
                <w:szCs w:val="21"/>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4F8ABE"/>
              </w:rPr>
              <w:t>—</w:t>
            </w:r>
          </w:p>
        </w:tc>
        <w:tc>
          <w:tcPr>
            <w:tcW w:w="4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4F8ABE"/>
              </w:rPr>
              <w:t>7.2</w:t>
            </w:r>
          </w:p>
        </w:tc>
        <w:tc>
          <w:tcPr>
            <w:tcW w:w="120" w:type="dxa"/>
            <w:vAlign w:val="bottom"/>
          </w:tcPr>
          <w:p>
            <w:pPr>
              <w:spacing w:after="0"/>
              <w:rPr>
                <w:sz w:val="21"/>
                <w:szCs w:val="21"/>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8.3</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4F8ABE"/>
              </w:rPr>
              <w:t>2.1</w:t>
            </w:r>
          </w:p>
        </w:tc>
        <w:tc>
          <w:tcPr>
            <w:tcW w:w="4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4F8ABE"/>
              </w:rPr>
              <w:t>10.6</w:t>
            </w:r>
          </w:p>
        </w:tc>
        <w:tc>
          <w:tcPr>
            <w:tcW w:w="1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13.4</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Transfers</w:t>
            </w:r>
          </w:p>
        </w:tc>
        <w:tc>
          <w:tcPr>
            <w:tcW w:w="48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4F8ABE"/>
              </w:rPr>
              <w:t>—</w:t>
            </w:r>
          </w:p>
        </w:tc>
        <w:tc>
          <w:tcPr>
            <w:tcW w:w="4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4F8ABE"/>
              </w:rPr>
              <w:t>5.2</w:t>
            </w:r>
          </w:p>
        </w:tc>
        <w:tc>
          <w:tcPr>
            <w:tcW w:w="1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Actuarial (gain) loss</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4F8ABE"/>
              </w:rPr>
              <w:t>(1.7)</w:t>
            </w:r>
          </w:p>
        </w:tc>
        <w:tc>
          <w:tcPr>
            <w:tcW w:w="4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4F8ABE"/>
              </w:rPr>
              <w:t>(43.2)</w:t>
            </w:r>
          </w:p>
        </w:tc>
        <w:tc>
          <w:tcPr>
            <w:tcW w:w="1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77.5</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Plan participant contributions</w:t>
            </w:r>
          </w:p>
        </w:tc>
        <w:tc>
          <w:tcPr>
            <w:tcW w:w="48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4F8ABE"/>
              </w:rPr>
              <w:t>—</w:t>
            </w:r>
          </w:p>
        </w:tc>
        <w:tc>
          <w:tcPr>
            <w:tcW w:w="4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4F8ABE"/>
              </w:rPr>
              <w:t>0.2</w:t>
            </w:r>
          </w:p>
        </w:tc>
        <w:tc>
          <w:tcPr>
            <w:tcW w:w="1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0.3</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Benefits paid</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4F8ABE"/>
              </w:rPr>
              <w:t>(3.9)</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4F8ABE"/>
              </w:rPr>
              <w:t>(8.1)</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83"/>
        </w:trPr>
        <w:tc>
          <w:tcPr>
            <w:tcW w:w="62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Currency exchange rate changes</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4F8ABE"/>
              </w:rPr>
              <w:t>—</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(31.2)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439"/>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Benefit obligation, end of year</w:t>
            </w:r>
          </w:p>
        </w:tc>
        <w:tc>
          <w:tcPr>
            <w:tcW w:w="480" w:type="dxa"/>
            <w:vAlign w:val="bottom"/>
            <w:tcBorders>
              <w:bottom w:val="single" w:sz="8" w:color="auto"/>
            </w:tcBorders>
            <w:shd w:val="clear" w:color="auto" w:fill="E1F4FD"/>
          </w:tcPr>
          <w:p>
            <w:pPr>
              <w:jc w:val="right"/>
              <w:ind w:right="279"/>
              <w:spacing w:after="0"/>
              <w:rPr>
                <w:sz w:val="20"/>
                <w:szCs w:val="20"/>
                <w:color w:val="auto"/>
              </w:rPr>
            </w:pPr>
            <w:r>
              <w:rPr>
                <w:rFonts w:ascii="Arial" w:cs="Arial" w:eastAsia="Arial" w:hAnsi="Arial"/>
                <w:sz w:val="16"/>
                <w:szCs w:val="16"/>
                <w:color w:val="4F8ABE"/>
              </w:rPr>
              <w:t>$</w:t>
            </w:r>
          </w:p>
        </w:tc>
        <w:tc>
          <w:tcPr>
            <w:tcW w:w="78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53.1</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326.1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385.4</w:t>
            </w:r>
          </w:p>
        </w:tc>
      </w:tr>
      <w:tr>
        <w:trPr>
          <w:trHeight w:val="642"/>
        </w:trPr>
        <w:tc>
          <w:tcPr>
            <w:tcW w:w="6280" w:type="dxa"/>
            <w:vAlign w:val="bottom"/>
          </w:tcPr>
          <w:p>
            <w:pPr>
              <w:ind w:left="40"/>
              <w:spacing w:after="0"/>
              <w:rPr>
                <w:sz w:val="20"/>
                <w:szCs w:val="20"/>
                <w:color w:val="auto"/>
              </w:rPr>
            </w:pPr>
            <w:r>
              <w:rPr>
                <w:rFonts w:ascii="Arial" w:cs="Arial" w:eastAsia="Arial" w:hAnsi="Arial"/>
                <w:sz w:val="12"/>
                <w:szCs w:val="12"/>
                <w:color w:val="auto"/>
              </w:rPr>
              <w:t>Notes to Consolidated Financial Statements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w w:val="97"/>
              </w:rPr>
              <w:t xml:space="preserve">69 </w:t>
            </w:r>
            <w:r>
              <w:rPr>
                <w:rFonts w:ascii="Arial" w:cs="Arial" w:eastAsia="Arial" w:hAnsi="Arial"/>
                <w:sz w:val="12"/>
                <w:szCs w:val="12"/>
                <w:color w:val="auto"/>
                <w:w w:val="97"/>
              </w:rPr>
              <w:t>| ManpowerGroup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-2078990</wp:posOffset>
            </wp:positionV>
            <wp:extent cx="797560" cy="1372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7560" cy="137223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-2078990</wp:posOffset>
            </wp:positionV>
            <wp:extent cx="797560" cy="1372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7560" cy="137223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gridSpan w:val="4"/>
          </w:tcPr>
          <w:p>
            <w:pPr>
              <w:ind w:left="680"/>
              <w:spacing w:after="0"/>
              <w:rPr>
                <w:sz w:val="20"/>
                <w:szCs w:val="20"/>
                <w:color w:val="auto"/>
              </w:rPr>
            </w:pPr>
            <w:r>
              <w:rPr>
                <w:rFonts w:ascii="Arial" w:cs="Arial" w:eastAsia="Arial" w:hAnsi="Arial"/>
                <w:sz w:val="14"/>
                <w:szCs w:val="14"/>
                <w:color w:val="auto"/>
              </w:rPr>
              <w:t>United States Plans</w:t>
            </w:r>
          </w:p>
        </w:tc>
        <w:tc>
          <w:tcPr>
            <w:tcW w:w="440" w:type="dxa"/>
            <w:vAlign w:val="bottom"/>
          </w:tcPr>
          <w:p>
            <w:pPr>
              <w:spacing w:after="0"/>
              <w:rPr>
                <w:sz w:val="15"/>
                <w:szCs w:val="15"/>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4"/>
                <w:szCs w:val="14"/>
                <w:color w:val="auto"/>
              </w:rPr>
              <w:t>Non-United States Plans</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60" w:type="dxa"/>
            <w:vAlign w:val="bottom"/>
            <w:tcBorders>
              <w:top w:val="single" w:sz="8" w:color="auto"/>
              <w:bottom w:val="single" w:sz="8" w:color="auto"/>
            </w:tcBorders>
            <w:shd w:val="clear" w:color="auto" w:fill="E1F4FD"/>
          </w:tcPr>
          <w:p>
            <w:pPr>
              <w:spacing w:after="0"/>
              <w:rPr>
                <w:sz w:val="21"/>
                <w:szCs w:val="21"/>
                <w:color w:val="auto"/>
              </w:rPr>
            </w:pPr>
          </w:p>
        </w:tc>
        <w:tc>
          <w:tcPr>
            <w:tcW w:w="800" w:type="dxa"/>
            <w:vAlign w:val="bottom"/>
            <w:tcBorders>
              <w:top w:val="single" w:sz="8" w:color="auto"/>
              <w:bottom w:val="single" w:sz="8" w:color="auto"/>
            </w:tcBorders>
            <w:shd w:val="clear" w:color="auto" w:fill="E1F4FD"/>
          </w:tcPr>
          <w:p>
            <w:pPr>
              <w:jc w:val="right"/>
              <w:ind w:right="21"/>
              <w:spacing w:after="0"/>
              <w:rPr>
                <w:sz w:val="20"/>
                <w:szCs w:val="20"/>
                <w:color w:val="auto"/>
              </w:rPr>
            </w:pPr>
            <w:r>
              <w:rPr>
                <w:rFonts w:ascii="Arial" w:cs="Arial" w:eastAsia="Arial" w:hAnsi="Arial"/>
                <w:sz w:val="14"/>
                <w:szCs w:val="14"/>
                <w:color w:val="4F8ABE"/>
              </w:rPr>
              <w:t>2015</w:t>
            </w:r>
          </w:p>
        </w:tc>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shd w:val="clear" w:color="auto" w:fill="E1F4FD"/>
          </w:tcPr>
          <w:p>
            <w:pPr>
              <w:spacing w:after="0"/>
              <w:rPr>
                <w:sz w:val="21"/>
                <w:szCs w:val="21"/>
                <w:color w:val="auto"/>
              </w:rPr>
            </w:pPr>
          </w:p>
        </w:tc>
        <w:tc>
          <w:tcPr>
            <w:tcW w:w="820" w:type="dxa"/>
            <w:vAlign w:val="bottom"/>
            <w:tcBorders>
              <w:top w:val="single" w:sz="8" w:color="auto"/>
              <w:bottom w:val="single" w:sz="8" w:color="auto"/>
            </w:tcBorders>
            <w:shd w:val="clear" w:color="auto" w:fill="E1F4FD"/>
          </w:tcPr>
          <w:p>
            <w:pPr>
              <w:jc w:val="right"/>
              <w:ind w:right="21"/>
              <w:spacing w:after="0"/>
              <w:rPr>
                <w:sz w:val="20"/>
                <w:szCs w:val="20"/>
                <w:color w:val="auto"/>
              </w:rPr>
            </w:pPr>
            <w:r>
              <w:rPr>
                <w:rFonts w:ascii="Arial" w:cs="Arial" w:eastAsia="Arial" w:hAnsi="Arial"/>
                <w:sz w:val="14"/>
                <w:szCs w:val="14"/>
                <w:color w:val="4F8ABE"/>
              </w:rPr>
              <w:t>2015</w:t>
            </w: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r>
      <w:tr>
        <w:trPr>
          <w:trHeight w:val="466"/>
        </w:trPr>
        <w:tc>
          <w:tcPr>
            <w:tcW w:w="6280" w:type="dxa"/>
            <w:vAlign w:val="bottom"/>
          </w:tcPr>
          <w:p>
            <w:pPr>
              <w:ind w:left="40"/>
              <w:spacing w:after="0"/>
              <w:rPr>
                <w:sz w:val="20"/>
                <w:szCs w:val="20"/>
                <w:color w:val="auto"/>
              </w:rPr>
            </w:pPr>
            <w:r>
              <w:rPr>
                <w:rFonts w:ascii="Arial" w:cs="Arial" w:eastAsia="Arial" w:hAnsi="Arial"/>
                <w:sz w:val="16"/>
                <w:szCs w:val="16"/>
                <w:color w:val="4F8ABE"/>
              </w:rPr>
              <w:t>Change in Plan Assets</w:t>
            </w:r>
          </w:p>
        </w:tc>
        <w:tc>
          <w:tcPr>
            <w:tcW w:w="460" w:type="dxa"/>
            <w:vAlign w:val="bottom"/>
            <w:shd w:val="clear" w:color="auto" w:fill="E1F4FD"/>
          </w:tcPr>
          <w:p>
            <w:pPr>
              <w:spacing w:after="0"/>
              <w:rPr>
                <w:sz w:val="24"/>
                <w:szCs w:val="24"/>
                <w:color w:val="auto"/>
              </w:rPr>
            </w:pPr>
          </w:p>
        </w:tc>
        <w:tc>
          <w:tcPr>
            <w:tcW w:w="800" w:type="dxa"/>
            <w:vAlign w:val="bottom"/>
            <w:shd w:val="clear" w:color="auto" w:fill="E1F4FD"/>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shd w:val="clear" w:color="auto" w:fill="E1F4FD"/>
          </w:tcPr>
          <w:p>
            <w:pPr>
              <w:spacing w:after="0"/>
              <w:rPr>
                <w:sz w:val="24"/>
                <w:szCs w:val="24"/>
                <w:color w:val="auto"/>
              </w:rPr>
            </w:pPr>
          </w:p>
        </w:tc>
        <w:tc>
          <w:tcPr>
            <w:tcW w:w="820" w:type="dxa"/>
            <w:vAlign w:val="bottom"/>
            <w:shd w:val="clear" w:color="auto" w:fill="E1F4FD"/>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0"/>
        </w:trPr>
        <w:tc>
          <w:tcPr>
            <w:tcW w:w="6280" w:type="dxa"/>
            <w:vAlign w:val="bottom"/>
          </w:tcPr>
          <w:p>
            <w:pPr>
              <w:ind w:left="40"/>
              <w:spacing w:after="0"/>
              <w:rPr>
                <w:sz w:val="20"/>
                <w:szCs w:val="20"/>
                <w:color w:val="auto"/>
              </w:rPr>
            </w:pPr>
            <w:r>
              <w:rPr>
                <w:rFonts w:ascii="Arial" w:cs="Arial" w:eastAsia="Arial" w:hAnsi="Arial"/>
                <w:sz w:val="16"/>
                <w:szCs w:val="16"/>
                <w:color w:val="auto"/>
              </w:rPr>
              <w:t>Fair value of plan assets, beginning of year</w:t>
            </w:r>
          </w:p>
        </w:tc>
        <w:tc>
          <w:tcPr>
            <w:tcW w:w="460" w:type="dxa"/>
            <w:vAlign w:val="bottom"/>
            <w:shd w:val="clear" w:color="auto" w:fill="E1F4FD"/>
          </w:tcPr>
          <w:p>
            <w:pPr>
              <w:jc w:val="right"/>
              <w:ind w:right="259"/>
              <w:spacing w:after="0"/>
              <w:rPr>
                <w:sz w:val="20"/>
                <w:szCs w:val="20"/>
                <w:color w:val="auto"/>
              </w:rPr>
            </w:pPr>
            <w:r>
              <w:rPr>
                <w:rFonts w:ascii="Arial" w:cs="Arial" w:eastAsia="Arial" w:hAnsi="Arial"/>
                <w:sz w:val="16"/>
                <w:szCs w:val="16"/>
                <w:color w:val="4F8ABE"/>
              </w:rPr>
              <w:t>$</w:t>
            </w:r>
          </w:p>
        </w:tc>
        <w:tc>
          <w:tcPr>
            <w:tcW w:w="80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40.6</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4"/>
                <w:szCs w:val="24"/>
                <w:color w:val="auto"/>
              </w:rPr>
            </w:pPr>
          </w:p>
        </w:tc>
        <w:tc>
          <w:tcPr>
            <w:tcW w:w="440" w:type="dxa"/>
            <w:vAlign w:val="bottom"/>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349.1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305.8</w:t>
            </w:r>
          </w:p>
        </w:tc>
      </w:tr>
      <w:tr>
        <w:trPr>
          <w:trHeight w:val="251"/>
        </w:trPr>
        <w:tc>
          <w:tcPr>
            <w:tcW w:w="6280" w:type="dxa"/>
            <w:vAlign w:val="bottom"/>
          </w:tcPr>
          <w:p>
            <w:pPr>
              <w:ind w:left="300"/>
              <w:spacing w:after="0"/>
              <w:rPr>
                <w:sz w:val="20"/>
                <w:szCs w:val="20"/>
                <w:color w:val="auto"/>
              </w:rPr>
            </w:pPr>
            <w:r>
              <w:rPr>
                <w:rFonts w:ascii="Arial" w:cs="Arial" w:eastAsia="Arial" w:hAnsi="Arial"/>
                <w:sz w:val="16"/>
                <w:szCs w:val="16"/>
                <w:color w:val="auto"/>
              </w:rPr>
              <w:t>Actual return on plan assets</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4F8ABE"/>
              </w:rPr>
              <w:t>(1.8)</w:t>
            </w:r>
          </w:p>
        </w:tc>
        <w:tc>
          <w:tcPr>
            <w:tcW w:w="46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4F8ABE"/>
              </w:rPr>
              <w:t>(8.3)</w:t>
            </w:r>
          </w:p>
        </w:tc>
        <w:tc>
          <w:tcPr>
            <w:tcW w:w="44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71.6</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Plan participant contributions</w:t>
            </w:r>
          </w:p>
        </w:tc>
        <w:tc>
          <w:tcPr>
            <w:tcW w:w="46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4F8ABE"/>
              </w:rPr>
              <w:t>—</w:t>
            </w:r>
          </w:p>
        </w:tc>
        <w:tc>
          <w:tcPr>
            <w:tcW w:w="4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4F8ABE"/>
              </w:rPr>
              <w:t>0.2</w:t>
            </w:r>
          </w:p>
        </w:tc>
        <w:tc>
          <w:tcPr>
            <w:tcW w:w="44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0.3</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Company contributions</w:t>
            </w:r>
          </w:p>
        </w:tc>
        <w:tc>
          <w:tcPr>
            <w:tcW w:w="46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4F8ABE"/>
              </w:rPr>
              <w:t>2.3</w:t>
            </w:r>
          </w:p>
        </w:tc>
        <w:tc>
          <w:tcPr>
            <w:tcW w:w="46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4F8ABE"/>
              </w:rPr>
              <w:t>8.5</w:t>
            </w:r>
          </w:p>
        </w:tc>
        <w:tc>
          <w:tcPr>
            <w:tcW w:w="44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11.8</w:t>
            </w:r>
          </w:p>
        </w:tc>
      </w:tr>
      <w:tr>
        <w:trPr>
          <w:trHeight w:val="270"/>
        </w:trPr>
        <w:tc>
          <w:tcPr>
            <w:tcW w:w="6280" w:type="dxa"/>
            <w:vAlign w:val="bottom"/>
          </w:tcPr>
          <w:p>
            <w:pPr>
              <w:ind w:left="300"/>
              <w:spacing w:after="0"/>
              <w:rPr>
                <w:sz w:val="20"/>
                <w:szCs w:val="20"/>
                <w:color w:val="auto"/>
              </w:rPr>
            </w:pPr>
            <w:r>
              <w:rPr>
                <w:rFonts w:ascii="Arial" w:cs="Arial" w:eastAsia="Arial" w:hAnsi="Arial"/>
                <w:sz w:val="16"/>
                <w:szCs w:val="16"/>
                <w:color w:val="auto"/>
              </w:rPr>
              <w:t>Benefits paid</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4F8ABE"/>
              </w:rPr>
              <w:t>(3.9)</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4F8ABE"/>
              </w:rPr>
              <w:t>(8.1)</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83"/>
        </w:trPr>
        <w:tc>
          <w:tcPr>
            <w:tcW w:w="62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Currency exchange rate changes</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4F8ABE"/>
              </w:rPr>
              <w:t>—</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(26.7)</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r>
      <w:tr>
        <w:trPr>
          <w:trHeight w:val="439"/>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Fair value of plan assets, end of year</w:t>
            </w:r>
          </w:p>
        </w:tc>
        <w:tc>
          <w:tcPr>
            <w:tcW w:w="460" w:type="dxa"/>
            <w:vAlign w:val="bottom"/>
            <w:tcBorders>
              <w:bottom w:val="single" w:sz="8" w:color="auto"/>
            </w:tcBorders>
            <w:shd w:val="clear" w:color="auto" w:fill="E1F4FD"/>
          </w:tcPr>
          <w:p>
            <w:pPr>
              <w:jc w:val="right"/>
              <w:ind w:right="259"/>
              <w:spacing w:after="0"/>
              <w:rPr>
                <w:sz w:val="20"/>
                <w:szCs w:val="20"/>
                <w:color w:val="auto"/>
              </w:rPr>
            </w:pPr>
            <w:r>
              <w:rPr>
                <w:rFonts w:ascii="Arial" w:cs="Arial" w:eastAsia="Arial" w:hAnsi="Arial"/>
                <w:sz w:val="16"/>
                <w:szCs w:val="16"/>
                <w:color w:val="4F8ABE"/>
              </w:rPr>
              <w:t>$</w:t>
            </w:r>
          </w:p>
        </w:tc>
        <w:tc>
          <w:tcPr>
            <w:tcW w:w="80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37.2</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314.7</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349.1</w:t>
            </w:r>
          </w:p>
        </w:tc>
      </w:tr>
      <w:tr>
        <w:trPr>
          <w:trHeight w:val="467"/>
        </w:trPr>
        <w:tc>
          <w:tcPr>
            <w:tcW w:w="6280" w:type="dxa"/>
            <w:vAlign w:val="bottom"/>
          </w:tcPr>
          <w:p>
            <w:pPr>
              <w:ind w:left="40"/>
              <w:spacing w:after="0"/>
              <w:rPr>
                <w:sz w:val="20"/>
                <w:szCs w:val="20"/>
                <w:color w:val="auto"/>
              </w:rPr>
            </w:pPr>
            <w:r>
              <w:rPr>
                <w:rFonts w:ascii="Arial" w:cs="Arial" w:eastAsia="Arial" w:hAnsi="Arial"/>
                <w:sz w:val="16"/>
                <w:szCs w:val="16"/>
                <w:color w:val="4F8ABE"/>
              </w:rPr>
              <w:t>Funded Status at End of Year</w:t>
            </w:r>
          </w:p>
        </w:tc>
        <w:tc>
          <w:tcPr>
            <w:tcW w:w="460" w:type="dxa"/>
            <w:vAlign w:val="bottom"/>
            <w:shd w:val="clear" w:color="auto" w:fill="E1F4FD"/>
          </w:tcPr>
          <w:p>
            <w:pPr>
              <w:spacing w:after="0"/>
              <w:rPr>
                <w:sz w:val="24"/>
                <w:szCs w:val="24"/>
                <w:color w:val="auto"/>
              </w:rPr>
            </w:pPr>
          </w:p>
        </w:tc>
        <w:tc>
          <w:tcPr>
            <w:tcW w:w="800" w:type="dxa"/>
            <w:vAlign w:val="bottom"/>
            <w:shd w:val="clear" w:color="auto" w:fill="E1F4FD"/>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shd w:val="clear" w:color="auto" w:fill="E1F4FD"/>
          </w:tcPr>
          <w:p>
            <w:pPr>
              <w:spacing w:after="0"/>
              <w:rPr>
                <w:sz w:val="24"/>
                <w:szCs w:val="24"/>
                <w:color w:val="auto"/>
              </w:rPr>
            </w:pPr>
          </w:p>
        </w:tc>
        <w:tc>
          <w:tcPr>
            <w:tcW w:w="820" w:type="dxa"/>
            <w:vAlign w:val="bottom"/>
            <w:shd w:val="clear" w:color="auto" w:fill="E1F4FD"/>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Funded status, end of year</w:t>
            </w:r>
          </w:p>
        </w:tc>
        <w:tc>
          <w:tcPr>
            <w:tcW w:w="460" w:type="dxa"/>
            <w:vAlign w:val="bottom"/>
            <w:tcBorders>
              <w:bottom w:val="single" w:sz="8" w:color="auto"/>
            </w:tcBorders>
            <w:shd w:val="clear" w:color="auto" w:fill="E1F4FD"/>
          </w:tcPr>
          <w:p>
            <w:pPr>
              <w:jc w:val="right"/>
              <w:ind w:right="259"/>
              <w:spacing w:after="0"/>
              <w:rPr>
                <w:sz w:val="20"/>
                <w:szCs w:val="20"/>
                <w:color w:val="auto"/>
              </w:rPr>
            </w:pPr>
            <w:r>
              <w:rPr>
                <w:rFonts w:ascii="Arial" w:cs="Arial" w:eastAsia="Arial" w:hAnsi="Arial"/>
                <w:sz w:val="16"/>
                <w:szCs w:val="16"/>
                <w:color w:val="4F8ABE"/>
              </w:rPr>
              <w:t>$</w:t>
            </w:r>
          </w:p>
        </w:tc>
        <w:tc>
          <w:tcPr>
            <w:tcW w:w="80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(15.9)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(11.4)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467"/>
        </w:trPr>
        <w:tc>
          <w:tcPr>
            <w:tcW w:w="6280" w:type="dxa"/>
            <w:vAlign w:val="bottom"/>
          </w:tcPr>
          <w:p>
            <w:pPr>
              <w:ind w:left="40"/>
              <w:spacing w:after="0"/>
              <w:rPr>
                <w:sz w:val="20"/>
                <w:szCs w:val="20"/>
                <w:color w:val="auto"/>
              </w:rPr>
            </w:pPr>
            <w:r>
              <w:rPr>
                <w:rFonts w:ascii="Arial" w:cs="Arial" w:eastAsia="Arial" w:hAnsi="Arial"/>
                <w:sz w:val="16"/>
                <w:szCs w:val="16"/>
                <w:color w:val="4F8ABE"/>
              </w:rPr>
              <w:t>Amounts Recognized</w:t>
            </w:r>
          </w:p>
        </w:tc>
        <w:tc>
          <w:tcPr>
            <w:tcW w:w="460" w:type="dxa"/>
            <w:vAlign w:val="bottom"/>
            <w:shd w:val="clear" w:color="auto" w:fill="E1F4FD"/>
          </w:tcPr>
          <w:p>
            <w:pPr>
              <w:spacing w:after="0"/>
              <w:rPr>
                <w:sz w:val="24"/>
                <w:szCs w:val="24"/>
                <w:color w:val="auto"/>
              </w:rPr>
            </w:pPr>
          </w:p>
        </w:tc>
        <w:tc>
          <w:tcPr>
            <w:tcW w:w="800" w:type="dxa"/>
            <w:vAlign w:val="bottom"/>
            <w:shd w:val="clear" w:color="auto" w:fill="E1F4FD"/>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shd w:val="clear" w:color="auto" w:fill="E1F4FD"/>
          </w:tcPr>
          <w:p>
            <w:pPr>
              <w:spacing w:after="0"/>
              <w:rPr>
                <w:sz w:val="24"/>
                <w:szCs w:val="24"/>
                <w:color w:val="auto"/>
              </w:rPr>
            </w:pPr>
          </w:p>
        </w:tc>
        <w:tc>
          <w:tcPr>
            <w:tcW w:w="820" w:type="dxa"/>
            <w:vAlign w:val="bottom"/>
            <w:shd w:val="clear" w:color="auto" w:fill="E1F4FD"/>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0"/>
        </w:trPr>
        <w:tc>
          <w:tcPr>
            <w:tcW w:w="628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460" w:type="dxa"/>
            <w:vAlign w:val="bottom"/>
            <w:shd w:val="clear" w:color="auto" w:fill="E1F4FD"/>
          </w:tcPr>
          <w:p>
            <w:pPr>
              <w:jc w:val="right"/>
              <w:ind w:right="259"/>
              <w:spacing w:after="0"/>
              <w:rPr>
                <w:sz w:val="20"/>
                <w:szCs w:val="20"/>
                <w:color w:val="auto"/>
              </w:rPr>
            </w:pPr>
            <w:r>
              <w:rPr>
                <w:rFonts w:ascii="Arial" w:cs="Arial" w:eastAsia="Arial" w:hAnsi="Arial"/>
                <w:sz w:val="16"/>
                <w:szCs w:val="16"/>
                <w:color w:val="4F8ABE"/>
              </w:rPr>
              <w:t>$</w:t>
            </w:r>
          </w:p>
        </w:tc>
        <w:tc>
          <w:tcPr>
            <w:tcW w:w="80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14.3</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4"/>
                <w:szCs w:val="24"/>
                <w:color w:val="auto"/>
              </w:rPr>
            </w:pPr>
          </w:p>
        </w:tc>
        <w:tc>
          <w:tcPr>
            <w:tcW w:w="440" w:type="dxa"/>
            <w:vAlign w:val="bottom"/>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47.9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32.2</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4F8ABE"/>
              </w:rPr>
              <w:t>(2.4)</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4F8ABE"/>
              </w:rPr>
              <w:t>(0.3)</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8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liabilities</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(27.8)</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(59.0)</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r>
      <w:tr>
        <w:trPr>
          <w:trHeight w:val="439"/>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amount recognized</w:t>
            </w:r>
          </w:p>
        </w:tc>
        <w:tc>
          <w:tcPr>
            <w:tcW w:w="460" w:type="dxa"/>
            <w:vAlign w:val="bottom"/>
            <w:tcBorders>
              <w:bottom w:val="single" w:sz="8" w:color="auto"/>
            </w:tcBorders>
            <w:shd w:val="clear" w:color="auto" w:fill="E1F4FD"/>
          </w:tcPr>
          <w:p>
            <w:pPr>
              <w:jc w:val="right"/>
              <w:ind w:right="259"/>
              <w:spacing w:after="0"/>
              <w:rPr>
                <w:sz w:val="20"/>
                <w:szCs w:val="20"/>
                <w:color w:val="auto"/>
              </w:rPr>
            </w:pPr>
            <w:r>
              <w:rPr>
                <w:rFonts w:ascii="Arial" w:cs="Arial" w:eastAsia="Arial" w:hAnsi="Arial"/>
                <w:sz w:val="16"/>
                <w:szCs w:val="16"/>
                <w:color w:val="4F8ABE"/>
              </w:rPr>
              <w:t>$</w:t>
            </w:r>
          </w:p>
        </w:tc>
        <w:tc>
          <w:tcPr>
            <w:tcW w:w="80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(15.9)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(11.4)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359"/>
        </w:trPr>
        <w:tc>
          <w:tcPr>
            <w:tcW w:w="6280" w:type="dxa"/>
            <w:vAlign w:val="bottom"/>
          </w:tcPr>
          <w:p>
            <w:pPr>
              <w:spacing w:after="0"/>
              <w:rPr>
                <w:sz w:val="20"/>
                <w:szCs w:val="20"/>
                <w:color w:val="auto"/>
              </w:rPr>
            </w:pPr>
            <w:r>
              <w:rPr>
                <w:rFonts w:ascii="Arial" w:cs="Arial" w:eastAsia="Arial" w:hAnsi="Arial"/>
                <w:sz w:val="16"/>
                <w:szCs w:val="16"/>
                <w:color w:val="282A32"/>
              </w:rPr>
              <w:t>Amounts recognized in accumulated other comprehensive loss, net of tax, consist of:</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6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gridSpan w:val="4"/>
          </w:tcPr>
          <w:p>
            <w:pPr>
              <w:ind w:left="680"/>
              <w:spacing w:after="0"/>
              <w:rPr>
                <w:sz w:val="20"/>
                <w:szCs w:val="20"/>
                <w:color w:val="auto"/>
              </w:rPr>
            </w:pPr>
            <w:r>
              <w:rPr>
                <w:rFonts w:ascii="Arial" w:cs="Arial" w:eastAsia="Arial" w:hAnsi="Arial"/>
                <w:sz w:val="14"/>
                <w:szCs w:val="14"/>
                <w:color w:val="auto"/>
              </w:rPr>
              <w:t>United States Plans</w:t>
            </w:r>
          </w:p>
        </w:tc>
        <w:tc>
          <w:tcPr>
            <w:tcW w:w="440" w:type="dxa"/>
            <w:vAlign w:val="bottom"/>
          </w:tcPr>
          <w:p>
            <w:pPr>
              <w:spacing w:after="0"/>
              <w:rPr>
                <w:sz w:val="24"/>
                <w:szCs w:val="24"/>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4"/>
                <w:szCs w:val="14"/>
                <w:color w:val="auto"/>
              </w:rPr>
              <w:t>Non-United States Plans</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60" w:type="dxa"/>
            <w:vAlign w:val="bottom"/>
            <w:tcBorders>
              <w:top w:val="single" w:sz="8" w:color="auto"/>
              <w:bottom w:val="single" w:sz="8" w:color="auto"/>
            </w:tcBorders>
            <w:shd w:val="clear" w:color="auto" w:fill="E1F4FD"/>
          </w:tcPr>
          <w:p>
            <w:pPr>
              <w:spacing w:after="0"/>
              <w:rPr>
                <w:sz w:val="21"/>
                <w:szCs w:val="21"/>
                <w:color w:val="auto"/>
              </w:rPr>
            </w:pPr>
          </w:p>
        </w:tc>
        <w:tc>
          <w:tcPr>
            <w:tcW w:w="800" w:type="dxa"/>
            <w:vAlign w:val="bottom"/>
            <w:tcBorders>
              <w:top w:val="single" w:sz="8" w:color="auto"/>
              <w:bottom w:val="single" w:sz="8" w:color="auto"/>
            </w:tcBorders>
            <w:shd w:val="clear" w:color="auto" w:fill="E1F4FD"/>
          </w:tcPr>
          <w:p>
            <w:pPr>
              <w:jc w:val="right"/>
              <w:ind w:right="21"/>
              <w:spacing w:after="0"/>
              <w:rPr>
                <w:sz w:val="20"/>
                <w:szCs w:val="20"/>
                <w:color w:val="auto"/>
              </w:rPr>
            </w:pPr>
            <w:r>
              <w:rPr>
                <w:rFonts w:ascii="Arial" w:cs="Arial" w:eastAsia="Arial" w:hAnsi="Arial"/>
                <w:sz w:val="14"/>
                <w:szCs w:val="14"/>
                <w:color w:val="4F8ABE"/>
              </w:rPr>
              <w:t>2015</w:t>
            </w:r>
          </w:p>
        </w:tc>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shd w:val="clear" w:color="auto" w:fill="E1F4FD"/>
          </w:tcPr>
          <w:p>
            <w:pPr>
              <w:spacing w:after="0"/>
              <w:rPr>
                <w:sz w:val="21"/>
                <w:szCs w:val="21"/>
                <w:color w:val="auto"/>
              </w:rPr>
            </w:pPr>
          </w:p>
        </w:tc>
        <w:tc>
          <w:tcPr>
            <w:tcW w:w="820" w:type="dxa"/>
            <w:vAlign w:val="bottom"/>
            <w:tcBorders>
              <w:top w:val="single" w:sz="8" w:color="auto"/>
              <w:bottom w:val="single" w:sz="8" w:color="auto"/>
            </w:tcBorders>
            <w:shd w:val="clear" w:color="auto" w:fill="E1F4FD"/>
          </w:tcPr>
          <w:p>
            <w:pPr>
              <w:jc w:val="right"/>
              <w:ind w:right="21"/>
              <w:spacing w:after="0"/>
              <w:rPr>
                <w:sz w:val="20"/>
                <w:szCs w:val="20"/>
                <w:color w:val="auto"/>
              </w:rPr>
            </w:pPr>
            <w:r>
              <w:rPr>
                <w:rFonts w:ascii="Arial" w:cs="Arial" w:eastAsia="Arial" w:hAnsi="Arial"/>
                <w:sz w:val="14"/>
                <w:szCs w:val="14"/>
                <w:color w:val="4F8ABE"/>
              </w:rPr>
              <w:t>2015</w:t>
            </w: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r>
      <w:tr>
        <w:trPr>
          <w:trHeight w:val="426"/>
        </w:trPr>
        <w:tc>
          <w:tcPr>
            <w:tcW w:w="6280" w:type="dxa"/>
            <w:vAlign w:val="bottom"/>
          </w:tcPr>
          <w:p>
            <w:pPr>
              <w:ind w:left="40"/>
              <w:spacing w:after="0"/>
              <w:rPr>
                <w:sz w:val="20"/>
                <w:szCs w:val="20"/>
                <w:color w:val="auto"/>
              </w:rPr>
            </w:pPr>
            <w:r>
              <w:rPr>
                <w:rFonts w:ascii="Arial" w:cs="Arial" w:eastAsia="Arial" w:hAnsi="Arial"/>
                <w:sz w:val="16"/>
                <w:szCs w:val="16"/>
                <w:color w:val="auto"/>
              </w:rPr>
              <w:t>Net loss</w:t>
            </w:r>
          </w:p>
        </w:tc>
        <w:tc>
          <w:tcPr>
            <w:tcW w:w="460" w:type="dxa"/>
            <w:vAlign w:val="bottom"/>
            <w:shd w:val="clear" w:color="auto" w:fill="E1F4FD"/>
          </w:tcPr>
          <w:p>
            <w:pPr>
              <w:jc w:val="right"/>
              <w:ind w:right="259"/>
              <w:spacing w:after="0"/>
              <w:rPr>
                <w:sz w:val="20"/>
                <w:szCs w:val="20"/>
                <w:color w:val="auto"/>
              </w:rPr>
            </w:pPr>
            <w:r>
              <w:rPr>
                <w:rFonts w:ascii="Arial" w:cs="Arial" w:eastAsia="Arial" w:hAnsi="Arial"/>
                <w:sz w:val="16"/>
                <w:szCs w:val="16"/>
                <w:color w:val="4F8ABE"/>
              </w:rPr>
              <w:t>$</w:t>
            </w:r>
          </w:p>
        </w:tc>
        <w:tc>
          <w:tcPr>
            <w:tcW w:w="80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11.8</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4"/>
                <w:szCs w:val="24"/>
                <w:color w:val="auto"/>
              </w:rPr>
            </w:pPr>
          </w:p>
        </w:tc>
        <w:tc>
          <w:tcPr>
            <w:tcW w:w="440" w:type="dxa"/>
            <w:vAlign w:val="bottom"/>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15.9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36.0</w:t>
            </w:r>
          </w:p>
        </w:tc>
      </w:tr>
      <w:tr>
        <w:trPr>
          <w:trHeight w:val="28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Prior service cost</w:t>
            </w:r>
          </w:p>
        </w:tc>
        <w:tc>
          <w:tcPr>
            <w:tcW w:w="460" w:type="dxa"/>
            <w:vAlign w:val="bottom"/>
            <w:tcBorders>
              <w:bottom w:val="single" w:sz="8" w:color="auto"/>
            </w:tcBorders>
            <w:shd w:val="clear" w:color="auto" w:fill="E1F4FD"/>
          </w:tcPr>
          <w:p>
            <w:pPr>
              <w:spacing w:after="0"/>
              <w:rPr>
                <w:sz w:val="24"/>
                <w:szCs w:val="24"/>
                <w:color w:val="auto"/>
              </w:rPr>
            </w:pPr>
          </w:p>
        </w:tc>
        <w:tc>
          <w:tcPr>
            <w:tcW w:w="80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E1F4FD"/>
          </w:tcPr>
          <w:p>
            <w:pPr>
              <w:spacing w:after="0"/>
              <w:rPr>
                <w:sz w:val="24"/>
                <w:szCs w:val="24"/>
                <w:color w:val="auto"/>
              </w:rPr>
            </w:pPr>
          </w:p>
        </w:tc>
        <w:tc>
          <w:tcPr>
            <w:tcW w:w="82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4.9</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r>
      <w:tr>
        <w:trPr>
          <w:trHeight w:val="439"/>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E1F4FD"/>
          </w:tcPr>
          <w:p>
            <w:pPr>
              <w:jc w:val="right"/>
              <w:ind w:right="259"/>
              <w:spacing w:after="0"/>
              <w:rPr>
                <w:sz w:val="20"/>
                <w:szCs w:val="20"/>
                <w:color w:val="auto"/>
              </w:rPr>
            </w:pPr>
            <w:r>
              <w:rPr>
                <w:rFonts w:ascii="Arial" w:cs="Arial" w:eastAsia="Arial" w:hAnsi="Arial"/>
                <w:sz w:val="16"/>
                <w:szCs w:val="16"/>
                <w:color w:val="4F8ABE"/>
              </w:rPr>
              <w:t>$</w:t>
            </w:r>
          </w:p>
        </w:tc>
        <w:tc>
          <w:tcPr>
            <w:tcW w:w="80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11.8</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1F4FD"/>
          </w:tcPr>
          <w:p>
            <w:pPr>
              <w:jc w:val="right"/>
              <w:ind w:right="239"/>
              <w:spacing w:after="0"/>
              <w:rPr>
                <w:sz w:val="20"/>
                <w:szCs w:val="20"/>
                <w:color w:val="auto"/>
              </w:rPr>
            </w:pPr>
            <w:r>
              <w:rPr>
                <w:rFonts w:ascii="Arial" w:cs="Arial" w:eastAsia="Arial" w:hAnsi="Arial"/>
                <w:sz w:val="16"/>
                <w:szCs w:val="16"/>
                <w:color w:val="4F8ABE"/>
              </w:rPr>
              <w:t>$</w:t>
            </w:r>
          </w:p>
        </w:tc>
        <w:tc>
          <w:tcPr>
            <w:tcW w:w="82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20.8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-4356100</wp:posOffset>
            </wp:positionV>
            <wp:extent cx="797560" cy="1029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7560" cy="102933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-4356100</wp:posOffset>
            </wp:positionV>
            <wp:extent cx="797560" cy="1029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7560" cy="102933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-2228850</wp:posOffset>
            </wp:positionV>
            <wp:extent cx="797560" cy="51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51435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-2228850</wp:posOffset>
            </wp:positionV>
            <wp:extent cx="79756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7560" cy="514350"/>
                    </a:xfrm>
                    <a:prstGeom prst="rect">
                      <a:avLst/>
                    </a:prstGeom>
                    <a:noFill/>
                  </pic:spPr>
                </pic:pic>
              </a:graphicData>
            </a:graphic>
          </wp:anchor>
        </w:drawing>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The accumulated benefit obligation for our plans that have plan assets was $291.9 and $340.7 as of December 31, 2015 and 2014, respectively. The accumulated benefit obligation for certain of our plans exceeded the fair value of plan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174625</wp:posOffset>
            </wp:positionV>
            <wp:extent cx="86614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6140" cy="41148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5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4F8ABE"/>
              </w:rPr>
              <w:t>2015</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00" w:type="dxa"/>
            <w:vAlign w:val="bottom"/>
          </w:tcPr>
          <w:p>
            <w:pPr>
              <w:ind w:left="40"/>
              <w:spacing w:after="0"/>
              <w:rPr>
                <w:sz w:val="20"/>
                <w:szCs w:val="20"/>
                <w:color w:val="auto"/>
              </w:rPr>
            </w:pPr>
            <w:r>
              <w:rPr>
                <w:rFonts w:ascii="Arial" w:cs="Arial" w:eastAsia="Arial" w:hAnsi="Arial"/>
                <w:sz w:val="16"/>
                <w:szCs w:val="16"/>
                <w:color w:val="auto"/>
              </w:rPr>
              <w:t>Accumulated benefit obligation</w:t>
            </w:r>
          </w:p>
        </w:tc>
        <w:tc>
          <w:tcPr>
            <w:tcW w:w="520" w:type="dxa"/>
            <w:vAlign w:val="bottom"/>
            <w:shd w:val="clear" w:color="auto" w:fill="E1F4FD"/>
          </w:tcPr>
          <w:p>
            <w:pPr>
              <w:jc w:val="right"/>
              <w:ind w:right="339"/>
              <w:spacing w:after="0"/>
              <w:rPr>
                <w:sz w:val="20"/>
                <w:szCs w:val="20"/>
                <w:color w:val="auto"/>
              </w:rPr>
            </w:pPr>
            <w:r>
              <w:rPr>
                <w:rFonts w:ascii="Arial" w:cs="Arial" w:eastAsia="Arial" w:hAnsi="Arial"/>
                <w:sz w:val="16"/>
                <w:szCs w:val="16"/>
                <w:color w:val="4F8ABE"/>
                <w:w w:val="89"/>
              </w:rPr>
              <w:t>$</w:t>
            </w:r>
          </w:p>
        </w:tc>
        <w:tc>
          <w:tcPr>
            <w:tcW w:w="72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10.2</w:t>
            </w:r>
          </w:p>
        </w:tc>
        <w:tc>
          <w:tcPr>
            <w:tcW w:w="120" w:type="dxa"/>
            <w:vAlign w:val="bottom"/>
          </w:tcPr>
          <w:p>
            <w:pPr>
              <w:spacing w:after="0"/>
              <w:rPr>
                <w:sz w:val="19"/>
                <w:szCs w:val="19"/>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Plan assets</w:t>
            </w:r>
          </w:p>
        </w:tc>
        <w:tc>
          <w:tcPr>
            <w:tcW w:w="520" w:type="dxa"/>
            <w:vAlign w:val="bottom"/>
            <w:tcBorders>
              <w:bottom w:val="single" w:sz="8" w:color="auto"/>
            </w:tcBorders>
            <w:shd w:val="clear" w:color="auto" w:fill="E1F4FD"/>
          </w:tcPr>
          <w:p>
            <w:pPr>
              <w:spacing w:after="0"/>
              <w:rPr>
                <w:sz w:val="22"/>
                <w:szCs w:val="22"/>
                <w:color w:val="auto"/>
              </w:rPr>
            </w:pPr>
          </w:p>
        </w:tc>
        <w:tc>
          <w:tcPr>
            <w:tcW w:w="7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9.6</w:t>
            </w:r>
          </w:p>
        </w:tc>
        <w:tc>
          <w:tcPr>
            <w:tcW w:w="120" w:type="dxa"/>
            <w:vAlign w:val="bottom"/>
            <w:tcBorders>
              <w:bottom w:val="single" w:sz="8" w:color="auto"/>
            </w:tcBorders>
            <w:shd w:val="clear" w:color="auto" w:fill="E1F4FD"/>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22"/>
        </w:trPr>
        <w:tc>
          <w:tcPr>
            <w:tcW w:w="8700" w:type="dxa"/>
            <w:vAlign w:val="bottom"/>
            <w:vMerge w:val="restart"/>
          </w:tcPr>
          <w:p>
            <w:pPr>
              <w:spacing w:after="0"/>
              <w:rPr>
                <w:sz w:val="20"/>
                <w:szCs w:val="20"/>
                <w:color w:val="auto"/>
              </w:rPr>
            </w:pPr>
            <w:r>
              <w:rPr>
                <w:rFonts w:ascii="Arial" w:cs="Arial" w:eastAsia="Arial" w:hAnsi="Arial"/>
                <w:sz w:val="16"/>
                <w:szCs w:val="16"/>
                <w:color w:val="282A32"/>
              </w:rPr>
              <w:t>The projected benefit obligation for certain of our plans exceeded the fair value of plan assets as follows:</w:t>
            </w:r>
          </w:p>
        </w:tc>
        <w:tc>
          <w:tcPr>
            <w:tcW w:w="520" w:type="dxa"/>
            <w:vAlign w:val="bottom"/>
            <w:shd w:val="clear" w:color="auto" w:fill="2989B9"/>
          </w:tcPr>
          <w:p>
            <w:pPr>
              <w:spacing w:after="0"/>
              <w:rPr>
                <w:sz w:val="10"/>
                <w:szCs w:val="10"/>
                <w:color w:val="auto"/>
              </w:rPr>
            </w:pPr>
          </w:p>
        </w:tc>
        <w:tc>
          <w:tcPr>
            <w:tcW w:w="720" w:type="dxa"/>
            <w:vAlign w:val="bottom"/>
            <w:shd w:val="clear" w:color="auto" w:fill="2989B9"/>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87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520" w:type="dxa"/>
            <w:vAlign w:val="bottom"/>
            <w:tcBorders>
              <w:bottom w:val="single" w:sz="8" w:color="auto"/>
            </w:tcBorders>
            <w:shd w:val="clear" w:color="auto" w:fill="E1F4FD"/>
          </w:tcPr>
          <w:p>
            <w:pPr>
              <w:spacing w:after="0"/>
              <w:rPr>
                <w:sz w:val="18"/>
                <w:szCs w:val="18"/>
                <w:color w:val="auto"/>
              </w:rPr>
            </w:pPr>
          </w:p>
        </w:tc>
        <w:tc>
          <w:tcPr>
            <w:tcW w:w="840" w:type="dxa"/>
            <w:vAlign w:val="bottom"/>
            <w:tcBorders>
              <w:bottom w:val="single" w:sz="8" w:color="auto"/>
            </w:tcBorders>
            <w:gridSpan w:val="2"/>
            <w:shd w:val="clear" w:color="auto" w:fill="E1F4FD"/>
          </w:tcPr>
          <w:p>
            <w:pPr>
              <w:jc w:val="right"/>
              <w:ind w:right="120"/>
              <w:spacing w:after="0"/>
              <w:rPr>
                <w:sz w:val="20"/>
                <w:szCs w:val="20"/>
                <w:color w:val="auto"/>
              </w:rPr>
            </w:pPr>
            <w:r>
              <w:rPr>
                <w:rFonts w:ascii="Arial" w:cs="Arial" w:eastAsia="Arial" w:hAnsi="Arial"/>
                <w:sz w:val="14"/>
                <w:szCs w:val="14"/>
                <w:color w:val="4F8ABE"/>
              </w:rPr>
              <w:t>2015</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99"/>
        </w:trPr>
        <w:tc>
          <w:tcPr>
            <w:tcW w:w="8700" w:type="dxa"/>
            <w:vAlign w:val="bottom"/>
          </w:tcPr>
          <w:p>
            <w:pPr>
              <w:ind w:left="40"/>
              <w:spacing w:after="0"/>
              <w:rPr>
                <w:sz w:val="20"/>
                <w:szCs w:val="20"/>
                <w:color w:val="auto"/>
              </w:rPr>
            </w:pPr>
            <w:r>
              <w:rPr>
                <w:rFonts w:ascii="Arial" w:cs="Arial" w:eastAsia="Arial" w:hAnsi="Arial"/>
                <w:sz w:val="16"/>
                <w:szCs w:val="16"/>
                <w:color w:val="auto"/>
              </w:rPr>
              <w:t>Projected benefit obligation</w:t>
            </w:r>
          </w:p>
        </w:tc>
        <w:tc>
          <w:tcPr>
            <w:tcW w:w="520" w:type="dxa"/>
            <w:vAlign w:val="bottom"/>
            <w:shd w:val="clear" w:color="auto" w:fill="E1F4FD"/>
          </w:tcPr>
          <w:p>
            <w:pPr>
              <w:jc w:val="right"/>
              <w:ind w:right="339"/>
              <w:spacing w:after="0"/>
              <w:rPr>
                <w:sz w:val="20"/>
                <w:szCs w:val="20"/>
                <w:color w:val="auto"/>
              </w:rPr>
            </w:pPr>
            <w:r>
              <w:rPr>
                <w:rFonts w:ascii="Arial" w:cs="Arial" w:eastAsia="Arial" w:hAnsi="Arial"/>
                <w:sz w:val="16"/>
                <w:szCs w:val="16"/>
                <w:color w:val="4F8ABE"/>
                <w:w w:val="89"/>
              </w:rPr>
              <w:t>$</w:t>
            </w:r>
          </w:p>
        </w:tc>
        <w:tc>
          <w:tcPr>
            <w:tcW w:w="72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48.4</w:t>
            </w:r>
          </w:p>
        </w:tc>
        <w:tc>
          <w:tcPr>
            <w:tcW w:w="120" w:type="dxa"/>
            <w:vAlign w:val="bottom"/>
            <w:shd w:val="clear" w:color="auto" w:fill="E1F4FD"/>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5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Plan assets</w:t>
            </w:r>
          </w:p>
        </w:tc>
        <w:tc>
          <w:tcPr>
            <w:tcW w:w="520" w:type="dxa"/>
            <w:vAlign w:val="bottom"/>
            <w:tcBorders>
              <w:bottom w:val="single" w:sz="8" w:color="auto"/>
            </w:tcBorders>
            <w:shd w:val="clear" w:color="auto" w:fill="E1F4FD"/>
          </w:tcPr>
          <w:p>
            <w:pPr>
              <w:spacing w:after="0"/>
              <w:rPr>
                <w:sz w:val="22"/>
                <w:szCs w:val="22"/>
                <w:color w:val="auto"/>
              </w:rPr>
            </w:pPr>
          </w:p>
        </w:tc>
        <w:tc>
          <w:tcPr>
            <w:tcW w:w="7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39.4</w:t>
            </w:r>
          </w:p>
        </w:tc>
        <w:tc>
          <w:tcPr>
            <w:tcW w:w="120" w:type="dxa"/>
            <w:vAlign w:val="bottom"/>
            <w:tcBorders>
              <w:bottom w:val="single" w:sz="8" w:color="auto"/>
            </w:tcBorders>
            <w:shd w:val="clear" w:color="auto" w:fill="E1F4FD"/>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22"/>
        </w:trPr>
        <w:tc>
          <w:tcPr>
            <w:tcW w:w="8700" w:type="dxa"/>
            <w:vAlign w:val="bottom"/>
          </w:tcPr>
          <w:p>
            <w:pPr>
              <w:spacing w:after="0"/>
              <w:rPr>
                <w:sz w:val="10"/>
                <w:szCs w:val="10"/>
                <w:color w:val="auto"/>
              </w:rPr>
            </w:pPr>
          </w:p>
        </w:tc>
        <w:tc>
          <w:tcPr>
            <w:tcW w:w="520" w:type="dxa"/>
            <w:vAlign w:val="bottom"/>
            <w:shd w:val="clear" w:color="auto" w:fill="2989B9"/>
          </w:tcPr>
          <w:p>
            <w:pPr>
              <w:spacing w:after="0"/>
              <w:rPr>
                <w:sz w:val="10"/>
                <w:szCs w:val="10"/>
                <w:color w:val="auto"/>
              </w:rPr>
            </w:pPr>
          </w:p>
        </w:tc>
        <w:tc>
          <w:tcPr>
            <w:tcW w:w="720" w:type="dxa"/>
            <w:vAlign w:val="bottom"/>
            <w:shd w:val="clear" w:color="auto" w:fill="2989B9"/>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By their nature, certain of our plans do not have plan assets. The accumulated benefit obligation for these plans was $69.9 and $76.1 as of December 31, 2015 and 2014, respectively.</w:t>
      </w:r>
    </w:p>
    <w:p>
      <w:pPr>
        <w:sectPr>
          <w:pgSz w:w="11900" w:h="16838" w:orient="portrait"/>
          <w:cols w:equalWidth="0" w:num="1">
            <w:col w:w="11420"/>
          </w:cols>
          <w:pgMar w:left="240" w:top="457"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70</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color w:val="282A32"/>
        </w:rPr>
        <w:t>The components of the net periodic benefit cost and other amounts recognized in other comprehensive loss for all plans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shd w:val="clear" w:color="auto" w:fill="E1F4FD"/>
          </w:tcPr>
          <w:p>
            <w:pPr>
              <w:spacing w:after="0"/>
              <w:rPr>
                <w:sz w:val="18"/>
                <w:szCs w:val="18"/>
                <w:color w:val="auto"/>
              </w:rPr>
            </w:pPr>
          </w:p>
        </w:tc>
        <w:tc>
          <w:tcPr>
            <w:tcW w:w="9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r>
      <w:tr>
        <w:trPr>
          <w:trHeight w:val="466"/>
        </w:trPr>
        <w:tc>
          <w:tcPr>
            <w:tcW w:w="6980" w:type="dxa"/>
            <w:vAlign w:val="bottom"/>
          </w:tcPr>
          <w:p>
            <w:pPr>
              <w:ind w:left="40"/>
              <w:spacing w:after="0"/>
              <w:rPr>
                <w:sz w:val="20"/>
                <w:szCs w:val="20"/>
                <w:color w:val="auto"/>
              </w:rPr>
            </w:pPr>
            <w:r>
              <w:rPr>
                <w:rFonts w:ascii="Arial" w:cs="Arial" w:eastAsia="Arial" w:hAnsi="Arial"/>
                <w:sz w:val="16"/>
                <w:szCs w:val="16"/>
                <w:color w:val="4F8ABE"/>
              </w:rPr>
              <w:t>Net Periodic Benefit Cost</w:t>
            </w:r>
          </w:p>
        </w:tc>
        <w:tc>
          <w:tcPr>
            <w:tcW w:w="560" w:type="dxa"/>
            <w:vAlign w:val="bottom"/>
            <w:shd w:val="clear" w:color="auto" w:fill="E1F4FD"/>
          </w:tcPr>
          <w:p>
            <w:pPr>
              <w:spacing w:after="0"/>
              <w:rPr>
                <w:sz w:val="24"/>
                <w:szCs w:val="24"/>
                <w:color w:val="auto"/>
              </w:rPr>
            </w:pPr>
          </w:p>
        </w:tc>
        <w:tc>
          <w:tcPr>
            <w:tcW w:w="940" w:type="dxa"/>
            <w:vAlign w:val="bottom"/>
            <w:shd w:val="clear" w:color="auto" w:fill="E1F4FD"/>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560" w:type="dxa"/>
            <w:vAlign w:val="bottom"/>
            <w:shd w:val="clear" w:color="auto" w:fill="E1F4FD"/>
          </w:tcPr>
          <w:p>
            <w:pPr>
              <w:jc w:val="right"/>
              <w:ind w:right="359"/>
              <w:spacing w:after="0"/>
              <w:rPr>
                <w:sz w:val="20"/>
                <w:szCs w:val="20"/>
                <w:color w:val="auto"/>
              </w:rPr>
            </w:pPr>
            <w:r>
              <w:rPr>
                <w:rFonts w:ascii="Arial" w:cs="Arial" w:eastAsia="Arial" w:hAnsi="Arial"/>
                <w:sz w:val="16"/>
                <w:szCs w:val="16"/>
                <w:color w:val="4F8ABE"/>
              </w:rPr>
              <w:t>$</w:t>
            </w:r>
          </w:p>
        </w:tc>
        <w:tc>
          <w:tcPr>
            <w:tcW w:w="94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7.2</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8.7</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5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4F8ABE"/>
              </w:rPr>
              <w:t>12.7</w:t>
            </w:r>
          </w:p>
        </w:tc>
        <w:tc>
          <w:tcPr>
            <w:tcW w:w="5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5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14.8</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4F8ABE"/>
              </w:rPr>
              <w:t>(12.9)</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Curtailment and settlement</w:t>
            </w:r>
          </w:p>
        </w:tc>
        <w:tc>
          <w:tcPr>
            <w:tcW w:w="56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4F8ABE"/>
              </w:rPr>
              <w:t>—</w:t>
            </w:r>
          </w:p>
        </w:tc>
        <w:tc>
          <w:tcPr>
            <w:tcW w:w="56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Net loss</w:t>
            </w:r>
          </w:p>
        </w:tc>
        <w:tc>
          <w:tcPr>
            <w:tcW w:w="56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4F8ABE"/>
              </w:rPr>
              <w:t>4.0</w:t>
            </w:r>
          </w:p>
        </w:tc>
        <w:tc>
          <w:tcPr>
            <w:tcW w:w="56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56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25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Prior service cost</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0.4</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0.6</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w:t>
            </w:r>
          </w:p>
        </w:tc>
      </w:tr>
      <w:tr>
        <w:trPr>
          <w:trHeight w:val="41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periodic benefit cost</w:t>
            </w:r>
          </w:p>
        </w:tc>
        <w:tc>
          <w:tcPr>
            <w:tcW w:w="560" w:type="dxa"/>
            <w:vAlign w:val="bottom"/>
            <w:tcBorders>
              <w:bottom w:val="single" w:sz="8" w:color="auto"/>
            </w:tcBorders>
            <w:shd w:val="clear" w:color="auto" w:fill="E1F4FD"/>
          </w:tcPr>
          <w:p>
            <w:pPr>
              <w:spacing w:after="0"/>
              <w:rPr>
                <w:sz w:val="24"/>
                <w:szCs w:val="24"/>
                <w:color w:val="auto"/>
              </w:rPr>
            </w:pPr>
          </w:p>
        </w:tc>
        <w:tc>
          <w:tcPr>
            <w:tcW w:w="9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11.4</w:t>
            </w: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w:t>
            </w:r>
          </w:p>
        </w:tc>
      </w:tr>
      <w:tr>
        <w:trPr>
          <w:trHeight w:val="286"/>
        </w:trPr>
        <w:tc>
          <w:tcPr>
            <w:tcW w:w="6980" w:type="dxa"/>
            <w:vAlign w:val="bottom"/>
          </w:tcPr>
          <w:p>
            <w:pPr>
              <w:ind w:left="40"/>
              <w:spacing w:after="0"/>
              <w:rPr>
                <w:sz w:val="20"/>
                <w:szCs w:val="20"/>
                <w:color w:val="auto"/>
              </w:rPr>
            </w:pPr>
            <w:r>
              <w:rPr>
                <w:rFonts w:ascii="Arial" w:cs="Arial" w:eastAsia="Arial" w:hAnsi="Arial"/>
                <w:sz w:val="16"/>
                <w:szCs w:val="16"/>
                <w:color w:val="4F8ABE"/>
              </w:rPr>
              <w:t>Other Changes in Plan Assets and Benefit Obligation Recognized in Other Comprehensive</w:t>
            </w:r>
          </w:p>
        </w:tc>
        <w:tc>
          <w:tcPr>
            <w:tcW w:w="560" w:type="dxa"/>
            <w:vAlign w:val="bottom"/>
            <w:shd w:val="clear" w:color="auto" w:fill="E1F4FD"/>
          </w:tcPr>
          <w:p>
            <w:pPr>
              <w:spacing w:after="0"/>
              <w:rPr>
                <w:sz w:val="24"/>
                <w:szCs w:val="24"/>
                <w:color w:val="auto"/>
              </w:rPr>
            </w:pPr>
          </w:p>
        </w:tc>
        <w:tc>
          <w:tcPr>
            <w:tcW w:w="940" w:type="dxa"/>
            <w:vAlign w:val="bottom"/>
            <w:shd w:val="clear" w:color="auto" w:fill="E1F4FD"/>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6980" w:type="dxa"/>
            <w:vAlign w:val="bottom"/>
          </w:tcPr>
          <w:p>
            <w:pPr>
              <w:ind w:left="40"/>
              <w:spacing w:after="0"/>
              <w:rPr>
                <w:sz w:val="20"/>
                <w:szCs w:val="20"/>
                <w:color w:val="auto"/>
              </w:rPr>
            </w:pPr>
            <w:r>
              <w:rPr>
                <w:rFonts w:ascii="Arial" w:cs="Arial" w:eastAsia="Arial" w:hAnsi="Arial"/>
                <w:sz w:val="16"/>
                <w:szCs w:val="16"/>
                <w:color w:val="4F8ABE"/>
              </w:rPr>
              <w:t>(Income) Loss</w:t>
            </w:r>
          </w:p>
        </w:tc>
        <w:tc>
          <w:tcPr>
            <w:tcW w:w="560" w:type="dxa"/>
            <w:vAlign w:val="bottom"/>
            <w:shd w:val="clear" w:color="auto" w:fill="E1F4FD"/>
          </w:tcPr>
          <w:p>
            <w:pPr>
              <w:spacing w:after="0"/>
              <w:rPr>
                <w:sz w:val="16"/>
                <w:szCs w:val="16"/>
                <w:color w:val="auto"/>
              </w:rPr>
            </w:pPr>
          </w:p>
        </w:tc>
        <w:tc>
          <w:tcPr>
            <w:tcW w:w="940" w:type="dxa"/>
            <w:vAlign w:val="bottom"/>
            <w:shd w:val="clear" w:color="auto" w:fill="E1F4FD"/>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color w:val="auto"/>
              </w:rPr>
              <w:t>Net (gain) loss</w:t>
            </w:r>
          </w:p>
        </w:tc>
        <w:tc>
          <w:tcPr>
            <w:tcW w:w="560" w:type="dxa"/>
            <w:vAlign w:val="bottom"/>
            <w:shd w:val="clear" w:color="auto" w:fill="E1F4FD"/>
          </w:tcPr>
          <w:p>
            <w:pPr>
              <w:spacing w:after="0"/>
              <w:rPr>
                <w:sz w:val="22"/>
                <w:szCs w:val="22"/>
                <w:color w:val="auto"/>
              </w:rPr>
            </w:pPr>
          </w:p>
        </w:tc>
        <w:tc>
          <w:tcPr>
            <w:tcW w:w="94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(22.9)</w:t>
            </w:r>
          </w:p>
        </w:tc>
        <w:tc>
          <w:tcPr>
            <w:tcW w:w="5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23.5</w:t>
            </w:r>
          </w:p>
        </w:tc>
        <w:tc>
          <w:tcPr>
            <w:tcW w:w="56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6.8</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Prior service cost (credit)</w:t>
            </w:r>
          </w:p>
        </w:tc>
        <w:tc>
          <w:tcPr>
            <w:tcW w:w="5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4F8ABE"/>
              </w:rPr>
              <w:t>—</w:t>
            </w:r>
          </w:p>
        </w:tc>
        <w:tc>
          <w:tcPr>
            <w:tcW w:w="5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Amortization of net loss</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4F8ABE"/>
              </w:rPr>
              <w:t>(4.0)</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Amortization of prior service cost</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(0.4)</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41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recognized in other comprehensive (income) loss</w:t>
            </w:r>
          </w:p>
        </w:tc>
        <w:tc>
          <w:tcPr>
            <w:tcW w:w="560" w:type="dxa"/>
            <w:vAlign w:val="bottom"/>
            <w:tcBorders>
              <w:bottom w:val="single" w:sz="8" w:color="auto"/>
            </w:tcBorders>
            <w:shd w:val="clear" w:color="auto" w:fill="E1F4FD"/>
          </w:tcPr>
          <w:p>
            <w:pPr>
              <w:spacing w:after="0"/>
              <w:rPr>
                <w:sz w:val="24"/>
                <w:szCs w:val="24"/>
                <w:color w:val="auto"/>
              </w:rPr>
            </w:pPr>
          </w:p>
        </w:tc>
        <w:tc>
          <w:tcPr>
            <w:tcW w:w="9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(27.3)</w:t>
            </w: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w:t>
            </w:r>
          </w:p>
        </w:tc>
      </w:tr>
      <w:tr>
        <w:trPr>
          <w:trHeight w:val="237"/>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recognized in net periodic benefit cost and other comprehensive (income) loss</w:t>
            </w:r>
          </w:p>
        </w:tc>
        <w:tc>
          <w:tcPr>
            <w:tcW w:w="560" w:type="dxa"/>
            <w:vAlign w:val="bottom"/>
            <w:tcBorders>
              <w:bottom w:val="single" w:sz="8" w:color="auto"/>
            </w:tcBorders>
            <w:shd w:val="clear" w:color="auto" w:fill="E1F4FD"/>
          </w:tcPr>
          <w:p>
            <w:pPr>
              <w:jc w:val="right"/>
              <w:ind w:right="359"/>
              <w:spacing w:after="0"/>
              <w:rPr>
                <w:sz w:val="20"/>
                <w:szCs w:val="20"/>
                <w:color w:val="auto"/>
              </w:rPr>
            </w:pPr>
            <w:r>
              <w:rPr>
                <w:rFonts w:ascii="Arial" w:cs="Arial" w:eastAsia="Arial" w:hAnsi="Arial"/>
                <w:sz w:val="16"/>
                <w:szCs w:val="16"/>
                <w:color w:val="4F8ABE"/>
              </w:rPr>
              <w:t>$</w:t>
            </w:r>
          </w:p>
        </w:tc>
        <w:tc>
          <w:tcPr>
            <w:tcW w:w="9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(15.9)</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33.3</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w:t>
            </w:r>
          </w:p>
        </w:tc>
      </w:tr>
      <w:tr>
        <w:trPr>
          <w:trHeight w:val="122"/>
        </w:trPr>
        <w:tc>
          <w:tcPr>
            <w:tcW w:w="6980" w:type="dxa"/>
            <w:vAlign w:val="bottom"/>
          </w:tcPr>
          <w:p>
            <w:pPr>
              <w:spacing w:after="0"/>
              <w:rPr>
                <w:sz w:val="10"/>
                <w:szCs w:val="10"/>
                <w:color w:val="auto"/>
              </w:rPr>
            </w:pPr>
          </w:p>
        </w:tc>
        <w:tc>
          <w:tcPr>
            <w:tcW w:w="560" w:type="dxa"/>
            <w:vAlign w:val="bottom"/>
            <w:shd w:val="clear" w:color="auto" w:fill="2989B9"/>
          </w:tcPr>
          <w:p>
            <w:pPr>
              <w:spacing w:after="0"/>
              <w:rPr>
                <w:sz w:val="10"/>
                <w:szCs w:val="10"/>
                <w:color w:val="auto"/>
              </w:rPr>
            </w:pPr>
          </w:p>
        </w:tc>
        <w:tc>
          <w:tcPr>
            <w:tcW w:w="940" w:type="dxa"/>
            <w:vAlign w:val="bottom"/>
            <w:shd w:val="clear" w:color="auto" w:fill="2989B9"/>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-2666365</wp:posOffset>
            </wp:positionV>
            <wp:extent cx="951865" cy="926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1865" cy="92646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-1139825</wp:posOffset>
            </wp:positionV>
            <wp:extent cx="951865" cy="617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1865" cy="617220"/>
                    </a:xfrm>
                    <a:prstGeom prst="rect">
                      <a:avLst/>
                    </a:prstGeom>
                    <a:noFill/>
                  </pic:spPr>
                </pic:pic>
              </a:graphicData>
            </a:graphic>
          </wp:anchor>
        </w:drawing>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Effective January 1, 2013, we amended a defined benefit plan in the Netherlands. The defined benefit plan was frozen, and the participants were transitioned to a defined contribution plan, resulting in a curtailment gain of $2.3.</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The estimated net loss and prior service cost for the defined benefit pension plans that will be amortized from accumulated other comprehensive loss into net periodic benefit cost during 2016 are $0.8 and $0.4,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82A32"/>
        </w:rPr>
        <w:t>The weighted-average assumptions used in the measurement of the benefit obligation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color w:val="auto"/>
              </w:rPr>
              <w:t>United States Plans</w:t>
            </w:r>
          </w:p>
        </w:tc>
        <w:tc>
          <w:tcPr>
            <w:tcW w:w="2600" w:type="dxa"/>
            <w:vAlign w:val="bottom"/>
            <w:gridSpan w:val="2"/>
          </w:tcPr>
          <w:p>
            <w:pPr>
              <w:jc w:val="right"/>
              <w:ind w:right="102"/>
              <w:spacing w:after="0"/>
              <w:rPr>
                <w:sz w:val="20"/>
                <w:szCs w:val="20"/>
                <w:color w:val="auto"/>
              </w:rPr>
            </w:pPr>
            <w:r>
              <w:rPr>
                <w:rFonts w:ascii="Arial" w:cs="Arial" w:eastAsia="Arial" w:hAnsi="Arial"/>
                <w:sz w:val="14"/>
                <w:szCs w:val="14"/>
                <w:color w:val="auto"/>
              </w:rPr>
              <w:t>Non-United States Plans</w:t>
            </w:r>
          </w:p>
        </w:tc>
      </w:tr>
      <w:tr>
        <w:trPr>
          <w:trHeight w:val="250"/>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1120" w:type="dxa"/>
            <w:vAlign w:val="bottom"/>
            <w:tcBorders>
              <w:top w:val="single" w:sz="8" w:color="auto"/>
              <w:bottom w:val="single" w:sz="8" w:color="auto"/>
            </w:tcBorders>
            <w:shd w:val="clear" w:color="auto" w:fill="E1F4FD"/>
          </w:tcPr>
          <w:p>
            <w:pPr>
              <w:jc w:val="right"/>
              <w:spacing w:after="0"/>
              <w:rPr>
                <w:sz w:val="20"/>
                <w:szCs w:val="20"/>
                <w:color w:val="auto"/>
              </w:rPr>
            </w:pPr>
            <w:r>
              <w:rPr>
                <w:rFonts w:ascii="Arial" w:cs="Arial" w:eastAsia="Arial" w:hAnsi="Arial"/>
                <w:sz w:val="14"/>
                <w:szCs w:val="14"/>
                <w:color w:val="4F8ABE"/>
              </w:rPr>
              <w:t>2015</w:t>
            </w:r>
          </w:p>
        </w:tc>
        <w:tc>
          <w:tcPr>
            <w:tcW w:w="180" w:type="dxa"/>
            <w:vAlign w:val="bottom"/>
            <w:tcBorders>
              <w:top w:val="single" w:sz="8" w:color="auto"/>
              <w:bottom w:val="single" w:sz="8" w:color="auto"/>
            </w:tcBorders>
            <w:shd w:val="clear" w:color="auto" w:fill="E1F4FD"/>
          </w:tcPr>
          <w:p>
            <w:pPr>
              <w:spacing w:after="0"/>
              <w:rPr>
                <w:sz w:val="21"/>
                <w:szCs w:val="21"/>
                <w:color w:val="auto"/>
              </w:rPr>
            </w:pPr>
          </w:p>
        </w:tc>
        <w:tc>
          <w:tcPr>
            <w:tcW w:w="1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shd w:val="clear" w:color="auto" w:fill="E1F4FD"/>
          </w:tcPr>
          <w:p>
            <w:pPr>
              <w:jc w:val="right"/>
              <w:ind w:right="103"/>
              <w:spacing w:after="0"/>
              <w:rPr>
                <w:sz w:val="20"/>
                <w:szCs w:val="20"/>
                <w:color w:val="auto"/>
              </w:rPr>
            </w:pPr>
            <w:r>
              <w:rPr>
                <w:rFonts w:ascii="Arial" w:cs="Arial" w:eastAsia="Arial" w:hAnsi="Arial"/>
                <w:sz w:val="14"/>
                <w:szCs w:val="14"/>
                <w:color w:val="4F8ABE"/>
              </w:rPr>
              <w:t>2015</w:t>
            </w:r>
          </w:p>
        </w:tc>
        <w:tc>
          <w:tcPr>
            <w:tcW w:w="1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color w:val="auto"/>
              </w:rPr>
              <w:t>2014</w:t>
            </w:r>
          </w:p>
        </w:tc>
      </w:tr>
      <w:tr>
        <w:trPr>
          <w:trHeight w:val="445"/>
        </w:trPr>
        <w:tc>
          <w:tcPr>
            <w:tcW w:w="612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300" w:type="dxa"/>
            <w:vAlign w:val="bottom"/>
            <w:gridSpan w:val="2"/>
            <w:shd w:val="clear" w:color="auto" w:fill="E1F4FD"/>
          </w:tcPr>
          <w:p>
            <w:pPr>
              <w:jc w:val="right"/>
              <w:spacing w:after="0"/>
              <w:rPr>
                <w:sz w:val="20"/>
                <w:szCs w:val="20"/>
                <w:color w:val="auto"/>
              </w:rPr>
            </w:pPr>
            <w:r>
              <w:rPr>
                <w:rFonts w:ascii="Arial" w:cs="Arial" w:eastAsia="Arial" w:hAnsi="Arial"/>
                <w:sz w:val="16"/>
                <w:szCs w:val="16"/>
                <w:color w:val="2989B9"/>
              </w:rPr>
              <w:t>4.3%</w:t>
            </w: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30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3.2%</w:t>
            </w: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Rate of compensation increase</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2989B9"/>
              </w:rPr>
              <w:t>3.0%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989B9"/>
              </w:rPr>
              <w:t>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-351155</wp:posOffset>
            </wp:positionV>
            <wp:extent cx="711835"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835" cy="34290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-351155</wp:posOffset>
            </wp:positionV>
            <wp:extent cx="71183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835" cy="34290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282A32"/>
        </w:rPr>
        <w:t>The weighted-average assumptions used in the measurement of the net periodic benefit cost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20" w:type="dxa"/>
            <w:vAlign w:val="bottom"/>
            <w:gridSpan w:val="3"/>
          </w:tcPr>
          <w:p>
            <w:pPr>
              <w:ind w:left="680"/>
              <w:spacing w:after="0"/>
              <w:rPr>
                <w:sz w:val="20"/>
                <w:szCs w:val="20"/>
                <w:color w:val="auto"/>
              </w:rPr>
            </w:pPr>
            <w:r>
              <w:rPr>
                <w:rFonts w:ascii="Arial" w:cs="Arial" w:eastAsia="Arial" w:hAnsi="Arial"/>
                <w:sz w:val="14"/>
                <w:szCs w:val="14"/>
                <w:color w:val="auto"/>
              </w:rPr>
              <w:t>United States Plans</w:t>
            </w:r>
          </w:p>
        </w:tc>
        <w:tc>
          <w:tcPr>
            <w:tcW w:w="1080" w:type="dxa"/>
            <w:vAlign w:val="bottom"/>
          </w:tcPr>
          <w:p>
            <w:pPr>
              <w:spacing w:after="0"/>
              <w:rPr>
                <w:sz w:val="15"/>
                <w:szCs w:val="15"/>
                <w:color w:val="auto"/>
              </w:rPr>
            </w:pPr>
          </w:p>
        </w:tc>
        <w:tc>
          <w:tcPr>
            <w:tcW w:w="2340" w:type="dxa"/>
            <w:vAlign w:val="bottom"/>
            <w:gridSpan w:val="2"/>
          </w:tcPr>
          <w:p>
            <w:pPr>
              <w:jc w:val="right"/>
              <w:ind w:right="101"/>
              <w:spacing w:after="0"/>
              <w:rPr>
                <w:sz w:val="20"/>
                <w:szCs w:val="20"/>
                <w:color w:val="auto"/>
              </w:rPr>
            </w:pPr>
            <w:r>
              <w:rPr>
                <w:rFonts w:ascii="Arial" w:cs="Arial" w:eastAsia="Arial" w:hAnsi="Arial"/>
                <w:sz w:val="14"/>
                <w:szCs w:val="14"/>
                <w:color w:val="auto"/>
              </w:rPr>
              <w:t>Non-United States Plans</w:t>
            </w:r>
          </w:p>
        </w:tc>
      </w:tr>
      <w:tr>
        <w:trPr>
          <w:trHeight w:val="250"/>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1060" w:type="dxa"/>
            <w:vAlign w:val="bottom"/>
            <w:tcBorders>
              <w:top w:val="single" w:sz="8" w:color="auto"/>
              <w:bottom w:val="single" w:sz="8" w:color="auto"/>
            </w:tcBorders>
            <w:shd w:val="clear" w:color="auto" w:fill="E1F4FD"/>
          </w:tcPr>
          <w:p>
            <w:pPr>
              <w:jc w:val="right"/>
              <w:ind w:right="101"/>
              <w:spacing w:after="0"/>
              <w:rPr>
                <w:sz w:val="20"/>
                <w:szCs w:val="20"/>
                <w:color w:val="auto"/>
              </w:rPr>
            </w:pPr>
            <w:r>
              <w:rPr>
                <w:rFonts w:ascii="Arial" w:cs="Arial" w:eastAsia="Arial" w:hAnsi="Arial"/>
                <w:sz w:val="14"/>
                <w:szCs w:val="14"/>
                <w:color w:val="4F8ABE"/>
              </w:rPr>
              <w:t>2015</w:t>
            </w:r>
          </w:p>
        </w:tc>
        <w:tc>
          <w:tcPr>
            <w:tcW w:w="13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color w:val="auto"/>
              </w:rPr>
              <w:t>2014</w:t>
            </w:r>
          </w:p>
        </w:tc>
        <w:tc>
          <w:tcPr>
            <w:tcW w:w="8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shd w:val="clear" w:color="auto" w:fill="E1F4FD"/>
          </w:tcPr>
          <w:p>
            <w:pPr>
              <w:jc w:val="right"/>
              <w:ind w:right="101"/>
              <w:spacing w:after="0"/>
              <w:rPr>
                <w:sz w:val="20"/>
                <w:szCs w:val="20"/>
                <w:color w:val="auto"/>
              </w:rPr>
            </w:pPr>
            <w:r>
              <w:rPr>
                <w:rFonts w:ascii="Arial" w:cs="Arial" w:eastAsia="Arial" w:hAnsi="Arial"/>
                <w:sz w:val="14"/>
                <w:szCs w:val="14"/>
                <w:color w:val="4F8ABE"/>
              </w:rPr>
              <w:t>2015</w:t>
            </w:r>
          </w:p>
        </w:tc>
        <w:tc>
          <w:tcPr>
            <w:tcW w:w="14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color w:val="auto"/>
              </w:rPr>
              <w:t>2014</w:t>
            </w:r>
          </w:p>
        </w:tc>
        <w:tc>
          <w:tcPr>
            <w:tcW w:w="8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color w:val="auto"/>
              </w:rPr>
              <w:t>2013</w:t>
            </w:r>
          </w:p>
        </w:tc>
      </w:tr>
      <w:tr>
        <w:trPr>
          <w:trHeight w:val="445"/>
        </w:trPr>
        <w:tc>
          <w:tcPr>
            <w:tcW w:w="472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06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3.9%</w:t>
            </w:r>
          </w:p>
        </w:tc>
        <w:tc>
          <w:tcPr>
            <w:tcW w:w="1320" w:type="dxa"/>
            <w:vAlign w:val="bottom"/>
          </w:tcPr>
          <w:p>
            <w:pPr>
              <w:jc w:val="right"/>
              <w:ind w:right="223"/>
              <w:spacing w:after="0"/>
              <w:rPr>
                <w:sz w:val="20"/>
                <w:szCs w:val="20"/>
                <w:color w:val="auto"/>
              </w:rPr>
            </w:pPr>
            <w:r>
              <w:rPr>
                <w:rFonts w:ascii="Arial" w:cs="Arial" w:eastAsia="Arial" w:hAnsi="Arial"/>
                <w:sz w:val="16"/>
                <w:szCs w:val="16"/>
                <w:color w:val="auto"/>
              </w:rPr>
              <w:t>4.6%</w:t>
            </w: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108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2.9%</w:t>
            </w:r>
          </w:p>
        </w:tc>
        <w:tc>
          <w:tcPr>
            <w:tcW w:w="1480" w:type="dxa"/>
            <w:vAlign w:val="bottom"/>
          </w:tcPr>
          <w:p>
            <w:pPr>
              <w:jc w:val="right"/>
              <w:ind w:right="263"/>
              <w:spacing w:after="0"/>
              <w:rPr>
                <w:sz w:val="20"/>
                <w:szCs w:val="20"/>
                <w:color w:val="auto"/>
              </w:rPr>
            </w:pPr>
            <w:r>
              <w:rPr>
                <w:rFonts w:ascii="Arial" w:cs="Arial" w:eastAsia="Arial" w:hAnsi="Arial"/>
                <w:sz w:val="16"/>
                <w:szCs w:val="16"/>
                <w:color w:val="auto"/>
              </w:rPr>
              <w:t>4.1%</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1"/>
        </w:trPr>
        <w:tc>
          <w:tcPr>
            <w:tcW w:w="4720" w:type="dxa"/>
            <w:vAlign w:val="bottom"/>
          </w:tcPr>
          <w:p>
            <w:pPr>
              <w:ind w:left="40"/>
              <w:spacing w:after="0"/>
              <w:rPr>
                <w:sz w:val="20"/>
                <w:szCs w:val="20"/>
                <w:color w:val="auto"/>
              </w:rPr>
            </w:pPr>
            <w:r>
              <w:rPr>
                <w:rFonts w:ascii="Arial" w:cs="Arial" w:eastAsia="Arial" w:hAnsi="Arial"/>
                <w:sz w:val="16"/>
                <w:szCs w:val="16"/>
                <w:color w:val="auto"/>
              </w:rPr>
              <w:t>Expected long-term return on plan assets</w:t>
            </w:r>
          </w:p>
        </w:tc>
        <w:tc>
          <w:tcPr>
            <w:tcW w:w="1060" w:type="dxa"/>
            <w:vAlign w:val="bottom"/>
          </w:tcPr>
          <w:p>
            <w:pPr>
              <w:jc w:val="right"/>
              <w:spacing w:after="0"/>
              <w:rPr>
                <w:sz w:val="20"/>
                <w:szCs w:val="20"/>
                <w:color w:val="auto"/>
              </w:rPr>
            </w:pPr>
            <w:r>
              <w:rPr>
                <w:rFonts w:ascii="Arial" w:cs="Arial" w:eastAsia="Arial" w:hAnsi="Arial"/>
                <w:sz w:val="16"/>
                <w:szCs w:val="16"/>
                <w:color w:val="4F8ABE"/>
              </w:rPr>
              <w:t>5.5%</w:t>
            </w:r>
          </w:p>
        </w:tc>
        <w:tc>
          <w:tcPr>
            <w:tcW w:w="1320" w:type="dxa"/>
            <w:vAlign w:val="bottom"/>
          </w:tcPr>
          <w:p>
            <w:pPr>
              <w:jc w:val="right"/>
              <w:ind w:right="223"/>
              <w:spacing w:after="0"/>
              <w:rPr>
                <w:sz w:val="20"/>
                <w:szCs w:val="20"/>
                <w:color w:val="auto"/>
              </w:rPr>
            </w:pPr>
            <w:r>
              <w:rPr>
                <w:rFonts w:ascii="Arial" w:cs="Arial" w:eastAsia="Arial" w:hAnsi="Arial"/>
                <w:sz w:val="16"/>
                <w:szCs w:val="16"/>
                <w:color w:val="auto"/>
              </w:rPr>
              <w:t>6.0%</w:t>
            </w: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4F8ABE"/>
              </w:rPr>
              <w:t>3.2%</w:t>
            </w:r>
          </w:p>
        </w:tc>
        <w:tc>
          <w:tcPr>
            <w:tcW w:w="1480" w:type="dxa"/>
            <w:vAlign w:val="bottom"/>
          </w:tcPr>
          <w:p>
            <w:pPr>
              <w:jc w:val="right"/>
              <w:ind w:right="263"/>
              <w:spacing w:after="0"/>
              <w:rPr>
                <w:sz w:val="20"/>
                <w:szCs w:val="20"/>
                <w:color w:val="auto"/>
              </w:rPr>
            </w:pPr>
            <w:r>
              <w:rPr>
                <w:rFonts w:ascii="Arial" w:cs="Arial" w:eastAsia="Arial" w:hAnsi="Arial"/>
                <w:sz w:val="16"/>
                <w:szCs w:val="16"/>
                <w:color w:val="auto"/>
              </w:rPr>
              <w:t>4.5%</w:t>
            </w: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83"/>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Rate of compensation increase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3.0%</w:t>
            </w: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3.0%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2.6%</w:t>
            </w:r>
          </w:p>
        </w:tc>
        <w:tc>
          <w:tcPr>
            <w:tcW w:w="14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-522605</wp:posOffset>
            </wp:positionV>
            <wp:extent cx="668655" cy="514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8655" cy="51435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-522605</wp:posOffset>
            </wp:positionV>
            <wp:extent cx="677545"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545" cy="514350"/>
                    </a:xfrm>
                    <a:prstGeom prst="rect">
                      <a:avLst/>
                    </a:prstGeom>
                    <a:noFill/>
                  </pic:spPr>
                </pic:pic>
              </a:graphicData>
            </a:graphic>
          </wp:anchor>
        </w:drawing>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determine our assumption for the discount rate based on an index of high-quality corporate bond yields and matched-funding yield curve analysis as of the end of each fiscal year.</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82A32"/>
        </w:rPr>
        <w:t>Our overall expected long-term rate of return used in the measurement of the 2015 net periodic benefit cost on United States plan assets was 5.5%, while the rates of return on our non-United States plans varied by country and ranged from 1.5% to 4.0%. For a majority of our plans, a building block approach has been employed to establish this return. Historical markets are studied and long-term historical relationships between equity securities and fixed income instruments are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71 </w:t>
      </w:r>
      <w:r>
        <w:rPr>
          <w:rFonts w:ascii="Arial" w:cs="Arial" w:eastAsia="Arial" w:hAnsi="Arial"/>
          <w:sz w:val="11"/>
          <w:szCs w:val="11"/>
          <w:color w:val="auto"/>
        </w:rPr>
        <w:t>| ManpowerGroup</w:t>
      </w:r>
    </w:p>
    <w:p>
      <w:pPr>
        <w:sectPr>
          <w:pgSz w:w="11900" w:h="16838" w:orient="portrait"/>
          <w:cols w:equalWidth="0" w:num="1">
            <w:col w:w="11420"/>
          </w:cols>
          <w:pgMar w:left="240" w:top="574"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five of our foreign plans. Peer data and historical returns are reviewed to check for reasonableness and appropriateness of our expected rate of return.</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82A32"/>
        </w:rPr>
        <w:t>Projected salary levels utilized in the determination of the projected benefit obligation for the pension plans are based upon historical experience and the future expectations for each respective country.</w:t>
      </w:r>
    </w:p>
    <w:p>
      <w:pPr>
        <w:spacing w:after="0" w:line="169"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282A32"/>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2015 allocations, are determined based on the favorable risk tolerance characteristics of the plan and, at times, may be adjusted within a specified range to advance our overall objective.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The fair values of our pension plan assets are primarily determined by using market quotes and other relevant information that is generated by market transactions involving identical or comparable assets, except for the insurance contract that is measured at the present value of expected future benefit payments using the Deutsche National Bank interest curve. The fair value of our pension plan assets by asset category was as follows:</w:t>
      </w:r>
    </w:p>
    <w:p>
      <w:pPr>
        <w:sectPr>
          <w:pgSz w:w="11900" w:h="16838" w:orient="portrait"/>
          <w:cols w:equalWidth="0" w:num="1">
            <w:col w:w="11420"/>
          </w:cols>
          <w:pgMar w:left="240" w:top="457" w:right="239" w:bottom="1440" w:gutter="0" w:footer="0" w:header="0"/>
        </w:sect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2761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95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95120"/>
                    </a:xfrm>
                    <a:prstGeom prst="rect">
                      <a:avLst/>
                    </a:prstGeom>
                    <a:noFill/>
                  </pic:spPr>
                </pic:pic>
              </a:graphicData>
            </a:graphic>
          </wp:anchor>
        </w:drawing>
      </w:r>
    </w:p>
    <w:p>
      <w:pPr>
        <w:spacing w:after="0" w:line="49" w:lineRule="exact"/>
        <w:rPr>
          <w:sz w:val="20"/>
          <w:szCs w:val="20"/>
          <w:color w:val="auto"/>
        </w:rPr>
      </w:pPr>
    </w:p>
    <w:tbl>
      <w:tblPr>
        <w:tblLayout w:type="fixed"/>
        <w:tblInd w:w="280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Quoted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Prices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in Active</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Significant</w:t>
            </w:r>
          </w:p>
        </w:tc>
        <w:tc>
          <w:tcPr>
            <w:tcW w:w="100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Markets for</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Other</w:t>
            </w:r>
          </w:p>
        </w:tc>
        <w:tc>
          <w:tcPr>
            <w:tcW w:w="1000" w:type="dxa"/>
            <w:vAlign w:val="bottom"/>
          </w:tcPr>
          <w:p>
            <w:pPr>
              <w:jc w:val="right"/>
              <w:spacing w:after="0"/>
              <w:rPr>
                <w:sz w:val="20"/>
                <w:szCs w:val="20"/>
                <w:color w:val="auto"/>
              </w:rPr>
            </w:pPr>
            <w:r>
              <w:rPr>
                <w:rFonts w:ascii="Arial" w:cs="Arial" w:eastAsia="Arial" w:hAnsi="Arial"/>
                <w:sz w:val="14"/>
                <w:szCs w:val="14"/>
                <w:color w:val="auto"/>
              </w:rPr>
              <w:t>Significant</w:t>
            </w: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Identical</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Observable</w:t>
            </w:r>
          </w:p>
        </w:tc>
        <w:tc>
          <w:tcPr>
            <w:tcW w:w="1000" w:type="dxa"/>
            <w:vAlign w:val="bottom"/>
          </w:tcPr>
          <w:p>
            <w:pPr>
              <w:jc w:val="right"/>
              <w:spacing w:after="0"/>
              <w:rPr>
                <w:sz w:val="20"/>
                <w:szCs w:val="20"/>
                <w:color w:val="auto"/>
              </w:rPr>
            </w:pPr>
            <w:r>
              <w:rPr>
                <w:rFonts w:ascii="Arial" w:cs="Arial" w:eastAsia="Arial" w:hAnsi="Arial"/>
                <w:sz w:val="14"/>
                <w:szCs w:val="14"/>
                <w:color w:val="auto"/>
              </w:rPr>
              <w:t>Unobservable</w:t>
            </w:r>
          </w:p>
        </w:tc>
      </w:tr>
      <w:tr>
        <w:trPr>
          <w:trHeight w:val="162"/>
        </w:trPr>
        <w:tc>
          <w:tcPr>
            <w:tcW w:w="1040" w:type="dxa"/>
            <w:vAlign w:val="bottom"/>
          </w:tcPr>
          <w:p>
            <w:pPr>
              <w:jc w:val="right"/>
              <w:ind w:right="68"/>
              <w:spacing w:after="0"/>
              <w:rPr>
                <w:sz w:val="20"/>
                <w:szCs w:val="20"/>
                <w:color w:val="auto"/>
              </w:rPr>
            </w:pPr>
            <w:r>
              <w:rPr>
                <w:rFonts w:ascii="Arial" w:cs="Arial" w:eastAsia="Arial" w:hAnsi="Arial"/>
                <w:sz w:val="14"/>
                <w:szCs w:val="14"/>
                <w:color w:val="2989B9"/>
              </w:rPr>
              <w:t>December 31,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Assets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Inputs</w:t>
            </w:r>
          </w:p>
        </w:tc>
        <w:tc>
          <w:tcPr>
            <w:tcW w:w="1000" w:type="dxa"/>
            <w:vAlign w:val="bottom"/>
          </w:tcPr>
          <w:p>
            <w:pPr>
              <w:jc w:val="right"/>
              <w:spacing w:after="0"/>
              <w:rPr>
                <w:sz w:val="20"/>
                <w:szCs w:val="20"/>
                <w:color w:val="auto"/>
              </w:rPr>
            </w:pPr>
            <w:r>
              <w:rPr>
                <w:rFonts w:ascii="Arial" w:cs="Arial" w:eastAsia="Arial" w:hAnsi="Arial"/>
                <w:sz w:val="14"/>
                <w:szCs w:val="14"/>
                <w:color w:val="auto"/>
              </w:rPr>
              <w:t>Inputs</w:t>
            </w:r>
          </w:p>
        </w:tc>
      </w:tr>
      <w:tr>
        <w:trPr>
          <w:trHeight w:val="172"/>
        </w:trPr>
        <w:tc>
          <w:tcPr>
            <w:tcW w:w="1040" w:type="dxa"/>
            <w:vAlign w:val="bottom"/>
          </w:tcPr>
          <w:p>
            <w:pPr>
              <w:jc w:val="right"/>
              <w:ind w:right="68"/>
              <w:spacing w:after="0"/>
              <w:rPr>
                <w:sz w:val="20"/>
                <w:szCs w:val="20"/>
                <w:color w:val="auto"/>
              </w:rPr>
            </w:pPr>
            <w:r>
              <w:rPr>
                <w:rFonts w:ascii="Arial" w:cs="Arial" w:eastAsia="Arial" w:hAnsi="Arial"/>
                <w:sz w:val="14"/>
                <w:szCs w:val="14"/>
                <w:color w:val="2989B9"/>
              </w:rPr>
              <w:t>2015</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(Level 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color w:val="auto"/>
              </w:rPr>
              <w:t>(Level 3)</w:t>
            </w: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14605</wp:posOffset>
            </wp:positionV>
            <wp:extent cx="274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Fair Value Measurements Using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Quoted</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Prices</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in Active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Significant</w:t>
            </w:r>
          </w:p>
        </w:tc>
        <w:tc>
          <w:tcPr>
            <w:tcW w:w="102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Markets for</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Other</w:t>
            </w:r>
          </w:p>
        </w:tc>
        <w:tc>
          <w:tcPr>
            <w:tcW w:w="1020" w:type="dxa"/>
            <w:vAlign w:val="bottom"/>
          </w:tcPr>
          <w:p>
            <w:pPr>
              <w:jc w:val="right"/>
              <w:spacing w:after="0"/>
              <w:rPr>
                <w:sz w:val="20"/>
                <w:szCs w:val="20"/>
                <w:color w:val="auto"/>
              </w:rPr>
            </w:pPr>
            <w:r>
              <w:rPr>
                <w:rFonts w:ascii="Arial" w:cs="Arial" w:eastAsia="Arial" w:hAnsi="Arial"/>
                <w:sz w:val="14"/>
                <w:szCs w:val="14"/>
                <w:color w:val="auto"/>
              </w:rPr>
              <w:t>Significant</w:t>
            </w: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Identical</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Observable</w:t>
            </w:r>
          </w:p>
        </w:tc>
        <w:tc>
          <w:tcPr>
            <w:tcW w:w="1020" w:type="dxa"/>
            <w:vAlign w:val="bottom"/>
          </w:tcPr>
          <w:p>
            <w:pPr>
              <w:jc w:val="right"/>
              <w:spacing w:after="0"/>
              <w:rPr>
                <w:sz w:val="20"/>
                <w:szCs w:val="20"/>
                <w:color w:val="auto"/>
              </w:rPr>
            </w:pPr>
            <w:r>
              <w:rPr>
                <w:rFonts w:ascii="Arial" w:cs="Arial" w:eastAsia="Arial" w:hAnsi="Arial"/>
                <w:sz w:val="14"/>
                <w:szCs w:val="14"/>
                <w:color w:val="auto"/>
              </w:rPr>
              <w:t>Unobservable</w:t>
            </w:r>
          </w:p>
        </w:tc>
      </w:tr>
      <w:tr>
        <w:trPr>
          <w:trHeight w:val="162"/>
        </w:trPr>
        <w:tc>
          <w:tcPr>
            <w:tcW w:w="1060" w:type="dxa"/>
            <w:vAlign w:val="bottom"/>
          </w:tcPr>
          <w:p>
            <w:pPr>
              <w:jc w:val="right"/>
              <w:ind w:right="88"/>
              <w:spacing w:after="0"/>
              <w:rPr>
                <w:sz w:val="20"/>
                <w:szCs w:val="20"/>
                <w:color w:val="auto"/>
              </w:rPr>
            </w:pPr>
            <w:r>
              <w:rPr>
                <w:rFonts w:ascii="Arial" w:cs="Arial" w:eastAsia="Arial" w:hAnsi="Arial"/>
                <w:sz w:val="14"/>
                <w:szCs w:val="14"/>
                <w:color w:val="2989B9"/>
              </w:rPr>
              <w:t>December 31,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Assets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Inputs</w:t>
            </w:r>
          </w:p>
        </w:tc>
        <w:tc>
          <w:tcPr>
            <w:tcW w:w="1020" w:type="dxa"/>
            <w:vAlign w:val="bottom"/>
          </w:tcPr>
          <w:p>
            <w:pPr>
              <w:jc w:val="right"/>
              <w:spacing w:after="0"/>
              <w:rPr>
                <w:sz w:val="20"/>
                <w:szCs w:val="20"/>
                <w:color w:val="auto"/>
              </w:rPr>
            </w:pPr>
            <w:r>
              <w:rPr>
                <w:rFonts w:ascii="Arial" w:cs="Arial" w:eastAsia="Arial" w:hAnsi="Arial"/>
                <w:sz w:val="14"/>
                <w:szCs w:val="14"/>
                <w:color w:val="auto"/>
              </w:rPr>
              <w:t>Inputs</w:t>
            </w:r>
          </w:p>
        </w:tc>
      </w:tr>
      <w:tr>
        <w:trPr>
          <w:trHeight w:val="172"/>
        </w:trPr>
        <w:tc>
          <w:tcPr>
            <w:tcW w:w="1060" w:type="dxa"/>
            <w:vAlign w:val="bottom"/>
          </w:tcPr>
          <w:p>
            <w:pPr>
              <w:jc w:val="right"/>
              <w:ind w:right="88"/>
              <w:spacing w:after="0"/>
              <w:rPr>
                <w:sz w:val="20"/>
                <w:szCs w:val="20"/>
                <w:color w:val="auto"/>
              </w:rPr>
            </w:pPr>
            <w:r>
              <w:rPr>
                <w:rFonts w:ascii="Arial" w:cs="Arial" w:eastAsia="Arial" w:hAnsi="Arial"/>
                <w:sz w:val="14"/>
                <w:szCs w:val="14"/>
                <w:color w:val="2989B9"/>
              </w:rPr>
              <w:t>2015</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(Level 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(Level 2)</w:t>
            </w:r>
          </w:p>
        </w:tc>
        <w:tc>
          <w:tcPr>
            <w:tcW w:w="1020" w:type="dxa"/>
            <w:vAlign w:val="bottom"/>
          </w:tcPr>
          <w:p>
            <w:pPr>
              <w:jc w:val="right"/>
              <w:spacing w:after="0"/>
              <w:rPr>
                <w:sz w:val="20"/>
                <w:szCs w:val="20"/>
                <w:color w:val="auto"/>
              </w:rPr>
            </w:pPr>
            <w:r>
              <w:rPr>
                <w:rFonts w:ascii="Arial" w:cs="Arial" w:eastAsia="Arial" w:hAnsi="Arial"/>
                <w:sz w:val="14"/>
                <w:szCs w:val="14"/>
                <w:color w:val="auto"/>
              </w:rPr>
              <w:t>(Level 3)</w:t>
            </w:r>
          </w:p>
        </w:tc>
      </w:tr>
    </w:tbl>
    <w:p>
      <w:pPr>
        <w:spacing w:after="0" w:line="200" w:lineRule="exact"/>
        <w:rPr>
          <w:sz w:val="20"/>
          <w:szCs w:val="20"/>
          <w:color w:val="auto"/>
        </w:rPr>
      </w:pPr>
    </w:p>
    <w:p>
      <w:pPr>
        <w:sectPr>
          <w:pgSz w:w="11900" w:h="16838" w:orient="portrait"/>
          <w:cols w:equalWidth="0" w:num="2">
            <w:col w:w="6880" w:space="340"/>
            <w:col w:w="4200"/>
          </w:cols>
          <w:pgMar w:left="240" w:top="457" w:right="239" w:bottom="1440" w:gutter="0" w:footer="0" w:header="0"/>
          <w:type w:val="continuous"/>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4F8ABE"/>
              </w:rPr>
              <w:t>Asset Category</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46"/>
        </w:trPr>
        <w:tc>
          <w:tcPr>
            <w:tcW w:w="2640" w:type="dxa"/>
            <w:vAlign w:val="bottom"/>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420" w:type="dxa"/>
            <w:vAlign w:val="bottom"/>
          </w:tcPr>
          <w:p>
            <w:pPr>
              <w:jc w:val="right"/>
              <w:ind w:right="219"/>
              <w:spacing w:after="0"/>
              <w:rPr>
                <w:sz w:val="20"/>
                <w:szCs w:val="20"/>
                <w:color w:val="auto"/>
              </w:rPr>
            </w:pPr>
            <w:r>
              <w:rPr>
                <w:rFonts w:ascii="Arial" w:cs="Arial" w:eastAsia="Arial" w:hAnsi="Arial"/>
                <w:sz w:val="16"/>
                <w:szCs w:val="16"/>
                <w:color w:val="2989B9"/>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2989B9"/>
              </w:rPr>
              <w:t>0.4</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2989B9"/>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2989B9"/>
              </w:rPr>
              <w:t>0.4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4"/>
        </w:trPr>
        <w:tc>
          <w:tcPr>
            <w:tcW w:w="26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60"/>
        </w:trPr>
        <w:tc>
          <w:tcPr>
            <w:tcW w:w="2640" w:type="dxa"/>
            <w:vAlign w:val="bottom"/>
          </w:tcPr>
          <w:p>
            <w:pPr>
              <w:ind w:left="300"/>
              <w:spacing w:after="0"/>
              <w:rPr>
                <w:sz w:val="20"/>
                <w:szCs w:val="20"/>
                <w:color w:val="auto"/>
              </w:rPr>
            </w:pPr>
            <w:r>
              <w:rPr>
                <w:rFonts w:ascii="Arial" w:cs="Arial" w:eastAsia="Arial" w:hAnsi="Arial"/>
                <w:sz w:val="16"/>
                <w:szCs w:val="16"/>
                <w:color w:val="auto"/>
              </w:rPr>
              <w:t>United States companies</w:t>
            </w:r>
          </w:p>
        </w:tc>
        <w:tc>
          <w:tcPr>
            <w:tcW w:w="420" w:type="dxa"/>
            <w:vAlign w:val="bottom"/>
            <w:shd w:val="clear" w:color="auto" w:fill="E1F4FD"/>
          </w:tcPr>
          <w:p>
            <w:pPr>
              <w:spacing w:after="0"/>
              <w:rPr>
                <w:sz w:val="22"/>
                <w:szCs w:val="22"/>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12.7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w:t>
            </w:r>
          </w:p>
        </w:tc>
        <w:tc>
          <w:tcPr>
            <w:tcW w:w="4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2"/>
                <w:szCs w:val="22"/>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300"/>
              <w:spacing w:after="0"/>
              <w:rPr>
                <w:sz w:val="20"/>
                <w:szCs w:val="20"/>
                <w:color w:val="auto"/>
              </w:rPr>
            </w:pPr>
            <w:r>
              <w:rPr>
                <w:rFonts w:ascii="Arial" w:cs="Arial" w:eastAsia="Arial" w:hAnsi="Arial"/>
                <w:sz w:val="16"/>
                <w:szCs w:val="16"/>
                <w:color w:val="auto"/>
              </w:rPr>
              <w:t>International companies</w:t>
            </w:r>
          </w:p>
        </w:tc>
        <w:tc>
          <w:tcPr>
            <w:tcW w:w="420" w:type="dxa"/>
            <w:vAlign w:val="bottom"/>
            <w:shd w:val="clear" w:color="auto" w:fill="E1F4FD"/>
          </w:tcPr>
          <w:p>
            <w:pPr>
              <w:spacing w:after="0"/>
              <w:rPr>
                <w:sz w:val="23"/>
                <w:szCs w:val="23"/>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00" w:type="dxa"/>
            <w:vAlign w:val="bottom"/>
            <w:shd w:val="clear" w:color="auto" w:fill="E1F4FD"/>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3"/>
                <w:szCs w:val="23"/>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17.8</w:t>
            </w:r>
          </w:p>
        </w:tc>
        <w:tc>
          <w:tcPr>
            <w:tcW w:w="120" w:type="dxa"/>
            <w:vAlign w:val="bottom"/>
            <w:shd w:val="clear" w:color="auto" w:fill="E1F4FD"/>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auto"/>
              </w:rPr>
              <w:t>Fixed income securities:</w:t>
            </w:r>
          </w:p>
        </w:tc>
        <w:tc>
          <w:tcPr>
            <w:tcW w:w="420" w:type="dxa"/>
            <w:vAlign w:val="bottom"/>
            <w:shd w:val="clear" w:color="auto" w:fill="E1F4FD"/>
          </w:tcPr>
          <w:p>
            <w:pPr>
              <w:spacing w:after="0"/>
              <w:rPr>
                <w:sz w:val="23"/>
                <w:szCs w:val="23"/>
                <w:color w:val="auto"/>
              </w:rPr>
            </w:pPr>
          </w:p>
        </w:tc>
        <w:tc>
          <w:tcPr>
            <w:tcW w:w="640" w:type="dxa"/>
            <w:vAlign w:val="bottom"/>
            <w:shd w:val="clear" w:color="auto" w:fill="E1F4FD"/>
          </w:tcPr>
          <w:p>
            <w:pPr>
              <w:spacing w:after="0"/>
              <w:rPr>
                <w:sz w:val="23"/>
                <w:szCs w:val="23"/>
                <w:color w:val="auto"/>
              </w:rPr>
            </w:pPr>
          </w:p>
        </w:tc>
        <w:tc>
          <w:tcPr>
            <w:tcW w:w="100" w:type="dxa"/>
            <w:vAlign w:val="bottom"/>
            <w:shd w:val="clear" w:color="auto" w:fill="E1F4FD"/>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shd w:val="clear" w:color="auto" w:fill="E1F4FD"/>
          </w:tcPr>
          <w:p>
            <w:pPr>
              <w:spacing w:after="0"/>
              <w:rPr>
                <w:sz w:val="23"/>
                <w:szCs w:val="23"/>
                <w:color w:val="auto"/>
              </w:rPr>
            </w:pPr>
          </w:p>
        </w:tc>
        <w:tc>
          <w:tcPr>
            <w:tcW w:w="660" w:type="dxa"/>
            <w:vAlign w:val="bottom"/>
            <w:shd w:val="clear" w:color="auto" w:fill="E1F4FD"/>
          </w:tcPr>
          <w:p>
            <w:pPr>
              <w:spacing w:after="0"/>
              <w:rPr>
                <w:sz w:val="23"/>
                <w:szCs w:val="23"/>
                <w:color w:val="auto"/>
              </w:rPr>
            </w:pPr>
          </w:p>
        </w:tc>
        <w:tc>
          <w:tcPr>
            <w:tcW w:w="120" w:type="dxa"/>
            <w:vAlign w:val="bottom"/>
            <w:shd w:val="clear" w:color="auto" w:fill="E1F4FD"/>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90"/>
        </w:trPr>
        <w:tc>
          <w:tcPr>
            <w:tcW w:w="2640" w:type="dxa"/>
            <w:vAlign w:val="bottom"/>
          </w:tcPr>
          <w:p>
            <w:pPr>
              <w:ind w:left="300"/>
              <w:spacing w:after="0"/>
              <w:rPr>
                <w:sz w:val="20"/>
                <w:szCs w:val="20"/>
                <w:color w:val="auto"/>
              </w:rPr>
            </w:pPr>
            <w:r>
              <w:rPr>
                <w:rFonts w:ascii="Arial" w:cs="Arial" w:eastAsia="Arial" w:hAnsi="Arial"/>
                <w:sz w:val="16"/>
                <w:szCs w:val="16"/>
                <w:color w:val="auto"/>
              </w:rPr>
              <w:t>Government bonds</w:t>
            </w:r>
            <w:r>
              <w:rPr>
                <w:rFonts w:ascii="Arial" w:cs="Arial" w:eastAsia="Arial" w:hAnsi="Arial"/>
                <w:sz w:val="21"/>
                <w:szCs w:val="21"/>
                <w:color w:val="auto"/>
                <w:vertAlign w:val="superscript"/>
              </w:rPr>
              <w:t>(2)</w:t>
            </w:r>
          </w:p>
        </w:tc>
        <w:tc>
          <w:tcPr>
            <w:tcW w:w="420" w:type="dxa"/>
            <w:vAlign w:val="bottom"/>
            <w:shd w:val="clear" w:color="auto" w:fill="E1F4FD"/>
          </w:tcPr>
          <w:p>
            <w:pPr>
              <w:spacing w:after="0"/>
              <w:rPr>
                <w:sz w:val="24"/>
                <w:szCs w:val="24"/>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16.9</w:t>
            </w:r>
          </w:p>
        </w:tc>
        <w:tc>
          <w:tcPr>
            <w:tcW w:w="100" w:type="dxa"/>
            <w:vAlign w:val="bottom"/>
            <w:shd w:val="clear" w:color="auto" w:fill="E1F4FD"/>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w:t>
            </w:r>
          </w:p>
        </w:tc>
        <w:tc>
          <w:tcPr>
            <w:tcW w:w="52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4"/>
                <w:szCs w:val="24"/>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47.8</w:t>
            </w:r>
          </w:p>
        </w:tc>
        <w:tc>
          <w:tcPr>
            <w:tcW w:w="120" w:type="dxa"/>
            <w:vAlign w:val="bottom"/>
            <w:shd w:val="clear" w:color="auto" w:fill="E1F4FD"/>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47.8</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640" w:type="dxa"/>
            <w:vAlign w:val="bottom"/>
          </w:tcPr>
          <w:p>
            <w:pPr>
              <w:ind w:left="300"/>
              <w:spacing w:after="0"/>
              <w:rPr>
                <w:sz w:val="20"/>
                <w:szCs w:val="20"/>
                <w:color w:val="auto"/>
              </w:rPr>
            </w:pPr>
            <w:r>
              <w:rPr>
                <w:rFonts w:ascii="Arial" w:cs="Arial" w:eastAsia="Arial" w:hAnsi="Arial"/>
                <w:sz w:val="16"/>
                <w:szCs w:val="16"/>
                <w:color w:val="auto"/>
              </w:rPr>
              <w:t>Corporate bonds</w:t>
            </w:r>
          </w:p>
        </w:tc>
        <w:tc>
          <w:tcPr>
            <w:tcW w:w="420" w:type="dxa"/>
            <w:vAlign w:val="bottom"/>
            <w:shd w:val="clear" w:color="auto" w:fill="E1F4FD"/>
          </w:tcPr>
          <w:p>
            <w:pPr>
              <w:spacing w:after="0"/>
              <w:rPr>
                <w:sz w:val="21"/>
                <w:szCs w:val="21"/>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7.2</w:t>
            </w:r>
          </w:p>
        </w:tc>
        <w:tc>
          <w:tcPr>
            <w:tcW w:w="100" w:type="dxa"/>
            <w:vAlign w:val="bottom"/>
            <w:shd w:val="clear" w:color="auto" w:fill="E1F4FD"/>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52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1"/>
                <w:szCs w:val="21"/>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31.2</w:t>
            </w:r>
          </w:p>
        </w:tc>
        <w:tc>
          <w:tcPr>
            <w:tcW w:w="120" w:type="dxa"/>
            <w:vAlign w:val="bottom"/>
            <w:shd w:val="clear" w:color="auto" w:fill="E1F4FD"/>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31.2</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300"/>
              <w:spacing w:after="0"/>
              <w:rPr>
                <w:sz w:val="20"/>
                <w:szCs w:val="20"/>
                <w:color w:val="auto"/>
              </w:rPr>
            </w:pPr>
            <w:r>
              <w:rPr>
                <w:rFonts w:ascii="Arial" w:cs="Arial" w:eastAsia="Arial" w:hAnsi="Arial"/>
                <w:sz w:val="16"/>
                <w:szCs w:val="16"/>
                <w:color w:val="auto"/>
              </w:rPr>
              <w:t>Guaranteed insurance contracts</w:t>
            </w:r>
          </w:p>
        </w:tc>
        <w:tc>
          <w:tcPr>
            <w:tcW w:w="420" w:type="dxa"/>
            <w:vAlign w:val="bottom"/>
            <w:shd w:val="clear" w:color="auto" w:fill="E1F4FD"/>
          </w:tcPr>
          <w:p>
            <w:pPr>
              <w:spacing w:after="0"/>
              <w:rPr>
                <w:sz w:val="23"/>
                <w:szCs w:val="23"/>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00" w:type="dxa"/>
            <w:vAlign w:val="bottom"/>
            <w:shd w:val="clear" w:color="auto" w:fill="E1F4FD"/>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3"/>
                <w:szCs w:val="23"/>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38.9</w:t>
            </w:r>
          </w:p>
        </w:tc>
        <w:tc>
          <w:tcPr>
            <w:tcW w:w="120" w:type="dxa"/>
            <w:vAlign w:val="bottom"/>
            <w:shd w:val="clear" w:color="auto" w:fill="E1F4FD"/>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38.9</w:t>
            </w:r>
          </w:p>
        </w:tc>
        <w:tc>
          <w:tcPr>
            <w:tcW w:w="4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300"/>
              <w:spacing w:after="0"/>
              <w:rPr>
                <w:sz w:val="20"/>
                <w:szCs w:val="20"/>
                <w:color w:val="auto"/>
              </w:rPr>
            </w:pPr>
            <w:r>
              <w:rPr>
                <w:rFonts w:ascii="Arial" w:cs="Arial" w:eastAsia="Arial" w:hAnsi="Arial"/>
                <w:sz w:val="16"/>
                <w:szCs w:val="16"/>
                <w:color w:val="auto"/>
              </w:rPr>
              <w:t>Annuity contract</w:t>
            </w:r>
          </w:p>
        </w:tc>
        <w:tc>
          <w:tcPr>
            <w:tcW w:w="420" w:type="dxa"/>
            <w:vAlign w:val="bottom"/>
            <w:shd w:val="clear" w:color="auto" w:fill="E1F4FD"/>
          </w:tcPr>
          <w:p>
            <w:pPr>
              <w:spacing w:after="0"/>
              <w:rPr>
                <w:sz w:val="23"/>
                <w:szCs w:val="23"/>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00" w:type="dxa"/>
            <w:vAlign w:val="bottom"/>
            <w:shd w:val="clear" w:color="auto" w:fill="E1F4FD"/>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3"/>
                <w:szCs w:val="23"/>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51.9</w:t>
            </w:r>
          </w:p>
        </w:tc>
        <w:tc>
          <w:tcPr>
            <w:tcW w:w="120" w:type="dxa"/>
            <w:vAlign w:val="bottom"/>
            <w:shd w:val="clear" w:color="auto" w:fill="E1F4FD"/>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51.9</w:t>
            </w:r>
          </w:p>
        </w:tc>
        <w:tc>
          <w:tcPr>
            <w:tcW w:w="4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auto"/>
              </w:rPr>
              <w:t>Other types of investments:</w:t>
            </w:r>
          </w:p>
        </w:tc>
        <w:tc>
          <w:tcPr>
            <w:tcW w:w="420" w:type="dxa"/>
            <w:vAlign w:val="bottom"/>
            <w:shd w:val="clear" w:color="auto" w:fill="E1F4FD"/>
          </w:tcPr>
          <w:p>
            <w:pPr>
              <w:spacing w:after="0"/>
              <w:rPr>
                <w:sz w:val="23"/>
                <w:szCs w:val="23"/>
                <w:color w:val="auto"/>
              </w:rPr>
            </w:pPr>
          </w:p>
        </w:tc>
        <w:tc>
          <w:tcPr>
            <w:tcW w:w="640" w:type="dxa"/>
            <w:vAlign w:val="bottom"/>
            <w:shd w:val="clear" w:color="auto" w:fill="E1F4FD"/>
          </w:tcPr>
          <w:p>
            <w:pPr>
              <w:spacing w:after="0"/>
              <w:rPr>
                <w:sz w:val="23"/>
                <w:szCs w:val="23"/>
                <w:color w:val="auto"/>
              </w:rPr>
            </w:pPr>
          </w:p>
        </w:tc>
        <w:tc>
          <w:tcPr>
            <w:tcW w:w="100" w:type="dxa"/>
            <w:vAlign w:val="bottom"/>
            <w:shd w:val="clear" w:color="auto" w:fill="E1F4FD"/>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shd w:val="clear" w:color="auto" w:fill="E1F4FD"/>
          </w:tcPr>
          <w:p>
            <w:pPr>
              <w:spacing w:after="0"/>
              <w:rPr>
                <w:sz w:val="23"/>
                <w:szCs w:val="23"/>
                <w:color w:val="auto"/>
              </w:rPr>
            </w:pPr>
          </w:p>
        </w:tc>
        <w:tc>
          <w:tcPr>
            <w:tcW w:w="660" w:type="dxa"/>
            <w:vAlign w:val="bottom"/>
            <w:shd w:val="clear" w:color="auto" w:fill="E1F4FD"/>
          </w:tcPr>
          <w:p>
            <w:pPr>
              <w:spacing w:after="0"/>
              <w:rPr>
                <w:sz w:val="23"/>
                <w:szCs w:val="23"/>
                <w:color w:val="auto"/>
              </w:rPr>
            </w:pPr>
          </w:p>
        </w:tc>
        <w:tc>
          <w:tcPr>
            <w:tcW w:w="120" w:type="dxa"/>
            <w:vAlign w:val="bottom"/>
            <w:shd w:val="clear" w:color="auto" w:fill="E1F4FD"/>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90"/>
        </w:trPr>
        <w:tc>
          <w:tcPr>
            <w:tcW w:w="2640" w:type="dxa"/>
            <w:vAlign w:val="bottom"/>
          </w:tcPr>
          <w:p>
            <w:pPr>
              <w:ind w:left="300"/>
              <w:spacing w:after="0"/>
              <w:rPr>
                <w:sz w:val="20"/>
                <w:szCs w:val="20"/>
                <w:color w:val="auto"/>
              </w:rPr>
            </w:pPr>
            <w:r>
              <w:rPr>
                <w:rFonts w:ascii="Arial" w:cs="Arial" w:eastAsia="Arial" w:hAnsi="Arial"/>
                <w:sz w:val="16"/>
                <w:szCs w:val="16"/>
                <w:color w:val="auto"/>
              </w:rPr>
              <w:t>Unitized funds</w:t>
            </w:r>
            <w:r>
              <w:rPr>
                <w:rFonts w:ascii="Arial" w:cs="Arial" w:eastAsia="Arial" w:hAnsi="Arial"/>
                <w:sz w:val="21"/>
                <w:szCs w:val="21"/>
                <w:color w:val="auto"/>
                <w:vertAlign w:val="superscript"/>
              </w:rPr>
              <w:t>(3)</w:t>
            </w:r>
          </w:p>
        </w:tc>
        <w:tc>
          <w:tcPr>
            <w:tcW w:w="420" w:type="dxa"/>
            <w:vAlign w:val="bottom"/>
            <w:shd w:val="clear" w:color="auto" w:fill="E1F4FD"/>
          </w:tcPr>
          <w:p>
            <w:pPr>
              <w:spacing w:after="0"/>
              <w:rPr>
                <w:sz w:val="24"/>
                <w:szCs w:val="24"/>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00" w:type="dxa"/>
            <w:vAlign w:val="bottom"/>
            <w:shd w:val="clear" w:color="auto" w:fill="E1F4FD"/>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4"/>
                <w:szCs w:val="24"/>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26.4</w:t>
            </w:r>
          </w:p>
        </w:tc>
        <w:tc>
          <w:tcPr>
            <w:tcW w:w="120" w:type="dxa"/>
            <w:vAlign w:val="bottom"/>
            <w:shd w:val="clear" w:color="auto" w:fill="E1F4FD"/>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640" w:type="dxa"/>
            <w:vAlign w:val="bottom"/>
          </w:tcPr>
          <w:p>
            <w:pPr>
              <w:ind w:left="300"/>
              <w:spacing w:after="0"/>
              <w:rPr>
                <w:sz w:val="20"/>
                <w:szCs w:val="20"/>
                <w:color w:val="auto"/>
              </w:rPr>
            </w:pPr>
            <w:r>
              <w:rPr>
                <w:rFonts w:ascii="Arial" w:cs="Arial" w:eastAsia="Arial" w:hAnsi="Arial"/>
                <w:sz w:val="16"/>
                <w:szCs w:val="16"/>
                <w:color w:val="auto"/>
              </w:rPr>
              <w:t>Insurance contracts</w:t>
            </w:r>
          </w:p>
        </w:tc>
        <w:tc>
          <w:tcPr>
            <w:tcW w:w="420" w:type="dxa"/>
            <w:vAlign w:val="bottom"/>
            <w:shd w:val="clear" w:color="auto" w:fill="E1F4FD"/>
          </w:tcPr>
          <w:p>
            <w:pPr>
              <w:spacing w:after="0"/>
              <w:rPr>
                <w:sz w:val="21"/>
                <w:szCs w:val="21"/>
                <w:color w:val="auto"/>
              </w:rPr>
            </w:pPr>
          </w:p>
        </w:tc>
        <w:tc>
          <w:tcPr>
            <w:tcW w:w="64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00" w:type="dxa"/>
            <w:vAlign w:val="bottom"/>
            <w:shd w:val="clear" w:color="auto" w:fill="E1F4FD"/>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1F4FD"/>
          </w:tcPr>
          <w:p>
            <w:pPr>
              <w:spacing w:after="0"/>
              <w:rPr>
                <w:sz w:val="21"/>
                <w:szCs w:val="21"/>
                <w:color w:val="auto"/>
              </w:rPr>
            </w:pPr>
          </w:p>
        </w:tc>
        <w:tc>
          <w:tcPr>
            <w:tcW w:w="660" w:type="dxa"/>
            <w:vAlign w:val="bottom"/>
            <w:shd w:val="clear" w:color="auto" w:fill="E1F4FD"/>
          </w:tcPr>
          <w:p>
            <w:pPr>
              <w:jc w:val="right"/>
              <w:spacing w:after="0"/>
              <w:rPr>
                <w:sz w:val="20"/>
                <w:szCs w:val="20"/>
                <w:color w:val="auto"/>
              </w:rPr>
            </w:pPr>
            <w:r>
              <w:rPr>
                <w:rFonts w:ascii="Arial" w:cs="Arial" w:eastAsia="Arial" w:hAnsi="Arial"/>
                <w:sz w:val="16"/>
                <w:szCs w:val="16"/>
                <w:color w:val="2989B9"/>
              </w:rPr>
              <w:t>92.0</w:t>
            </w:r>
          </w:p>
        </w:tc>
        <w:tc>
          <w:tcPr>
            <w:tcW w:w="120" w:type="dxa"/>
            <w:vAlign w:val="bottom"/>
            <w:shd w:val="clear" w:color="auto" w:fill="E1F4FD"/>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92.0</w:t>
            </w:r>
          </w:p>
        </w:tc>
      </w:tr>
      <w:tr>
        <w:trPr>
          <w:trHeight w:val="283"/>
        </w:trPr>
        <w:tc>
          <w:tcPr>
            <w:tcW w:w="26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Real estate funds</w:t>
            </w:r>
          </w:p>
        </w:tc>
        <w:tc>
          <w:tcPr>
            <w:tcW w:w="420" w:type="dxa"/>
            <w:vAlign w:val="bottom"/>
            <w:tcBorders>
              <w:bottom w:val="single" w:sz="8" w:color="auto"/>
            </w:tcBorders>
            <w:shd w:val="clear" w:color="auto" w:fill="E1F4FD"/>
          </w:tcPr>
          <w:p>
            <w:pPr>
              <w:spacing w:after="0"/>
              <w:rPr>
                <w:sz w:val="24"/>
                <w:szCs w:val="24"/>
                <w:color w:val="auto"/>
              </w:rPr>
            </w:pPr>
          </w:p>
        </w:tc>
        <w:tc>
          <w:tcPr>
            <w:tcW w:w="6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989B9"/>
              </w:rPr>
              <w:t>—</w:t>
            </w:r>
          </w:p>
        </w:tc>
        <w:tc>
          <w:tcPr>
            <w:tcW w:w="100" w:type="dxa"/>
            <w:vAlign w:val="bottom"/>
            <w:tcBorders>
              <w:bottom w:val="single" w:sz="8" w:color="auto"/>
            </w:tcBorders>
            <w:shd w:val="clear" w:color="auto" w:fill="E1F4FD"/>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1F4FD"/>
          </w:tcPr>
          <w:p>
            <w:pPr>
              <w:spacing w:after="0"/>
              <w:rPr>
                <w:sz w:val="24"/>
                <w:szCs w:val="24"/>
                <w:color w:val="auto"/>
              </w:rPr>
            </w:pPr>
          </w:p>
        </w:tc>
        <w:tc>
          <w:tcPr>
            <w:tcW w:w="6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989B9"/>
              </w:rPr>
              <w:t>8.3</w:t>
            </w:r>
          </w:p>
        </w:tc>
        <w:tc>
          <w:tcPr>
            <w:tcW w:w="120" w:type="dxa"/>
            <w:vAlign w:val="bottom"/>
            <w:tcBorders>
              <w:bottom w:val="single" w:sz="8" w:color="auto"/>
            </w:tcBorders>
            <w:shd w:val="clear" w:color="auto" w:fill="E1F4FD"/>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shd w:val="clear" w:color="auto" w:fill="E1F4FD"/>
          </w:tcPr>
          <w:p>
            <w:pPr>
              <w:jc w:val="right"/>
              <w:ind w:right="219"/>
              <w:spacing w:after="0"/>
              <w:rPr>
                <w:sz w:val="20"/>
                <w:szCs w:val="20"/>
                <w:color w:val="auto"/>
              </w:rPr>
            </w:pPr>
            <w:r>
              <w:rPr>
                <w:rFonts w:ascii="Arial" w:cs="Arial" w:eastAsia="Arial" w:hAnsi="Arial"/>
                <w:sz w:val="16"/>
                <w:szCs w:val="16"/>
                <w:color w:val="2989B9"/>
              </w:rPr>
              <w:t>$</w:t>
            </w:r>
          </w:p>
        </w:tc>
        <w:tc>
          <w:tcPr>
            <w:tcW w:w="6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989B9"/>
              </w:rPr>
              <w:t>37.2</w:t>
            </w:r>
          </w:p>
        </w:tc>
        <w:tc>
          <w:tcPr>
            <w:tcW w:w="100" w:type="dxa"/>
            <w:vAlign w:val="bottom"/>
            <w:tcBorders>
              <w:bottom w:val="single" w:sz="8" w:color="auto"/>
            </w:tcBorders>
            <w:shd w:val="clear" w:color="auto" w:fill="E1F4FD"/>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1F4FD"/>
          </w:tcPr>
          <w:p>
            <w:pPr>
              <w:jc w:val="right"/>
              <w:ind w:right="159"/>
              <w:spacing w:after="0"/>
              <w:rPr>
                <w:sz w:val="20"/>
                <w:szCs w:val="20"/>
                <w:color w:val="auto"/>
              </w:rPr>
            </w:pPr>
            <w:r>
              <w:rPr>
                <w:rFonts w:ascii="Arial" w:cs="Arial" w:eastAsia="Arial" w:hAnsi="Arial"/>
                <w:sz w:val="16"/>
                <w:szCs w:val="16"/>
                <w:color w:val="2989B9"/>
              </w:rPr>
              <w:t>$</w:t>
            </w:r>
          </w:p>
        </w:tc>
        <w:tc>
          <w:tcPr>
            <w:tcW w:w="6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2989B9"/>
              </w:rPr>
              <w:t>314.7</w:t>
            </w:r>
          </w:p>
        </w:tc>
        <w:tc>
          <w:tcPr>
            <w:tcW w:w="120" w:type="dxa"/>
            <w:vAlign w:val="bottom"/>
            <w:tcBorders>
              <w:bottom w:val="single" w:sz="8" w:color="auto"/>
            </w:tcBorders>
            <w:shd w:val="clear" w:color="auto" w:fill="E1F4FD"/>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92.0</w:t>
            </w:r>
          </w:p>
        </w:tc>
      </w:tr>
      <w:tr>
        <w:trPr>
          <w:trHeight w:val="122"/>
        </w:trPr>
        <w:tc>
          <w:tcPr>
            <w:tcW w:w="2640" w:type="dxa"/>
            <w:vAlign w:val="bottom"/>
          </w:tcPr>
          <w:p>
            <w:pPr>
              <w:spacing w:after="0"/>
              <w:rPr>
                <w:sz w:val="10"/>
                <w:szCs w:val="10"/>
                <w:color w:val="auto"/>
              </w:rPr>
            </w:pPr>
          </w:p>
        </w:tc>
        <w:tc>
          <w:tcPr>
            <w:tcW w:w="420" w:type="dxa"/>
            <w:vAlign w:val="bottom"/>
            <w:shd w:val="clear" w:color="auto" w:fill="2989B9"/>
          </w:tcPr>
          <w:p>
            <w:pPr>
              <w:spacing w:after="0"/>
              <w:rPr>
                <w:sz w:val="10"/>
                <w:szCs w:val="10"/>
                <w:color w:val="auto"/>
              </w:rPr>
            </w:pPr>
          </w:p>
        </w:tc>
        <w:tc>
          <w:tcPr>
            <w:tcW w:w="640" w:type="dxa"/>
            <w:vAlign w:val="bottom"/>
            <w:shd w:val="clear" w:color="auto" w:fill="2989B9"/>
          </w:tcPr>
          <w:p>
            <w:pPr>
              <w:spacing w:after="0"/>
              <w:rPr>
                <w:sz w:val="10"/>
                <w:szCs w:val="10"/>
                <w:color w:val="auto"/>
              </w:rPr>
            </w:pPr>
          </w:p>
        </w:tc>
        <w:tc>
          <w:tcPr>
            <w:tcW w:w="100" w:type="dxa"/>
            <w:vAlign w:val="bottom"/>
            <w:shd w:val="clear" w:color="auto" w:fill="2989B9"/>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shd w:val="clear" w:color="auto" w:fill="2989B9"/>
          </w:tcPr>
          <w:p>
            <w:pPr>
              <w:spacing w:after="0"/>
              <w:rPr>
                <w:sz w:val="10"/>
                <w:szCs w:val="10"/>
                <w:color w:val="auto"/>
              </w:rPr>
            </w:pPr>
          </w:p>
        </w:tc>
        <w:tc>
          <w:tcPr>
            <w:tcW w:w="660" w:type="dxa"/>
            <w:vAlign w:val="bottom"/>
            <w:shd w:val="clear" w:color="auto" w:fill="2989B9"/>
          </w:tcPr>
          <w:p>
            <w:pPr>
              <w:spacing w:after="0"/>
              <w:rPr>
                <w:sz w:val="10"/>
                <w:szCs w:val="10"/>
                <w:color w:val="auto"/>
              </w:rPr>
            </w:pPr>
          </w:p>
        </w:tc>
        <w:tc>
          <w:tcPr>
            <w:tcW w:w="120" w:type="dxa"/>
            <w:vAlign w:val="bottom"/>
            <w:shd w:val="clear" w:color="auto" w:fill="2989B9"/>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82A32"/>
        </w:rPr>
        <w:t>(1)This category includes a prime obligations money market portfolio.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82A32"/>
        </w:rPr>
        <w:t>(2)This category includes United States Treasury/Federal agency securities and foreign government securities.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82A32"/>
        </w:rPr>
        <w:t>(3)This category includes investments in approximately 50% equity securities, 40% fixed income securities and 10% cash.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72</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4"/>
          <w:szCs w:val="14"/>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27616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2761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9" w:lineRule="exact"/>
        <w:rPr>
          <w:sz w:val="20"/>
          <w:szCs w:val="20"/>
          <w:color w:val="auto"/>
        </w:rPr>
      </w:pPr>
    </w:p>
    <w:tbl>
      <w:tblPr>
        <w:tblLayout w:type="fixed"/>
        <w:tblInd w:w="280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Quoted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Prices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in Active</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Significant</w:t>
            </w:r>
          </w:p>
        </w:tc>
        <w:tc>
          <w:tcPr>
            <w:tcW w:w="100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Markets for</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Other</w:t>
            </w:r>
          </w:p>
        </w:tc>
        <w:tc>
          <w:tcPr>
            <w:tcW w:w="1000" w:type="dxa"/>
            <w:vAlign w:val="bottom"/>
          </w:tcPr>
          <w:p>
            <w:pPr>
              <w:jc w:val="right"/>
              <w:spacing w:after="0"/>
              <w:rPr>
                <w:sz w:val="20"/>
                <w:szCs w:val="20"/>
                <w:color w:val="auto"/>
              </w:rPr>
            </w:pPr>
            <w:r>
              <w:rPr>
                <w:rFonts w:ascii="Arial" w:cs="Arial" w:eastAsia="Arial" w:hAnsi="Arial"/>
                <w:sz w:val="14"/>
                <w:szCs w:val="14"/>
                <w:color w:val="auto"/>
              </w:rPr>
              <w:t>Significant</w:t>
            </w:r>
          </w:p>
        </w:tc>
      </w:tr>
      <w:tr>
        <w:trPr>
          <w:trHeight w:val="162"/>
        </w:trPr>
        <w:tc>
          <w:tcPr>
            <w:tcW w:w="10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Identical</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Observable</w:t>
            </w:r>
          </w:p>
        </w:tc>
        <w:tc>
          <w:tcPr>
            <w:tcW w:w="1000" w:type="dxa"/>
            <w:vAlign w:val="bottom"/>
          </w:tcPr>
          <w:p>
            <w:pPr>
              <w:jc w:val="right"/>
              <w:spacing w:after="0"/>
              <w:rPr>
                <w:sz w:val="20"/>
                <w:szCs w:val="20"/>
                <w:color w:val="auto"/>
              </w:rPr>
            </w:pPr>
            <w:r>
              <w:rPr>
                <w:rFonts w:ascii="Arial" w:cs="Arial" w:eastAsia="Arial" w:hAnsi="Arial"/>
                <w:sz w:val="14"/>
                <w:szCs w:val="14"/>
                <w:color w:val="auto"/>
              </w:rPr>
              <w:t>Unobservable</w:t>
            </w:r>
          </w:p>
        </w:tc>
      </w:tr>
      <w:tr>
        <w:trPr>
          <w:trHeight w:val="162"/>
        </w:trPr>
        <w:tc>
          <w:tcPr>
            <w:tcW w:w="1040" w:type="dxa"/>
            <w:vAlign w:val="bottom"/>
          </w:tcPr>
          <w:p>
            <w:pPr>
              <w:jc w:val="right"/>
              <w:ind w:right="68"/>
              <w:spacing w:after="0"/>
              <w:rPr>
                <w:sz w:val="20"/>
                <w:szCs w:val="20"/>
                <w:color w:val="auto"/>
              </w:rPr>
            </w:pPr>
            <w:r>
              <w:rPr>
                <w:rFonts w:ascii="Arial" w:cs="Arial" w:eastAsia="Arial" w:hAnsi="Arial"/>
                <w:sz w:val="14"/>
                <w:szCs w:val="14"/>
                <w:color w:val="auto"/>
              </w:rPr>
              <w:t>December 31,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Assets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Inputs</w:t>
            </w:r>
          </w:p>
        </w:tc>
        <w:tc>
          <w:tcPr>
            <w:tcW w:w="1000" w:type="dxa"/>
            <w:vAlign w:val="bottom"/>
          </w:tcPr>
          <w:p>
            <w:pPr>
              <w:jc w:val="right"/>
              <w:spacing w:after="0"/>
              <w:rPr>
                <w:sz w:val="20"/>
                <w:szCs w:val="20"/>
                <w:color w:val="auto"/>
              </w:rPr>
            </w:pPr>
            <w:r>
              <w:rPr>
                <w:rFonts w:ascii="Arial" w:cs="Arial" w:eastAsia="Arial" w:hAnsi="Arial"/>
                <w:sz w:val="14"/>
                <w:szCs w:val="14"/>
                <w:color w:val="auto"/>
              </w:rPr>
              <w:t>Inputs</w:t>
            </w:r>
          </w:p>
        </w:tc>
      </w:tr>
      <w:tr>
        <w:trPr>
          <w:trHeight w:val="172"/>
        </w:trPr>
        <w:tc>
          <w:tcPr>
            <w:tcW w:w="104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(Level 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14605</wp:posOffset>
            </wp:positionV>
            <wp:extent cx="274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14605</wp:posOffset>
            </wp:positionV>
            <wp:extent cx="274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Quoted</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Prices</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in Active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Significant</w:t>
            </w:r>
          </w:p>
        </w:tc>
        <w:tc>
          <w:tcPr>
            <w:tcW w:w="102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Markets for</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Other</w:t>
            </w:r>
          </w:p>
        </w:tc>
        <w:tc>
          <w:tcPr>
            <w:tcW w:w="1020" w:type="dxa"/>
            <w:vAlign w:val="bottom"/>
          </w:tcPr>
          <w:p>
            <w:pPr>
              <w:jc w:val="right"/>
              <w:spacing w:after="0"/>
              <w:rPr>
                <w:sz w:val="20"/>
                <w:szCs w:val="20"/>
                <w:color w:val="auto"/>
              </w:rPr>
            </w:pPr>
            <w:r>
              <w:rPr>
                <w:rFonts w:ascii="Arial" w:cs="Arial" w:eastAsia="Arial" w:hAnsi="Arial"/>
                <w:sz w:val="14"/>
                <w:szCs w:val="14"/>
                <w:color w:val="auto"/>
              </w:rPr>
              <w:t>Significant</w:t>
            </w:r>
          </w:p>
        </w:tc>
      </w:tr>
      <w:tr>
        <w:trPr>
          <w:trHeight w:val="162"/>
        </w:trPr>
        <w:tc>
          <w:tcPr>
            <w:tcW w:w="10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Identical</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Observable</w:t>
            </w:r>
          </w:p>
        </w:tc>
        <w:tc>
          <w:tcPr>
            <w:tcW w:w="1020" w:type="dxa"/>
            <w:vAlign w:val="bottom"/>
          </w:tcPr>
          <w:p>
            <w:pPr>
              <w:jc w:val="right"/>
              <w:spacing w:after="0"/>
              <w:rPr>
                <w:sz w:val="20"/>
                <w:szCs w:val="20"/>
                <w:color w:val="auto"/>
              </w:rPr>
            </w:pPr>
            <w:r>
              <w:rPr>
                <w:rFonts w:ascii="Arial" w:cs="Arial" w:eastAsia="Arial" w:hAnsi="Arial"/>
                <w:sz w:val="14"/>
                <w:szCs w:val="14"/>
                <w:color w:val="auto"/>
              </w:rPr>
              <w:t>Unobservable</w:t>
            </w:r>
          </w:p>
        </w:tc>
      </w:tr>
      <w:tr>
        <w:trPr>
          <w:trHeight w:val="162"/>
        </w:trPr>
        <w:tc>
          <w:tcPr>
            <w:tcW w:w="1060" w:type="dxa"/>
            <w:vAlign w:val="bottom"/>
          </w:tcPr>
          <w:p>
            <w:pPr>
              <w:jc w:val="right"/>
              <w:ind w:right="88"/>
              <w:spacing w:after="0"/>
              <w:rPr>
                <w:sz w:val="20"/>
                <w:szCs w:val="20"/>
                <w:color w:val="auto"/>
              </w:rPr>
            </w:pPr>
            <w:r>
              <w:rPr>
                <w:rFonts w:ascii="Arial" w:cs="Arial" w:eastAsia="Arial" w:hAnsi="Arial"/>
                <w:sz w:val="14"/>
                <w:szCs w:val="14"/>
                <w:color w:val="auto"/>
              </w:rPr>
              <w:t>December 31,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Assets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Inputs</w:t>
            </w:r>
          </w:p>
        </w:tc>
        <w:tc>
          <w:tcPr>
            <w:tcW w:w="1020" w:type="dxa"/>
            <w:vAlign w:val="bottom"/>
          </w:tcPr>
          <w:p>
            <w:pPr>
              <w:jc w:val="right"/>
              <w:spacing w:after="0"/>
              <w:rPr>
                <w:sz w:val="20"/>
                <w:szCs w:val="20"/>
                <w:color w:val="auto"/>
              </w:rPr>
            </w:pPr>
            <w:r>
              <w:rPr>
                <w:rFonts w:ascii="Arial" w:cs="Arial" w:eastAsia="Arial" w:hAnsi="Arial"/>
                <w:sz w:val="14"/>
                <w:szCs w:val="14"/>
                <w:color w:val="auto"/>
              </w:rPr>
              <w:t>Inputs</w:t>
            </w:r>
          </w:p>
        </w:tc>
      </w:tr>
      <w:tr>
        <w:trPr>
          <w:trHeight w:val="172"/>
        </w:trPr>
        <w:tc>
          <w:tcPr>
            <w:tcW w:w="1060" w:type="dxa"/>
            <w:vAlign w:val="bottom"/>
          </w:tcPr>
          <w:p>
            <w:pPr>
              <w:jc w:val="right"/>
              <w:ind w:right="88"/>
              <w:spacing w:after="0"/>
              <w:rPr>
                <w:sz w:val="20"/>
                <w:szCs w:val="20"/>
                <w:color w:val="auto"/>
              </w:rPr>
            </w:pPr>
            <w:r>
              <w:rPr>
                <w:rFonts w:ascii="Arial" w:cs="Arial" w:eastAsia="Arial" w:hAnsi="Arial"/>
                <w:sz w:val="14"/>
                <w:szCs w:val="14"/>
                <w:color w:val="auto"/>
              </w:rPr>
              <w:t>2014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(Level 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(Level 2)</w:t>
            </w:r>
          </w:p>
        </w:tc>
        <w:tc>
          <w:tcPr>
            <w:tcW w:w="1020" w:type="dxa"/>
            <w:vAlign w:val="bottom"/>
          </w:tcPr>
          <w:p>
            <w:pPr>
              <w:jc w:val="right"/>
              <w:spacing w:after="0"/>
              <w:rPr>
                <w:sz w:val="20"/>
                <w:szCs w:val="20"/>
                <w:color w:val="auto"/>
              </w:rPr>
            </w:pPr>
            <w:r>
              <w:rPr>
                <w:rFonts w:ascii="Arial" w:cs="Arial" w:eastAsia="Arial" w:hAnsi="Arial"/>
                <w:sz w:val="14"/>
                <w:szCs w:val="14"/>
                <w:color w:val="auto"/>
              </w:rPr>
              <w:t>(Level 3)</w:t>
            </w:r>
          </w:p>
        </w:tc>
      </w:tr>
    </w:tbl>
    <w:p>
      <w:pPr>
        <w:spacing w:after="0" w:line="200" w:lineRule="exact"/>
        <w:rPr>
          <w:sz w:val="20"/>
          <w:szCs w:val="20"/>
          <w:color w:val="auto"/>
        </w:rPr>
      </w:pPr>
    </w:p>
    <w:p>
      <w:pPr>
        <w:sectPr>
          <w:pgSz w:w="11900" w:h="16838" w:orient="portrait"/>
          <w:cols w:equalWidth="0" w:num="2">
            <w:col w:w="6880" w:space="340"/>
            <w:col w:w="4200"/>
          </w:cols>
          <w:pgMar w:left="240" w:top="603" w:right="239" w:bottom="1440" w:gutter="0" w:footer="0" w:header="0"/>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4F8ABE"/>
              </w:rPr>
              <w:t>Asset Category</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6"/>
        </w:trPr>
        <w:tc>
          <w:tcPr>
            <w:tcW w:w="2640" w:type="dxa"/>
            <w:vAlign w:val="bottom"/>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0"/>
        </w:trPr>
        <w:tc>
          <w:tcPr>
            <w:tcW w:w="2640" w:type="dxa"/>
            <w:vAlign w:val="bottom"/>
          </w:tcPr>
          <w:p>
            <w:pPr>
              <w:ind w:left="300"/>
              <w:spacing w:after="0"/>
              <w:rPr>
                <w:sz w:val="20"/>
                <w:szCs w:val="20"/>
                <w:color w:val="auto"/>
              </w:rPr>
            </w:pPr>
            <w:r>
              <w:rPr>
                <w:rFonts w:ascii="Arial" w:cs="Arial" w:eastAsia="Arial" w:hAnsi="Arial"/>
                <w:sz w:val="16"/>
                <w:szCs w:val="16"/>
                <w:color w:val="auto"/>
              </w:rPr>
              <w:t>United States companies</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300"/>
              <w:spacing w:after="0"/>
              <w:rPr>
                <w:sz w:val="20"/>
                <w:szCs w:val="20"/>
                <w:color w:val="auto"/>
              </w:rPr>
            </w:pPr>
            <w:r>
              <w:rPr>
                <w:rFonts w:ascii="Arial" w:cs="Arial" w:eastAsia="Arial" w:hAnsi="Arial"/>
                <w:sz w:val="16"/>
                <w:szCs w:val="16"/>
                <w:color w:val="auto"/>
              </w:rPr>
              <w:t>International companies</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auto"/>
              </w:rPr>
              <w:t>Fixed income securities:</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346"/>
        </w:trPr>
        <w:tc>
          <w:tcPr>
            <w:tcW w:w="2640" w:type="dxa"/>
            <w:vAlign w:val="bottom"/>
          </w:tcPr>
          <w:p>
            <w:pPr>
              <w:ind w:left="300"/>
              <w:spacing w:after="0"/>
              <w:rPr>
                <w:sz w:val="20"/>
                <w:szCs w:val="20"/>
                <w:color w:val="auto"/>
              </w:rPr>
            </w:pPr>
            <w:r>
              <w:rPr>
                <w:rFonts w:ascii="Arial" w:cs="Arial" w:eastAsia="Arial" w:hAnsi="Arial"/>
                <w:sz w:val="16"/>
                <w:szCs w:val="16"/>
                <w:color w:val="auto"/>
              </w:rPr>
              <w:t>Government bonds</w:t>
            </w:r>
            <w:r>
              <w:rPr>
                <w:rFonts w:ascii="Arial" w:cs="Arial" w:eastAsia="Arial" w:hAnsi="Arial"/>
                <w:sz w:val="21"/>
                <w:szCs w:val="21"/>
                <w:color w:val="auto"/>
                <w:vertAlign w:val="superscript"/>
              </w:rPr>
              <w:t>(2)</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w:t>
            </w:r>
          </w:p>
        </w:tc>
        <w:tc>
          <w:tcPr>
            <w:tcW w:w="5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45.3</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45.3</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2640" w:type="dxa"/>
            <w:vAlign w:val="bottom"/>
          </w:tcPr>
          <w:p>
            <w:pPr>
              <w:ind w:left="300"/>
              <w:spacing w:after="0"/>
              <w:rPr>
                <w:sz w:val="20"/>
                <w:szCs w:val="20"/>
                <w:color w:val="auto"/>
              </w:rPr>
            </w:pPr>
            <w:r>
              <w:rPr>
                <w:rFonts w:ascii="Arial" w:cs="Arial" w:eastAsia="Arial" w:hAnsi="Arial"/>
                <w:sz w:val="16"/>
                <w:szCs w:val="16"/>
                <w:color w:val="auto"/>
              </w:rPr>
              <w:t>Corporate bonds</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62.5</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62.5</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300"/>
              <w:spacing w:after="0"/>
              <w:rPr>
                <w:sz w:val="20"/>
                <w:szCs w:val="20"/>
                <w:color w:val="auto"/>
              </w:rPr>
            </w:pPr>
            <w:r>
              <w:rPr>
                <w:rFonts w:ascii="Arial" w:cs="Arial" w:eastAsia="Arial" w:hAnsi="Arial"/>
                <w:sz w:val="16"/>
                <w:szCs w:val="16"/>
                <w:color w:val="auto"/>
              </w:rPr>
              <w:t>Guaranteed insurance contracts</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42.0</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42.0</w:t>
            </w:r>
          </w:p>
        </w:tc>
        <w:tc>
          <w:tcPr>
            <w:tcW w:w="42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300"/>
              <w:spacing w:after="0"/>
              <w:rPr>
                <w:sz w:val="20"/>
                <w:szCs w:val="20"/>
                <w:color w:val="auto"/>
              </w:rPr>
            </w:pPr>
            <w:r>
              <w:rPr>
                <w:rFonts w:ascii="Arial" w:cs="Arial" w:eastAsia="Arial" w:hAnsi="Arial"/>
                <w:sz w:val="16"/>
                <w:szCs w:val="16"/>
                <w:color w:val="auto"/>
              </w:rPr>
              <w:t>Annuity contract</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35.5</w:t>
            </w:r>
          </w:p>
        </w:tc>
        <w:tc>
          <w:tcPr>
            <w:tcW w:w="42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auto"/>
              </w:rPr>
              <w:t>Other types of investments:</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346"/>
        </w:trPr>
        <w:tc>
          <w:tcPr>
            <w:tcW w:w="2640" w:type="dxa"/>
            <w:vAlign w:val="bottom"/>
          </w:tcPr>
          <w:p>
            <w:pPr>
              <w:ind w:left="300"/>
              <w:spacing w:after="0"/>
              <w:rPr>
                <w:sz w:val="20"/>
                <w:szCs w:val="20"/>
                <w:color w:val="auto"/>
              </w:rPr>
            </w:pPr>
            <w:r>
              <w:rPr>
                <w:rFonts w:ascii="Arial" w:cs="Arial" w:eastAsia="Arial" w:hAnsi="Arial"/>
                <w:sz w:val="16"/>
                <w:szCs w:val="16"/>
                <w:color w:val="auto"/>
              </w:rPr>
              <w:t>Unitized funds</w:t>
            </w:r>
            <w:r>
              <w:rPr>
                <w:rFonts w:ascii="Arial" w:cs="Arial" w:eastAsia="Arial" w:hAnsi="Arial"/>
                <w:sz w:val="21"/>
                <w:szCs w:val="21"/>
                <w:color w:val="auto"/>
                <w:vertAlign w:val="superscript"/>
              </w:rPr>
              <w:t>(3)</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2640" w:type="dxa"/>
            <w:vAlign w:val="bottom"/>
          </w:tcPr>
          <w:p>
            <w:pPr>
              <w:ind w:left="300"/>
              <w:spacing w:after="0"/>
              <w:rPr>
                <w:sz w:val="20"/>
                <w:szCs w:val="20"/>
                <w:color w:val="auto"/>
              </w:rPr>
            </w:pPr>
            <w:r>
              <w:rPr>
                <w:rFonts w:ascii="Arial" w:cs="Arial" w:eastAsia="Arial" w:hAnsi="Arial"/>
                <w:sz w:val="16"/>
                <w:szCs w:val="16"/>
                <w:color w:val="auto"/>
              </w:rPr>
              <w:t>Insurance contract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104.9</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104.9</w:t>
            </w:r>
          </w:p>
        </w:tc>
      </w:tr>
      <w:tr>
        <w:trPr>
          <w:trHeight w:val="283"/>
        </w:trPr>
        <w:tc>
          <w:tcPr>
            <w:tcW w:w="26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Real estate funds</w:t>
            </w: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104.9</w:t>
            </w:r>
          </w:p>
        </w:tc>
      </w:tr>
    </w:tbl>
    <w:p>
      <w:pPr>
        <w:spacing w:after="0" w:line="153"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4"/>
          <w:szCs w:val="14"/>
          <w:color w:val="282A32"/>
        </w:rPr>
      </w:pPr>
      <w:r>
        <w:rPr>
          <w:rFonts w:ascii="Arial" w:cs="Arial" w:eastAsia="Arial" w:hAnsi="Arial"/>
          <w:sz w:val="14"/>
          <w:szCs w:val="14"/>
          <w:color w:val="282A32"/>
        </w:rPr>
        <w:t>This category includes a prime obligations money market portfolio.</w:t>
      </w:r>
    </w:p>
    <w:p>
      <w:pPr>
        <w:spacing w:after="0" w:line="1" w:lineRule="exact"/>
        <w:rPr>
          <w:rFonts w:ascii="Arial" w:cs="Arial" w:eastAsia="Arial" w:hAnsi="Arial"/>
          <w:sz w:val="14"/>
          <w:szCs w:val="14"/>
          <w:color w:val="282A32"/>
        </w:rPr>
      </w:pPr>
    </w:p>
    <w:p>
      <w:pPr>
        <w:ind w:left="220" w:hanging="212"/>
        <w:spacing w:after="0"/>
        <w:tabs>
          <w:tab w:leader="none" w:pos="220" w:val="left"/>
        </w:tabs>
        <w:numPr>
          <w:ilvl w:val="0"/>
          <w:numId w:val="82"/>
        </w:numPr>
        <w:rPr>
          <w:rFonts w:ascii="Arial" w:cs="Arial" w:eastAsia="Arial" w:hAnsi="Arial"/>
          <w:sz w:val="14"/>
          <w:szCs w:val="14"/>
          <w:color w:val="282A32"/>
        </w:rPr>
      </w:pPr>
      <w:r>
        <w:rPr>
          <w:rFonts w:ascii="Arial" w:cs="Arial" w:eastAsia="Arial" w:hAnsi="Arial"/>
          <w:sz w:val="14"/>
          <w:szCs w:val="14"/>
          <w:color w:val="282A32"/>
        </w:rPr>
        <w:t>This category includes United States Treasury/Federal agency securities and foreign government securities.</w:t>
      </w:r>
    </w:p>
    <w:p>
      <w:pPr>
        <w:spacing w:after="0" w:line="1" w:lineRule="exact"/>
        <w:rPr>
          <w:rFonts w:ascii="Arial" w:cs="Arial" w:eastAsia="Arial" w:hAnsi="Arial"/>
          <w:sz w:val="14"/>
          <w:szCs w:val="14"/>
          <w:color w:val="282A32"/>
        </w:rPr>
      </w:pPr>
    </w:p>
    <w:p>
      <w:pPr>
        <w:ind w:left="220" w:hanging="212"/>
        <w:spacing w:after="0"/>
        <w:tabs>
          <w:tab w:leader="none" w:pos="220" w:val="left"/>
        </w:tabs>
        <w:numPr>
          <w:ilvl w:val="0"/>
          <w:numId w:val="82"/>
        </w:numPr>
        <w:rPr>
          <w:rFonts w:ascii="Arial" w:cs="Arial" w:eastAsia="Arial" w:hAnsi="Arial"/>
          <w:sz w:val="14"/>
          <w:szCs w:val="14"/>
          <w:color w:val="282A32"/>
        </w:rPr>
      </w:pPr>
      <w:r>
        <w:rPr>
          <w:rFonts w:ascii="Arial" w:cs="Arial" w:eastAsia="Arial" w:hAnsi="Arial"/>
          <w:sz w:val="14"/>
          <w:szCs w:val="14"/>
          <w:color w:val="282A32"/>
        </w:rPr>
        <w:t>This category includes investments in approximately 70% equity securities, 20% fixed income securities and 10% cash.</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6"/>
          <w:szCs w:val="16"/>
          <w:color w:val="282A32"/>
        </w:rPr>
        <w:t>The following table summarizes the changes in fair value of the insurance contracts, which are measured using Level 3 inputs. We determine that transfers between fair-value-measurement levels occur on the date of the event that caused the transfer.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80" w:type="dxa"/>
            <w:vAlign w:val="bottom"/>
            <w:tcBorders>
              <w:bottom w:val="single" w:sz="8" w:color="auto"/>
            </w:tcBorders>
            <w:shd w:val="clear" w:color="auto" w:fill="E1F4FD"/>
          </w:tcPr>
          <w:p>
            <w:pPr>
              <w:spacing w:after="0"/>
              <w:rPr>
                <w:sz w:val="18"/>
                <w:szCs w:val="18"/>
                <w:color w:val="auto"/>
              </w:rPr>
            </w:pPr>
          </w:p>
        </w:tc>
        <w:tc>
          <w:tcPr>
            <w:tcW w:w="88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r>
      <w:tr>
        <w:trPr>
          <w:trHeight w:val="418"/>
        </w:trPr>
        <w:tc>
          <w:tcPr>
            <w:tcW w:w="8700" w:type="dxa"/>
            <w:vAlign w:val="bottom"/>
          </w:tcPr>
          <w:p>
            <w:pPr>
              <w:ind w:left="40"/>
              <w:spacing w:after="0"/>
              <w:rPr>
                <w:sz w:val="20"/>
                <w:szCs w:val="20"/>
                <w:color w:val="auto"/>
              </w:rPr>
            </w:pPr>
            <w:r>
              <w:rPr>
                <w:rFonts w:ascii="Arial" w:cs="Arial" w:eastAsia="Arial" w:hAnsi="Arial"/>
                <w:sz w:val="16"/>
                <w:szCs w:val="16"/>
                <w:color w:val="auto"/>
              </w:rPr>
              <w:t>Balance, beginning of year</w:t>
            </w:r>
          </w:p>
        </w:tc>
        <w:tc>
          <w:tcPr>
            <w:tcW w:w="480" w:type="dxa"/>
            <w:vAlign w:val="bottom"/>
            <w:shd w:val="clear" w:color="auto" w:fill="E1F4FD"/>
          </w:tcPr>
          <w:p>
            <w:pPr>
              <w:jc w:val="right"/>
              <w:ind w:right="299"/>
              <w:spacing w:after="0"/>
              <w:rPr>
                <w:sz w:val="20"/>
                <w:szCs w:val="20"/>
                <w:color w:val="auto"/>
              </w:rPr>
            </w:pPr>
            <w:r>
              <w:rPr>
                <w:rFonts w:ascii="Arial" w:cs="Arial" w:eastAsia="Arial" w:hAnsi="Arial"/>
                <w:sz w:val="16"/>
                <w:szCs w:val="16"/>
                <w:color w:val="4F8ABE"/>
                <w:w w:val="89"/>
              </w:rPr>
              <w:t>$</w:t>
            </w:r>
          </w:p>
        </w:tc>
        <w:tc>
          <w:tcPr>
            <w:tcW w:w="88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104.9</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80.9</w:t>
            </w:r>
          </w:p>
        </w:tc>
      </w:tr>
      <w:tr>
        <w:trPr>
          <w:trHeight w:val="224"/>
        </w:trPr>
        <w:tc>
          <w:tcPr>
            <w:tcW w:w="8700" w:type="dxa"/>
            <w:vAlign w:val="bottom"/>
          </w:tcPr>
          <w:p>
            <w:pPr>
              <w:ind w:left="300"/>
              <w:spacing w:after="0"/>
              <w:rPr>
                <w:sz w:val="20"/>
                <w:szCs w:val="20"/>
                <w:color w:val="auto"/>
              </w:rPr>
            </w:pPr>
            <w:r>
              <w:rPr>
                <w:rFonts w:ascii="Arial" w:cs="Arial" w:eastAsia="Arial" w:hAnsi="Arial"/>
                <w:sz w:val="16"/>
                <w:szCs w:val="16"/>
                <w:color w:val="auto"/>
              </w:rPr>
              <w:t>Unrealized (loss) gain</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4F8ABE"/>
              </w:rPr>
              <w:t>(2.2)</w:t>
            </w:r>
          </w:p>
        </w:tc>
        <w:tc>
          <w:tcPr>
            <w:tcW w:w="48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37.6</w:t>
            </w:r>
          </w:p>
        </w:tc>
      </w:tr>
      <w:tr>
        <w:trPr>
          <w:trHeight w:val="243"/>
        </w:trPr>
        <w:tc>
          <w:tcPr>
            <w:tcW w:w="8700" w:type="dxa"/>
            <w:vAlign w:val="bottom"/>
          </w:tcPr>
          <w:p>
            <w:pPr>
              <w:ind w:left="300"/>
              <w:spacing w:after="0"/>
              <w:rPr>
                <w:sz w:val="20"/>
                <w:szCs w:val="20"/>
                <w:color w:val="auto"/>
              </w:rPr>
            </w:pPr>
            <w:r>
              <w:rPr>
                <w:rFonts w:ascii="Arial" w:cs="Arial" w:eastAsia="Arial" w:hAnsi="Arial"/>
                <w:sz w:val="16"/>
                <w:szCs w:val="16"/>
                <w:color w:val="auto"/>
              </w:rPr>
              <w:t>Purchases, sales and settlements, net</w:t>
            </w:r>
          </w:p>
        </w:tc>
        <w:tc>
          <w:tcPr>
            <w:tcW w:w="48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4F8ABE"/>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56"/>
        </w:trPr>
        <w:tc>
          <w:tcPr>
            <w:tcW w:w="87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Currency exchange rate changes</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(10.7)</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41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Balance, end of year</w:t>
            </w:r>
          </w:p>
        </w:tc>
        <w:tc>
          <w:tcPr>
            <w:tcW w:w="480" w:type="dxa"/>
            <w:vAlign w:val="bottom"/>
            <w:tcBorders>
              <w:bottom w:val="single" w:sz="8" w:color="auto"/>
            </w:tcBorders>
            <w:shd w:val="clear" w:color="auto" w:fill="E1F4FD"/>
          </w:tcPr>
          <w:p>
            <w:pPr>
              <w:jc w:val="right"/>
              <w:ind w:right="299"/>
              <w:spacing w:after="0"/>
              <w:rPr>
                <w:sz w:val="20"/>
                <w:szCs w:val="20"/>
                <w:color w:val="auto"/>
              </w:rPr>
            </w:pPr>
            <w:r>
              <w:rPr>
                <w:rFonts w:ascii="Arial" w:cs="Arial" w:eastAsia="Arial" w:hAnsi="Arial"/>
                <w:sz w:val="16"/>
                <w:szCs w:val="16"/>
                <w:color w:val="4F8ABE"/>
                <w:w w:val="89"/>
              </w:rPr>
              <w:t>$</w:t>
            </w:r>
          </w:p>
        </w:tc>
        <w:tc>
          <w:tcPr>
            <w:tcW w:w="88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92.0</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104.9</w:t>
            </w:r>
          </w:p>
        </w:tc>
      </w:tr>
      <w:tr>
        <w:trPr>
          <w:trHeight w:val="122"/>
        </w:trPr>
        <w:tc>
          <w:tcPr>
            <w:tcW w:w="8700" w:type="dxa"/>
            <w:vAlign w:val="bottom"/>
          </w:tcPr>
          <w:p>
            <w:pPr>
              <w:spacing w:after="0"/>
              <w:rPr>
                <w:sz w:val="10"/>
                <w:szCs w:val="10"/>
                <w:color w:val="auto"/>
              </w:rPr>
            </w:pPr>
          </w:p>
        </w:tc>
        <w:tc>
          <w:tcPr>
            <w:tcW w:w="480" w:type="dxa"/>
            <w:vAlign w:val="bottom"/>
            <w:shd w:val="clear" w:color="auto" w:fill="2989B9"/>
          </w:tcPr>
          <w:p>
            <w:pPr>
              <w:spacing w:after="0"/>
              <w:rPr>
                <w:sz w:val="10"/>
                <w:szCs w:val="10"/>
                <w:color w:val="auto"/>
              </w:rPr>
            </w:pPr>
          </w:p>
        </w:tc>
        <w:tc>
          <w:tcPr>
            <w:tcW w:w="880" w:type="dxa"/>
            <w:vAlign w:val="bottom"/>
            <w:shd w:val="clear" w:color="auto" w:fill="2989B9"/>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-977265</wp:posOffset>
            </wp:positionV>
            <wp:extent cx="866140" cy="617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61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73 </w:t>
      </w:r>
      <w:r>
        <w:rPr>
          <w:rFonts w:ascii="Arial" w:cs="Arial" w:eastAsia="Arial" w:hAnsi="Arial"/>
          <w:sz w:val="11"/>
          <w:szCs w:val="11"/>
          <w:color w:val="auto"/>
        </w:rPr>
        <w:t>| ManpowerGroup</w:t>
      </w:r>
    </w:p>
    <w:p>
      <w:pPr>
        <w:sectPr>
          <w:pgSz w:w="11900" w:h="16838" w:orient="portrait"/>
          <w:cols w:equalWidth="0" w:num="1">
            <w:col w:w="11420"/>
          </w:cols>
          <w:pgMar w:left="240" w:top="603"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4F8ABE"/>
        </w:rPr>
        <w:t>Retiree Health Care Plan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500" w:type="dxa"/>
            <w:vAlign w:val="bottom"/>
            <w:tcBorders>
              <w:bottom w:val="single" w:sz="8" w:color="auto"/>
            </w:tcBorders>
            <w:shd w:val="clear" w:color="auto" w:fill="E1F4FD"/>
          </w:tcPr>
          <w:p>
            <w:pPr>
              <w:spacing w:after="0"/>
              <w:rPr>
                <w:sz w:val="18"/>
                <w:szCs w:val="18"/>
                <w:color w:val="auto"/>
              </w:rPr>
            </w:pPr>
          </w:p>
        </w:tc>
        <w:tc>
          <w:tcPr>
            <w:tcW w:w="8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r>
      <w:tr>
        <w:trPr>
          <w:trHeight w:val="466"/>
        </w:trPr>
        <w:tc>
          <w:tcPr>
            <w:tcW w:w="8700" w:type="dxa"/>
            <w:vAlign w:val="bottom"/>
          </w:tcPr>
          <w:p>
            <w:pPr>
              <w:ind w:left="40"/>
              <w:spacing w:after="0"/>
              <w:rPr>
                <w:sz w:val="20"/>
                <w:szCs w:val="20"/>
                <w:color w:val="auto"/>
              </w:rPr>
            </w:pPr>
            <w:r>
              <w:rPr>
                <w:rFonts w:ascii="Arial" w:cs="Arial" w:eastAsia="Arial" w:hAnsi="Arial"/>
                <w:sz w:val="16"/>
                <w:szCs w:val="16"/>
                <w:color w:val="4F8ABE"/>
              </w:rPr>
              <w:t>Change in Benefit Obligation</w:t>
            </w:r>
          </w:p>
        </w:tc>
        <w:tc>
          <w:tcPr>
            <w:tcW w:w="500" w:type="dxa"/>
            <w:vAlign w:val="bottom"/>
            <w:shd w:val="clear" w:color="auto" w:fill="E1F4FD"/>
          </w:tcPr>
          <w:p>
            <w:pPr>
              <w:spacing w:after="0"/>
              <w:rPr>
                <w:sz w:val="24"/>
                <w:szCs w:val="24"/>
                <w:color w:val="auto"/>
              </w:rPr>
            </w:pPr>
          </w:p>
        </w:tc>
        <w:tc>
          <w:tcPr>
            <w:tcW w:w="860" w:type="dxa"/>
            <w:vAlign w:val="bottom"/>
            <w:shd w:val="clear" w:color="auto" w:fill="E1F4FD"/>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8"/>
        </w:trPr>
        <w:tc>
          <w:tcPr>
            <w:tcW w:w="8700" w:type="dxa"/>
            <w:vAlign w:val="bottom"/>
          </w:tcPr>
          <w:p>
            <w:pPr>
              <w:ind w:left="40"/>
              <w:spacing w:after="0"/>
              <w:rPr>
                <w:sz w:val="20"/>
                <w:szCs w:val="20"/>
                <w:color w:val="auto"/>
              </w:rPr>
            </w:pPr>
            <w:r>
              <w:rPr>
                <w:rFonts w:ascii="Arial" w:cs="Arial" w:eastAsia="Arial" w:hAnsi="Arial"/>
                <w:sz w:val="16"/>
                <w:szCs w:val="16"/>
                <w:color w:val="auto"/>
              </w:rPr>
              <w:t>Benefit obligation, beginning of year</w:t>
            </w:r>
          </w:p>
        </w:tc>
        <w:tc>
          <w:tcPr>
            <w:tcW w:w="500" w:type="dxa"/>
            <w:vAlign w:val="bottom"/>
            <w:shd w:val="clear" w:color="auto" w:fill="E1F4FD"/>
          </w:tcPr>
          <w:p>
            <w:pPr>
              <w:jc w:val="right"/>
              <w:ind w:right="319"/>
              <w:spacing w:after="0"/>
              <w:rPr>
                <w:sz w:val="20"/>
                <w:szCs w:val="20"/>
                <w:color w:val="auto"/>
              </w:rPr>
            </w:pPr>
            <w:r>
              <w:rPr>
                <w:rFonts w:ascii="Arial" w:cs="Arial" w:eastAsia="Arial" w:hAnsi="Arial"/>
                <w:sz w:val="16"/>
                <w:szCs w:val="16"/>
                <w:color w:val="4F8ABE"/>
                <w:w w:val="89"/>
              </w:rPr>
              <w:t>$</w:t>
            </w:r>
          </w:p>
        </w:tc>
        <w:tc>
          <w:tcPr>
            <w:tcW w:w="86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17.8</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18.5</w:t>
            </w:r>
          </w:p>
        </w:tc>
      </w:tr>
      <w:tr>
        <w:trPr>
          <w:trHeight w:val="224"/>
        </w:trPr>
        <w:tc>
          <w:tcPr>
            <w:tcW w:w="8700" w:type="dxa"/>
            <w:vAlign w:val="bottom"/>
          </w:tcPr>
          <w:p>
            <w:pPr>
              <w:ind w:left="300"/>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4F8ABE"/>
              </w:rPr>
              <w:t>0.7</w:t>
            </w:r>
          </w:p>
        </w:tc>
        <w:tc>
          <w:tcPr>
            <w:tcW w:w="50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0.8</w:t>
            </w:r>
          </w:p>
        </w:tc>
      </w:tr>
      <w:tr>
        <w:trPr>
          <w:trHeight w:val="243"/>
        </w:trPr>
        <w:tc>
          <w:tcPr>
            <w:tcW w:w="8700" w:type="dxa"/>
            <w:vAlign w:val="bottom"/>
          </w:tcPr>
          <w:p>
            <w:pPr>
              <w:ind w:left="300"/>
              <w:spacing w:after="0"/>
              <w:rPr>
                <w:sz w:val="20"/>
                <w:szCs w:val="20"/>
                <w:color w:val="auto"/>
              </w:rPr>
            </w:pPr>
            <w:r>
              <w:rPr>
                <w:rFonts w:ascii="Arial" w:cs="Arial" w:eastAsia="Arial" w:hAnsi="Arial"/>
                <w:sz w:val="16"/>
                <w:szCs w:val="16"/>
                <w:color w:val="auto"/>
              </w:rPr>
              <w:t>Actuarial (gain) loss</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4F8ABE"/>
              </w:rPr>
              <w:t>(0.5)</w:t>
            </w:r>
          </w:p>
        </w:tc>
        <w:tc>
          <w:tcPr>
            <w:tcW w:w="5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243"/>
        </w:trPr>
        <w:tc>
          <w:tcPr>
            <w:tcW w:w="8700" w:type="dxa"/>
            <w:vAlign w:val="bottom"/>
          </w:tcPr>
          <w:p>
            <w:pPr>
              <w:ind w:left="300"/>
              <w:spacing w:after="0"/>
              <w:rPr>
                <w:sz w:val="20"/>
                <w:szCs w:val="20"/>
                <w:color w:val="auto"/>
              </w:rPr>
            </w:pPr>
            <w:r>
              <w:rPr>
                <w:rFonts w:ascii="Arial" w:cs="Arial" w:eastAsia="Arial" w:hAnsi="Arial"/>
                <w:sz w:val="16"/>
                <w:szCs w:val="16"/>
                <w:color w:val="auto"/>
              </w:rPr>
              <w:t>Benefits paid</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4F8ABE"/>
              </w:rPr>
              <w:t>(1.6)</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8700" w:type="dxa"/>
            <w:vAlign w:val="bottom"/>
          </w:tcPr>
          <w:p>
            <w:pPr>
              <w:ind w:left="300"/>
              <w:spacing w:after="0"/>
              <w:rPr>
                <w:sz w:val="20"/>
                <w:szCs w:val="20"/>
                <w:color w:val="auto"/>
              </w:rPr>
            </w:pPr>
            <w:r>
              <w:rPr>
                <w:rFonts w:ascii="Arial" w:cs="Arial" w:eastAsia="Arial" w:hAnsi="Arial"/>
                <w:sz w:val="16"/>
                <w:szCs w:val="16"/>
                <w:color w:val="auto"/>
              </w:rPr>
              <w:t>Plan participant contributions</w:t>
            </w:r>
          </w:p>
        </w:tc>
        <w:tc>
          <w:tcPr>
            <w:tcW w:w="50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4F8ABE"/>
              </w:rPr>
              <w:t>—</w:t>
            </w:r>
          </w:p>
        </w:tc>
        <w:tc>
          <w:tcPr>
            <w:tcW w:w="5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r>
      <w:tr>
        <w:trPr>
          <w:trHeight w:val="256"/>
        </w:trPr>
        <w:tc>
          <w:tcPr>
            <w:tcW w:w="87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Retiree drug subsidy reimbursement</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r>
      <w:tr>
        <w:trPr>
          <w:trHeight w:val="41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Benefit obligation, end of year</w:t>
            </w:r>
          </w:p>
        </w:tc>
        <w:tc>
          <w:tcPr>
            <w:tcW w:w="500" w:type="dxa"/>
            <w:vAlign w:val="bottom"/>
            <w:tcBorders>
              <w:bottom w:val="single" w:sz="8" w:color="auto"/>
            </w:tcBorders>
            <w:shd w:val="clear" w:color="auto" w:fill="E1F4FD"/>
          </w:tcPr>
          <w:p>
            <w:pPr>
              <w:jc w:val="right"/>
              <w:ind w:right="319"/>
              <w:spacing w:after="0"/>
              <w:rPr>
                <w:sz w:val="20"/>
                <w:szCs w:val="20"/>
                <w:color w:val="auto"/>
              </w:rPr>
            </w:pPr>
            <w:r>
              <w:rPr>
                <w:rFonts w:ascii="Arial" w:cs="Arial" w:eastAsia="Arial" w:hAnsi="Arial"/>
                <w:sz w:val="16"/>
                <w:szCs w:val="16"/>
                <w:color w:val="4F8ABE"/>
                <w:w w:val="89"/>
              </w:rPr>
              <w:t>$</w:t>
            </w:r>
          </w:p>
        </w:tc>
        <w:tc>
          <w:tcPr>
            <w:tcW w:w="86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6"/>
                <w:szCs w:val="16"/>
                <w:color w:val="4F8ABE"/>
              </w:rPr>
              <w:t>16.4</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w:t>
            </w:r>
          </w:p>
        </w:tc>
      </w:tr>
      <w:tr>
        <w:trPr>
          <w:trHeight w:val="467"/>
        </w:trPr>
        <w:tc>
          <w:tcPr>
            <w:tcW w:w="8700" w:type="dxa"/>
            <w:vAlign w:val="bottom"/>
          </w:tcPr>
          <w:p>
            <w:pPr>
              <w:ind w:left="40"/>
              <w:spacing w:after="0"/>
              <w:rPr>
                <w:sz w:val="20"/>
                <w:szCs w:val="20"/>
                <w:color w:val="auto"/>
              </w:rPr>
            </w:pPr>
            <w:r>
              <w:rPr>
                <w:rFonts w:ascii="Arial" w:cs="Arial" w:eastAsia="Arial" w:hAnsi="Arial"/>
                <w:sz w:val="16"/>
                <w:szCs w:val="16"/>
                <w:color w:val="4F8ABE"/>
              </w:rPr>
              <w:t>Funded Status at End of Year</w:t>
            </w:r>
          </w:p>
        </w:tc>
        <w:tc>
          <w:tcPr>
            <w:tcW w:w="500" w:type="dxa"/>
            <w:vAlign w:val="bottom"/>
            <w:shd w:val="clear" w:color="auto" w:fill="E1F4FD"/>
          </w:tcPr>
          <w:p>
            <w:pPr>
              <w:spacing w:after="0"/>
              <w:rPr>
                <w:sz w:val="24"/>
                <w:szCs w:val="24"/>
                <w:color w:val="auto"/>
              </w:rPr>
            </w:pPr>
          </w:p>
        </w:tc>
        <w:tc>
          <w:tcPr>
            <w:tcW w:w="860" w:type="dxa"/>
            <w:vAlign w:val="bottom"/>
            <w:shd w:val="clear" w:color="auto" w:fill="E1F4FD"/>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Funded status, end of year</w:t>
            </w:r>
          </w:p>
        </w:tc>
        <w:tc>
          <w:tcPr>
            <w:tcW w:w="500" w:type="dxa"/>
            <w:vAlign w:val="bottom"/>
            <w:tcBorders>
              <w:bottom w:val="single" w:sz="8" w:color="auto"/>
            </w:tcBorders>
            <w:shd w:val="clear" w:color="auto" w:fill="E1F4FD"/>
          </w:tcPr>
          <w:p>
            <w:pPr>
              <w:jc w:val="right"/>
              <w:ind w:right="319"/>
              <w:spacing w:after="0"/>
              <w:rPr>
                <w:sz w:val="20"/>
                <w:szCs w:val="20"/>
                <w:color w:val="auto"/>
              </w:rPr>
            </w:pPr>
            <w:r>
              <w:rPr>
                <w:rFonts w:ascii="Arial" w:cs="Arial" w:eastAsia="Arial" w:hAnsi="Arial"/>
                <w:sz w:val="16"/>
                <w:szCs w:val="16"/>
                <w:color w:val="4F8ABE"/>
                <w:w w:val="89"/>
              </w:rPr>
              <w:t>$</w:t>
            </w:r>
          </w:p>
        </w:tc>
        <w:tc>
          <w:tcPr>
            <w:tcW w:w="8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(16.4)</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467"/>
        </w:trPr>
        <w:tc>
          <w:tcPr>
            <w:tcW w:w="8700" w:type="dxa"/>
            <w:vAlign w:val="bottom"/>
          </w:tcPr>
          <w:p>
            <w:pPr>
              <w:ind w:left="40"/>
              <w:spacing w:after="0"/>
              <w:rPr>
                <w:sz w:val="20"/>
                <w:szCs w:val="20"/>
                <w:color w:val="auto"/>
              </w:rPr>
            </w:pPr>
            <w:r>
              <w:rPr>
                <w:rFonts w:ascii="Arial" w:cs="Arial" w:eastAsia="Arial" w:hAnsi="Arial"/>
                <w:sz w:val="16"/>
                <w:szCs w:val="16"/>
                <w:color w:val="4F8ABE"/>
              </w:rPr>
              <w:t>Amounts Recognized</w:t>
            </w:r>
          </w:p>
        </w:tc>
        <w:tc>
          <w:tcPr>
            <w:tcW w:w="500" w:type="dxa"/>
            <w:vAlign w:val="bottom"/>
            <w:shd w:val="clear" w:color="auto" w:fill="E1F4FD"/>
          </w:tcPr>
          <w:p>
            <w:pPr>
              <w:spacing w:after="0"/>
              <w:rPr>
                <w:sz w:val="24"/>
                <w:szCs w:val="24"/>
                <w:color w:val="auto"/>
              </w:rPr>
            </w:pPr>
          </w:p>
        </w:tc>
        <w:tc>
          <w:tcPr>
            <w:tcW w:w="860" w:type="dxa"/>
            <w:vAlign w:val="bottom"/>
            <w:shd w:val="clear" w:color="auto" w:fill="E1F4FD"/>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3"/>
        </w:trPr>
        <w:tc>
          <w:tcPr>
            <w:tcW w:w="87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500" w:type="dxa"/>
            <w:vAlign w:val="bottom"/>
            <w:shd w:val="clear" w:color="auto" w:fill="E1F4FD"/>
          </w:tcPr>
          <w:p>
            <w:pPr>
              <w:jc w:val="right"/>
              <w:ind w:right="319"/>
              <w:spacing w:after="0"/>
              <w:rPr>
                <w:sz w:val="20"/>
                <w:szCs w:val="20"/>
                <w:color w:val="auto"/>
              </w:rPr>
            </w:pPr>
            <w:r>
              <w:rPr>
                <w:rFonts w:ascii="Arial" w:cs="Arial" w:eastAsia="Arial" w:hAnsi="Arial"/>
                <w:sz w:val="16"/>
                <w:szCs w:val="16"/>
                <w:color w:val="4F8ABE"/>
                <w:w w:val="89"/>
              </w:rPr>
              <w:t>$</w:t>
            </w:r>
          </w:p>
        </w:tc>
        <w:tc>
          <w:tcPr>
            <w:tcW w:w="86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(1.3)</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liabilities</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(15.1)</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41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amount recognized</w:t>
            </w:r>
          </w:p>
        </w:tc>
        <w:tc>
          <w:tcPr>
            <w:tcW w:w="500" w:type="dxa"/>
            <w:vAlign w:val="bottom"/>
            <w:tcBorders>
              <w:bottom w:val="single" w:sz="8" w:color="auto"/>
            </w:tcBorders>
            <w:shd w:val="clear" w:color="auto" w:fill="E1F4FD"/>
          </w:tcPr>
          <w:p>
            <w:pPr>
              <w:jc w:val="right"/>
              <w:ind w:right="319"/>
              <w:spacing w:after="0"/>
              <w:rPr>
                <w:sz w:val="20"/>
                <w:szCs w:val="20"/>
                <w:color w:val="auto"/>
              </w:rPr>
            </w:pPr>
            <w:r>
              <w:rPr>
                <w:rFonts w:ascii="Arial" w:cs="Arial" w:eastAsia="Arial" w:hAnsi="Arial"/>
                <w:sz w:val="16"/>
                <w:szCs w:val="16"/>
                <w:color w:val="4F8ABE"/>
                <w:w w:val="89"/>
              </w:rPr>
              <w:t>$</w:t>
            </w:r>
          </w:p>
        </w:tc>
        <w:tc>
          <w:tcPr>
            <w:tcW w:w="8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6"/>
                <w:szCs w:val="16"/>
                <w:color w:val="4F8ABE"/>
              </w:rPr>
              <w:t>(16.4)</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122"/>
        </w:trPr>
        <w:tc>
          <w:tcPr>
            <w:tcW w:w="8700" w:type="dxa"/>
            <w:vAlign w:val="bottom"/>
          </w:tcPr>
          <w:p>
            <w:pPr>
              <w:spacing w:after="0"/>
              <w:rPr>
                <w:sz w:val="10"/>
                <w:szCs w:val="10"/>
                <w:color w:val="auto"/>
              </w:rPr>
            </w:pPr>
          </w:p>
        </w:tc>
        <w:tc>
          <w:tcPr>
            <w:tcW w:w="500" w:type="dxa"/>
            <w:vAlign w:val="bottom"/>
            <w:shd w:val="clear" w:color="auto" w:fill="2989B9"/>
          </w:tcPr>
          <w:p>
            <w:pPr>
              <w:spacing w:after="0"/>
              <w:rPr>
                <w:sz w:val="10"/>
                <w:szCs w:val="10"/>
                <w:color w:val="auto"/>
              </w:rPr>
            </w:pPr>
          </w:p>
        </w:tc>
        <w:tc>
          <w:tcPr>
            <w:tcW w:w="860" w:type="dxa"/>
            <w:vAlign w:val="bottom"/>
            <w:shd w:val="clear" w:color="auto" w:fill="2989B9"/>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-2658110</wp:posOffset>
            </wp:positionV>
            <wp:extent cx="866140" cy="926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6140" cy="92646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-668020</wp:posOffset>
            </wp:positionV>
            <wp:extent cx="79756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97560" cy="308610"/>
                    </a:xfrm>
                    <a:prstGeom prst="rect">
                      <a:avLst/>
                    </a:prstGeom>
                    <a:noFill/>
                  </pic:spPr>
                </pic:pic>
              </a:graphicData>
            </a:graphic>
          </wp:anchor>
        </w:drawing>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The amount recognized in accumulated other comprehensive loss, net of tax, consists of a net loss of $1.7 and $2.0 for 2015 and 2014, respectively, and a prior service credit of $6.0 and $6.5 in 2015 and 2014, respectively.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June 2013, the Board of Directors approved an amendment related to the post-65 healthcare benefits of the plan that became effective as of July 1, 2014. The plan change included the introduction of a Health Reimbursement Account for Medicare eligible retirees and dependents. The plan change was communicated to retirees in October 2013, and the plan was re-measured as of October 1, 2013 to reflect this amendment.</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74</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112" w:name="page113"/>
    <w:bookmarkEnd w:id="112"/>
    <w:p>
      <w:pPr>
        <w:jc w:val="both"/>
        <w:spacing w:after="0" w:line="251" w:lineRule="auto"/>
        <w:rPr>
          <w:sz w:val="20"/>
          <w:szCs w:val="20"/>
          <w:color w:val="auto"/>
        </w:rPr>
      </w:pPr>
      <w:r>
        <w:rPr>
          <w:rFonts w:ascii="Arial" w:cs="Arial" w:eastAsia="Arial" w:hAnsi="Arial"/>
          <w:sz w:val="16"/>
          <w:szCs w:val="16"/>
          <w:color w:val="282A32"/>
        </w:rPr>
        <w:t>The discount rate used in the measurement of the benefit obligation was 4.3% and 3.9% in 2015 and 2014, respectively. The discount rate used in the measurement of net periodic benefit cost was 3.9% and 4.7% in 2015 and 2014, respectively, and 3.9% (January through September) and 4.8% (October through December) in 2013. The components of net periodic benefit cost and other amounts recognized in other comprehensive loss (income) for this plan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r>
      <w:tr>
        <w:trPr>
          <w:trHeight w:val="466"/>
        </w:trPr>
        <w:tc>
          <w:tcPr>
            <w:tcW w:w="7660" w:type="dxa"/>
            <w:vAlign w:val="bottom"/>
          </w:tcPr>
          <w:p>
            <w:pPr>
              <w:ind w:left="40"/>
              <w:spacing w:after="0"/>
              <w:rPr>
                <w:sz w:val="20"/>
                <w:szCs w:val="20"/>
                <w:color w:val="auto"/>
              </w:rPr>
            </w:pPr>
            <w:r>
              <w:rPr>
                <w:rFonts w:ascii="Arial" w:cs="Arial" w:eastAsia="Arial" w:hAnsi="Arial"/>
                <w:sz w:val="16"/>
                <w:szCs w:val="16"/>
                <w:color w:val="4F8ABE"/>
              </w:rPr>
              <w:t>Net Periodic Benefit Cost</w:t>
            </w:r>
          </w:p>
        </w:tc>
        <w:tc>
          <w:tcPr>
            <w:tcW w:w="460" w:type="dxa"/>
            <w:vAlign w:val="bottom"/>
            <w:shd w:val="clear" w:color="auto" w:fill="E1F4FD"/>
          </w:tcPr>
          <w:p>
            <w:pPr>
              <w:spacing w:after="0"/>
              <w:rPr>
                <w:sz w:val="24"/>
                <w:szCs w:val="24"/>
                <w:color w:val="auto"/>
              </w:rPr>
            </w:pPr>
          </w:p>
        </w:tc>
        <w:tc>
          <w:tcPr>
            <w:tcW w:w="78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460" w:type="dxa"/>
            <w:vAlign w:val="bottom"/>
            <w:shd w:val="clear" w:color="auto" w:fill="E1F4FD"/>
          </w:tcPr>
          <w:p>
            <w:pPr>
              <w:jc w:val="right"/>
              <w:ind w:right="279"/>
              <w:spacing w:after="0"/>
              <w:rPr>
                <w:sz w:val="20"/>
                <w:szCs w:val="20"/>
                <w:color w:val="auto"/>
              </w:rPr>
            </w:pPr>
            <w:r>
              <w:rPr>
                <w:rFonts w:ascii="Arial" w:cs="Arial" w:eastAsia="Arial" w:hAnsi="Arial"/>
                <w:sz w:val="16"/>
                <w:szCs w:val="16"/>
                <w:color w:val="4F8ABE"/>
                <w:w w:val="89"/>
              </w:rPr>
              <w:t>$</w:t>
            </w:r>
          </w:p>
        </w:tc>
        <w:tc>
          <w:tcPr>
            <w:tcW w:w="78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0.7</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Net loss</w:t>
            </w:r>
          </w:p>
        </w:tc>
        <w:tc>
          <w:tcPr>
            <w:tcW w:w="4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4F8ABE"/>
              </w:rPr>
              <w:t>0.1</w:t>
            </w:r>
          </w:p>
        </w:tc>
        <w:tc>
          <w:tcPr>
            <w:tcW w:w="48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46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0.3</w:t>
            </w: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Prior service credit</w:t>
            </w: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(0.8)</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41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periodic benefit cost</w:t>
            </w:r>
          </w:p>
        </w:tc>
        <w:tc>
          <w:tcPr>
            <w:tcW w:w="460" w:type="dxa"/>
            <w:vAlign w:val="bottom"/>
            <w:tcBorders>
              <w:bottom w:val="single" w:sz="8" w:color="auto"/>
            </w:tcBorders>
            <w:shd w:val="clear" w:color="auto" w:fill="E1F4FD"/>
          </w:tcPr>
          <w:p>
            <w:pPr>
              <w:spacing w:after="0"/>
              <w:rPr>
                <w:sz w:val="24"/>
                <w:szCs w:val="24"/>
                <w:color w:val="auto"/>
              </w:rPr>
            </w:pPr>
          </w:p>
        </w:tc>
        <w:tc>
          <w:tcPr>
            <w:tcW w:w="7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r>
      <w:tr>
        <w:trPr>
          <w:trHeight w:val="286"/>
        </w:trPr>
        <w:tc>
          <w:tcPr>
            <w:tcW w:w="7660" w:type="dxa"/>
            <w:vAlign w:val="bottom"/>
          </w:tcPr>
          <w:p>
            <w:pPr>
              <w:ind w:left="40"/>
              <w:spacing w:after="0"/>
              <w:rPr>
                <w:sz w:val="20"/>
                <w:szCs w:val="20"/>
                <w:color w:val="auto"/>
              </w:rPr>
            </w:pPr>
            <w:r>
              <w:rPr>
                <w:rFonts w:ascii="Arial" w:cs="Arial" w:eastAsia="Arial" w:hAnsi="Arial"/>
                <w:sz w:val="16"/>
                <w:szCs w:val="16"/>
                <w:color w:val="4F8ABE"/>
              </w:rPr>
              <w:t>Other Changes in Plan Assets and Benefit Obligations Recognized in Other Comprehensive Loss</w:t>
            </w:r>
          </w:p>
        </w:tc>
        <w:tc>
          <w:tcPr>
            <w:tcW w:w="460" w:type="dxa"/>
            <w:vAlign w:val="bottom"/>
            <w:shd w:val="clear" w:color="auto" w:fill="E1F4FD"/>
          </w:tcPr>
          <w:p>
            <w:pPr>
              <w:spacing w:after="0"/>
              <w:rPr>
                <w:sz w:val="24"/>
                <w:szCs w:val="24"/>
                <w:color w:val="auto"/>
              </w:rPr>
            </w:pPr>
          </w:p>
        </w:tc>
        <w:tc>
          <w:tcPr>
            <w:tcW w:w="78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5"/>
        </w:trPr>
        <w:tc>
          <w:tcPr>
            <w:tcW w:w="7660" w:type="dxa"/>
            <w:vAlign w:val="bottom"/>
          </w:tcPr>
          <w:p>
            <w:pPr>
              <w:ind w:left="200"/>
              <w:spacing w:after="0"/>
              <w:rPr>
                <w:sz w:val="20"/>
                <w:szCs w:val="20"/>
                <w:color w:val="auto"/>
              </w:rPr>
            </w:pPr>
            <w:r>
              <w:rPr>
                <w:rFonts w:ascii="Arial" w:cs="Arial" w:eastAsia="Arial" w:hAnsi="Arial"/>
                <w:sz w:val="16"/>
                <w:szCs w:val="16"/>
                <w:color w:val="4F8ABE"/>
              </w:rPr>
              <w:t>(Income)</w:t>
            </w:r>
          </w:p>
        </w:tc>
        <w:tc>
          <w:tcPr>
            <w:tcW w:w="460" w:type="dxa"/>
            <w:vAlign w:val="bottom"/>
            <w:shd w:val="clear" w:color="auto" w:fill="E1F4FD"/>
          </w:tcPr>
          <w:p>
            <w:pPr>
              <w:spacing w:after="0"/>
              <w:rPr>
                <w:sz w:val="16"/>
                <w:szCs w:val="16"/>
                <w:color w:val="auto"/>
              </w:rPr>
            </w:pPr>
          </w:p>
        </w:tc>
        <w:tc>
          <w:tcPr>
            <w:tcW w:w="780" w:type="dxa"/>
            <w:vAlign w:val="bottom"/>
            <w:shd w:val="clear" w:color="auto" w:fill="E1F4FD"/>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6"/>
                <w:szCs w:val="16"/>
                <w:color w:val="auto"/>
              </w:rPr>
              <w:t>Net (gain) loss</w:t>
            </w:r>
          </w:p>
        </w:tc>
        <w:tc>
          <w:tcPr>
            <w:tcW w:w="460" w:type="dxa"/>
            <w:vAlign w:val="bottom"/>
            <w:shd w:val="clear" w:color="auto" w:fill="E1F4FD"/>
          </w:tcPr>
          <w:p>
            <w:pPr>
              <w:spacing w:after="0"/>
              <w:rPr>
                <w:sz w:val="22"/>
                <w:szCs w:val="22"/>
                <w:color w:val="auto"/>
              </w:rPr>
            </w:pPr>
          </w:p>
        </w:tc>
        <w:tc>
          <w:tcPr>
            <w:tcW w:w="78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(0.5)</w:t>
            </w:r>
          </w:p>
        </w:tc>
        <w:tc>
          <w:tcPr>
            <w:tcW w:w="48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Prior service credit</w:t>
            </w:r>
          </w:p>
        </w:tc>
        <w:tc>
          <w:tcPr>
            <w:tcW w:w="4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4F8ABE"/>
              </w:rPr>
              <w:t>—</w:t>
            </w:r>
          </w:p>
        </w:tc>
        <w:tc>
          <w:tcPr>
            <w:tcW w:w="48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Amortization of net loss</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4F8ABE"/>
              </w:rPr>
              <w:t>(0.1)</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Amortization of prior service credit</w:t>
            </w: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4F8ABE"/>
              </w:rPr>
              <w:t>0.8</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0.2</w:t>
            </w:r>
          </w:p>
        </w:tc>
      </w:tr>
      <w:tr>
        <w:trPr>
          <w:trHeight w:val="41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recognized in other comprehensive loss (income)</w:t>
            </w:r>
          </w:p>
        </w:tc>
        <w:tc>
          <w:tcPr>
            <w:tcW w:w="460" w:type="dxa"/>
            <w:vAlign w:val="bottom"/>
            <w:tcBorders>
              <w:bottom w:val="single" w:sz="8" w:color="auto"/>
            </w:tcBorders>
            <w:shd w:val="clear" w:color="auto" w:fill="E1F4FD"/>
          </w:tcPr>
          <w:p>
            <w:pPr>
              <w:spacing w:after="0"/>
              <w:rPr>
                <w:sz w:val="24"/>
                <w:szCs w:val="24"/>
                <w:color w:val="auto"/>
              </w:rPr>
            </w:pPr>
          </w:p>
        </w:tc>
        <w:tc>
          <w:tcPr>
            <w:tcW w:w="7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0.2</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0.9</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41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recognized in net periodic benefit cost and other comprehensive loss (income)</w:t>
            </w:r>
          </w:p>
        </w:tc>
        <w:tc>
          <w:tcPr>
            <w:tcW w:w="460" w:type="dxa"/>
            <w:vAlign w:val="bottom"/>
            <w:tcBorders>
              <w:bottom w:val="single" w:sz="8" w:color="auto"/>
            </w:tcBorders>
            <w:shd w:val="clear" w:color="auto" w:fill="E1F4FD"/>
          </w:tcPr>
          <w:p>
            <w:pPr>
              <w:jc w:val="right"/>
              <w:ind w:right="279"/>
              <w:spacing w:after="0"/>
              <w:rPr>
                <w:sz w:val="20"/>
                <w:szCs w:val="20"/>
                <w:color w:val="auto"/>
              </w:rPr>
            </w:pPr>
            <w:r>
              <w:rPr>
                <w:rFonts w:ascii="Arial" w:cs="Arial" w:eastAsia="Arial" w:hAnsi="Arial"/>
                <w:sz w:val="16"/>
                <w:szCs w:val="16"/>
                <w:color w:val="4F8ABE"/>
                <w:w w:val="89"/>
              </w:rPr>
              <w:t>$</w:t>
            </w:r>
          </w:p>
        </w:tc>
        <w:tc>
          <w:tcPr>
            <w:tcW w:w="78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0.2</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122"/>
        </w:trPr>
        <w:tc>
          <w:tcPr>
            <w:tcW w:w="7660" w:type="dxa"/>
            <w:vAlign w:val="bottom"/>
          </w:tcPr>
          <w:p>
            <w:pPr>
              <w:spacing w:after="0"/>
              <w:rPr>
                <w:sz w:val="10"/>
                <w:szCs w:val="10"/>
                <w:color w:val="auto"/>
              </w:rPr>
            </w:pPr>
          </w:p>
        </w:tc>
        <w:tc>
          <w:tcPr>
            <w:tcW w:w="460" w:type="dxa"/>
            <w:vAlign w:val="bottom"/>
            <w:shd w:val="clear" w:color="auto" w:fill="2989B9"/>
          </w:tcPr>
          <w:p>
            <w:pPr>
              <w:spacing w:after="0"/>
              <w:rPr>
                <w:sz w:val="10"/>
                <w:szCs w:val="10"/>
                <w:color w:val="auto"/>
              </w:rPr>
            </w:pPr>
          </w:p>
        </w:tc>
        <w:tc>
          <w:tcPr>
            <w:tcW w:w="780" w:type="dxa"/>
            <w:vAlign w:val="bottom"/>
            <w:shd w:val="clear" w:color="auto" w:fill="2989B9"/>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-2314575</wp:posOffset>
            </wp:positionV>
            <wp:extent cx="797560" cy="462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97560" cy="46291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-1251585</wp:posOffset>
            </wp:positionV>
            <wp:extent cx="797560" cy="617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97560" cy="617220"/>
                    </a:xfrm>
                    <a:prstGeom prst="rect">
                      <a:avLst/>
                    </a:prstGeom>
                    <a:noFill/>
                  </pic:spPr>
                </pic:pic>
              </a:graphicData>
            </a:graphic>
          </wp:anchor>
        </w:drawing>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The estimated net loss and prior service credit for the retiree health care plan that will be amortized from accumulated other comprehensive loss into net periodic benefit cost during 2016 is $0.1 and $0.8, respectively.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The health care cost trend rate is assumed to be 7.3% for 2016, decreasing gradually to an ultimate rate of 5.0% in 2022. Assumed health care cost trend rates could have a significant effect on the amounts reported. A one-percentage point change in the assumed health care cost trend rate would have the following effects: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1% Increase</w:t>
            </w:r>
          </w:p>
        </w:tc>
        <w:tc>
          <w:tcPr>
            <w:tcW w:w="10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1% Decrease</w:t>
            </w:r>
          </w:p>
        </w:tc>
      </w:tr>
      <w:tr>
        <w:trPr>
          <w:trHeight w:val="399"/>
        </w:trPr>
        <w:tc>
          <w:tcPr>
            <w:tcW w:w="5140" w:type="dxa"/>
            <w:vAlign w:val="bottom"/>
          </w:tcPr>
          <w:p>
            <w:pPr>
              <w:ind w:left="40"/>
              <w:spacing w:after="0"/>
              <w:rPr>
                <w:sz w:val="20"/>
                <w:szCs w:val="20"/>
                <w:color w:val="auto"/>
              </w:rPr>
            </w:pPr>
            <w:r>
              <w:rPr>
                <w:rFonts w:ascii="Arial" w:cs="Arial" w:eastAsia="Arial" w:hAnsi="Arial"/>
                <w:sz w:val="16"/>
                <w:szCs w:val="16"/>
                <w:color w:val="auto"/>
              </w:rPr>
              <w:t>Effect on total of service and interest cost components</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56"/>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Effect on benefit obligation</w:t>
            </w:r>
          </w:p>
        </w:tc>
        <w:tc>
          <w:tcPr>
            <w:tcW w:w="19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0.3</w:t>
            </w:r>
          </w:p>
        </w:tc>
        <w:tc>
          <w:tcPr>
            <w:tcW w:w="10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4F8ABE"/>
        </w:rPr>
        <w:t>Future Contributions and Payments</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82A32"/>
        </w:rPr>
        <w:t>During 2016, we plan to contribute $11.6 to our pension plans and to fund our retiree health care payments as incurred. Projected benefit payments from the plans as of December 31, 2015 were estimated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Pr>
          <w:p>
            <w:pPr>
              <w:jc w:val="right"/>
              <w:ind w:right="23"/>
              <w:spacing w:after="0"/>
              <w:rPr>
                <w:sz w:val="20"/>
                <w:szCs w:val="20"/>
                <w:color w:val="auto"/>
              </w:rPr>
            </w:pPr>
            <w:r>
              <w:rPr>
                <w:rFonts w:ascii="Arial" w:cs="Arial" w:eastAsia="Arial" w:hAnsi="Arial"/>
                <w:sz w:val="14"/>
                <w:szCs w:val="14"/>
                <w:color w:val="auto"/>
              </w:rPr>
              <w:t>Retiree Health</w:t>
            </w:r>
          </w:p>
        </w:tc>
      </w:tr>
      <w:tr>
        <w:trPr>
          <w:trHeight w:val="178"/>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w:t>
            </w:r>
          </w:p>
        </w:tc>
        <w:tc>
          <w:tcPr>
            <w:tcW w:w="28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Pension Plans</w:t>
            </w: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Care Plan</w:t>
            </w:r>
          </w:p>
        </w:tc>
      </w:tr>
      <w:tr>
        <w:trPr>
          <w:trHeight w:val="399"/>
        </w:trPr>
        <w:tc>
          <w:tcPr>
            <w:tcW w:w="4520" w:type="dxa"/>
            <w:vAlign w:val="bottom"/>
          </w:tcPr>
          <w:p>
            <w:pPr>
              <w:ind w:left="40"/>
              <w:spacing w:after="0"/>
              <w:rPr>
                <w:sz w:val="20"/>
                <w:szCs w:val="20"/>
                <w:color w:val="auto"/>
              </w:rPr>
            </w:pPr>
            <w:r>
              <w:rPr>
                <w:rFonts w:ascii="Arial" w:cs="Arial" w:eastAsia="Arial" w:hAnsi="Arial"/>
                <w:sz w:val="16"/>
                <w:szCs w:val="16"/>
                <w:color w:val="auto"/>
              </w:rPr>
              <w:t>2016</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9.3</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1.3</w:t>
            </w:r>
          </w:p>
        </w:tc>
      </w:tr>
      <w:tr>
        <w:trPr>
          <w:trHeight w:val="243"/>
        </w:trPr>
        <w:tc>
          <w:tcPr>
            <w:tcW w:w="4520" w:type="dxa"/>
            <w:vAlign w:val="bottom"/>
          </w:tcPr>
          <w:p>
            <w:pPr>
              <w:ind w:left="40"/>
              <w:spacing w:after="0"/>
              <w:rPr>
                <w:sz w:val="20"/>
                <w:szCs w:val="20"/>
                <w:color w:val="auto"/>
              </w:rPr>
            </w:pPr>
            <w:r>
              <w:rPr>
                <w:rFonts w:ascii="Arial" w:cs="Arial" w:eastAsia="Arial" w:hAnsi="Arial"/>
                <w:sz w:val="16"/>
                <w:szCs w:val="16"/>
                <w:color w:val="auto"/>
              </w:rPr>
              <w:t>2017</w:t>
            </w:r>
          </w:p>
        </w:tc>
        <w:tc>
          <w:tcPr>
            <w:tcW w:w="28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9.7</w:t>
            </w:r>
          </w:p>
        </w:tc>
        <w:tc>
          <w:tcPr>
            <w:tcW w:w="740" w:type="dxa"/>
            <w:vAlign w:val="bottom"/>
          </w:tcPr>
          <w:p>
            <w:pPr>
              <w:spacing w:after="0"/>
              <w:rPr>
                <w:sz w:val="21"/>
                <w:szCs w:val="21"/>
                <w:color w:val="auto"/>
              </w:rPr>
            </w:pP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1.3</w:t>
            </w:r>
          </w:p>
        </w:tc>
      </w:tr>
      <w:tr>
        <w:trPr>
          <w:trHeight w:val="243"/>
        </w:trPr>
        <w:tc>
          <w:tcPr>
            <w:tcW w:w="4520" w:type="dxa"/>
            <w:vAlign w:val="bottom"/>
          </w:tcPr>
          <w:p>
            <w:pPr>
              <w:ind w:left="40"/>
              <w:spacing w:after="0"/>
              <w:rPr>
                <w:sz w:val="20"/>
                <w:szCs w:val="20"/>
                <w:color w:val="auto"/>
              </w:rPr>
            </w:pPr>
            <w:r>
              <w:rPr>
                <w:rFonts w:ascii="Arial" w:cs="Arial" w:eastAsia="Arial" w:hAnsi="Arial"/>
                <w:sz w:val="16"/>
                <w:szCs w:val="16"/>
                <w:color w:val="auto"/>
              </w:rPr>
              <w:t>2018</w:t>
            </w:r>
          </w:p>
        </w:tc>
        <w:tc>
          <w:tcPr>
            <w:tcW w:w="28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w:t>
            </w:r>
          </w:p>
        </w:tc>
        <w:tc>
          <w:tcPr>
            <w:tcW w:w="740" w:type="dxa"/>
            <w:vAlign w:val="bottom"/>
          </w:tcPr>
          <w:p>
            <w:pPr>
              <w:spacing w:after="0"/>
              <w:rPr>
                <w:sz w:val="21"/>
                <w:szCs w:val="21"/>
                <w:color w:val="auto"/>
              </w:rPr>
            </w:pP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1.3</w:t>
            </w:r>
          </w:p>
        </w:tc>
      </w:tr>
      <w:tr>
        <w:trPr>
          <w:trHeight w:val="243"/>
        </w:trPr>
        <w:tc>
          <w:tcPr>
            <w:tcW w:w="4520" w:type="dxa"/>
            <w:vAlign w:val="bottom"/>
          </w:tcPr>
          <w:p>
            <w:pPr>
              <w:ind w:left="40"/>
              <w:spacing w:after="0"/>
              <w:rPr>
                <w:sz w:val="20"/>
                <w:szCs w:val="20"/>
                <w:color w:val="auto"/>
              </w:rPr>
            </w:pPr>
            <w:r>
              <w:rPr>
                <w:rFonts w:ascii="Arial" w:cs="Arial" w:eastAsia="Arial" w:hAnsi="Arial"/>
                <w:sz w:val="16"/>
                <w:szCs w:val="16"/>
                <w:color w:val="auto"/>
              </w:rPr>
              <w:t>2019</w:t>
            </w:r>
          </w:p>
        </w:tc>
        <w:tc>
          <w:tcPr>
            <w:tcW w:w="28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10.6</w:t>
            </w:r>
          </w:p>
        </w:tc>
        <w:tc>
          <w:tcPr>
            <w:tcW w:w="740" w:type="dxa"/>
            <w:vAlign w:val="bottom"/>
          </w:tcPr>
          <w:p>
            <w:pPr>
              <w:spacing w:after="0"/>
              <w:rPr>
                <w:sz w:val="21"/>
                <w:szCs w:val="21"/>
                <w:color w:val="auto"/>
              </w:rPr>
            </w:pP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1.2</w:t>
            </w:r>
          </w:p>
        </w:tc>
      </w:tr>
      <w:tr>
        <w:trPr>
          <w:trHeight w:val="243"/>
        </w:trPr>
        <w:tc>
          <w:tcPr>
            <w:tcW w:w="4520" w:type="dxa"/>
            <w:vAlign w:val="bottom"/>
          </w:tcPr>
          <w:p>
            <w:pPr>
              <w:ind w:left="40"/>
              <w:spacing w:after="0"/>
              <w:rPr>
                <w:sz w:val="20"/>
                <w:szCs w:val="20"/>
                <w:color w:val="auto"/>
              </w:rPr>
            </w:pPr>
            <w:r>
              <w:rPr>
                <w:rFonts w:ascii="Arial" w:cs="Arial" w:eastAsia="Arial" w:hAnsi="Arial"/>
                <w:sz w:val="16"/>
                <w:szCs w:val="16"/>
                <w:color w:val="auto"/>
              </w:rPr>
              <w:t>2020</w:t>
            </w:r>
          </w:p>
        </w:tc>
        <w:tc>
          <w:tcPr>
            <w:tcW w:w="28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w:t>
            </w:r>
          </w:p>
        </w:tc>
        <w:tc>
          <w:tcPr>
            <w:tcW w:w="740" w:type="dxa"/>
            <w:vAlign w:val="bottom"/>
          </w:tcPr>
          <w:p>
            <w:pPr>
              <w:spacing w:after="0"/>
              <w:rPr>
                <w:sz w:val="21"/>
                <w:szCs w:val="21"/>
                <w:color w:val="auto"/>
              </w:rPr>
            </w:pP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1.1</w:t>
            </w:r>
          </w:p>
        </w:tc>
      </w:tr>
      <w:tr>
        <w:trPr>
          <w:trHeight w:val="256"/>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2021–2025</w:t>
            </w:r>
          </w:p>
        </w:tc>
        <w:tc>
          <w:tcPr>
            <w:tcW w:w="28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7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5.4</w:t>
            </w:r>
          </w:p>
        </w:tc>
      </w:tr>
      <w:tr>
        <w:trPr>
          <w:trHeight w:val="412"/>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projected benefit payments</w:t>
            </w:r>
          </w:p>
        </w:tc>
        <w:tc>
          <w:tcPr>
            <w:tcW w:w="28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7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11.6</w:t>
            </w:r>
          </w:p>
        </w:tc>
      </w:tr>
      <w:tr>
        <w:trPr>
          <w:trHeight w:val="804"/>
        </w:trPr>
        <w:tc>
          <w:tcPr>
            <w:tcW w:w="4520" w:type="dxa"/>
            <w:vAlign w:val="bottom"/>
          </w:tcPr>
          <w:p>
            <w:pPr>
              <w:ind w:left="40"/>
              <w:spacing w:after="0"/>
              <w:rPr>
                <w:sz w:val="20"/>
                <w:szCs w:val="20"/>
                <w:color w:val="auto"/>
              </w:rPr>
            </w:pPr>
            <w:r>
              <w:rPr>
                <w:rFonts w:ascii="Arial" w:cs="Arial" w:eastAsia="Arial" w:hAnsi="Arial"/>
                <w:sz w:val="12"/>
                <w:szCs w:val="12"/>
                <w:color w:val="auto"/>
              </w:rPr>
              <w:t>Notes to Consolidated Financial Statements</w:t>
            </w: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2"/>
                <w:szCs w:val="12"/>
                <w:b w:val="1"/>
                <w:bCs w:val="1"/>
                <w:color w:val="auto"/>
              </w:rPr>
              <w:t xml:space="preserve">75 </w:t>
            </w:r>
            <w:r>
              <w:rPr>
                <w:rFonts w:ascii="Arial" w:cs="Arial" w:eastAsia="Arial" w:hAnsi="Arial"/>
                <w:sz w:val="12"/>
                <w:szCs w:val="12"/>
                <w:color w:val="auto"/>
              </w:rPr>
              <w:t>| ManpowerGroup</w:t>
            </w:r>
          </w:p>
        </w:tc>
      </w:tr>
    </w:tbl>
    <w:p>
      <w:pPr>
        <w:sectPr>
          <w:pgSz w:w="11900" w:h="16838" w:orient="portrait"/>
          <w:cols w:equalWidth="0" w:num="1">
            <w:col w:w="11420"/>
          </w:cols>
          <w:pgMar w:left="240" w:top="574"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4F8ABE"/>
        </w:rPr>
        <w:t>Defined Contribution Plans and Deferred Compensation Plans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have defined contribution plans covering substantially all permanent United States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$19.6, $19.8 and $22.4 for the years ended December 31, 2015, 2014 and 2013, respectively.</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also have deferred compensation plans in the United States. One of the plans had an asset and liability of $82.9 and $80.0 as of December 31, 2015 and 2014, respectively.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color w:val="2989B9"/>
        </w:rPr>
        <w:t>Note 09. Accumulated Other Comprehensive Loss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282A32"/>
        </w:rPr>
        <w:t>The components of accumulated other comprehensive loss, net of tax,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440" w:type="dxa"/>
            <w:vAlign w:val="bottom"/>
            <w:tcBorders>
              <w:bottom w:val="single" w:sz="8" w:color="auto"/>
            </w:tcBorders>
            <w:shd w:val="clear" w:color="auto" w:fill="E1F4FD"/>
          </w:tcPr>
          <w:p>
            <w:pPr>
              <w:spacing w:after="0"/>
              <w:rPr>
                <w:sz w:val="18"/>
                <w:szCs w:val="18"/>
                <w:color w:val="auto"/>
              </w:rPr>
            </w:pPr>
          </w:p>
        </w:tc>
        <w:tc>
          <w:tcPr>
            <w:tcW w:w="92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r>
      <w:tr>
        <w:trPr>
          <w:trHeight w:val="243"/>
        </w:trPr>
        <w:tc>
          <w:tcPr>
            <w:tcW w:w="870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440" w:type="dxa"/>
            <w:vAlign w:val="bottom"/>
            <w:shd w:val="clear" w:color="auto" w:fill="E1F4FD"/>
          </w:tcPr>
          <w:p>
            <w:pPr>
              <w:jc w:val="right"/>
              <w:ind w:right="259"/>
              <w:spacing w:after="0"/>
              <w:rPr>
                <w:sz w:val="20"/>
                <w:szCs w:val="20"/>
                <w:color w:val="auto"/>
              </w:rPr>
            </w:pPr>
            <w:r>
              <w:rPr>
                <w:rFonts w:ascii="Arial" w:cs="Arial" w:eastAsia="Arial" w:hAnsi="Arial"/>
                <w:sz w:val="16"/>
                <w:szCs w:val="16"/>
                <w:color w:val="4F8ABE"/>
                <w:w w:val="89"/>
              </w:rPr>
              <w:t>$</w:t>
            </w:r>
          </w:p>
        </w:tc>
        <w:tc>
          <w:tcPr>
            <w:tcW w:w="920" w:type="dxa"/>
            <w:vAlign w:val="bottom"/>
            <w:shd w:val="clear" w:color="auto" w:fill="E1F4FD"/>
          </w:tcPr>
          <w:p>
            <w:pPr>
              <w:jc w:val="right"/>
              <w:spacing w:after="0"/>
              <w:rPr>
                <w:sz w:val="20"/>
                <w:szCs w:val="20"/>
                <w:color w:val="auto"/>
              </w:rPr>
            </w:pPr>
            <w:r>
              <w:rPr>
                <w:rFonts w:ascii="Arial" w:cs="Arial" w:eastAsia="Arial" w:hAnsi="Arial"/>
                <w:sz w:val="16"/>
                <w:szCs w:val="16"/>
                <w:color w:val="4F8ABE"/>
              </w:rPr>
              <w:t>(209.2)</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color w:val="auto"/>
              </w:rPr>
              <w:t>Translation gain (loss) on net investment hedge, net of income taxes of $2.8 and $(16.4), respectively</w:t>
            </w:r>
          </w:p>
        </w:tc>
        <w:tc>
          <w:tcPr>
            <w:tcW w:w="4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4F8ABE"/>
              </w:rPr>
              <w:t>10.0</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43"/>
        </w:trPr>
        <w:tc>
          <w:tcPr>
            <w:tcW w:w="8700" w:type="dxa"/>
            <w:vAlign w:val="bottom"/>
          </w:tcPr>
          <w:p>
            <w:pPr>
              <w:ind w:left="40"/>
              <w:spacing w:after="0"/>
              <w:rPr>
                <w:sz w:val="20"/>
                <w:szCs w:val="20"/>
                <w:color w:val="auto"/>
              </w:rPr>
            </w:pPr>
            <w:r>
              <w:rPr>
                <w:rFonts w:ascii="Arial" w:cs="Arial" w:eastAsia="Arial" w:hAnsi="Arial"/>
                <w:sz w:val="16"/>
                <w:szCs w:val="16"/>
                <w:color w:val="auto"/>
              </w:rPr>
              <w:t>Translation loss on long-term intercompany loans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4F8ABE"/>
              </w:rPr>
              <w:t>(75.5)</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43"/>
        </w:trPr>
        <w:tc>
          <w:tcPr>
            <w:tcW w:w="8700" w:type="dxa"/>
            <w:vAlign w:val="bottom"/>
          </w:tcPr>
          <w:p>
            <w:pPr>
              <w:ind w:left="40"/>
              <w:spacing w:after="0"/>
              <w:rPr>
                <w:sz w:val="20"/>
                <w:szCs w:val="20"/>
                <w:color w:val="auto"/>
              </w:rPr>
            </w:pPr>
            <w:r>
              <w:rPr>
                <w:rFonts w:ascii="Arial" w:cs="Arial" w:eastAsia="Arial" w:hAnsi="Arial"/>
                <w:sz w:val="16"/>
                <w:szCs w:val="16"/>
                <w:color w:val="auto"/>
              </w:rPr>
              <w:t>Unrealized gain on investments, net of income taxes of $3.8 and $3.7, respectively</w:t>
            </w:r>
          </w:p>
        </w:tc>
        <w:tc>
          <w:tcPr>
            <w:tcW w:w="44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4F8ABE"/>
              </w:rPr>
              <w:t>17.0</w:t>
            </w:r>
          </w:p>
        </w:tc>
        <w:tc>
          <w:tcPr>
            <w:tcW w:w="46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16.7</w:t>
            </w:r>
          </w:p>
        </w:tc>
      </w:tr>
      <w:tr>
        <w:trPr>
          <w:trHeight w:val="243"/>
        </w:trPr>
        <w:tc>
          <w:tcPr>
            <w:tcW w:w="8700" w:type="dxa"/>
            <w:vAlign w:val="bottom"/>
          </w:tcPr>
          <w:p>
            <w:pPr>
              <w:ind w:left="40"/>
              <w:spacing w:after="0"/>
              <w:rPr>
                <w:sz w:val="20"/>
                <w:szCs w:val="20"/>
                <w:color w:val="auto"/>
              </w:rPr>
            </w:pPr>
            <w:r>
              <w:rPr>
                <w:rFonts w:ascii="Arial" w:cs="Arial" w:eastAsia="Arial" w:hAnsi="Arial"/>
                <w:sz w:val="16"/>
                <w:szCs w:val="16"/>
                <w:color w:val="auto"/>
              </w:rPr>
              <w:t>Defined benefit pension plans, net of income taxes of $(22.3) and $(30.1), respectively</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4F8ABE"/>
              </w:rPr>
              <w:t>(32.6)</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5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Retiree health care plan, net of income taxes of $2.4 in both 2015 and 2014</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4.3</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r>
      <w:tr>
        <w:trPr>
          <w:trHeight w:val="237"/>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4F8ABE"/>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(286.0)</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r>
      <w:tr>
        <w:trPr>
          <w:trHeight w:val="122"/>
        </w:trPr>
        <w:tc>
          <w:tcPr>
            <w:tcW w:w="8700" w:type="dxa"/>
            <w:vAlign w:val="bottom"/>
          </w:tcPr>
          <w:p>
            <w:pPr>
              <w:spacing w:after="0"/>
              <w:rPr>
                <w:sz w:val="10"/>
                <w:szCs w:val="10"/>
                <w:color w:val="auto"/>
              </w:rPr>
            </w:pPr>
          </w:p>
        </w:tc>
        <w:tc>
          <w:tcPr>
            <w:tcW w:w="440" w:type="dxa"/>
            <w:vAlign w:val="bottom"/>
            <w:shd w:val="clear" w:color="auto" w:fill="2989B9"/>
          </w:tcPr>
          <w:p>
            <w:pPr>
              <w:spacing w:after="0"/>
              <w:rPr>
                <w:sz w:val="10"/>
                <w:szCs w:val="10"/>
                <w:color w:val="auto"/>
              </w:rPr>
            </w:pPr>
          </w:p>
        </w:tc>
        <w:tc>
          <w:tcPr>
            <w:tcW w:w="920" w:type="dxa"/>
            <w:vAlign w:val="bottom"/>
            <w:shd w:val="clear" w:color="auto" w:fill="2989B9"/>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-1183005</wp:posOffset>
            </wp:positionV>
            <wp:extent cx="866140" cy="1097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6140" cy="109791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2989B9"/>
        </w:rPr>
        <w:t>Note 10. Leases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2015:</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ind w:left="40"/>
              <w:spacing w:after="0"/>
              <w:rPr>
                <w:sz w:val="20"/>
                <w:szCs w:val="20"/>
                <w:color w:val="auto"/>
              </w:rPr>
            </w:pPr>
            <w:r>
              <w:rPr>
                <w:rFonts w:ascii="Arial" w:cs="Arial" w:eastAsia="Arial" w:hAnsi="Arial"/>
                <w:sz w:val="16"/>
                <w:szCs w:val="16"/>
                <w:color w:val="auto"/>
              </w:rPr>
              <w:t>2016</w:t>
            </w:r>
          </w:p>
        </w:tc>
        <w:tc>
          <w:tcPr>
            <w:tcW w:w="43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155.9</w:t>
            </w:r>
          </w:p>
        </w:tc>
      </w:tr>
      <w:tr>
        <w:trPr>
          <w:trHeight w:val="243"/>
        </w:trPr>
        <w:tc>
          <w:tcPr>
            <w:tcW w:w="5600" w:type="dxa"/>
            <w:vAlign w:val="bottom"/>
          </w:tcPr>
          <w:p>
            <w:pPr>
              <w:ind w:left="40"/>
              <w:spacing w:after="0"/>
              <w:rPr>
                <w:sz w:val="20"/>
                <w:szCs w:val="20"/>
                <w:color w:val="auto"/>
              </w:rPr>
            </w:pPr>
            <w:r>
              <w:rPr>
                <w:rFonts w:ascii="Arial" w:cs="Arial" w:eastAsia="Arial" w:hAnsi="Arial"/>
                <w:sz w:val="16"/>
                <w:szCs w:val="16"/>
                <w:color w:val="auto"/>
              </w:rPr>
              <w:t>2017</w:t>
            </w:r>
          </w:p>
        </w:tc>
        <w:tc>
          <w:tcPr>
            <w:tcW w:w="436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116.4</w:t>
            </w:r>
          </w:p>
        </w:tc>
      </w:tr>
      <w:tr>
        <w:trPr>
          <w:trHeight w:val="243"/>
        </w:trPr>
        <w:tc>
          <w:tcPr>
            <w:tcW w:w="5600" w:type="dxa"/>
            <w:vAlign w:val="bottom"/>
          </w:tcPr>
          <w:p>
            <w:pPr>
              <w:ind w:left="40"/>
              <w:spacing w:after="0"/>
              <w:rPr>
                <w:sz w:val="20"/>
                <w:szCs w:val="20"/>
                <w:color w:val="auto"/>
              </w:rPr>
            </w:pPr>
            <w:r>
              <w:rPr>
                <w:rFonts w:ascii="Arial" w:cs="Arial" w:eastAsia="Arial" w:hAnsi="Arial"/>
                <w:sz w:val="16"/>
                <w:szCs w:val="16"/>
                <w:color w:val="auto"/>
              </w:rPr>
              <w:t>2018</w:t>
            </w:r>
          </w:p>
        </w:tc>
        <w:tc>
          <w:tcPr>
            <w:tcW w:w="436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88.5</w:t>
            </w:r>
          </w:p>
        </w:tc>
      </w:tr>
      <w:tr>
        <w:trPr>
          <w:trHeight w:val="243"/>
        </w:trPr>
        <w:tc>
          <w:tcPr>
            <w:tcW w:w="5600" w:type="dxa"/>
            <w:vAlign w:val="bottom"/>
          </w:tcPr>
          <w:p>
            <w:pPr>
              <w:ind w:left="40"/>
              <w:spacing w:after="0"/>
              <w:rPr>
                <w:sz w:val="20"/>
                <w:szCs w:val="20"/>
                <w:color w:val="auto"/>
              </w:rPr>
            </w:pPr>
            <w:r>
              <w:rPr>
                <w:rFonts w:ascii="Arial" w:cs="Arial" w:eastAsia="Arial" w:hAnsi="Arial"/>
                <w:sz w:val="16"/>
                <w:szCs w:val="16"/>
                <w:color w:val="auto"/>
              </w:rPr>
              <w:t>2019</w:t>
            </w:r>
          </w:p>
        </w:tc>
        <w:tc>
          <w:tcPr>
            <w:tcW w:w="436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63.5</w:t>
            </w:r>
          </w:p>
        </w:tc>
      </w:tr>
      <w:tr>
        <w:trPr>
          <w:trHeight w:val="243"/>
        </w:trPr>
        <w:tc>
          <w:tcPr>
            <w:tcW w:w="5600" w:type="dxa"/>
            <w:vAlign w:val="bottom"/>
          </w:tcPr>
          <w:p>
            <w:pPr>
              <w:ind w:left="40"/>
              <w:spacing w:after="0"/>
              <w:rPr>
                <w:sz w:val="20"/>
                <w:szCs w:val="20"/>
                <w:color w:val="auto"/>
              </w:rPr>
            </w:pPr>
            <w:r>
              <w:rPr>
                <w:rFonts w:ascii="Arial" w:cs="Arial" w:eastAsia="Arial" w:hAnsi="Arial"/>
                <w:sz w:val="16"/>
                <w:szCs w:val="16"/>
                <w:color w:val="auto"/>
              </w:rPr>
              <w:t>2020</w:t>
            </w:r>
          </w:p>
        </w:tc>
        <w:tc>
          <w:tcPr>
            <w:tcW w:w="436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51.1</w:t>
            </w:r>
          </w:p>
        </w:tc>
      </w:tr>
      <w:tr>
        <w:trPr>
          <w:trHeight w:val="25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Thereafter</w:t>
            </w:r>
          </w:p>
        </w:tc>
        <w:tc>
          <w:tcPr>
            <w:tcW w:w="4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106.8</w:t>
            </w:r>
          </w:p>
        </w:tc>
      </w:tr>
      <w:tr>
        <w:trPr>
          <w:trHeight w:val="237"/>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minimum lease payments</w:t>
            </w:r>
          </w:p>
        </w:tc>
        <w:tc>
          <w:tcPr>
            <w:tcW w:w="43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582.2</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282A32"/>
        </w:rPr>
        <w:t>Rental expense for all operating leases was $174.9, $197.0 and $232.9 for the years ended December 31, 2015, 2014 and 2013, respectively.</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76</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114" w:name="page115"/>
    <w:bookmarkEnd w:id="114"/>
    <w:p>
      <w:pPr>
        <w:spacing w:after="0"/>
        <w:rPr>
          <w:sz w:val="20"/>
          <w:szCs w:val="20"/>
          <w:color w:val="auto"/>
        </w:rPr>
      </w:pPr>
      <w:r>
        <w:rPr>
          <w:rFonts w:ascii="Arial" w:cs="Arial" w:eastAsia="Arial" w:hAnsi="Arial"/>
          <w:sz w:val="25"/>
          <w:szCs w:val="25"/>
          <w:color w:val="2989B9"/>
        </w:rPr>
        <w:t>Note 11. Interest and Other Expenses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282A32"/>
        </w:rPr>
        <w:t>Interest and other expenses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600" w:type="dxa"/>
            <w:vAlign w:val="bottom"/>
            <w:tcBorders>
              <w:bottom w:val="single" w:sz="8" w:color="auto"/>
            </w:tcBorders>
            <w:shd w:val="clear" w:color="auto" w:fill="E1F4FD"/>
          </w:tcPr>
          <w:p>
            <w:pPr>
              <w:spacing w:after="0"/>
              <w:rPr>
                <w:sz w:val="18"/>
                <w:szCs w:val="18"/>
                <w:color w:val="auto"/>
              </w:rPr>
            </w:pPr>
          </w:p>
        </w:tc>
        <w:tc>
          <w:tcPr>
            <w:tcW w:w="90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4"/>
                <w:szCs w:val="14"/>
                <w:color w:val="4F8ABE"/>
              </w:rPr>
              <w:t>2015</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600" w:type="dxa"/>
            <w:vAlign w:val="bottom"/>
            <w:shd w:val="clear" w:color="auto" w:fill="E1F4FD"/>
          </w:tcPr>
          <w:p>
            <w:pPr>
              <w:jc w:val="right"/>
              <w:ind w:right="399"/>
              <w:spacing w:after="0"/>
              <w:rPr>
                <w:sz w:val="20"/>
                <w:szCs w:val="20"/>
                <w:color w:val="auto"/>
              </w:rPr>
            </w:pPr>
            <w:r>
              <w:rPr>
                <w:rFonts w:ascii="Arial" w:cs="Arial" w:eastAsia="Arial" w:hAnsi="Arial"/>
                <w:sz w:val="16"/>
                <w:szCs w:val="16"/>
                <w:color w:val="4F8ABE"/>
              </w:rPr>
              <w:t>$</w:t>
            </w:r>
          </w:p>
        </w:tc>
        <w:tc>
          <w:tcPr>
            <w:tcW w:w="900" w:type="dxa"/>
            <w:vAlign w:val="bottom"/>
            <w:shd w:val="clear" w:color="auto" w:fill="E1F4FD"/>
          </w:tcPr>
          <w:p>
            <w:pPr>
              <w:jc w:val="right"/>
              <w:ind w:right="40"/>
              <w:spacing w:after="0"/>
              <w:rPr>
                <w:sz w:val="20"/>
                <w:szCs w:val="20"/>
                <w:color w:val="auto"/>
              </w:rPr>
            </w:pPr>
            <w:r>
              <w:rPr>
                <w:rFonts w:ascii="Arial" w:cs="Arial" w:eastAsia="Arial" w:hAnsi="Arial"/>
                <w:sz w:val="16"/>
                <w:szCs w:val="16"/>
                <w:color w:val="4F8ABE"/>
              </w:rPr>
              <w:t>36.0</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35.9</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37.1</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F8ABE"/>
              </w:rPr>
              <w:t>(2.5)</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Foreign exchange (gain) loss</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F8ABE"/>
              </w:rPr>
              <w:t>(4.7)</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5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Miscellaneous (income) expense, net</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(0.6)</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r>
      <w:tr>
        <w:trPr>
          <w:trHeight w:val="237"/>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Interest and other expenses</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4F8ABE"/>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4F8ABE"/>
              </w:rPr>
              <w:t>28.2</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38.3</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36.4</w:t>
            </w:r>
          </w:p>
        </w:tc>
      </w:tr>
      <w:tr>
        <w:trPr>
          <w:trHeight w:val="122"/>
        </w:trPr>
        <w:tc>
          <w:tcPr>
            <w:tcW w:w="6980" w:type="dxa"/>
            <w:vAlign w:val="bottom"/>
          </w:tcPr>
          <w:p>
            <w:pPr>
              <w:spacing w:after="0"/>
              <w:rPr>
                <w:sz w:val="10"/>
                <w:szCs w:val="10"/>
                <w:color w:val="auto"/>
              </w:rPr>
            </w:pPr>
          </w:p>
        </w:tc>
        <w:tc>
          <w:tcPr>
            <w:tcW w:w="600" w:type="dxa"/>
            <w:vAlign w:val="bottom"/>
            <w:shd w:val="clear" w:color="auto" w:fill="2989B9"/>
          </w:tcPr>
          <w:p>
            <w:pPr>
              <w:spacing w:after="0"/>
              <w:rPr>
                <w:sz w:val="10"/>
                <w:szCs w:val="10"/>
                <w:color w:val="auto"/>
              </w:rPr>
            </w:pPr>
          </w:p>
        </w:tc>
        <w:tc>
          <w:tcPr>
            <w:tcW w:w="900" w:type="dxa"/>
            <w:vAlign w:val="bottom"/>
            <w:shd w:val="clear" w:color="auto" w:fill="2989B9"/>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-874395</wp:posOffset>
            </wp:positionV>
            <wp:extent cx="951865" cy="788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51865" cy="7886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2989B9"/>
        </w:rPr>
        <w:t>Note 12. Derivative Financial Instruments</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manage interest rate risk through the use of a combination of fixed and variable rate borrowings. In accordance with the current accounting guidance for derivative instruments and hedging activities, we record all of our derivative instruments as either an asset or liability measured at their fair values.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2989B9"/>
        </w:rPr>
        <w:t>Foreign Currency Exchange Rate Risk Management</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82A32"/>
        </w:rPr>
        <w:t>A portion of the €400.0 Notes ($431.0) and €350.0 ($379.2) Notes were designated as economic hedges of our net investment in our foreign subsidiaries with a euro-functional currency as of December 31, 2015.</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For derivatives designated as an economic hedge of the foreign currency exposure of a net investment in a foreign operation, the gain or loss associated with foreign currency translation is recorded as a component of accumulated other comprehensive loss, net of taxes. As of December 31, 2015, we had a $14.1 unrealized gain included in accumulated other comprehensive loss, net of taxes, as the net investment hedge was deemed effective.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On occasion, forward contracts are designated as an economic hedge of our net investment in our foreign subsidiaries. As of December 31, 2015, we had a translation loss of $4.1 included in accumulated other comprehensive loss, net of taxes, as the net investment hedge was deemed effective.</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We recorded a gain of $0.6 associated with our forward contracts in interest and other expenses for the year ended December 31, 2015, which offset the net loss recorded for the items noted above.</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82A32"/>
        </w:rPr>
        <w:t>The fair value measurements of these items recorded in our Consolidated Balance Sheets as of December 31, 2015 and 2014 are disclosed in Note 1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77 </w:t>
      </w:r>
      <w:r>
        <w:rPr>
          <w:rFonts w:ascii="Arial" w:cs="Arial" w:eastAsia="Arial" w:hAnsi="Arial"/>
          <w:sz w:val="11"/>
          <w:szCs w:val="11"/>
          <w:color w:val="auto"/>
        </w:rPr>
        <w:t>| ManpowerGroup</w:t>
      </w:r>
    </w:p>
    <w:p>
      <w:pPr>
        <w:sectPr>
          <w:pgSz w:w="11900" w:h="16838" w:orient="portrait"/>
          <w:cols w:equalWidth="0" w:num="1">
            <w:col w:w="11420"/>
          </w:cols>
          <w:pgMar w:left="240" w:top="870"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2989B9"/>
        </w:rPr>
        <w:t>Note 13. Contingencies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2989B9"/>
        </w:rPr>
        <w:t>Litigation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In the normal course of business, the Company is named as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A32"/>
        </w:rPr>
        <w:t>In 2014, we recorded legal costs of $9.0 in the United States related to a settlement agreement in connection with a lawsuit in California involving allegations regarding our wage statements. The settlement agreement was approved by the court at a final hearing in June 2015. We believe that the settlement was in our best interest to avoid the costs and disruption of ongoing litigation.</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2989B9"/>
        </w:rPr>
        <w:t>Guarantees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We have entered into certain guarantee contracts and stand-by letters of credit that total $190.2 ($144.7 for guarantees and $45.5 for stand-by letters of credit) as of December 31, 2015.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2989B9"/>
        </w:rPr>
        <w:t>Note 14. Segment Data</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82A32"/>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Recruitment Process Outsourcing (RPO) and Proservia.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82A32"/>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78</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282A32"/>
        </w:rPr>
        <w:t>Total assets for the segments are reported after the elimination of investments in subsidiaries and intercompany accounts.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300" w:type="dxa"/>
            <w:vAlign w:val="bottom"/>
            <w:tcBorders>
              <w:bottom w:val="single" w:sz="8" w:color="auto"/>
            </w:tcBorders>
            <w:shd w:val="clear" w:color="auto" w:fill="E1F4FD"/>
          </w:tcPr>
          <w:p>
            <w:pPr>
              <w:spacing w:after="0"/>
              <w:rPr>
                <w:sz w:val="18"/>
                <w:szCs w:val="18"/>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66"/>
        </w:trPr>
        <w:tc>
          <w:tcPr>
            <w:tcW w:w="7660" w:type="dxa"/>
            <w:vAlign w:val="bottom"/>
          </w:tcPr>
          <w:p>
            <w:pPr>
              <w:ind w:left="40"/>
              <w:spacing w:after="0"/>
              <w:rPr>
                <w:sz w:val="20"/>
                <w:szCs w:val="20"/>
                <w:color w:val="auto"/>
              </w:rPr>
            </w:pPr>
            <w:r>
              <w:rPr>
                <w:rFonts w:ascii="Arial" w:cs="Arial" w:eastAsia="Arial" w:hAnsi="Arial"/>
                <w:sz w:val="16"/>
                <w:szCs w:val="16"/>
                <w:color w:val="4F8ABE"/>
              </w:rPr>
              <w:t>Revenues from Services</w:t>
            </w:r>
            <w:r>
              <w:rPr>
                <w:rFonts w:ascii="Arial" w:cs="Arial" w:eastAsia="Arial" w:hAnsi="Arial"/>
                <w:sz w:val="21"/>
                <w:szCs w:val="21"/>
                <w:color w:val="4F8ABE"/>
                <w:vertAlign w:val="superscript"/>
              </w:rPr>
              <w:t>(a)</w:t>
            </w:r>
          </w:p>
        </w:tc>
        <w:tc>
          <w:tcPr>
            <w:tcW w:w="300" w:type="dxa"/>
            <w:vAlign w:val="bottom"/>
            <w:shd w:val="clear" w:color="auto" w:fill="E1F4FD"/>
          </w:tcPr>
          <w:p>
            <w:pPr>
              <w:spacing w:after="0"/>
              <w:rPr>
                <w:sz w:val="24"/>
                <w:szCs w:val="24"/>
                <w:color w:val="auto"/>
              </w:rPr>
            </w:pPr>
          </w:p>
        </w:tc>
        <w:tc>
          <w:tcPr>
            <w:tcW w:w="940" w:type="dxa"/>
            <w:vAlign w:val="bottom"/>
            <w:shd w:val="clear" w:color="auto" w:fill="E1F4FD"/>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300" w:type="dxa"/>
            <w:vAlign w:val="bottom"/>
            <w:shd w:val="clear" w:color="auto" w:fill="E1F4FD"/>
          </w:tcPr>
          <w:p>
            <w:pPr>
              <w:spacing w:after="0"/>
              <w:rPr>
                <w:sz w:val="16"/>
                <w:szCs w:val="16"/>
                <w:color w:val="auto"/>
              </w:rPr>
            </w:pPr>
          </w:p>
        </w:tc>
        <w:tc>
          <w:tcPr>
            <w:tcW w:w="940" w:type="dxa"/>
            <w:vAlign w:val="bottom"/>
            <w:shd w:val="clear" w:color="auto" w:fill="E1F4FD"/>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(b)</w:t>
            </w:r>
          </w:p>
        </w:tc>
        <w:tc>
          <w:tcPr>
            <w:tcW w:w="300" w:type="dxa"/>
            <w:vAlign w:val="bottom"/>
            <w:shd w:val="clear" w:color="auto" w:fill="E1F4FD"/>
          </w:tcPr>
          <w:p>
            <w:pPr>
              <w:jc w:val="right"/>
              <w:ind w:right="119"/>
              <w:spacing w:after="0"/>
              <w:rPr>
                <w:sz w:val="20"/>
                <w:szCs w:val="20"/>
                <w:color w:val="auto"/>
              </w:rPr>
            </w:pPr>
            <w:r>
              <w:rPr>
                <w:rFonts w:ascii="Arial" w:cs="Arial" w:eastAsia="Arial" w:hAnsi="Arial"/>
                <w:sz w:val="16"/>
                <w:szCs w:val="16"/>
                <w:color w:val="4F8ABE"/>
                <w:w w:val="89"/>
              </w:rPr>
              <w:t>$</w:t>
            </w: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3,005.8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3,086.4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2,967.0</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shd w:val="clear" w:color="auto" w:fill="E1F4FD"/>
          </w:tcPr>
          <w:p>
            <w:pPr>
              <w:spacing w:after="0"/>
              <w:rPr>
                <w:sz w:val="20"/>
                <w:szCs w:val="20"/>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1,486.2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1,497.3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1,543.2</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shd w:val="clear" w:color="auto" w:fill="E1F4FD"/>
          </w:tcPr>
          <w:p>
            <w:pPr>
              <w:spacing w:after="0"/>
              <w:rPr>
                <w:sz w:val="22"/>
                <w:szCs w:val="22"/>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4,492.0</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4,583.7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4,510.2</w:t>
            </w: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4,661.3</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5,351.6</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5,284.9</w:t>
            </w: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1,226.1</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1,178.8</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1,087.6</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E1F4FD"/>
          </w:tcPr>
          <w:p>
            <w:pPr>
              <w:spacing w:after="0"/>
              <w:rPr>
                <w:sz w:val="22"/>
                <w:szCs w:val="22"/>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984.5</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979.3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864.5</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shd w:val="clear" w:color="auto" w:fill="E1F4FD"/>
          </w:tcPr>
          <w:p>
            <w:pPr>
              <w:spacing w:after="0"/>
              <w:rPr>
                <w:sz w:val="22"/>
                <w:szCs w:val="22"/>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6,871.9</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7,509.7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7,237.0</w:t>
            </w: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300" w:type="dxa"/>
            <w:vAlign w:val="bottom"/>
            <w:shd w:val="clear" w:color="auto" w:fill="E1F4FD"/>
          </w:tcPr>
          <w:p>
            <w:pPr>
              <w:spacing w:after="0"/>
              <w:rPr>
                <w:sz w:val="19"/>
                <w:szCs w:val="19"/>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5,453.3</w:t>
            </w:r>
          </w:p>
        </w:tc>
        <w:tc>
          <w:tcPr>
            <w:tcW w:w="3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6,048.1</w:t>
            </w:r>
          </w:p>
        </w:tc>
        <w:tc>
          <w:tcPr>
            <w:tcW w:w="3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5,738.8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2,239.1</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2,327.1</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2,447.7</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E1F4FD"/>
          </w:tcPr>
          <w:p>
            <w:pPr>
              <w:spacing w:after="0"/>
              <w:rPr>
                <w:sz w:val="22"/>
                <w:szCs w:val="22"/>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273.6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294.2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shd w:val="clear" w:color="auto" w:fill="E1F4FD"/>
          </w:tcPr>
          <w:p>
            <w:pPr>
              <w:jc w:val="right"/>
              <w:ind w:right="119"/>
              <w:spacing w:after="0"/>
              <w:rPr>
                <w:sz w:val="20"/>
                <w:szCs w:val="20"/>
                <w:color w:val="auto"/>
              </w:rPr>
            </w:pPr>
            <w:r>
              <w:rPr>
                <w:rFonts w:ascii="Arial" w:cs="Arial" w:eastAsia="Arial" w:hAnsi="Arial"/>
                <w:sz w:val="16"/>
                <w:szCs w:val="16"/>
                <w:color w:val="4F8ABE"/>
                <w:w w:val="89"/>
              </w:rPr>
              <w:t>$</w:t>
            </w: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19,329.9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20,762.8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20,250.5</w:t>
            </w:r>
          </w:p>
        </w:tc>
        <w:tc>
          <w:tcPr>
            <w:tcW w:w="0" w:type="dxa"/>
            <w:vAlign w:val="bottom"/>
          </w:tcPr>
          <w:p>
            <w:pPr>
              <w:spacing w:after="0"/>
              <w:rPr>
                <w:sz w:val="1"/>
                <w:szCs w:val="1"/>
                <w:color w:val="auto"/>
              </w:rPr>
            </w:pP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4F8ABE"/>
              </w:rPr>
              <w:t>Operating Unit Profit</w:t>
            </w:r>
          </w:p>
        </w:tc>
        <w:tc>
          <w:tcPr>
            <w:tcW w:w="300" w:type="dxa"/>
            <w:vAlign w:val="bottom"/>
            <w:shd w:val="clear" w:color="auto" w:fill="E1F4FD"/>
          </w:tcPr>
          <w:p>
            <w:pPr>
              <w:spacing w:after="0"/>
              <w:rPr>
                <w:sz w:val="24"/>
                <w:szCs w:val="24"/>
                <w:color w:val="auto"/>
              </w:rPr>
            </w:pPr>
          </w:p>
        </w:tc>
        <w:tc>
          <w:tcPr>
            <w:tcW w:w="940" w:type="dxa"/>
            <w:vAlign w:val="bottom"/>
            <w:shd w:val="clear" w:color="auto" w:fill="E1F4FD"/>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300" w:type="dxa"/>
            <w:vAlign w:val="bottom"/>
            <w:shd w:val="clear" w:color="auto" w:fill="E1F4FD"/>
          </w:tcPr>
          <w:p>
            <w:pPr>
              <w:spacing w:after="0"/>
              <w:rPr>
                <w:sz w:val="23"/>
                <w:szCs w:val="23"/>
                <w:color w:val="auto"/>
              </w:rPr>
            </w:pPr>
          </w:p>
        </w:tc>
        <w:tc>
          <w:tcPr>
            <w:tcW w:w="940" w:type="dxa"/>
            <w:vAlign w:val="bottom"/>
            <w:shd w:val="clear" w:color="auto" w:fill="E1F4FD"/>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E1F4FD"/>
          </w:tcPr>
          <w:p>
            <w:pPr>
              <w:jc w:val="right"/>
              <w:ind w:right="119"/>
              <w:spacing w:after="0"/>
              <w:rPr>
                <w:sz w:val="20"/>
                <w:szCs w:val="20"/>
                <w:color w:val="auto"/>
              </w:rPr>
            </w:pPr>
            <w:r>
              <w:rPr>
                <w:rFonts w:ascii="Arial" w:cs="Arial" w:eastAsia="Arial" w:hAnsi="Arial"/>
                <w:sz w:val="16"/>
                <w:szCs w:val="16"/>
                <w:color w:val="4F8ABE"/>
                <w:w w:val="89"/>
              </w:rPr>
              <w:t>$</w:t>
            </w: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143.8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125.4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shd w:val="clear" w:color="auto" w:fill="E1F4FD"/>
          </w:tcPr>
          <w:p>
            <w:pPr>
              <w:spacing w:after="0"/>
              <w:rPr>
                <w:sz w:val="22"/>
                <w:szCs w:val="22"/>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57.0</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shd w:val="clear" w:color="auto" w:fill="E1F4FD"/>
          </w:tcPr>
          <w:p>
            <w:pPr>
              <w:spacing w:after="0"/>
              <w:rPr>
                <w:sz w:val="22"/>
                <w:szCs w:val="22"/>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200.8</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181.6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300" w:type="dxa"/>
            <w:vAlign w:val="bottom"/>
            <w:shd w:val="clear" w:color="auto" w:fill="E1F4FD"/>
          </w:tcPr>
          <w:p>
            <w:pPr>
              <w:spacing w:after="0"/>
              <w:rPr>
                <w:sz w:val="22"/>
                <w:szCs w:val="22"/>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258.8</w:t>
            </w:r>
          </w:p>
        </w:tc>
        <w:tc>
          <w:tcPr>
            <w:tcW w:w="32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275.5</w:t>
            </w:r>
          </w:p>
        </w:tc>
        <w:tc>
          <w:tcPr>
            <w:tcW w:w="32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24"/>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4F8ABE"/>
              </w:rPr>
              <w:t>70.9</w:t>
            </w:r>
          </w:p>
        </w:tc>
        <w:tc>
          <w:tcPr>
            <w:tcW w:w="3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64.2</w:t>
            </w:r>
          </w:p>
        </w:tc>
        <w:tc>
          <w:tcPr>
            <w:tcW w:w="3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4F8ABE"/>
              </w:rPr>
              <w:t>25.1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22.0</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4F8ABE"/>
              </w:rPr>
              <w:t>354.8</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361.7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4F8ABE"/>
              </w:rPr>
              <w:t>159.5</w:t>
            </w:r>
          </w:p>
        </w:tc>
        <w:tc>
          <w:tcPr>
            <w:tcW w:w="3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198.1</w:t>
            </w:r>
          </w:p>
        </w:tc>
        <w:tc>
          <w:tcPr>
            <w:tcW w:w="3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4F8ABE"/>
              </w:rPr>
              <w:t>79.3</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84.2</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4F8ABE"/>
              </w:rPr>
              <w:t>38.3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33.5</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4F8ABE"/>
              </w:rPr>
              <w:t>832.7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859.1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Corporate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4F8ABE"/>
              </w:rPr>
              <w:t>(111.0)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92"/>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(c)</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4F8ABE"/>
              </w:rPr>
              <w:t>(32.8)</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8"/>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F8ABE"/>
              </w:rPr>
              <w:t>(28.2)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4F8ABE"/>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4F8ABE"/>
              </w:rPr>
              <w:t>660.7</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681.6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122"/>
        </w:trPr>
        <w:tc>
          <w:tcPr>
            <w:tcW w:w="7660" w:type="dxa"/>
            <w:vAlign w:val="bottom"/>
            <w:vMerge w:val="restart"/>
          </w:tcPr>
          <w:p>
            <w:pPr>
              <w:spacing w:after="0"/>
              <w:rPr>
                <w:sz w:val="20"/>
                <w:szCs w:val="20"/>
                <w:color w:val="auto"/>
              </w:rPr>
            </w:pPr>
            <w:r>
              <w:rPr>
                <w:rFonts w:ascii="Arial" w:cs="Arial" w:eastAsia="Arial" w:hAnsi="Arial"/>
                <w:sz w:val="14"/>
                <w:szCs w:val="14"/>
                <w:color w:val="282A32"/>
              </w:rPr>
              <w:t>(a) Further breakdown of revenues from services by geographical region was as follows:</w:t>
            </w:r>
          </w:p>
        </w:tc>
        <w:tc>
          <w:tcPr>
            <w:tcW w:w="300" w:type="dxa"/>
            <w:vAlign w:val="bottom"/>
            <w:shd w:val="clear" w:color="auto" w:fill="2989B9"/>
          </w:tcPr>
          <w:p>
            <w:pPr>
              <w:spacing w:after="0"/>
              <w:rPr>
                <w:sz w:val="10"/>
                <w:szCs w:val="10"/>
                <w:color w:val="auto"/>
              </w:rPr>
            </w:pPr>
          </w:p>
        </w:tc>
        <w:tc>
          <w:tcPr>
            <w:tcW w:w="940" w:type="dxa"/>
            <w:vAlign w:val="bottom"/>
            <w:shd w:val="clear" w:color="auto" w:fill="2989B9"/>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7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Revenues from Services</w:t>
            </w:r>
          </w:p>
        </w:tc>
        <w:tc>
          <w:tcPr>
            <w:tcW w:w="300" w:type="dxa"/>
            <w:vAlign w:val="bottom"/>
            <w:tcBorders>
              <w:bottom w:val="single" w:sz="8" w:color="auto"/>
            </w:tcBorders>
            <w:shd w:val="clear" w:color="auto" w:fill="E1F4FD"/>
          </w:tcPr>
          <w:p>
            <w:pPr>
              <w:spacing w:after="0"/>
              <w:rPr>
                <w:sz w:val="18"/>
                <w:szCs w:val="18"/>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E1F4FD"/>
          </w:tcPr>
          <w:p>
            <w:pPr>
              <w:jc w:val="right"/>
              <w:ind w:right="119"/>
              <w:spacing w:after="0"/>
              <w:rPr>
                <w:sz w:val="20"/>
                <w:szCs w:val="20"/>
                <w:color w:val="auto"/>
              </w:rPr>
            </w:pPr>
            <w:r>
              <w:rPr>
                <w:rFonts w:ascii="Arial" w:cs="Arial" w:eastAsia="Arial" w:hAnsi="Arial"/>
                <w:sz w:val="16"/>
                <w:szCs w:val="16"/>
                <w:color w:val="4F8ABE"/>
                <w:w w:val="89"/>
              </w:rPr>
              <w:t>$</w:t>
            </w: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3,115.6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3,190.6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3,080.8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France</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4,684.1</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5,378.6</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5,313.6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Italy</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1,230.2</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1,183.4</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1,093.0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United Kingdom</w:t>
            </w:r>
          </w:p>
        </w:tc>
        <w:tc>
          <w:tcPr>
            <w:tcW w:w="300" w:type="dxa"/>
            <w:vAlign w:val="bottom"/>
            <w:shd w:val="clear" w:color="auto" w:fill="E1F4FD"/>
          </w:tcPr>
          <w:p>
            <w:pPr>
              <w:spacing w:after="0"/>
              <w:rPr>
                <w:sz w:val="21"/>
                <w:szCs w:val="21"/>
                <w:color w:val="auto"/>
              </w:rPr>
            </w:pPr>
          </w:p>
        </w:tc>
        <w:tc>
          <w:tcPr>
            <w:tcW w:w="94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2,118.4</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2,168.6</w:t>
            </w:r>
          </w:p>
        </w:tc>
        <w:tc>
          <w:tcPr>
            <w:tcW w:w="3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1,884.5</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Foreign</w:t>
            </w:r>
          </w:p>
        </w:tc>
        <w:tc>
          <w:tcPr>
            <w:tcW w:w="300" w:type="dxa"/>
            <w:vAlign w:val="bottom"/>
            <w:tcBorders>
              <w:bottom w:val="single" w:sz="8" w:color="auto"/>
            </w:tcBorders>
            <w:shd w:val="clear" w:color="auto" w:fill="E1F4FD"/>
          </w:tcPr>
          <w:p>
            <w:pPr>
              <w:spacing w:after="0"/>
              <w:rPr>
                <w:sz w:val="22"/>
                <w:szCs w:val="22"/>
                <w:color w:val="auto"/>
              </w:rPr>
            </w:pPr>
          </w:p>
        </w:tc>
        <w:tc>
          <w:tcPr>
            <w:tcW w:w="94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16,214.3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17,572.2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17,169.7</w:t>
            </w:r>
          </w:p>
        </w:tc>
        <w:tc>
          <w:tcPr>
            <w:tcW w:w="0" w:type="dxa"/>
            <w:vAlign w:val="bottom"/>
          </w:tcPr>
          <w:p>
            <w:pPr>
              <w:spacing w:after="0"/>
              <w:rPr>
                <w:sz w:val="1"/>
                <w:szCs w:val="1"/>
                <w:color w:val="auto"/>
              </w:rPr>
            </w:pPr>
          </w:p>
        </w:tc>
      </w:tr>
      <w:tr>
        <w:trPr>
          <w:trHeight w:val="122"/>
        </w:trPr>
        <w:tc>
          <w:tcPr>
            <w:tcW w:w="7660" w:type="dxa"/>
            <w:vAlign w:val="bottom"/>
          </w:tcPr>
          <w:p>
            <w:pPr>
              <w:spacing w:after="0"/>
              <w:rPr>
                <w:sz w:val="10"/>
                <w:szCs w:val="10"/>
                <w:color w:val="auto"/>
              </w:rPr>
            </w:pPr>
          </w:p>
        </w:tc>
        <w:tc>
          <w:tcPr>
            <w:tcW w:w="300" w:type="dxa"/>
            <w:vAlign w:val="bottom"/>
            <w:shd w:val="clear" w:color="auto" w:fill="2989B9"/>
          </w:tcPr>
          <w:p>
            <w:pPr>
              <w:spacing w:after="0"/>
              <w:rPr>
                <w:sz w:val="10"/>
                <w:szCs w:val="10"/>
                <w:color w:val="auto"/>
              </w:rPr>
            </w:pPr>
          </w:p>
        </w:tc>
        <w:tc>
          <w:tcPr>
            <w:tcW w:w="940" w:type="dxa"/>
            <w:vAlign w:val="bottom"/>
            <w:shd w:val="clear" w:color="auto" w:fill="2989B9"/>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-3395345</wp:posOffset>
            </wp:positionV>
            <wp:extent cx="797560" cy="1929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7560" cy="1929765"/>
                    </a:xfrm>
                    <a:prstGeom prst="rect">
                      <a:avLst/>
                    </a:prstGeom>
                    <a:noFill/>
                  </pic:spPr>
                </pic:pic>
              </a:graphicData>
            </a:graphic>
          </wp:anchor>
        </w:drawing>
      </w:r>
    </w:p>
    <w:p>
      <w:pPr>
        <w:spacing w:after="0" w:line="147" w:lineRule="exact"/>
        <w:rPr>
          <w:sz w:val="20"/>
          <w:szCs w:val="20"/>
          <w:color w:val="auto"/>
        </w:rPr>
      </w:pPr>
    </w:p>
    <w:p>
      <w:pPr>
        <w:ind w:right="20" w:firstLine="8"/>
        <w:spacing w:after="0" w:line="271" w:lineRule="auto"/>
        <w:tabs>
          <w:tab w:leader="none" w:pos="217" w:val="left"/>
        </w:tabs>
        <w:numPr>
          <w:ilvl w:val="0"/>
          <w:numId w:val="83"/>
        </w:numPr>
        <w:rPr>
          <w:rFonts w:ascii="Arial" w:cs="Arial" w:eastAsia="Arial" w:hAnsi="Arial"/>
          <w:sz w:val="14"/>
          <w:szCs w:val="14"/>
          <w:color w:val="282A32"/>
        </w:rPr>
      </w:pPr>
      <w:r>
        <w:rPr>
          <w:rFonts w:ascii="Arial" w:cs="Arial" w:eastAsia="Arial" w:hAnsi="Arial"/>
          <w:sz w:val="14"/>
          <w:szCs w:val="14"/>
          <w:color w:val="282A32"/>
        </w:rPr>
        <w:t>The United States revenues above represent revenues from our company-owned branches and franchise fees received from our franchise operations, which were $15.2, $16.1 and $15.2 for 2015, 2014 and 2013, respectively.</w:t>
      </w:r>
    </w:p>
    <w:p>
      <w:pPr>
        <w:spacing w:after="0" w:line="1" w:lineRule="exact"/>
        <w:rPr>
          <w:rFonts w:ascii="Arial" w:cs="Arial" w:eastAsia="Arial" w:hAnsi="Arial"/>
          <w:sz w:val="14"/>
          <w:szCs w:val="14"/>
          <w:color w:val="282A32"/>
        </w:rPr>
      </w:pPr>
    </w:p>
    <w:p>
      <w:pPr>
        <w:ind w:left="220" w:hanging="212"/>
        <w:spacing w:after="0"/>
        <w:tabs>
          <w:tab w:leader="none" w:pos="220" w:val="left"/>
        </w:tabs>
        <w:numPr>
          <w:ilvl w:val="0"/>
          <w:numId w:val="83"/>
        </w:numPr>
        <w:rPr>
          <w:rFonts w:ascii="Arial" w:cs="Arial" w:eastAsia="Arial" w:hAnsi="Arial"/>
          <w:sz w:val="14"/>
          <w:szCs w:val="14"/>
          <w:color w:val="282A32"/>
        </w:rPr>
      </w:pPr>
      <w:r>
        <w:rPr>
          <w:rFonts w:ascii="Arial" w:cs="Arial" w:eastAsia="Arial" w:hAnsi="Arial"/>
          <w:sz w:val="14"/>
          <w:szCs w:val="14"/>
          <w:color w:val="282A32"/>
        </w:rPr>
        <w:t>Intangible asset amortization related to acquisitions is excluded from operating costs within the reportable segments and corporate expenses, and shown separately.</w:t>
      </w:r>
    </w:p>
    <w:p>
      <w:pPr>
        <w:sectPr>
          <w:pgSz w:w="11900" w:h="16838" w:orient="portrait"/>
          <w:cols w:equalWidth="0" w:num="1">
            <w:col w:w="11420"/>
          </w:cols>
          <w:pgMar w:left="240" w:top="5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79 </w:t>
      </w:r>
      <w:r>
        <w:rPr>
          <w:rFonts w:ascii="Arial" w:cs="Arial" w:eastAsia="Arial" w:hAnsi="Arial"/>
          <w:sz w:val="11"/>
          <w:szCs w:val="11"/>
          <w:color w:val="auto"/>
        </w:rPr>
        <w:t>| ManpowerGroup</w:t>
      </w:r>
    </w:p>
    <w:p>
      <w:pPr>
        <w:sectPr>
          <w:pgSz w:w="11900" w:h="16838" w:orient="portrait"/>
          <w:cols w:equalWidth="0" w:num="1">
            <w:col w:w="11420"/>
          </w:cols>
          <w:pgMar w:left="240" w:top="574" w:right="2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60" w:type="dxa"/>
            <w:vAlign w:val="bottom"/>
            <w:tcBorders>
              <w:bottom w:val="single" w:sz="8" w:color="auto"/>
            </w:tcBorders>
            <w:shd w:val="clear" w:color="auto" w:fill="E1F4FD"/>
          </w:tcPr>
          <w:p>
            <w:pPr>
              <w:spacing w:after="0"/>
              <w:rPr>
                <w:sz w:val="18"/>
                <w:szCs w:val="18"/>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4"/>
                <w:szCs w:val="14"/>
                <w:color w:val="4F8ABE"/>
              </w:rPr>
              <w:t>2015</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4F8ABE"/>
              </w:rPr>
              <w:t>Depreciation and Amortization Expense</w:t>
            </w:r>
          </w:p>
        </w:tc>
        <w:tc>
          <w:tcPr>
            <w:tcW w:w="460" w:type="dxa"/>
            <w:vAlign w:val="bottom"/>
            <w:shd w:val="clear" w:color="auto" w:fill="E1F4FD"/>
          </w:tcPr>
          <w:p>
            <w:pPr>
              <w:spacing w:after="0"/>
              <w:rPr>
                <w:sz w:val="24"/>
                <w:szCs w:val="24"/>
                <w:color w:val="auto"/>
              </w:rPr>
            </w:pPr>
          </w:p>
        </w:tc>
        <w:tc>
          <w:tcPr>
            <w:tcW w:w="78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460" w:type="dxa"/>
            <w:vAlign w:val="bottom"/>
            <w:shd w:val="clear" w:color="auto" w:fill="E1F4FD"/>
          </w:tcPr>
          <w:p>
            <w:pPr>
              <w:spacing w:after="0"/>
              <w:rPr>
                <w:sz w:val="23"/>
                <w:szCs w:val="23"/>
                <w:color w:val="auto"/>
              </w:rPr>
            </w:pPr>
          </w:p>
        </w:tc>
        <w:tc>
          <w:tcPr>
            <w:tcW w:w="780" w:type="dxa"/>
            <w:vAlign w:val="bottom"/>
            <w:shd w:val="clear" w:color="auto" w:fill="E1F4FD"/>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460" w:type="dxa"/>
            <w:vAlign w:val="bottom"/>
            <w:shd w:val="clear" w:color="auto" w:fill="E1F4FD"/>
          </w:tcPr>
          <w:p>
            <w:pPr>
              <w:jc w:val="right"/>
              <w:ind w:right="279"/>
              <w:spacing w:after="0"/>
              <w:rPr>
                <w:sz w:val="20"/>
                <w:szCs w:val="20"/>
                <w:color w:val="auto"/>
              </w:rPr>
            </w:pPr>
            <w:r>
              <w:rPr>
                <w:rFonts w:ascii="Arial" w:cs="Arial" w:eastAsia="Arial" w:hAnsi="Arial"/>
                <w:sz w:val="16"/>
                <w:szCs w:val="16"/>
                <w:color w:val="4F8ABE"/>
                <w:w w:val="89"/>
              </w:rPr>
              <w:t>$</w:t>
            </w: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9.3</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2.9</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r>
      <w:tr>
        <w:trPr>
          <w:trHeight w:val="264"/>
        </w:trPr>
        <w:tc>
          <w:tcPr>
            <w:tcW w:w="7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12.2</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10.1</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1.9</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2.3</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264"/>
        </w:trPr>
        <w:tc>
          <w:tcPr>
            <w:tcW w:w="7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14.3</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460" w:type="dxa"/>
            <w:vAlign w:val="bottom"/>
            <w:shd w:val="clear" w:color="auto" w:fill="E1F4FD"/>
          </w:tcPr>
          <w:p>
            <w:pPr>
              <w:spacing w:after="0"/>
              <w:rPr>
                <w:sz w:val="19"/>
                <w:szCs w:val="19"/>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9.8</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c>
          <w:tcPr>
            <w:tcW w:w="5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4.7</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Right Management</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3.7</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Corporate expenses</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0.2</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63"/>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Amortization of intangible assets</w:t>
            </w:r>
            <w:r>
              <w:rPr>
                <w:rFonts w:ascii="Arial" w:cs="Arial" w:eastAsia="Arial" w:hAnsi="Arial"/>
                <w:sz w:val="21"/>
                <w:szCs w:val="21"/>
                <w:color w:val="auto"/>
                <w:vertAlign w:val="superscript"/>
              </w:rPr>
              <w:t>(a)</w:t>
            </w: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32.8</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w:t>
            </w:r>
          </w:p>
        </w:tc>
      </w:tr>
      <w:tr>
        <w:trPr>
          <w:trHeight w:val="257"/>
        </w:trPr>
        <w:tc>
          <w:tcPr>
            <w:tcW w:w="7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shd w:val="clear" w:color="auto" w:fill="E1F4FD"/>
          </w:tcPr>
          <w:p>
            <w:pPr>
              <w:jc w:val="right"/>
              <w:ind w:right="279"/>
              <w:spacing w:after="0"/>
              <w:rPr>
                <w:sz w:val="20"/>
                <w:szCs w:val="20"/>
                <w:color w:val="auto"/>
              </w:rPr>
            </w:pPr>
            <w:r>
              <w:rPr>
                <w:rFonts w:ascii="Arial" w:cs="Arial" w:eastAsia="Arial" w:hAnsi="Arial"/>
                <w:sz w:val="16"/>
                <w:szCs w:val="16"/>
                <w:color w:val="4F8ABE"/>
                <w:w w:val="89"/>
              </w:rPr>
              <w:t>$</w:t>
            </w: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77.7</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94.3</w:t>
            </w: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4F8ABE"/>
              </w:rPr>
              <w:t>Earnings from Equity Investments</w:t>
            </w:r>
          </w:p>
        </w:tc>
        <w:tc>
          <w:tcPr>
            <w:tcW w:w="460" w:type="dxa"/>
            <w:vAlign w:val="bottom"/>
            <w:shd w:val="clear" w:color="auto" w:fill="E1F4FD"/>
          </w:tcPr>
          <w:p>
            <w:pPr>
              <w:spacing w:after="0"/>
              <w:rPr>
                <w:sz w:val="24"/>
                <w:szCs w:val="24"/>
                <w:color w:val="auto"/>
              </w:rPr>
            </w:pPr>
          </w:p>
        </w:tc>
        <w:tc>
          <w:tcPr>
            <w:tcW w:w="780" w:type="dxa"/>
            <w:vAlign w:val="bottom"/>
            <w:shd w:val="clear" w:color="auto" w:fill="E1F4FD"/>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460" w:type="dxa"/>
            <w:vAlign w:val="bottom"/>
            <w:shd w:val="clear" w:color="auto" w:fill="E1F4FD"/>
          </w:tcPr>
          <w:p>
            <w:pPr>
              <w:spacing w:after="0"/>
              <w:rPr>
                <w:sz w:val="23"/>
                <w:szCs w:val="23"/>
                <w:color w:val="auto"/>
              </w:rPr>
            </w:pPr>
          </w:p>
        </w:tc>
        <w:tc>
          <w:tcPr>
            <w:tcW w:w="780" w:type="dxa"/>
            <w:vAlign w:val="bottom"/>
            <w:shd w:val="clear" w:color="auto" w:fill="E1F4FD"/>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460" w:type="dxa"/>
            <w:vAlign w:val="bottom"/>
            <w:shd w:val="clear" w:color="auto" w:fill="E1F4FD"/>
          </w:tcPr>
          <w:p>
            <w:pPr>
              <w:jc w:val="right"/>
              <w:ind w:right="279"/>
              <w:spacing w:after="0"/>
              <w:rPr>
                <w:sz w:val="20"/>
                <w:szCs w:val="20"/>
                <w:color w:val="auto"/>
              </w:rPr>
            </w:pPr>
            <w:r>
              <w:rPr>
                <w:rFonts w:ascii="Arial" w:cs="Arial" w:eastAsia="Arial" w:hAnsi="Arial"/>
                <w:sz w:val="16"/>
                <w:szCs w:val="16"/>
                <w:color w:val="4F8ABE"/>
                <w:w w:val="89"/>
              </w:rPr>
              <w:t>$</w:t>
            </w: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0.4</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0.4</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460" w:type="dxa"/>
            <w:vAlign w:val="bottom"/>
            <w:shd w:val="clear" w:color="auto" w:fill="E1F4FD"/>
          </w:tcPr>
          <w:p>
            <w:pPr>
              <w:spacing w:after="0"/>
              <w:rPr>
                <w:sz w:val="19"/>
                <w:szCs w:val="19"/>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7.6</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460" w:type="dxa"/>
            <w:vAlign w:val="bottom"/>
            <w:shd w:val="clear" w:color="auto" w:fill="E1F4FD"/>
          </w:tcPr>
          <w:p>
            <w:pPr>
              <w:spacing w:after="0"/>
              <w:rPr>
                <w:sz w:val="21"/>
                <w:szCs w:val="21"/>
                <w:color w:val="auto"/>
              </w:rPr>
            </w:pPr>
          </w:p>
        </w:tc>
        <w:tc>
          <w:tcPr>
            <w:tcW w:w="7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Right Management</w:t>
            </w:r>
          </w:p>
        </w:tc>
        <w:tc>
          <w:tcPr>
            <w:tcW w:w="460" w:type="dxa"/>
            <w:vAlign w:val="bottom"/>
            <w:tcBorders>
              <w:bottom w:val="single" w:sz="8" w:color="auto"/>
            </w:tcBorders>
            <w:shd w:val="clear" w:color="auto" w:fill="E1F4FD"/>
          </w:tcPr>
          <w:p>
            <w:pPr>
              <w:spacing w:after="0"/>
              <w:rPr>
                <w:sz w:val="22"/>
                <w:szCs w:val="22"/>
                <w:color w:val="auto"/>
              </w:rPr>
            </w:pP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shd w:val="clear" w:color="auto" w:fill="E1F4FD"/>
          </w:tcPr>
          <w:p>
            <w:pPr>
              <w:jc w:val="right"/>
              <w:ind w:right="279"/>
              <w:spacing w:after="0"/>
              <w:rPr>
                <w:sz w:val="20"/>
                <w:szCs w:val="20"/>
                <w:color w:val="auto"/>
              </w:rPr>
            </w:pPr>
            <w:r>
              <w:rPr>
                <w:rFonts w:ascii="Arial" w:cs="Arial" w:eastAsia="Arial" w:hAnsi="Arial"/>
                <w:sz w:val="16"/>
                <w:szCs w:val="16"/>
                <w:color w:val="4F8ABE"/>
                <w:w w:val="89"/>
              </w:rPr>
              <w:t>$</w:t>
            </w:r>
          </w:p>
        </w:tc>
        <w:tc>
          <w:tcPr>
            <w:tcW w:w="7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8.0</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r>
      <w:tr>
        <w:trPr>
          <w:trHeight w:val="122"/>
        </w:trPr>
        <w:tc>
          <w:tcPr>
            <w:tcW w:w="7660" w:type="dxa"/>
            <w:vAlign w:val="bottom"/>
          </w:tcPr>
          <w:p>
            <w:pPr>
              <w:spacing w:after="0"/>
              <w:rPr>
                <w:sz w:val="10"/>
                <w:szCs w:val="10"/>
                <w:color w:val="auto"/>
              </w:rPr>
            </w:pPr>
          </w:p>
        </w:tc>
        <w:tc>
          <w:tcPr>
            <w:tcW w:w="460" w:type="dxa"/>
            <w:vAlign w:val="bottom"/>
            <w:shd w:val="clear" w:color="auto" w:fill="2989B9"/>
          </w:tcPr>
          <w:p>
            <w:pPr>
              <w:spacing w:after="0"/>
              <w:rPr>
                <w:sz w:val="10"/>
                <w:szCs w:val="10"/>
                <w:color w:val="auto"/>
              </w:rPr>
            </w:pPr>
          </w:p>
        </w:tc>
        <w:tc>
          <w:tcPr>
            <w:tcW w:w="780" w:type="dxa"/>
            <w:vAlign w:val="bottom"/>
            <w:shd w:val="clear" w:color="auto" w:fill="2989B9"/>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282A32"/>
        </w:rPr>
        <w:t>(a) Intangible asset amortization related to acquisitions is excluded from operating costs within the reportable segments and corporate expenses and shown separately.</w:t>
      </w: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80</w:t>
      </w:r>
      <w:r>
        <w:rPr>
          <w:sz w:val="20"/>
          <w:szCs w:val="20"/>
          <w:color w:val="auto"/>
        </w:rPr>
        <w:tab/>
      </w:r>
      <w:r>
        <w:rPr>
          <w:rFonts w:ascii="Arial" w:cs="Arial" w:eastAsia="Arial" w:hAnsi="Arial"/>
          <w:sz w:val="11"/>
          <w:szCs w:val="11"/>
          <w:color w:val="auto"/>
        </w:rPr>
        <w:t>Notes to Consolidated Financial Statements</w:t>
      </w:r>
    </w:p>
    <w:p>
      <w:pPr>
        <w:sectPr>
          <w:pgSz w:w="11900" w:h="16838" w:orient="portrait"/>
          <w:cols w:equalWidth="0" w:num="1">
            <w:col w:w="11420"/>
          </w:cols>
          <w:pgMar w:left="240" w:top="457"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360" w:type="dxa"/>
            <w:vAlign w:val="bottom"/>
            <w:tcBorders>
              <w:bottom w:val="single" w:sz="8" w:color="auto"/>
            </w:tcBorders>
            <w:shd w:val="clear" w:color="auto" w:fill="E1F4FD"/>
          </w:tcPr>
          <w:p>
            <w:pPr>
              <w:spacing w:after="0"/>
              <w:rPr>
                <w:sz w:val="18"/>
                <w:szCs w:val="18"/>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4"/>
                <w:szCs w:val="14"/>
                <w:color w:val="4F8ABE"/>
              </w:rPr>
              <w:t>2015</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366"/>
        </w:trPr>
        <w:tc>
          <w:tcPr>
            <w:tcW w:w="7660" w:type="dxa"/>
            <w:vAlign w:val="bottom"/>
          </w:tcPr>
          <w:p>
            <w:pPr>
              <w:ind w:left="40"/>
              <w:spacing w:after="0"/>
              <w:rPr>
                <w:sz w:val="20"/>
                <w:szCs w:val="20"/>
                <w:color w:val="auto"/>
              </w:rPr>
            </w:pPr>
            <w:r>
              <w:rPr>
                <w:rFonts w:ascii="Arial" w:cs="Arial" w:eastAsia="Arial" w:hAnsi="Arial"/>
                <w:sz w:val="16"/>
                <w:szCs w:val="16"/>
                <w:color w:val="4F8ABE"/>
              </w:rPr>
              <w:t>Total Assets</w:t>
            </w:r>
            <w:r>
              <w:rPr>
                <w:rFonts w:ascii="Arial" w:cs="Arial" w:eastAsia="Arial" w:hAnsi="Arial"/>
                <w:sz w:val="21"/>
                <w:szCs w:val="21"/>
                <w:color w:val="4F8ABE"/>
                <w:vertAlign w:val="superscript"/>
              </w:rPr>
              <w:t>(a)</w:t>
            </w:r>
          </w:p>
        </w:tc>
        <w:tc>
          <w:tcPr>
            <w:tcW w:w="360" w:type="dxa"/>
            <w:vAlign w:val="bottom"/>
            <w:shd w:val="clear" w:color="auto" w:fill="E1F4FD"/>
          </w:tcPr>
          <w:p>
            <w:pPr>
              <w:spacing w:after="0"/>
              <w:rPr>
                <w:sz w:val="24"/>
                <w:szCs w:val="24"/>
                <w:color w:val="auto"/>
              </w:rPr>
            </w:pPr>
          </w:p>
        </w:tc>
        <w:tc>
          <w:tcPr>
            <w:tcW w:w="8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5"/>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360" w:type="dxa"/>
            <w:vAlign w:val="bottom"/>
            <w:shd w:val="clear" w:color="auto" w:fill="E1F4FD"/>
          </w:tcPr>
          <w:p>
            <w:pPr>
              <w:spacing w:after="0"/>
              <w:rPr>
                <w:sz w:val="16"/>
                <w:szCs w:val="16"/>
                <w:color w:val="auto"/>
              </w:rPr>
            </w:pPr>
          </w:p>
        </w:tc>
        <w:tc>
          <w:tcPr>
            <w:tcW w:w="880" w:type="dxa"/>
            <w:vAlign w:val="bottom"/>
            <w:shd w:val="clear" w:color="auto" w:fill="E1F4FD"/>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E1F4FD"/>
          </w:tcPr>
          <w:p>
            <w:pPr>
              <w:jc w:val="right"/>
              <w:ind w:right="179"/>
              <w:spacing w:after="0"/>
              <w:rPr>
                <w:sz w:val="20"/>
                <w:szCs w:val="20"/>
                <w:color w:val="auto"/>
              </w:rPr>
            </w:pPr>
            <w:r>
              <w:rPr>
                <w:rFonts w:ascii="Arial" w:cs="Arial" w:eastAsia="Arial" w:hAnsi="Arial"/>
                <w:sz w:val="16"/>
                <w:szCs w:val="16"/>
                <w:color w:val="4F8ABE"/>
                <w:w w:val="89"/>
              </w:rPr>
              <w:t>$</w:t>
            </w: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1,708.5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1,532.7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1,476.3</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304.9</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266.9</w:t>
            </w:r>
          </w:p>
        </w:tc>
      </w:tr>
      <w:tr>
        <w:trPr>
          <w:trHeight w:val="264"/>
        </w:trPr>
        <w:tc>
          <w:tcPr>
            <w:tcW w:w="7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2,013.4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1,816.8</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1,743.2</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1,926.3</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1,922.7</w:t>
            </w:r>
          </w:p>
        </w:tc>
        <w:tc>
          <w:tcPr>
            <w:tcW w:w="4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1,950.3</w:t>
            </w: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267.1</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230.0</w:t>
            </w:r>
          </w:p>
        </w:tc>
        <w:tc>
          <w:tcPr>
            <w:tcW w:w="4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218.3</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238.1</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209.1</w:t>
            </w:r>
          </w:p>
        </w:tc>
      </w:tr>
      <w:tr>
        <w:trPr>
          <w:trHeight w:val="264"/>
        </w:trPr>
        <w:tc>
          <w:tcPr>
            <w:tcW w:w="7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2,431.5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2,371.1</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2,377.7</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360" w:type="dxa"/>
            <w:vAlign w:val="bottom"/>
            <w:shd w:val="clear" w:color="auto" w:fill="E1F4FD"/>
          </w:tcPr>
          <w:p>
            <w:pPr>
              <w:spacing w:after="0"/>
              <w:rPr>
                <w:sz w:val="19"/>
                <w:szCs w:val="19"/>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1,444.2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1,862.6</w:t>
            </w:r>
          </w:p>
        </w:tc>
        <w:tc>
          <w:tcPr>
            <w:tcW w:w="4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1,951.8</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533.7</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501.4</w:t>
            </w:r>
          </w:p>
        </w:tc>
        <w:tc>
          <w:tcPr>
            <w:tcW w:w="4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466.7</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Right Management</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143.9</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139.1</w:t>
            </w:r>
          </w:p>
        </w:tc>
        <w:tc>
          <w:tcPr>
            <w:tcW w:w="4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134.4</w:t>
            </w:r>
          </w:p>
        </w:tc>
      </w:tr>
      <w:tr>
        <w:trPr>
          <w:trHeight w:val="263"/>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(b)</w:t>
            </w: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950.8</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490.2</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612.8</w:t>
            </w:r>
          </w:p>
        </w:tc>
      </w:tr>
      <w:tr>
        <w:trPr>
          <w:trHeight w:val="257"/>
        </w:trPr>
        <w:tc>
          <w:tcPr>
            <w:tcW w:w="7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shd w:val="clear" w:color="auto" w:fill="E1F4FD"/>
          </w:tcPr>
          <w:p>
            <w:pPr>
              <w:jc w:val="right"/>
              <w:ind w:right="179"/>
              <w:spacing w:after="0"/>
              <w:rPr>
                <w:sz w:val="20"/>
                <w:szCs w:val="20"/>
                <w:color w:val="auto"/>
              </w:rPr>
            </w:pPr>
            <w:r>
              <w:rPr>
                <w:rFonts w:ascii="Arial" w:cs="Arial" w:eastAsia="Arial" w:hAnsi="Arial"/>
                <w:sz w:val="16"/>
                <w:szCs w:val="16"/>
                <w:color w:val="4F8ABE"/>
                <w:w w:val="89"/>
              </w:rPr>
              <w:t>$</w:t>
            </w: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7,517.5</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7,181.2</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7,286.6</w:t>
            </w: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4F8ABE"/>
              </w:rPr>
              <w:t>Equity Investments</w:t>
            </w:r>
          </w:p>
        </w:tc>
        <w:tc>
          <w:tcPr>
            <w:tcW w:w="360" w:type="dxa"/>
            <w:vAlign w:val="bottom"/>
            <w:shd w:val="clear" w:color="auto" w:fill="E1F4FD"/>
          </w:tcPr>
          <w:p>
            <w:pPr>
              <w:spacing w:after="0"/>
              <w:rPr>
                <w:sz w:val="24"/>
                <w:szCs w:val="24"/>
                <w:color w:val="auto"/>
              </w:rPr>
            </w:pPr>
          </w:p>
        </w:tc>
        <w:tc>
          <w:tcPr>
            <w:tcW w:w="88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360" w:type="dxa"/>
            <w:vAlign w:val="bottom"/>
            <w:shd w:val="clear" w:color="auto" w:fill="E1F4FD"/>
          </w:tcPr>
          <w:p>
            <w:pPr>
              <w:spacing w:after="0"/>
              <w:rPr>
                <w:sz w:val="23"/>
                <w:szCs w:val="23"/>
                <w:color w:val="auto"/>
              </w:rPr>
            </w:pPr>
          </w:p>
        </w:tc>
        <w:tc>
          <w:tcPr>
            <w:tcW w:w="880" w:type="dxa"/>
            <w:vAlign w:val="bottom"/>
            <w:shd w:val="clear" w:color="auto" w:fill="E1F4FD"/>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E1F4FD"/>
          </w:tcPr>
          <w:p>
            <w:pPr>
              <w:jc w:val="right"/>
              <w:ind w:right="179"/>
              <w:spacing w:after="0"/>
              <w:rPr>
                <w:sz w:val="20"/>
                <w:szCs w:val="20"/>
                <w:color w:val="auto"/>
              </w:rPr>
            </w:pPr>
            <w:r>
              <w:rPr>
                <w:rFonts w:ascii="Arial" w:cs="Arial" w:eastAsia="Arial" w:hAnsi="Arial"/>
                <w:sz w:val="16"/>
                <w:szCs w:val="16"/>
                <w:color w:val="4F8ABE"/>
                <w:w w:val="89"/>
              </w:rPr>
              <w:t>$</w:t>
            </w: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c>
          <w:tcPr>
            <w:tcW w:w="4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0.2</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4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0.2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360" w:type="dxa"/>
            <w:vAlign w:val="bottom"/>
            <w:shd w:val="clear" w:color="auto" w:fill="E1F4FD"/>
          </w:tcPr>
          <w:p>
            <w:pPr>
              <w:spacing w:after="0"/>
              <w:rPr>
                <w:sz w:val="19"/>
                <w:szCs w:val="19"/>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137.7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131.1</w:t>
            </w:r>
          </w:p>
        </w:tc>
        <w:tc>
          <w:tcPr>
            <w:tcW w:w="4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136.5</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360" w:type="dxa"/>
            <w:vAlign w:val="bottom"/>
            <w:shd w:val="clear" w:color="auto" w:fill="E1F4FD"/>
          </w:tcPr>
          <w:p>
            <w:pPr>
              <w:spacing w:after="0"/>
              <w:rPr>
                <w:sz w:val="21"/>
                <w:szCs w:val="21"/>
                <w:color w:val="auto"/>
              </w:rPr>
            </w:pPr>
          </w:p>
        </w:tc>
        <w:tc>
          <w:tcPr>
            <w:tcW w:w="880" w:type="dxa"/>
            <w:vAlign w:val="bottom"/>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4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Right Management</w:t>
            </w:r>
          </w:p>
        </w:tc>
        <w:tc>
          <w:tcPr>
            <w:tcW w:w="360" w:type="dxa"/>
            <w:vAlign w:val="bottom"/>
            <w:tcBorders>
              <w:bottom w:val="single" w:sz="8" w:color="auto"/>
            </w:tcBorders>
            <w:shd w:val="clear" w:color="auto" w:fill="E1F4FD"/>
          </w:tcPr>
          <w:p>
            <w:pPr>
              <w:spacing w:after="0"/>
              <w:rPr>
                <w:sz w:val="22"/>
                <w:szCs w:val="22"/>
                <w:color w:val="auto"/>
              </w:rPr>
            </w:pP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shd w:val="clear" w:color="auto" w:fill="E1F4FD"/>
          </w:tcPr>
          <w:p>
            <w:pPr>
              <w:jc w:val="right"/>
              <w:ind w:right="179"/>
              <w:spacing w:after="0"/>
              <w:rPr>
                <w:sz w:val="20"/>
                <w:szCs w:val="20"/>
                <w:color w:val="auto"/>
              </w:rPr>
            </w:pPr>
            <w:r>
              <w:rPr>
                <w:rFonts w:ascii="Arial" w:cs="Arial" w:eastAsia="Arial" w:hAnsi="Arial"/>
                <w:sz w:val="16"/>
                <w:szCs w:val="16"/>
                <w:color w:val="4F8ABE"/>
                <w:w w:val="89"/>
              </w:rPr>
              <w:t>$</w:t>
            </w:r>
          </w:p>
        </w:tc>
        <w:tc>
          <w:tcPr>
            <w:tcW w:w="8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6"/>
                <w:szCs w:val="16"/>
                <w:color w:val="4F8ABE"/>
              </w:rPr>
              <w:t>137.9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140.2</w:t>
            </w:r>
          </w:p>
        </w:tc>
      </w:tr>
      <w:tr>
        <w:trPr>
          <w:trHeight w:val="122"/>
        </w:trPr>
        <w:tc>
          <w:tcPr>
            <w:tcW w:w="7660" w:type="dxa"/>
            <w:vAlign w:val="bottom"/>
          </w:tcPr>
          <w:p>
            <w:pPr>
              <w:spacing w:after="0"/>
              <w:rPr>
                <w:sz w:val="10"/>
                <w:szCs w:val="10"/>
                <w:color w:val="auto"/>
              </w:rPr>
            </w:pPr>
          </w:p>
        </w:tc>
        <w:tc>
          <w:tcPr>
            <w:tcW w:w="360" w:type="dxa"/>
            <w:vAlign w:val="bottom"/>
            <w:shd w:val="clear" w:color="auto" w:fill="2989B9"/>
          </w:tcPr>
          <w:p>
            <w:pPr>
              <w:spacing w:after="0"/>
              <w:rPr>
                <w:sz w:val="10"/>
                <w:szCs w:val="10"/>
                <w:color w:val="auto"/>
              </w:rPr>
            </w:pPr>
          </w:p>
        </w:tc>
        <w:tc>
          <w:tcPr>
            <w:tcW w:w="880" w:type="dxa"/>
            <w:vAlign w:val="bottom"/>
            <w:shd w:val="clear" w:color="auto" w:fill="2989B9"/>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153" w:lineRule="exact"/>
        <w:rPr>
          <w:sz w:val="20"/>
          <w:szCs w:val="20"/>
          <w:color w:val="auto"/>
        </w:rPr>
      </w:pPr>
    </w:p>
    <w:p>
      <w:pPr>
        <w:jc w:val="both"/>
        <w:ind w:firstLine="8"/>
        <w:spacing w:after="0" w:line="241" w:lineRule="auto"/>
        <w:tabs>
          <w:tab w:leader="none" w:pos="236" w:val="left"/>
        </w:tabs>
        <w:numPr>
          <w:ilvl w:val="0"/>
          <w:numId w:val="84"/>
        </w:numPr>
        <w:rPr>
          <w:rFonts w:ascii="Arial" w:cs="Arial" w:eastAsia="Arial" w:hAnsi="Arial"/>
          <w:sz w:val="14"/>
          <w:szCs w:val="14"/>
          <w:color w:val="282A32"/>
        </w:rPr>
      </w:pPr>
      <w:r>
        <w:rPr>
          <w:rFonts w:ascii="Arial" w:cs="Arial" w:eastAsia="Arial" w:hAnsi="Arial"/>
          <w:sz w:val="14"/>
          <w:szCs w:val="14"/>
          <w:color w:val="282A32"/>
        </w:rPr>
        <w:t>In connection with the adoption in the third quarter of 2015 of the new accounting guidance on debt issuance costs, we have reclassified certain amounts in prior-period financial statements to conform to the current period's presentation. In our Consolidated Balance Sheets, we have reclassified debt issuance costs associated with our long-term debt from other assets to long-term debt (see Note 7 to the Consolidated Financial Statements).</w:t>
      </w:r>
    </w:p>
    <w:p>
      <w:pPr>
        <w:spacing w:after="0" w:line="1" w:lineRule="exact"/>
        <w:rPr>
          <w:rFonts w:ascii="Arial" w:cs="Arial" w:eastAsia="Arial" w:hAnsi="Arial"/>
          <w:sz w:val="14"/>
          <w:szCs w:val="14"/>
          <w:color w:val="282A32"/>
        </w:rPr>
      </w:pPr>
    </w:p>
    <w:p>
      <w:pPr>
        <w:ind w:left="220" w:hanging="212"/>
        <w:spacing w:after="0"/>
        <w:tabs>
          <w:tab w:leader="none" w:pos="220" w:val="left"/>
        </w:tabs>
        <w:numPr>
          <w:ilvl w:val="0"/>
          <w:numId w:val="84"/>
        </w:numPr>
        <w:rPr>
          <w:rFonts w:ascii="Arial" w:cs="Arial" w:eastAsia="Arial" w:hAnsi="Arial"/>
          <w:sz w:val="14"/>
          <w:szCs w:val="14"/>
          <w:color w:val="282A32"/>
        </w:rPr>
      </w:pPr>
      <w:r>
        <w:rPr>
          <w:rFonts w:ascii="Arial" w:cs="Arial" w:eastAsia="Arial" w:hAnsi="Arial"/>
          <w:sz w:val="14"/>
          <w:szCs w:val="14"/>
          <w:color w:val="282A32"/>
        </w:rPr>
        <w:t>Corporate assets include assets that were not used in the operations of any segment, the most significant of which were purchased intangibles and cash.</w:t>
      </w: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81 </w:t>
      </w:r>
      <w:r>
        <w:rPr>
          <w:rFonts w:ascii="Arial" w:cs="Arial" w:eastAsia="Arial" w:hAnsi="Arial"/>
          <w:sz w:val="11"/>
          <w:szCs w:val="11"/>
          <w:color w:val="auto"/>
        </w:rPr>
        <w:t>| ManpowerGroup</w:t>
      </w:r>
    </w:p>
    <w:p>
      <w:pPr>
        <w:sectPr>
          <w:pgSz w:w="11900" w:h="16838" w:orient="portrait"/>
          <w:cols w:equalWidth="0" w:num="1">
            <w:col w:w="11420"/>
          </w:cols>
          <w:pgMar w:left="240" w:top="518"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2989B9"/>
        </w:rPr>
        <w:t>NOTES TO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420" w:type="dxa"/>
            <w:vAlign w:val="bottom"/>
            <w:tcBorders>
              <w:bottom w:val="single" w:sz="8" w:color="auto"/>
            </w:tcBorders>
            <w:shd w:val="clear" w:color="auto" w:fill="E1F4FD"/>
          </w:tcPr>
          <w:p>
            <w:pPr>
              <w:spacing w:after="0"/>
              <w:rPr>
                <w:sz w:val="18"/>
                <w:szCs w:val="18"/>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66"/>
        </w:trPr>
        <w:tc>
          <w:tcPr>
            <w:tcW w:w="7660" w:type="dxa"/>
            <w:vAlign w:val="bottom"/>
          </w:tcPr>
          <w:p>
            <w:pPr>
              <w:ind w:left="40"/>
              <w:spacing w:after="0"/>
              <w:rPr>
                <w:sz w:val="20"/>
                <w:szCs w:val="20"/>
                <w:color w:val="auto"/>
              </w:rPr>
            </w:pPr>
            <w:r>
              <w:rPr>
                <w:rFonts w:ascii="Arial" w:cs="Arial" w:eastAsia="Arial" w:hAnsi="Arial"/>
                <w:sz w:val="16"/>
                <w:szCs w:val="16"/>
                <w:color w:val="4F8ABE"/>
              </w:rPr>
              <w:t>Long-lived Assets</w:t>
            </w:r>
            <w:r>
              <w:rPr>
                <w:rFonts w:ascii="Arial" w:cs="Arial" w:eastAsia="Arial" w:hAnsi="Arial"/>
                <w:sz w:val="21"/>
                <w:szCs w:val="21"/>
                <w:color w:val="4F8ABE"/>
                <w:vertAlign w:val="superscript"/>
              </w:rPr>
              <w:t>(a)</w:t>
            </w:r>
          </w:p>
        </w:tc>
        <w:tc>
          <w:tcPr>
            <w:tcW w:w="420" w:type="dxa"/>
            <w:vAlign w:val="bottom"/>
            <w:shd w:val="clear" w:color="auto" w:fill="E1F4FD"/>
          </w:tcPr>
          <w:p>
            <w:pPr>
              <w:spacing w:after="0"/>
              <w:rPr>
                <w:sz w:val="24"/>
                <w:szCs w:val="24"/>
                <w:color w:val="auto"/>
              </w:rPr>
            </w:pPr>
          </w:p>
        </w:tc>
        <w:tc>
          <w:tcPr>
            <w:tcW w:w="820" w:type="dxa"/>
            <w:vAlign w:val="bottom"/>
            <w:shd w:val="clear" w:color="auto" w:fill="E1F4FD"/>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420" w:type="dxa"/>
            <w:vAlign w:val="bottom"/>
            <w:shd w:val="clear" w:color="auto" w:fill="E1F4FD"/>
          </w:tcPr>
          <w:p>
            <w:pPr>
              <w:spacing w:after="0"/>
              <w:rPr>
                <w:sz w:val="16"/>
                <w:szCs w:val="16"/>
                <w:color w:val="auto"/>
              </w:rPr>
            </w:pPr>
          </w:p>
        </w:tc>
        <w:tc>
          <w:tcPr>
            <w:tcW w:w="820" w:type="dxa"/>
            <w:vAlign w:val="bottom"/>
            <w:shd w:val="clear" w:color="auto" w:fill="E1F4FD"/>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420" w:type="dxa"/>
            <w:vAlign w:val="bottom"/>
            <w:shd w:val="clear" w:color="auto" w:fill="E1F4FD"/>
          </w:tcPr>
          <w:p>
            <w:pPr>
              <w:jc w:val="right"/>
              <w:ind w:right="239"/>
              <w:spacing w:after="0"/>
              <w:rPr>
                <w:sz w:val="20"/>
                <w:szCs w:val="20"/>
                <w:color w:val="auto"/>
              </w:rPr>
            </w:pPr>
            <w:r>
              <w:rPr>
                <w:rFonts w:ascii="Arial" w:cs="Arial" w:eastAsia="Arial" w:hAnsi="Arial"/>
                <w:sz w:val="16"/>
                <w:szCs w:val="16"/>
                <w:color w:val="4F8ABE"/>
                <w:w w:val="89"/>
              </w:rPr>
              <w:t>$</w:t>
            </w: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26.0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25.4</w:t>
            </w:r>
          </w:p>
        </w:tc>
        <w:tc>
          <w:tcPr>
            <w:tcW w:w="48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7.3</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33.3</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39.2</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44.6</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4.7</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11.8</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55.7</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420" w:type="dxa"/>
            <w:vAlign w:val="bottom"/>
            <w:shd w:val="clear" w:color="auto" w:fill="E1F4FD"/>
          </w:tcPr>
          <w:p>
            <w:pPr>
              <w:spacing w:after="0"/>
              <w:rPr>
                <w:sz w:val="19"/>
                <w:szCs w:val="19"/>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32.9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w:t>
            </w:r>
          </w:p>
        </w:tc>
        <w:tc>
          <w:tcPr>
            <w:tcW w:w="48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19.4</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Right Management</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10.5</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0.4</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shd w:val="clear" w:color="auto" w:fill="E1F4FD"/>
          </w:tcPr>
          <w:p>
            <w:pPr>
              <w:jc w:val="right"/>
              <w:ind w:right="239"/>
              <w:spacing w:after="0"/>
              <w:rPr>
                <w:sz w:val="20"/>
                <w:szCs w:val="20"/>
                <w:color w:val="auto"/>
              </w:rPr>
            </w:pPr>
            <w:r>
              <w:rPr>
                <w:rFonts w:ascii="Arial" w:cs="Arial" w:eastAsia="Arial" w:hAnsi="Arial"/>
                <w:sz w:val="16"/>
                <w:szCs w:val="16"/>
                <w:color w:val="4F8ABE"/>
                <w:w w:val="89"/>
              </w:rPr>
              <w:t>$</w:t>
            </w: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152.2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91"/>
        </w:trPr>
        <w:tc>
          <w:tcPr>
            <w:tcW w:w="7660" w:type="dxa"/>
            <w:vAlign w:val="bottom"/>
          </w:tcPr>
          <w:p>
            <w:pPr>
              <w:ind w:left="40"/>
              <w:spacing w:after="0"/>
              <w:rPr>
                <w:sz w:val="20"/>
                <w:szCs w:val="20"/>
                <w:color w:val="auto"/>
              </w:rPr>
            </w:pPr>
            <w:r>
              <w:rPr>
                <w:rFonts w:ascii="Arial" w:cs="Arial" w:eastAsia="Arial" w:hAnsi="Arial"/>
                <w:sz w:val="16"/>
                <w:szCs w:val="16"/>
                <w:color w:val="4F8ABE"/>
              </w:rPr>
              <w:t>Additions to Long-Lived Assets</w:t>
            </w:r>
          </w:p>
        </w:tc>
        <w:tc>
          <w:tcPr>
            <w:tcW w:w="420" w:type="dxa"/>
            <w:vAlign w:val="bottom"/>
            <w:shd w:val="clear" w:color="auto" w:fill="E1F4FD"/>
          </w:tcPr>
          <w:p>
            <w:pPr>
              <w:spacing w:after="0"/>
              <w:rPr>
                <w:sz w:val="24"/>
                <w:szCs w:val="24"/>
                <w:color w:val="auto"/>
              </w:rPr>
            </w:pPr>
          </w:p>
        </w:tc>
        <w:tc>
          <w:tcPr>
            <w:tcW w:w="820" w:type="dxa"/>
            <w:vAlign w:val="bottom"/>
            <w:shd w:val="clear" w:color="auto" w:fill="E1F4FD"/>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Americas:</w:t>
            </w:r>
          </w:p>
        </w:tc>
        <w:tc>
          <w:tcPr>
            <w:tcW w:w="420" w:type="dxa"/>
            <w:vAlign w:val="bottom"/>
            <w:shd w:val="clear" w:color="auto" w:fill="E1F4FD"/>
          </w:tcPr>
          <w:p>
            <w:pPr>
              <w:spacing w:after="0"/>
              <w:rPr>
                <w:sz w:val="23"/>
                <w:szCs w:val="23"/>
                <w:color w:val="auto"/>
              </w:rPr>
            </w:pPr>
          </w:p>
        </w:tc>
        <w:tc>
          <w:tcPr>
            <w:tcW w:w="820" w:type="dxa"/>
            <w:vAlign w:val="bottom"/>
            <w:shd w:val="clear" w:color="auto" w:fill="E1F4FD"/>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420" w:type="dxa"/>
            <w:vAlign w:val="bottom"/>
            <w:shd w:val="clear" w:color="auto" w:fill="E1F4FD"/>
          </w:tcPr>
          <w:p>
            <w:pPr>
              <w:jc w:val="right"/>
              <w:ind w:right="239"/>
              <w:spacing w:after="0"/>
              <w:rPr>
                <w:sz w:val="20"/>
                <w:szCs w:val="20"/>
                <w:color w:val="auto"/>
              </w:rPr>
            </w:pPr>
            <w:r>
              <w:rPr>
                <w:rFonts w:ascii="Arial" w:cs="Arial" w:eastAsia="Arial" w:hAnsi="Arial"/>
                <w:sz w:val="16"/>
                <w:szCs w:val="16"/>
                <w:color w:val="4F8ABE"/>
                <w:w w:val="89"/>
              </w:rPr>
              <w:t>$</w:t>
            </w: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10.1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9.1</w:t>
            </w:r>
          </w:p>
        </w:tc>
        <w:tc>
          <w:tcPr>
            <w:tcW w:w="48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Americas</w:t>
            </w: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2.4</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12.5</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Southern Europe:</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France</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10.3</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6"/>
                <w:szCs w:val="16"/>
                <w:color w:val="auto"/>
              </w:rPr>
              <w:t>Italy</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2.4</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Southern Europe</w:t>
            </w: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4.1</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16.8</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420" w:type="dxa"/>
            <w:vAlign w:val="bottom"/>
            <w:shd w:val="clear" w:color="auto" w:fill="E1F4FD"/>
          </w:tcPr>
          <w:p>
            <w:pPr>
              <w:spacing w:after="0"/>
              <w:rPr>
                <w:sz w:val="19"/>
                <w:szCs w:val="19"/>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13.4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w:t>
            </w:r>
          </w:p>
        </w:tc>
        <w:tc>
          <w:tcPr>
            <w:tcW w:w="48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APME</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4.5</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Right Management</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4.7</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0.4</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shd w:val="clear" w:color="auto" w:fill="E1F4FD"/>
          </w:tcPr>
          <w:p>
            <w:pPr>
              <w:jc w:val="right"/>
              <w:ind w:right="239"/>
              <w:spacing w:after="0"/>
              <w:rPr>
                <w:sz w:val="20"/>
                <w:szCs w:val="20"/>
                <w:color w:val="auto"/>
              </w:rPr>
            </w:pPr>
            <w:r>
              <w:rPr>
                <w:rFonts w:ascii="Arial" w:cs="Arial" w:eastAsia="Arial" w:hAnsi="Arial"/>
                <w:sz w:val="16"/>
                <w:szCs w:val="16"/>
                <w:color w:val="4F8ABE"/>
                <w:w w:val="89"/>
              </w:rPr>
              <w:t>$</w:t>
            </w: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52.3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22"/>
        </w:trPr>
        <w:tc>
          <w:tcPr>
            <w:tcW w:w="7660" w:type="dxa"/>
            <w:vAlign w:val="bottom"/>
            <w:vMerge w:val="restart"/>
          </w:tcPr>
          <w:p>
            <w:pPr>
              <w:spacing w:after="0"/>
              <w:rPr>
                <w:sz w:val="20"/>
                <w:szCs w:val="20"/>
                <w:color w:val="auto"/>
              </w:rPr>
            </w:pPr>
            <w:r>
              <w:rPr>
                <w:rFonts w:ascii="Arial" w:cs="Arial" w:eastAsia="Arial" w:hAnsi="Arial"/>
                <w:sz w:val="14"/>
                <w:szCs w:val="14"/>
                <w:color w:val="282A32"/>
              </w:rPr>
              <w:t>(a) Further breakdown of long-lived assets by geographical region was as follows:</w:t>
            </w:r>
          </w:p>
        </w:tc>
        <w:tc>
          <w:tcPr>
            <w:tcW w:w="420" w:type="dxa"/>
            <w:vAlign w:val="bottom"/>
            <w:shd w:val="clear" w:color="auto" w:fill="2989B9"/>
          </w:tcPr>
          <w:p>
            <w:pPr>
              <w:spacing w:after="0"/>
              <w:rPr>
                <w:sz w:val="10"/>
                <w:szCs w:val="10"/>
                <w:color w:val="auto"/>
              </w:rPr>
            </w:pPr>
          </w:p>
        </w:tc>
        <w:tc>
          <w:tcPr>
            <w:tcW w:w="820" w:type="dxa"/>
            <w:vAlign w:val="bottom"/>
            <w:shd w:val="clear" w:color="auto" w:fill="2989B9"/>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9"/>
        </w:trPr>
        <w:tc>
          <w:tcPr>
            <w:tcW w:w="7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Long-Lived Assets</w:t>
            </w:r>
          </w:p>
        </w:tc>
        <w:tc>
          <w:tcPr>
            <w:tcW w:w="420" w:type="dxa"/>
            <w:vAlign w:val="bottom"/>
            <w:tcBorders>
              <w:bottom w:val="single" w:sz="8" w:color="auto"/>
            </w:tcBorders>
            <w:shd w:val="clear" w:color="auto" w:fill="E1F4FD"/>
          </w:tcPr>
          <w:p>
            <w:pPr>
              <w:spacing w:after="0"/>
              <w:rPr>
                <w:sz w:val="18"/>
                <w:szCs w:val="18"/>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420" w:type="dxa"/>
            <w:vAlign w:val="bottom"/>
            <w:shd w:val="clear" w:color="auto" w:fill="E1F4FD"/>
          </w:tcPr>
          <w:p>
            <w:pPr>
              <w:jc w:val="right"/>
              <w:ind w:right="239"/>
              <w:spacing w:after="0"/>
              <w:rPr>
                <w:sz w:val="20"/>
                <w:szCs w:val="20"/>
                <w:color w:val="auto"/>
              </w:rPr>
            </w:pPr>
            <w:r>
              <w:rPr>
                <w:rFonts w:ascii="Arial" w:cs="Arial" w:eastAsia="Arial" w:hAnsi="Arial"/>
                <w:sz w:val="16"/>
                <w:szCs w:val="16"/>
                <w:color w:val="4F8ABE"/>
                <w:w w:val="89"/>
              </w:rPr>
              <w:t>$</w:t>
            </w: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32.3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30.2</w:t>
            </w:r>
          </w:p>
        </w:tc>
        <w:tc>
          <w:tcPr>
            <w:tcW w:w="48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France</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40.4</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Italy</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4.7</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United Kingdom</w:t>
            </w:r>
          </w:p>
        </w:tc>
        <w:tc>
          <w:tcPr>
            <w:tcW w:w="420" w:type="dxa"/>
            <w:vAlign w:val="bottom"/>
            <w:shd w:val="clear" w:color="auto" w:fill="E1F4FD"/>
          </w:tcPr>
          <w:p>
            <w:pPr>
              <w:spacing w:after="0"/>
              <w:rPr>
                <w:sz w:val="21"/>
                <w:szCs w:val="21"/>
                <w:color w:val="auto"/>
              </w:rPr>
            </w:pPr>
          </w:p>
        </w:tc>
        <w:tc>
          <w:tcPr>
            <w:tcW w:w="82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10.3</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w:t>
            </w:r>
          </w:p>
        </w:tc>
        <w:tc>
          <w:tcPr>
            <w:tcW w:w="4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Foreign</w:t>
            </w:r>
          </w:p>
        </w:tc>
        <w:tc>
          <w:tcPr>
            <w:tcW w:w="420" w:type="dxa"/>
            <w:vAlign w:val="bottom"/>
            <w:tcBorders>
              <w:bottom w:val="single" w:sz="8" w:color="auto"/>
            </w:tcBorders>
            <w:shd w:val="clear" w:color="auto" w:fill="E1F4FD"/>
          </w:tcPr>
          <w:p>
            <w:pPr>
              <w:spacing w:after="0"/>
              <w:rPr>
                <w:sz w:val="22"/>
                <w:szCs w:val="22"/>
                <w:color w:val="auto"/>
              </w:rPr>
            </w:pPr>
          </w:p>
        </w:tc>
        <w:tc>
          <w:tcPr>
            <w:tcW w:w="82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119.9</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122"/>
        </w:trPr>
        <w:tc>
          <w:tcPr>
            <w:tcW w:w="7660" w:type="dxa"/>
            <w:vAlign w:val="bottom"/>
            <w:vMerge w:val="restart"/>
          </w:tcPr>
          <w:p>
            <w:pPr>
              <w:ind w:left="40"/>
              <w:spacing w:after="0"/>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82</w:t>
            </w:r>
          </w:p>
        </w:tc>
        <w:tc>
          <w:tcPr>
            <w:tcW w:w="420" w:type="dxa"/>
            <w:vAlign w:val="bottom"/>
            <w:shd w:val="clear" w:color="auto" w:fill="2989B9"/>
          </w:tcPr>
          <w:p>
            <w:pPr>
              <w:spacing w:after="0"/>
              <w:rPr>
                <w:sz w:val="10"/>
                <w:szCs w:val="10"/>
                <w:color w:val="auto"/>
              </w:rPr>
            </w:pPr>
          </w:p>
        </w:tc>
        <w:tc>
          <w:tcPr>
            <w:tcW w:w="820" w:type="dxa"/>
            <w:vAlign w:val="bottom"/>
            <w:shd w:val="clear" w:color="auto" w:fill="2989B9"/>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3"/>
            <w:vMerge w:val="restart"/>
          </w:tcPr>
          <w:p>
            <w:pPr>
              <w:jc w:val="center"/>
              <w:spacing w:after="0"/>
              <w:rPr>
                <w:sz w:val="20"/>
                <w:szCs w:val="20"/>
                <w:color w:val="auto"/>
              </w:rPr>
            </w:pPr>
            <w:r>
              <w:rPr>
                <w:rFonts w:ascii="Arial" w:cs="Arial" w:eastAsia="Arial" w:hAnsi="Arial"/>
                <w:sz w:val="12"/>
                <w:szCs w:val="12"/>
                <w:color w:val="auto"/>
                <w:w w:val="97"/>
              </w:rPr>
              <w:t>Notes to Consolidated Financial Statements</w:t>
            </w:r>
          </w:p>
        </w:tc>
        <w:tc>
          <w:tcPr>
            <w:tcW w:w="0" w:type="dxa"/>
            <w:vAlign w:val="bottom"/>
          </w:tcPr>
          <w:p>
            <w:pPr>
              <w:spacing w:after="0"/>
              <w:rPr>
                <w:sz w:val="1"/>
                <w:szCs w:val="1"/>
                <w:color w:val="auto"/>
              </w:rPr>
            </w:pPr>
          </w:p>
        </w:tc>
      </w:tr>
      <w:tr>
        <w:trPr>
          <w:trHeight w:val="642"/>
        </w:trPr>
        <w:tc>
          <w:tcPr>
            <w:tcW w:w="7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20" w:name="page121"/>
    <w:bookmarkEnd w:id="120"/>
    <w:p>
      <w:pPr>
        <w:spacing w:after="0"/>
        <w:rPr>
          <w:sz w:val="20"/>
          <w:szCs w:val="20"/>
          <w:color w:val="auto"/>
        </w:rPr>
      </w:pPr>
      <w:r>
        <w:rPr>
          <w:rFonts w:ascii="Arial" w:cs="Arial" w:eastAsia="Arial" w:hAnsi="Arial"/>
          <w:sz w:val="25"/>
          <w:szCs w:val="25"/>
          <w:color w:val="2989B9"/>
        </w:rPr>
        <w:t>Note 15. Quarterly Data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First</w:t>
            </w: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Second</w:t>
            </w: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Third</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Fourth</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35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Total</w:t>
            </w:r>
          </w:p>
        </w:tc>
      </w:tr>
      <w:tr>
        <w:trPr>
          <w:trHeight w:val="291"/>
        </w:trPr>
        <w:tc>
          <w:tcPr>
            <w:tcW w:w="3580" w:type="dxa"/>
            <w:vAlign w:val="bottom"/>
          </w:tcPr>
          <w:p>
            <w:pPr>
              <w:ind w:left="40"/>
              <w:spacing w:after="0"/>
              <w:rPr>
                <w:sz w:val="20"/>
                <w:szCs w:val="20"/>
                <w:color w:val="auto"/>
              </w:rPr>
            </w:pPr>
            <w:r>
              <w:rPr>
                <w:rFonts w:ascii="Arial" w:cs="Arial" w:eastAsia="Arial" w:hAnsi="Arial"/>
                <w:sz w:val="16"/>
                <w:szCs w:val="16"/>
                <w:color w:val="2989B9"/>
              </w:rPr>
              <w:t>Year Ended December 31, 2015</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Revenues from services</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4,542.2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4,861.3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4,972.5</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4,953.9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19,329.9</w:t>
            </w: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762.0</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830.6</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852.1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851.1</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3,295.8</w:t>
            </w:r>
          </w:p>
        </w:tc>
      </w:tr>
      <w:tr>
        <w:trPr>
          <w:trHeight w:val="286"/>
        </w:trPr>
        <w:tc>
          <w:tcPr>
            <w:tcW w:w="3580" w:type="dxa"/>
            <w:vAlign w:val="bottom"/>
          </w:tcPr>
          <w:p>
            <w:pPr>
              <w:ind w:left="40"/>
              <w:spacing w:after="0"/>
              <w:rPr>
                <w:sz w:val="20"/>
                <w:szCs w:val="20"/>
                <w:color w:val="auto"/>
              </w:rPr>
            </w:pPr>
            <w:r>
              <w:rPr>
                <w:rFonts w:ascii="Arial" w:cs="Arial" w:eastAsia="Arial" w:hAnsi="Arial"/>
                <w:sz w:val="16"/>
                <w:szCs w:val="16"/>
                <w:color w:val="auto"/>
              </w:rPr>
              <w:t>Operating profit</w:t>
            </w:r>
            <w:r>
              <w:rPr>
                <w:rFonts w:ascii="Arial" w:cs="Arial" w:eastAsia="Arial" w:hAnsi="Arial"/>
                <w:sz w:val="21"/>
                <w:szCs w:val="21"/>
                <w:color w:val="auto"/>
                <w:vertAlign w:val="superscript"/>
              </w:rPr>
              <w:t>(a)</w:t>
            </w:r>
          </w:p>
        </w:tc>
        <w:tc>
          <w:tcPr>
            <w:tcW w:w="1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178.7</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206.3</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181.1</w:t>
            </w:r>
          </w:p>
        </w:tc>
        <w:tc>
          <w:tcPr>
            <w:tcW w:w="4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688.9</w:t>
            </w:r>
          </w:p>
        </w:tc>
      </w:tr>
      <w:tr>
        <w:trPr>
          <w:trHeight w:val="248"/>
        </w:trPr>
        <w:tc>
          <w:tcPr>
            <w:tcW w:w="3580" w:type="dxa"/>
            <w:vAlign w:val="bottom"/>
          </w:tcPr>
          <w:p>
            <w:pPr>
              <w:ind w:left="40"/>
              <w:spacing w:after="0"/>
              <w:rPr>
                <w:sz w:val="20"/>
                <w:szCs w:val="20"/>
                <w:color w:val="auto"/>
              </w:rPr>
            </w:pPr>
            <w:r>
              <w:rPr>
                <w:rFonts w:ascii="Arial" w:cs="Arial" w:eastAsia="Arial" w:hAnsi="Arial"/>
                <w:sz w:val="16"/>
                <w:szCs w:val="16"/>
                <w:color w:val="auto"/>
              </w:rPr>
              <w:t>Net earnings</w:t>
            </w:r>
            <w:r>
              <w:rPr>
                <w:rFonts w:ascii="Arial" w:cs="Arial" w:eastAsia="Arial" w:hAnsi="Arial"/>
                <w:sz w:val="21"/>
                <w:szCs w:val="21"/>
                <w:color w:val="auto"/>
                <w:vertAlign w:val="superscript"/>
              </w:rPr>
              <w:t>(b)</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105.7</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123.9</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419.2</w:t>
            </w:r>
          </w:p>
        </w:tc>
      </w:tr>
      <w:tr>
        <w:trPr>
          <w:trHeight w:val="195"/>
        </w:trPr>
        <w:tc>
          <w:tcPr>
            <w:tcW w:w="3580" w:type="dxa"/>
            <w:vAlign w:val="bottom"/>
          </w:tcPr>
          <w:p>
            <w:pPr>
              <w:ind w:left="40"/>
              <w:spacing w:after="0"/>
              <w:rPr>
                <w:sz w:val="20"/>
                <w:szCs w:val="20"/>
                <w:color w:val="auto"/>
              </w:rPr>
            </w:pPr>
            <w:r>
              <w:rPr>
                <w:rFonts w:ascii="Arial" w:cs="Arial" w:eastAsia="Arial" w:hAnsi="Arial"/>
                <w:sz w:val="16"/>
                <w:szCs w:val="16"/>
                <w:color w:val="auto"/>
              </w:rPr>
              <w:t>Net earnings per share — basic</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1.63</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5.46</w:t>
            </w:r>
          </w:p>
        </w:tc>
      </w:tr>
      <w:tr>
        <w:trPr>
          <w:trHeight w:val="292"/>
        </w:trPr>
        <w:tc>
          <w:tcPr>
            <w:tcW w:w="3580" w:type="dxa"/>
            <w:vAlign w:val="bottom"/>
          </w:tcPr>
          <w:p>
            <w:pPr>
              <w:ind w:left="40"/>
              <w:spacing w:after="0"/>
              <w:rPr>
                <w:sz w:val="20"/>
                <w:szCs w:val="20"/>
                <w:color w:val="auto"/>
              </w:rPr>
            </w:pPr>
            <w:r>
              <w:rPr>
                <w:rFonts w:ascii="Arial" w:cs="Arial" w:eastAsia="Arial" w:hAnsi="Arial"/>
                <w:sz w:val="16"/>
                <w:szCs w:val="16"/>
                <w:color w:val="auto"/>
              </w:rPr>
              <w:t>Net earnings per share — diluted</w:t>
            </w:r>
            <w:r>
              <w:rPr>
                <w:rFonts w:ascii="Arial" w:cs="Arial" w:eastAsia="Arial" w:hAnsi="Arial"/>
                <w:sz w:val="21"/>
                <w:szCs w:val="21"/>
                <w:color w:val="auto"/>
                <w:vertAlign w:val="superscript"/>
              </w:rPr>
              <w:t>(c)</w:t>
            </w:r>
          </w:p>
        </w:tc>
        <w:tc>
          <w:tcPr>
            <w:tcW w:w="1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w:t>
            </w:r>
          </w:p>
        </w:tc>
        <w:tc>
          <w:tcPr>
            <w:tcW w:w="4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5.40</w:t>
            </w:r>
          </w:p>
        </w:tc>
      </w:tr>
      <w:tr>
        <w:trPr>
          <w:trHeight w:val="195"/>
        </w:trPr>
        <w:tc>
          <w:tcPr>
            <w:tcW w:w="3580" w:type="dxa"/>
            <w:vAlign w:val="bottom"/>
          </w:tcPr>
          <w:p>
            <w:pPr>
              <w:ind w:left="40"/>
              <w:spacing w:after="0"/>
              <w:rPr>
                <w:sz w:val="20"/>
                <w:szCs w:val="20"/>
                <w:color w:val="auto"/>
              </w:rPr>
            </w:pPr>
            <w:r>
              <w:rPr>
                <w:rFonts w:ascii="Arial" w:cs="Arial" w:eastAsia="Arial" w:hAnsi="Arial"/>
                <w:sz w:val="16"/>
                <w:szCs w:val="16"/>
                <w:color w:val="auto"/>
              </w:rPr>
              <w:t>Dividends per share</w:t>
            </w:r>
          </w:p>
        </w:tc>
        <w:tc>
          <w:tcPr>
            <w:tcW w:w="1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0.80</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0.80</w:t>
            </w:r>
          </w:p>
        </w:tc>
        <w:tc>
          <w:tcPr>
            <w:tcW w:w="40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1.60</w:t>
            </w: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Market price:</w:t>
            </w:r>
          </w:p>
        </w:tc>
        <w:tc>
          <w:tcPr>
            <w:tcW w:w="1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High</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86.92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92.00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96.56</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93.24</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83"/>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Low</w:t>
            </w:r>
          </w:p>
        </w:tc>
        <w:tc>
          <w:tcPr>
            <w:tcW w:w="1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63.79</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82.76</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77.43</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80.48</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91"/>
        </w:trPr>
        <w:tc>
          <w:tcPr>
            <w:tcW w:w="3580" w:type="dxa"/>
            <w:vAlign w:val="bottom"/>
          </w:tcPr>
          <w:p>
            <w:pPr>
              <w:ind w:left="40"/>
              <w:spacing w:after="0"/>
              <w:rPr>
                <w:sz w:val="20"/>
                <w:szCs w:val="20"/>
                <w:color w:val="auto"/>
              </w:rPr>
            </w:pPr>
            <w:r>
              <w:rPr>
                <w:rFonts w:ascii="Arial" w:cs="Arial" w:eastAsia="Arial" w:hAnsi="Arial"/>
                <w:sz w:val="16"/>
                <w:szCs w:val="16"/>
                <w:color w:val="2989B9"/>
              </w:rPr>
              <w:t>Year Ended December 31, 2014</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Revenues from services</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4,904.0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5,321.7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5,416.0</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5,121.1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20,762.8</w:t>
            </w: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816.5</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897.3</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905.6</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868.8</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3,488.2</w:t>
            </w: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126.9</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187.4</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212.3</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193.3</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719.9</w:t>
            </w: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70.1</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109.8</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130.5</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117.2</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427.6</w:t>
            </w: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Net earnings per share — basic</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1.64</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5.38</w:t>
            </w: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Net earnings per share — diluted</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0.86</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5.30</w:t>
            </w:r>
          </w:p>
        </w:tc>
      </w:tr>
      <w:tr>
        <w:trPr>
          <w:trHeight w:val="243"/>
        </w:trPr>
        <w:tc>
          <w:tcPr>
            <w:tcW w:w="3580" w:type="dxa"/>
            <w:vAlign w:val="bottom"/>
          </w:tcPr>
          <w:p>
            <w:pPr>
              <w:ind w:left="40"/>
              <w:spacing w:after="0"/>
              <w:rPr>
                <w:sz w:val="20"/>
                <w:szCs w:val="20"/>
                <w:color w:val="auto"/>
              </w:rPr>
            </w:pPr>
            <w:r>
              <w:rPr>
                <w:rFonts w:ascii="Arial" w:cs="Arial" w:eastAsia="Arial" w:hAnsi="Arial"/>
                <w:sz w:val="16"/>
                <w:szCs w:val="16"/>
                <w:color w:val="auto"/>
              </w:rPr>
              <w:t>Dividends per share</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0.49</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0.49</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0.98</w:t>
            </w: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Market price:</w:t>
            </w:r>
          </w:p>
        </w:tc>
        <w:tc>
          <w:tcPr>
            <w:tcW w:w="1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High</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86.73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86.26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86.15</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71.17</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83"/>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Low</w:t>
            </w:r>
          </w:p>
        </w:tc>
        <w:tc>
          <w:tcPr>
            <w:tcW w:w="1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72.45</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74.00</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70.10</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59.00</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153"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Included restructuring costs of $16.4 recorded in the fourth quarter.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Included non-operating gains of $10.6 recorded in the fourth quarter.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Included in the results are restructuring costs per diluted share of $(0.17) and non-operating gains per diluted share of $0.15 for the fourth quarter.</w:t>
      </w:r>
    </w:p>
    <w:p>
      <w:pPr>
        <w:spacing w:after="0" w:line="130" w:lineRule="exact"/>
        <w:rPr>
          <w:sz w:val="20"/>
          <w:szCs w:val="20"/>
          <w:color w:val="auto"/>
        </w:rPr>
      </w:pPr>
    </w:p>
    <w:p>
      <w:pPr>
        <w:ind w:left="3740"/>
        <w:spacing w:after="0"/>
        <w:rPr>
          <w:sz w:val="20"/>
          <w:szCs w:val="20"/>
          <w:color w:val="auto"/>
        </w:rPr>
      </w:pPr>
      <w:r>
        <w:rPr>
          <w:rFonts w:ascii="Arial" w:cs="Arial" w:eastAsia="Arial" w:hAnsi="Arial"/>
          <w:sz w:val="18"/>
          <w:szCs w:val="18"/>
          <w:color w:val="55565A"/>
        </w:rPr>
        <w:t>****</w:t>
      </w:r>
    </w:p>
    <w:p>
      <w:pPr>
        <w:spacing w:after="0" w:line="200" w:lineRule="exact"/>
        <w:rPr>
          <w:sz w:val="20"/>
          <w:szCs w:val="20"/>
          <w:color w:val="auto"/>
        </w:rPr>
      </w:pPr>
    </w:p>
    <w:p>
      <w:pPr>
        <w:spacing w:after="0" w:line="298"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Notes to Consolidated Financial Statements</w:t>
      </w:r>
      <w:r>
        <w:rPr>
          <w:sz w:val="20"/>
          <w:szCs w:val="20"/>
          <w:color w:val="auto"/>
        </w:rPr>
        <w:tab/>
      </w:r>
      <w:r>
        <w:rPr>
          <w:rFonts w:ascii="Arial" w:cs="Arial" w:eastAsia="Arial" w:hAnsi="Arial"/>
          <w:sz w:val="11"/>
          <w:szCs w:val="11"/>
          <w:b w:val="1"/>
          <w:bCs w:val="1"/>
          <w:color w:val="auto"/>
        </w:rPr>
        <w:t xml:space="preserve">83 </w:t>
      </w:r>
      <w:r>
        <w:rPr>
          <w:rFonts w:ascii="Arial" w:cs="Arial" w:eastAsia="Arial" w:hAnsi="Arial"/>
          <w:sz w:val="11"/>
          <w:szCs w:val="11"/>
          <w:color w:val="auto"/>
        </w:rPr>
        <w:t>| ManpowerGroup</w:t>
      </w:r>
    </w:p>
    <w:p>
      <w:pPr>
        <w:sectPr>
          <w:pgSz w:w="11900" w:h="16838" w:orient="portrait"/>
          <w:cols w:equalWidth="0" w:num="1">
            <w:col w:w="11420"/>
          </w:cols>
          <w:pgMar w:left="240" w:top="681" w:right="239" w:bottom="1440" w:gutter="0" w:footer="0" w:header="0"/>
        </w:sectPr>
      </w:pPr>
    </w:p>
    <w:bookmarkStart w:id="121" w:name="page122"/>
    <w:bookmarkEnd w:id="121"/>
    <w:tbl>
      <w:tblPr>
        <w:tblLayout w:type="fixed"/>
        <w:tblInd w:w="40" w:type="dxa"/>
        <w:tblCellMar>
          <w:top w:w="0" w:type="dxa"/>
          <w:left w:w="0" w:type="dxa"/>
          <w:bottom w:w="0" w:type="dxa"/>
          <w:right w:w="0" w:type="dxa"/>
        </w:tblCellMar>
      </w:tblPr>
      <w:tr>
        <w:trPr>
          <w:trHeight w:val="138"/>
        </w:trPr>
        <w:tc>
          <w:tcPr>
            <w:tcW w:w="11220" w:type="dxa"/>
            <w:vAlign w:val="bottom"/>
          </w:tcPr>
          <w:p>
            <w:pPr>
              <w:spacing w:after="0"/>
              <w:rPr>
                <w:sz w:val="20"/>
                <w:szCs w:val="20"/>
                <w:color w:val="auto"/>
              </w:rPr>
            </w:pPr>
            <w:r>
              <w:rPr>
                <w:rFonts w:ascii="Arial" w:cs="Arial" w:eastAsia="Arial" w:hAnsi="Arial"/>
                <w:sz w:val="12"/>
                <w:szCs w:val="12"/>
                <w:color w:val="auto"/>
              </w:rPr>
              <w:t>ManpowerGroup | Annual Report 2015</w:t>
            </w:r>
          </w:p>
        </w:tc>
        <w:tc>
          <w:tcPr>
            <w:tcW w:w="140" w:type="dxa"/>
            <w:vAlign w:val="bottom"/>
            <w:tcBorders>
              <w:bottom w:val="single" w:sz="8" w:color="4F8ABE"/>
            </w:tcBorders>
          </w:tcPr>
          <w:p>
            <w:pPr>
              <w:jc w:val="right"/>
              <w:spacing w:after="0"/>
              <w:rPr>
                <w:sz w:val="20"/>
                <w:szCs w:val="20"/>
                <w:color w:val="auto"/>
              </w:rPr>
            </w:pPr>
            <w:r>
              <w:rPr>
                <w:rFonts w:ascii="Arial" w:cs="Arial" w:eastAsia="Arial" w:hAnsi="Arial"/>
                <w:sz w:val="12"/>
                <w:szCs w:val="12"/>
                <w:color w:val="4F8ABE"/>
                <w:w w:val="89"/>
              </w:rPr>
              <w:t>84</w:t>
            </w:r>
          </w:p>
        </w:tc>
      </w:tr>
    </w:tbl>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2989B9"/>
        </w:rPr>
        <w:t>SELECTED FINANCIAL DATA</w:t>
      </w:r>
    </w:p>
    <w:p>
      <w:pPr>
        <w:spacing w:after="0"/>
        <w:rPr>
          <w:sz w:val="20"/>
          <w:szCs w:val="20"/>
          <w:color w:val="auto"/>
        </w:rPr>
      </w:pPr>
      <w:r>
        <w:rPr>
          <w:rFonts w:ascii="Arial" w:cs="Arial" w:eastAsia="Arial" w:hAnsi="Arial"/>
          <w:sz w:val="16"/>
          <w:szCs w:val="16"/>
          <w:i w:val="1"/>
          <w:iCs w:val="1"/>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and for the Year Ended December 31</w:t>
            </w:r>
          </w:p>
        </w:tc>
        <w:tc>
          <w:tcPr>
            <w:tcW w:w="380" w:type="dxa"/>
            <w:vAlign w:val="bottom"/>
            <w:tcBorders>
              <w:bottom w:val="single" w:sz="8" w:color="auto"/>
            </w:tcBorders>
            <w:shd w:val="clear" w:color="auto" w:fill="E1F4FD"/>
          </w:tcPr>
          <w:p>
            <w:pPr>
              <w:spacing w:after="0"/>
              <w:rPr>
                <w:sz w:val="18"/>
                <w:szCs w:val="18"/>
                <w:color w:val="auto"/>
              </w:rPr>
            </w:pPr>
          </w:p>
        </w:tc>
        <w:tc>
          <w:tcPr>
            <w:tcW w:w="100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4"/>
                <w:szCs w:val="14"/>
                <w:color w:val="4F8ABE"/>
              </w:rPr>
              <w:t>2015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2011</w:t>
            </w:r>
          </w:p>
        </w:tc>
      </w:tr>
      <w:tr>
        <w:trPr>
          <w:trHeight w:val="291"/>
        </w:trPr>
        <w:tc>
          <w:tcPr>
            <w:tcW w:w="4580" w:type="dxa"/>
            <w:vAlign w:val="bottom"/>
          </w:tcPr>
          <w:p>
            <w:pPr>
              <w:ind w:left="40"/>
              <w:spacing w:after="0"/>
              <w:rPr>
                <w:sz w:val="20"/>
                <w:szCs w:val="20"/>
                <w:color w:val="auto"/>
              </w:rPr>
            </w:pPr>
            <w:r>
              <w:rPr>
                <w:rFonts w:ascii="Arial" w:cs="Arial" w:eastAsia="Arial" w:hAnsi="Arial"/>
                <w:sz w:val="16"/>
                <w:szCs w:val="16"/>
                <w:color w:val="2989B9"/>
              </w:rPr>
              <w:t>Operations Data</w:t>
            </w:r>
          </w:p>
        </w:tc>
        <w:tc>
          <w:tcPr>
            <w:tcW w:w="380" w:type="dxa"/>
            <w:vAlign w:val="bottom"/>
            <w:shd w:val="clear" w:color="auto" w:fill="E1F4FD"/>
          </w:tcPr>
          <w:p>
            <w:pPr>
              <w:spacing w:after="0"/>
              <w:rPr>
                <w:sz w:val="24"/>
                <w:szCs w:val="24"/>
                <w:color w:val="auto"/>
              </w:rPr>
            </w:pPr>
          </w:p>
        </w:tc>
        <w:tc>
          <w:tcPr>
            <w:tcW w:w="100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color w:val="auto"/>
              </w:rPr>
              <w:t>Revenues from services</w:t>
            </w:r>
          </w:p>
        </w:tc>
        <w:tc>
          <w:tcPr>
            <w:tcW w:w="380" w:type="dxa"/>
            <w:vAlign w:val="bottom"/>
            <w:shd w:val="clear" w:color="auto" w:fill="E1F4FD"/>
          </w:tcPr>
          <w:p>
            <w:pPr>
              <w:jc w:val="right"/>
              <w:ind w:right="179"/>
              <w:spacing w:after="0"/>
              <w:rPr>
                <w:sz w:val="20"/>
                <w:szCs w:val="20"/>
                <w:color w:val="auto"/>
              </w:rPr>
            </w:pPr>
            <w:r>
              <w:rPr>
                <w:rFonts w:ascii="Arial" w:cs="Arial" w:eastAsia="Arial" w:hAnsi="Arial"/>
                <w:sz w:val="16"/>
                <w:szCs w:val="16"/>
                <w:color w:val="4F8ABE"/>
              </w:rPr>
              <w:t>$</w:t>
            </w: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19,329.9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20,762.8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20,250.5</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20,678.0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22,006.0</w:t>
            </w: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E1F4FD"/>
          </w:tcPr>
          <w:p>
            <w:pPr>
              <w:spacing w:after="0"/>
              <w:rPr>
                <w:sz w:val="21"/>
                <w:szCs w:val="21"/>
                <w:color w:val="auto"/>
              </w:rPr>
            </w:pP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3,295.8</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3,488.2</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3,366.7</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3,442.0</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3,706.3</w:t>
            </w: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80" w:type="dxa"/>
            <w:vAlign w:val="bottom"/>
            <w:shd w:val="clear" w:color="auto" w:fill="E1F4FD"/>
          </w:tcPr>
          <w:p>
            <w:pPr>
              <w:spacing w:after="0"/>
              <w:rPr>
                <w:sz w:val="21"/>
                <w:szCs w:val="21"/>
                <w:color w:val="auto"/>
              </w:rPr>
            </w:pP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688.9</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719.9</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511.9</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411.7</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524.2</w:t>
            </w: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380" w:type="dxa"/>
            <w:vAlign w:val="bottom"/>
            <w:shd w:val="clear" w:color="auto" w:fill="E1F4FD"/>
          </w:tcPr>
          <w:p>
            <w:pPr>
              <w:spacing w:after="0"/>
              <w:rPr>
                <w:sz w:val="21"/>
                <w:szCs w:val="21"/>
                <w:color w:val="auto"/>
              </w:rPr>
            </w:pP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419.2</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427.6</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288.0</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197.6</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251.6</w:t>
            </w:r>
          </w:p>
        </w:tc>
      </w:tr>
      <w:tr>
        <w:trPr>
          <w:trHeight w:val="311"/>
        </w:trPr>
        <w:tc>
          <w:tcPr>
            <w:tcW w:w="4580" w:type="dxa"/>
            <w:vAlign w:val="bottom"/>
          </w:tcPr>
          <w:p>
            <w:pPr>
              <w:ind w:left="40"/>
              <w:spacing w:after="0"/>
              <w:rPr>
                <w:sz w:val="20"/>
                <w:szCs w:val="20"/>
                <w:color w:val="auto"/>
              </w:rPr>
            </w:pPr>
            <w:r>
              <w:rPr>
                <w:rFonts w:ascii="Arial" w:cs="Arial" w:eastAsia="Arial" w:hAnsi="Arial"/>
                <w:sz w:val="16"/>
                <w:szCs w:val="16"/>
                <w:color w:val="2989B9"/>
              </w:rPr>
              <w:t>Per Share Data</w:t>
            </w:r>
          </w:p>
        </w:tc>
        <w:tc>
          <w:tcPr>
            <w:tcW w:w="380" w:type="dxa"/>
            <w:vAlign w:val="bottom"/>
            <w:shd w:val="clear" w:color="auto" w:fill="E1F4FD"/>
          </w:tcPr>
          <w:p>
            <w:pPr>
              <w:spacing w:after="0"/>
              <w:rPr>
                <w:sz w:val="24"/>
                <w:szCs w:val="24"/>
                <w:color w:val="auto"/>
              </w:rPr>
            </w:pPr>
          </w:p>
        </w:tc>
        <w:tc>
          <w:tcPr>
            <w:tcW w:w="100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color w:val="auto"/>
              </w:rPr>
              <w:t>Net earnings — basic</w:t>
            </w:r>
          </w:p>
        </w:tc>
        <w:tc>
          <w:tcPr>
            <w:tcW w:w="380" w:type="dxa"/>
            <w:vAlign w:val="bottom"/>
            <w:shd w:val="clear" w:color="auto" w:fill="E1F4FD"/>
          </w:tcPr>
          <w:p>
            <w:pPr>
              <w:jc w:val="right"/>
              <w:ind w:right="179"/>
              <w:spacing w:after="0"/>
              <w:rPr>
                <w:sz w:val="20"/>
                <w:szCs w:val="20"/>
                <w:color w:val="auto"/>
              </w:rPr>
            </w:pPr>
            <w:r>
              <w:rPr>
                <w:rFonts w:ascii="Arial" w:cs="Arial" w:eastAsia="Arial" w:hAnsi="Arial"/>
                <w:sz w:val="16"/>
                <w:szCs w:val="16"/>
                <w:color w:val="4F8ABE"/>
              </w:rPr>
              <w:t>$</w:t>
            </w: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5.46</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3.69</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3.08</w:t>
            </w: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color w:val="auto"/>
              </w:rPr>
              <w:t>Net earnings — diluted</w:t>
            </w:r>
          </w:p>
        </w:tc>
        <w:tc>
          <w:tcPr>
            <w:tcW w:w="380" w:type="dxa"/>
            <w:vAlign w:val="bottom"/>
            <w:shd w:val="clear" w:color="auto" w:fill="E1F4FD"/>
          </w:tcPr>
          <w:p>
            <w:pPr>
              <w:spacing w:after="0"/>
              <w:rPr>
                <w:sz w:val="21"/>
                <w:szCs w:val="21"/>
                <w:color w:val="auto"/>
              </w:rPr>
            </w:pP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5.40</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5.30</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3.62</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3.04</w:t>
            </w: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color w:val="auto"/>
              </w:rPr>
              <w:t>Dividends</w:t>
            </w:r>
          </w:p>
        </w:tc>
        <w:tc>
          <w:tcPr>
            <w:tcW w:w="380" w:type="dxa"/>
            <w:vAlign w:val="bottom"/>
            <w:shd w:val="clear" w:color="auto" w:fill="E1F4FD"/>
          </w:tcPr>
          <w:p>
            <w:pPr>
              <w:spacing w:after="0"/>
              <w:rPr>
                <w:sz w:val="21"/>
                <w:szCs w:val="21"/>
                <w:color w:val="auto"/>
              </w:rPr>
            </w:pP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1.60</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0.98</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0.92</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0.86</w:t>
            </w:r>
          </w:p>
        </w:tc>
        <w:tc>
          <w:tcPr>
            <w:tcW w:w="4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0.80</w:t>
            </w:r>
          </w:p>
        </w:tc>
      </w:tr>
      <w:tr>
        <w:trPr>
          <w:trHeight w:val="311"/>
        </w:trPr>
        <w:tc>
          <w:tcPr>
            <w:tcW w:w="4580" w:type="dxa"/>
            <w:vAlign w:val="bottom"/>
          </w:tcPr>
          <w:p>
            <w:pPr>
              <w:ind w:left="40"/>
              <w:spacing w:after="0"/>
              <w:rPr>
                <w:sz w:val="20"/>
                <w:szCs w:val="20"/>
                <w:color w:val="auto"/>
              </w:rPr>
            </w:pPr>
            <w:r>
              <w:rPr>
                <w:rFonts w:ascii="Arial" w:cs="Arial" w:eastAsia="Arial" w:hAnsi="Arial"/>
                <w:sz w:val="16"/>
                <w:szCs w:val="16"/>
                <w:color w:val="2989B9"/>
              </w:rPr>
              <w:t>Balance Sheet Data</w:t>
            </w:r>
          </w:p>
        </w:tc>
        <w:tc>
          <w:tcPr>
            <w:tcW w:w="380" w:type="dxa"/>
            <w:vAlign w:val="bottom"/>
            <w:shd w:val="clear" w:color="auto" w:fill="E1F4FD"/>
          </w:tcPr>
          <w:p>
            <w:pPr>
              <w:spacing w:after="0"/>
              <w:rPr>
                <w:sz w:val="24"/>
                <w:szCs w:val="24"/>
                <w:color w:val="auto"/>
              </w:rPr>
            </w:pPr>
          </w:p>
        </w:tc>
        <w:tc>
          <w:tcPr>
            <w:tcW w:w="1000" w:type="dxa"/>
            <w:vAlign w:val="bottom"/>
            <w:shd w:val="clear" w:color="auto" w:fill="E1F4FD"/>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(a)</w:t>
            </w:r>
          </w:p>
        </w:tc>
        <w:tc>
          <w:tcPr>
            <w:tcW w:w="380" w:type="dxa"/>
            <w:vAlign w:val="bottom"/>
            <w:shd w:val="clear" w:color="auto" w:fill="E1F4FD"/>
          </w:tcPr>
          <w:p>
            <w:pPr>
              <w:jc w:val="right"/>
              <w:ind w:right="179"/>
              <w:spacing w:after="0"/>
              <w:rPr>
                <w:sz w:val="20"/>
                <w:szCs w:val="20"/>
                <w:color w:val="auto"/>
              </w:rPr>
            </w:pPr>
            <w:r>
              <w:rPr>
                <w:rFonts w:ascii="Arial" w:cs="Arial" w:eastAsia="Arial" w:hAnsi="Arial"/>
                <w:sz w:val="16"/>
                <w:szCs w:val="16"/>
                <w:color w:val="4F8ABE"/>
              </w:rPr>
              <w:t>$</w:t>
            </w:r>
          </w:p>
        </w:tc>
        <w:tc>
          <w:tcPr>
            <w:tcW w:w="1000" w:type="dxa"/>
            <w:vAlign w:val="bottom"/>
            <w:shd w:val="clear" w:color="auto" w:fill="E1F4FD"/>
          </w:tcPr>
          <w:p>
            <w:pPr>
              <w:jc w:val="right"/>
              <w:ind w:right="20"/>
              <w:spacing w:after="0"/>
              <w:rPr>
                <w:sz w:val="20"/>
                <w:szCs w:val="20"/>
                <w:color w:val="auto"/>
              </w:rPr>
            </w:pPr>
            <w:r>
              <w:rPr>
                <w:rFonts w:ascii="Arial" w:cs="Arial" w:eastAsia="Arial" w:hAnsi="Arial"/>
                <w:sz w:val="16"/>
                <w:szCs w:val="16"/>
                <w:color w:val="4F8ABE"/>
              </w:rPr>
              <w:t>7,517.5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7,181.2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7,286.6</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7,010.4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6,899.4</w:t>
            </w:r>
          </w:p>
        </w:tc>
      </w:tr>
      <w:tr>
        <w:trPr>
          <w:trHeight w:val="24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(a)</w:t>
            </w:r>
          </w:p>
        </w:tc>
        <w:tc>
          <w:tcPr>
            <w:tcW w:w="380" w:type="dxa"/>
            <w:vAlign w:val="bottom"/>
            <w:tcBorders>
              <w:bottom w:val="single" w:sz="8" w:color="auto"/>
            </w:tcBorders>
            <w:shd w:val="clear" w:color="auto" w:fill="E1F4FD"/>
          </w:tcPr>
          <w:p>
            <w:pPr>
              <w:spacing w:after="0"/>
              <w:rPr>
                <w:sz w:val="21"/>
                <w:szCs w:val="21"/>
                <w:color w:val="auto"/>
              </w:rPr>
            </w:pPr>
          </w:p>
        </w:tc>
        <w:tc>
          <w:tcPr>
            <w:tcW w:w="1000" w:type="dxa"/>
            <w:vAlign w:val="bottom"/>
            <w:tcBorders>
              <w:bottom w:val="single" w:sz="8" w:color="auto"/>
            </w:tcBorders>
            <w:shd w:val="clear" w:color="auto" w:fill="E1F4FD"/>
          </w:tcPr>
          <w:p>
            <w:pPr>
              <w:jc w:val="right"/>
              <w:ind w:right="20"/>
              <w:spacing w:after="0"/>
              <w:rPr>
                <w:sz w:val="20"/>
                <w:szCs w:val="20"/>
                <w:color w:val="auto"/>
              </w:rPr>
            </w:pPr>
            <w:r>
              <w:rPr>
                <w:rFonts w:ascii="Arial" w:cs="Arial" w:eastAsia="Arial" w:hAnsi="Arial"/>
                <w:sz w:val="16"/>
                <w:szCs w:val="16"/>
                <w:color w:val="4F8ABE"/>
              </w:rPr>
              <w:t>810.9</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422.6</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480.2</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459.9</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265.7</w:t>
            </w:r>
          </w:p>
        </w:tc>
      </w:tr>
      <w:tr>
        <w:trPr>
          <w:trHeight w:val="115"/>
        </w:trPr>
        <w:tc>
          <w:tcPr>
            <w:tcW w:w="4580" w:type="dxa"/>
            <w:vAlign w:val="bottom"/>
          </w:tcPr>
          <w:p>
            <w:pPr>
              <w:spacing w:after="0"/>
              <w:rPr>
                <w:sz w:val="10"/>
                <w:szCs w:val="10"/>
                <w:color w:val="auto"/>
              </w:rPr>
            </w:pPr>
          </w:p>
        </w:tc>
        <w:tc>
          <w:tcPr>
            <w:tcW w:w="380" w:type="dxa"/>
            <w:vAlign w:val="bottom"/>
            <w:shd w:val="clear" w:color="auto" w:fill="2989B9"/>
          </w:tcPr>
          <w:p>
            <w:pPr>
              <w:spacing w:after="0"/>
              <w:rPr>
                <w:sz w:val="10"/>
                <w:szCs w:val="10"/>
                <w:color w:val="auto"/>
              </w:rPr>
            </w:pPr>
          </w:p>
        </w:tc>
        <w:tc>
          <w:tcPr>
            <w:tcW w:w="1000" w:type="dxa"/>
            <w:vAlign w:val="bottom"/>
            <w:shd w:val="clear" w:color="auto" w:fill="2989B9"/>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153" w:lineRule="exact"/>
        <w:rPr>
          <w:sz w:val="20"/>
          <w:szCs w:val="20"/>
          <w:color w:val="auto"/>
        </w:rPr>
      </w:pPr>
    </w:p>
    <w:p>
      <w:pPr>
        <w:jc w:val="both"/>
        <w:ind w:firstLine="8"/>
        <w:spacing w:after="0" w:line="250" w:lineRule="auto"/>
        <w:tabs>
          <w:tab w:leader="none" w:pos="229" w:val="left"/>
        </w:tabs>
        <w:numPr>
          <w:ilvl w:val="0"/>
          <w:numId w:val="86"/>
        </w:numPr>
        <w:rPr>
          <w:rFonts w:ascii="Arial" w:cs="Arial" w:eastAsia="Arial" w:hAnsi="Arial"/>
          <w:sz w:val="14"/>
          <w:szCs w:val="14"/>
          <w:color w:val="auto"/>
        </w:rPr>
      </w:pPr>
      <w:r>
        <w:rPr>
          <w:rFonts w:ascii="Arial" w:cs="Arial" w:eastAsia="Arial" w:hAnsi="Arial"/>
          <w:sz w:val="14"/>
          <w:szCs w:val="14"/>
          <w:color w:val="282A32"/>
        </w:rPr>
        <w:t>In connection with the adoption in the third quarter of 2015 of the new accounting guidance on debt issuance costs, we have reclassified certain amounts in prior-period financial statements to conform to the current period's presentation. In our Consolidated Balance Sheets, we have reclassified debt issuance costs associated with our long-term debt from other assets to long-term debt (see Note 7 to the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2989B9"/>
        </w:rPr>
        <w:t>PERFORMANCE GRAPH</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Set forth below is a graph for the periods ending December 31, 2010–2015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20% of the total market capitalization of the companies included in the index. The graph assumes a $100 investment on December 31, 2010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94615</wp:posOffset>
            </wp:positionV>
            <wp:extent cx="3858895" cy="259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5889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360" w:type="dxa"/>
            <w:vAlign w:val="bottom"/>
            <w:tcBorders>
              <w:bottom w:val="single" w:sz="8" w:color="auto"/>
            </w:tcBorders>
            <w:shd w:val="clear" w:color="auto" w:fill="E1F4FD"/>
          </w:tcPr>
          <w:p>
            <w:pPr>
              <w:spacing w:after="0"/>
              <w:rPr>
                <w:sz w:val="18"/>
                <w:szCs w:val="18"/>
                <w:color w:val="auto"/>
              </w:rPr>
            </w:pPr>
          </w:p>
        </w:tc>
        <w:tc>
          <w:tcPr>
            <w:tcW w:w="66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4"/>
                <w:szCs w:val="14"/>
                <w:color w:val="4F8ABE"/>
              </w:rPr>
              <w:t>2015</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23"/>
        </w:trPr>
        <w:tc>
          <w:tcPr>
            <w:tcW w:w="5260" w:type="dxa"/>
            <w:vAlign w:val="bottom"/>
          </w:tcPr>
          <w:p>
            <w:pPr>
              <w:ind w:left="40"/>
              <w:spacing w:after="0"/>
              <w:rPr>
                <w:sz w:val="20"/>
                <w:szCs w:val="20"/>
                <w:color w:val="auto"/>
              </w:rPr>
            </w:pPr>
            <w:r>
              <w:rPr>
                <w:rFonts w:ascii="Arial" w:cs="Arial" w:eastAsia="Arial" w:hAnsi="Arial"/>
                <w:sz w:val="16"/>
                <w:szCs w:val="16"/>
                <w:color w:val="auto"/>
              </w:rPr>
              <w:t>ManpowerGroup</w:t>
            </w:r>
          </w:p>
        </w:tc>
        <w:tc>
          <w:tcPr>
            <w:tcW w:w="360" w:type="dxa"/>
            <w:vAlign w:val="bottom"/>
            <w:shd w:val="clear" w:color="auto" w:fill="E1F4FD"/>
          </w:tcPr>
          <w:p>
            <w:pPr>
              <w:jc w:val="right"/>
              <w:ind w:right="159"/>
              <w:spacing w:after="0"/>
              <w:rPr>
                <w:sz w:val="20"/>
                <w:szCs w:val="20"/>
                <w:color w:val="auto"/>
              </w:rPr>
            </w:pPr>
            <w:r>
              <w:rPr>
                <w:rFonts w:ascii="Arial" w:cs="Arial" w:eastAsia="Arial" w:hAnsi="Arial"/>
                <w:sz w:val="16"/>
                <w:szCs w:val="16"/>
                <w:color w:val="4F8ABE"/>
              </w:rPr>
              <w:t>$</w:t>
            </w:r>
          </w:p>
        </w:tc>
        <w:tc>
          <w:tcPr>
            <w:tcW w:w="66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134</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109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460" w:type="dxa"/>
            <w:vAlign w:val="bottom"/>
          </w:tcPr>
          <w:p>
            <w:pPr>
              <w:jc w:val="right"/>
              <w:ind w:right="17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S&amp;P 400 Midcap Stock Index</w:t>
            </w:r>
          </w:p>
        </w:tc>
        <w:tc>
          <w:tcPr>
            <w:tcW w:w="360" w:type="dxa"/>
            <w:vAlign w:val="bottom"/>
            <w:shd w:val="clear" w:color="auto" w:fill="E1F4FD"/>
          </w:tcPr>
          <w:p>
            <w:pPr>
              <w:spacing w:after="0"/>
              <w:rPr>
                <w:sz w:val="21"/>
                <w:szCs w:val="21"/>
                <w:color w:val="auto"/>
              </w:rPr>
            </w:pPr>
          </w:p>
        </w:tc>
        <w:tc>
          <w:tcPr>
            <w:tcW w:w="660" w:type="dxa"/>
            <w:vAlign w:val="bottom"/>
            <w:shd w:val="clear" w:color="auto" w:fill="E1F4FD"/>
          </w:tcPr>
          <w:p>
            <w:pPr>
              <w:jc w:val="right"/>
              <w:ind w:right="21"/>
              <w:spacing w:after="0"/>
              <w:rPr>
                <w:sz w:val="20"/>
                <w:szCs w:val="20"/>
                <w:color w:val="auto"/>
              </w:rPr>
            </w:pPr>
            <w:r>
              <w:rPr>
                <w:rFonts w:ascii="Arial" w:cs="Arial" w:eastAsia="Arial" w:hAnsi="Arial"/>
                <w:sz w:val="16"/>
                <w:szCs w:val="16"/>
                <w:color w:val="4F8ABE"/>
              </w:rPr>
              <w:t>154</w:t>
            </w:r>
          </w:p>
        </w:tc>
        <w:tc>
          <w:tcPr>
            <w:tcW w:w="36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160</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148</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460" w:type="dxa"/>
            <w:vAlign w:val="bottom"/>
          </w:tcPr>
          <w:p>
            <w:pPr>
              <w:spacing w:after="0"/>
              <w:rPr>
                <w:sz w:val="21"/>
                <w:szCs w:val="21"/>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8"/>
        </w:trPr>
        <w:tc>
          <w:tcPr>
            <w:tcW w:w="5260" w:type="dxa"/>
            <w:vAlign w:val="bottom"/>
          </w:tcPr>
          <w:p>
            <w:pPr>
              <w:ind w:left="40"/>
              <w:spacing w:after="0"/>
              <w:rPr>
                <w:sz w:val="20"/>
                <w:szCs w:val="20"/>
                <w:color w:val="auto"/>
              </w:rPr>
            </w:pPr>
            <w:r>
              <w:rPr>
                <w:rFonts w:ascii="Arial" w:cs="Arial" w:eastAsia="Arial" w:hAnsi="Arial"/>
                <w:sz w:val="16"/>
                <w:szCs w:val="16"/>
                <w:color w:val="auto"/>
              </w:rPr>
              <w:t>S&amp;P Supercomposite Human Resources and</w:t>
            </w:r>
          </w:p>
        </w:tc>
        <w:tc>
          <w:tcPr>
            <w:tcW w:w="360" w:type="dxa"/>
            <w:vAlign w:val="bottom"/>
            <w:shd w:val="clear" w:color="auto" w:fill="E1F4FD"/>
          </w:tcPr>
          <w:p>
            <w:pPr>
              <w:spacing w:after="0"/>
              <w:rPr>
                <w:sz w:val="20"/>
                <w:szCs w:val="20"/>
                <w:color w:val="auto"/>
              </w:rPr>
            </w:pPr>
          </w:p>
        </w:tc>
        <w:tc>
          <w:tcPr>
            <w:tcW w:w="660" w:type="dxa"/>
            <w:vAlign w:val="bottom"/>
            <w:shd w:val="clear" w:color="auto" w:fill="E1F4FD"/>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Employment Services Index</w:t>
            </w:r>
          </w:p>
        </w:tc>
        <w:tc>
          <w:tcPr>
            <w:tcW w:w="360" w:type="dxa"/>
            <w:vAlign w:val="bottom"/>
            <w:tcBorders>
              <w:bottom w:val="single" w:sz="8" w:color="auto"/>
            </w:tcBorders>
            <w:shd w:val="clear" w:color="auto" w:fill="E1F4FD"/>
          </w:tcPr>
          <w:p>
            <w:pPr>
              <w:spacing w:after="0"/>
              <w:rPr>
                <w:sz w:val="18"/>
                <w:szCs w:val="18"/>
                <w:color w:val="auto"/>
              </w:rPr>
            </w:pPr>
          </w:p>
        </w:tc>
        <w:tc>
          <w:tcPr>
            <w:tcW w:w="660" w:type="dxa"/>
            <w:vAlign w:val="bottom"/>
            <w:tcBorders>
              <w:bottom w:val="single" w:sz="8" w:color="auto"/>
            </w:tcBorders>
            <w:shd w:val="clear" w:color="auto" w:fill="E1F4FD"/>
          </w:tcPr>
          <w:p>
            <w:pPr>
              <w:jc w:val="right"/>
              <w:ind w:right="21"/>
              <w:spacing w:after="0"/>
              <w:rPr>
                <w:sz w:val="20"/>
                <w:szCs w:val="20"/>
                <w:color w:val="auto"/>
              </w:rPr>
            </w:pPr>
            <w:r>
              <w:rPr>
                <w:rFonts w:ascii="Arial" w:cs="Arial" w:eastAsia="Arial" w:hAnsi="Arial"/>
                <w:sz w:val="16"/>
                <w:szCs w:val="16"/>
                <w:color w:val="4F8ABE"/>
              </w:rPr>
              <w:t>170</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22"/>
        </w:trPr>
        <w:tc>
          <w:tcPr>
            <w:tcW w:w="5260" w:type="dxa"/>
            <w:vAlign w:val="bottom"/>
            <w:vMerge w:val="restart"/>
          </w:tcPr>
          <w:p>
            <w:pPr>
              <w:ind w:left="40"/>
              <w:spacing w:after="0"/>
              <w:rPr>
                <w:sz w:val="20"/>
                <w:szCs w:val="20"/>
                <w:color w:val="auto"/>
              </w:rPr>
            </w:pPr>
            <w:r>
              <w:rPr>
                <w:rFonts w:ascii="Arial" w:cs="Arial" w:eastAsia="Arial" w:hAnsi="Arial"/>
                <w:sz w:val="12"/>
                <w:szCs w:val="12"/>
                <w:color w:val="auto"/>
              </w:rPr>
              <w:t>Selected Financial Data</w:t>
            </w:r>
          </w:p>
        </w:tc>
        <w:tc>
          <w:tcPr>
            <w:tcW w:w="360" w:type="dxa"/>
            <w:vAlign w:val="bottom"/>
            <w:shd w:val="clear" w:color="auto" w:fill="2989B9"/>
          </w:tcPr>
          <w:p>
            <w:pPr>
              <w:spacing w:after="0"/>
              <w:rPr>
                <w:sz w:val="10"/>
                <w:szCs w:val="10"/>
                <w:color w:val="auto"/>
              </w:rPr>
            </w:pPr>
          </w:p>
        </w:tc>
        <w:tc>
          <w:tcPr>
            <w:tcW w:w="660" w:type="dxa"/>
            <w:vAlign w:val="bottom"/>
            <w:shd w:val="clear" w:color="auto" w:fill="2989B9"/>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5"/>
              </w:rPr>
              <w:t xml:space="preserve">84 </w:t>
            </w:r>
            <w:r>
              <w:rPr>
                <w:rFonts w:ascii="Arial" w:cs="Arial" w:eastAsia="Arial" w:hAnsi="Arial"/>
                <w:sz w:val="12"/>
                <w:szCs w:val="12"/>
                <w:color w:val="auto"/>
                <w:w w:val="95"/>
              </w:rPr>
              <w:t>| ManpowerGroup</w:t>
            </w:r>
          </w:p>
        </w:tc>
        <w:tc>
          <w:tcPr>
            <w:tcW w:w="0" w:type="dxa"/>
            <w:vAlign w:val="bottom"/>
          </w:tcPr>
          <w:p>
            <w:pPr>
              <w:spacing w:after="0"/>
              <w:rPr>
                <w:sz w:val="1"/>
                <w:szCs w:val="1"/>
                <w:color w:val="auto"/>
              </w:rPr>
            </w:pPr>
          </w:p>
        </w:tc>
      </w:tr>
      <w:tr>
        <w:trPr>
          <w:trHeight w:val="642"/>
        </w:trPr>
        <w:tc>
          <w:tcPr>
            <w:tcW w:w="5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2" w:right="239" w:bottom="1440" w:gutter="0" w:footer="0" w:header="0"/>
        </w:sectPr>
      </w:pPr>
    </w:p>
    <w:bookmarkStart w:id="122" w:name="page123"/>
    <w:bookmarkEnd w:id="122"/>
    <w:p>
      <w:pPr>
        <w:spacing w:after="0"/>
        <w:rPr>
          <w:sz w:val="20"/>
          <w:szCs w:val="20"/>
          <w:color w:val="auto"/>
        </w:rPr>
      </w:pPr>
      <w:r>
        <w:rPr>
          <w:rFonts w:ascii="Arial" w:cs="Arial" w:eastAsia="Arial" w:hAnsi="Arial"/>
          <w:sz w:val="12"/>
          <w:szCs w:val="12"/>
          <w:u w:val="single" w:color="auto"/>
          <w:color w:val="4F8ABE"/>
        </w:rPr>
        <w:t>85</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E28432"/>
        </w:rPr>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358140</wp:posOffset>
            </wp:positionV>
            <wp:extent cx="5042535" cy="24701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4253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82A32"/>
        </w:rPr>
        <w:t>Argentina, Australia, Austria, Bahrain, Belarus, Belgium, Bolivia, Brazil, Bulgaria, Canada, Chile, China, Colombia, Costa Rica, Croatia, Cyprus, Czech Republic, Denmark, Dominican Republic, Ecuador, El Salvador, Estonia, Finland, France, Germany, Greece, Guatemala, Honduras, Hong Kong, Hungary, India, Ireland, Israel, Italy, Japan, Kazakhstan, Korea, Latvia, Lithuania, Luxembourg, Macau, Malaysia, Mexico, Monaco, Morocco, Netherlands, New Caledonia, New Zealand, Nicaragua, Norway, Panama, Paraguay, Peru, Philippines, Poland, Portugal, Puerto Rico, Romania, Russia, Serbia, Singapore, Slovakia, Slovenia, South Africa, Spain, Sweden, Switzerland, Taiwan, Thailand, Tunisia, Turkey, Ukraine, United Arab Emirates, United Kingdom,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455295</wp:posOffset>
            </wp:positionV>
            <wp:extent cx="5042535" cy="660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4253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989B9"/>
        </w:rPr>
        <w:t xml:space="preserve">About ManpowerGroup: </w:t>
      </w:r>
      <w:r>
        <w:rPr>
          <w:rFonts w:ascii="Arial" w:cs="Arial" w:eastAsia="Arial" w:hAnsi="Arial"/>
          <w:sz w:val="16"/>
          <w:szCs w:val="16"/>
          <w:color w:val="282A32"/>
        </w:rPr>
        <w:t>ManpowerGroup® (NYSE: MAN) is the world’s workforce expert, creating innovative workforce solutions for nearly 70 years. As</w:t>
      </w:r>
      <w:r>
        <w:rPr>
          <w:rFonts w:ascii="Arial" w:cs="Arial" w:eastAsia="Arial" w:hAnsi="Arial"/>
          <w:sz w:val="16"/>
          <w:szCs w:val="16"/>
          <w:color w:val="2989B9"/>
        </w:rPr>
        <w:t xml:space="preserve"> </w:t>
      </w:r>
      <w:r>
        <w:rPr>
          <w:rFonts w:ascii="Arial" w:cs="Arial" w:eastAsia="Arial" w:hAnsi="Arial"/>
          <w:sz w:val="16"/>
          <w:szCs w:val="16"/>
          <w:color w:val="282A32"/>
        </w:rPr>
        <w:t>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www.manpowergroup.com.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1008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85</w:t>
      </w:r>
      <w:r>
        <w:rPr>
          <w:sz w:val="20"/>
          <w:szCs w:val="20"/>
          <w:color w:val="auto"/>
        </w:rPr>
        <w:tab/>
      </w:r>
      <w:r>
        <w:rPr>
          <w:rFonts w:ascii="Arial" w:cs="Arial" w:eastAsia="Arial" w:hAnsi="Arial"/>
          <w:sz w:val="11"/>
          <w:szCs w:val="11"/>
          <w:color w:val="auto"/>
        </w:rPr>
        <w:t>Principal Operating Units</w:t>
      </w:r>
    </w:p>
    <w:p>
      <w:pPr>
        <w:sectPr>
          <w:pgSz w:w="11900" w:h="16838" w:orient="portrait"/>
          <w:cols w:equalWidth="0" w:num="1">
            <w:col w:w="11420"/>
          </w:cols>
          <w:pgMar w:left="240" w:top="479" w:right="2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2989B9"/>
        </w:rPr>
        <w:t>CORPORATE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4F8ABE"/>
        </w:rPr>
        <w:t>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Jonas Prising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ManpowerGroup</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Gina R. Boswell</w:t>
      </w:r>
      <w:r>
        <w:rPr>
          <w:rFonts w:ascii="Arial" w:cs="Arial" w:eastAsia="Arial" w:hAnsi="Arial"/>
          <w:sz w:val="21"/>
          <w:szCs w:val="21"/>
          <w:color w:val="4F8ABE"/>
          <w:vertAlign w:val="superscript"/>
        </w:rPr>
        <w:t>1*,3</w:t>
      </w:r>
    </w:p>
    <w:p>
      <w:pPr>
        <w:spacing w:after="0"/>
        <w:rPr>
          <w:sz w:val="20"/>
          <w:szCs w:val="20"/>
          <w:color w:val="auto"/>
        </w:rPr>
      </w:pPr>
      <w:r>
        <w:rPr>
          <w:rFonts w:ascii="Arial" w:cs="Arial" w:eastAsia="Arial" w:hAnsi="Arial"/>
          <w:sz w:val="16"/>
          <w:szCs w:val="16"/>
          <w:color w:val="auto"/>
        </w:rPr>
        <w:t>Executive Vice President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 Manager - UK &amp; Ireland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Unilever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Cari M. Dominguez</w:t>
      </w:r>
      <w:r>
        <w:rPr>
          <w:rFonts w:ascii="Arial" w:cs="Arial" w:eastAsia="Arial" w:hAnsi="Arial"/>
          <w:sz w:val="21"/>
          <w:szCs w:val="21"/>
          <w:color w:val="4F8ABE"/>
          <w:vertAlign w:val="superscript"/>
        </w:rPr>
        <w:t>2</w:t>
      </w:r>
    </w:p>
    <w:p>
      <w:pPr>
        <w:spacing w:after="0"/>
        <w:rPr>
          <w:sz w:val="20"/>
          <w:szCs w:val="20"/>
          <w:color w:val="auto"/>
        </w:rPr>
      </w:pPr>
      <w:r>
        <w:rPr>
          <w:rFonts w:ascii="Arial" w:cs="Arial" w:eastAsia="Arial" w:hAnsi="Arial"/>
          <w:sz w:val="16"/>
          <w:szCs w:val="16"/>
          <w:color w:val="auto"/>
        </w:rPr>
        <w:t>Former Chair of the Equal Employment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Opportunity Commission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William A. Downe</w:t>
      </w:r>
      <w:r>
        <w:rPr>
          <w:rFonts w:ascii="Arial" w:cs="Arial" w:eastAsia="Arial" w:hAnsi="Arial"/>
          <w:sz w:val="21"/>
          <w:szCs w:val="21"/>
          <w:color w:val="4F8ABE"/>
          <w:vertAlign w:val="superscript"/>
        </w:rPr>
        <w:t>2</w:t>
      </w:r>
    </w:p>
    <w:p>
      <w:pPr>
        <w:spacing w:after="0"/>
        <w:rPr>
          <w:sz w:val="20"/>
          <w:szCs w:val="20"/>
          <w:color w:val="auto"/>
        </w:rPr>
      </w:pPr>
      <w:r>
        <w:rPr>
          <w:rFonts w:ascii="Arial" w:cs="Arial" w:eastAsia="Arial" w:hAnsi="Arial"/>
          <w:sz w:val="16"/>
          <w:szCs w:val="16"/>
          <w:color w:val="auto"/>
        </w:rPr>
        <w:t>President and CEO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BMO Financial Group</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John F. Ferraro</w:t>
      </w:r>
      <w:r>
        <w:rPr>
          <w:rFonts w:ascii="Arial" w:cs="Arial" w:eastAsia="Arial" w:hAnsi="Arial"/>
          <w:sz w:val="21"/>
          <w:szCs w:val="21"/>
          <w:color w:val="4F8ABE"/>
          <w:vertAlign w:val="superscript"/>
        </w:rPr>
        <w:t>1</w:t>
      </w:r>
    </w:p>
    <w:p>
      <w:pPr>
        <w:spacing w:after="0"/>
        <w:rPr>
          <w:sz w:val="20"/>
          <w:szCs w:val="20"/>
          <w:color w:val="auto"/>
        </w:rPr>
      </w:pPr>
      <w:r>
        <w:rPr>
          <w:rFonts w:ascii="Arial" w:cs="Arial" w:eastAsia="Arial" w:hAnsi="Arial"/>
          <w:sz w:val="16"/>
          <w:szCs w:val="16"/>
          <w:color w:val="auto"/>
        </w:rPr>
        <w:t>Retired Global COO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Patricia A. Hemingway Hall</w:t>
      </w:r>
      <w:r>
        <w:rPr>
          <w:rFonts w:ascii="Arial" w:cs="Arial" w:eastAsia="Arial" w:hAnsi="Arial"/>
          <w:sz w:val="21"/>
          <w:szCs w:val="21"/>
          <w:color w:val="4F8ABE"/>
          <w:vertAlign w:val="superscript"/>
        </w:rPr>
        <w:t>1</w:t>
      </w:r>
    </w:p>
    <w:p>
      <w:pPr>
        <w:spacing w:after="0"/>
        <w:rPr>
          <w:sz w:val="20"/>
          <w:szCs w:val="20"/>
          <w:color w:val="auto"/>
        </w:rPr>
      </w:pPr>
      <w:r>
        <w:rPr>
          <w:rFonts w:ascii="Arial" w:cs="Arial" w:eastAsia="Arial" w:hAnsi="Arial"/>
          <w:sz w:val="16"/>
          <w:szCs w:val="16"/>
          <w:color w:val="auto"/>
        </w:rPr>
        <w:t>Retired President and CEO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Health Care Service 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Roberto Mendoza</w:t>
      </w:r>
      <w:r>
        <w:rPr>
          <w:rFonts w:ascii="Arial" w:cs="Arial" w:eastAsia="Arial" w:hAnsi="Arial"/>
          <w:sz w:val="21"/>
          <w:szCs w:val="21"/>
          <w:color w:val="4F8ABE"/>
          <w:vertAlign w:val="superscript"/>
        </w:rPr>
        <w:t>1</w:t>
      </w:r>
    </w:p>
    <w:p>
      <w:pPr>
        <w:spacing w:after="0"/>
        <w:rPr>
          <w:sz w:val="20"/>
          <w:szCs w:val="20"/>
          <w:color w:val="auto"/>
        </w:rPr>
      </w:pPr>
      <w:r>
        <w:rPr>
          <w:rFonts w:ascii="Arial" w:cs="Arial" w:eastAsia="Arial" w:hAnsi="Arial"/>
          <w:sz w:val="16"/>
          <w:szCs w:val="16"/>
          <w:color w:val="auto"/>
        </w:rPr>
        <w:t>Senior Managing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Atlas Advisors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Ulice Payne, Jr.</w:t>
      </w:r>
      <w:r>
        <w:rPr>
          <w:rFonts w:ascii="Arial" w:cs="Arial" w:eastAsia="Arial" w:hAnsi="Arial"/>
          <w:sz w:val="21"/>
          <w:szCs w:val="21"/>
          <w:color w:val="4F8ABE"/>
          <w:vertAlign w:val="superscript"/>
        </w:rPr>
        <w:t>1,3*</w:t>
      </w:r>
    </w:p>
    <w:p>
      <w:pPr>
        <w:spacing w:after="0"/>
        <w:rPr>
          <w:sz w:val="20"/>
          <w:szCs w:val="20"/>
          <w:color w:val="auto"/>
        </w:rPr>
      </w:pPr>
      <w:r>
        <w:rPr>
          <w:rFonts w:ascii="Arial" w:cs="Arial" w:eastAsia="Arial" w:hAnsi="Arial"/>
          <w:sz w:val="16"/>
          <w:szCs w:val="16"/>
          <w:color w:val="auto"/>
        </w:rPr>
        <w:t>President and CEO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Addison-Clifton, LLC</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Paul Read</w:t>
      </w:r>
      <w:r>
        <w:rPr>
          <w:rFonts w:ascii="Arial" w:cs="Arial" w:eastAsia="Arial" w:hAnsi="Arial"/>
          <w:sz w:val="21"/>
          <w:szCs w:val="21"/>
          <w:color w:val="4F8ABE"/>
          <w:vertAlign w:val="superscript"/>
        </w:rPr>
        <w:t>1</w:t>
      </w:r>
    </w:p>
    <w:p>
      <w:pPr>
        <w:spacing w:after="0"/>
        <w:rPr>
          <w:sz w:val="20"/>
          <w:szCs w:val="20"/>
          <w:color w:val="auto"/>
        </w:rPr>
      </w:pPr>
      <w:r>
        <w:rPr>
          <w:rFonts w:ascii="Arial" w:cs="Arial" w:eastAsia="Arial" w:hAnsi="Arial"/>
          <w:sz w:val="16"/>
          <w:szCs w:val="16"/>
          <w:color w:val="auto"/>
        </w:rPr>
        <w:t>President and COO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Ingram Micro Inc.</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Elizabeth P. Sartain</w:t>
      </w:r>
      <w:r>
        <w:rPr>
          <w:rFonts w:ascii="Arial" w:cs="Arial" w:eastAsia="Arial" w:hAnsi="Arial"/>
          <w:sz w:val="21"/>
          <w:szCs w:val="21"/>
          <w:color w:val="4F8ABE"/>
          <w:vertAlign w:val="superscript"/>
        </w:rPr>
        <w:t>2</w:t>
      </w:r>
    </w:p>
    <w:p>
      <w:pPr>
        <w:spacing w:after="0"/>
        <w:rPr>
          <w:sz w:val="20"/>
          <w:szCs w:val="20"/>
          <w:color w:val="auto"/>
        </w:rPr>
      </w:pPr>
      <w:r>
        <w:rPr>
          <w:rFonts w:ascii="Arial" w:cs="Arial" w:eastAsia="Arial" w:hAnsi="Arial"/>
          <w:sz w:val="16"/>
          <w:szCs w:val="16"/>
          <w:color w:val="auto"/>
        </w:rPr>
        <w:t>Founder of Libby Sartain LLC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Former CHRO Yahoo! Inc. and Southwest Airlines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F8ABE"/>
        </w:rPr>
        <w:t>John R. Walter</w:t>
      </w:r>
      <w:r>
        <w:rPr>
          <w:rFonts w:ascii="Arial" w:cs="Arial" w:eastAsia="Arial" w:hAnsi="Arial"/>
          <w:sz w:val="21"/>
          <w:szCs w:val="21"/>
          <w:color w:val="4F8ABE"/>
          <w:vertAlign w:val="superscript"/>
        </w:rPr>
        <w:t>2,3</w:t>
      </w:r>
    </w:p>
    <w:p>
      <w:pPr>
        <w:spacing w:after="0"/>
        <w:rPr>
          <w:sz w:val="20"/>
          <w:szCs w:val="20"/>
          <w:color w:val="auto"/>
        </w:rPr>
      </w:pPr>
      <w:r>
        <w:rPr>
          <w:rFonts w:ascii="Arial" w:cs="Arial" w:eastAsia="Arial" w:hAnsi="Arial"/>
          <w:sz w:val="16"/>
          <w:szCs w:val="16"/>
          <w:color w:val="auto"/>
        </w:rPr>
        <w:t>Retired President and COO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AT&amp;T Corp.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Former Chairman, President and CEO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RR Donnelley &amp; 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4F8ABE"/>
        </w:rPr>
        <w:t>Edward J. Zore</w:t>
      </w:r>
      <w:r>
        <w:rPr>
          <w:rFonts w:ascii="Arial" w:cs="Arial" w:eastAsia="Arial" w:hAnsi="Arial"/>
          <w:sz w:val="21"/>
          <w:szCs w:val="21"/>
          <w:color w:val="4F8ABE"/>
          <w:vertAlign w:val="superscript"/>
        </w:rPr>
        <w:t>2*,3</w:t>
      </w:r>
    </w:p>
    <w:p>
      <w:pPr>
        <w:spacing w:after="0"/>
        <w:rPr>
          <w:sz w:val="20"/>
          <w:szCs w:val="20"/>
          <w:color w:val="auto"/>
        </w:rPr>
      </w:pPr>
      <w:r>
        <w:rPr>
          <w:rFonts w:ascii="Arial" w:cs="Arial" w:eastAsia="Arial" w:hAnsi="Arial"/>
          <w:sz w:val="16"/>
          <w:szCs w:val="16"/>
          <w:i w:val="1"/>
          <w:iCs w:val="1"/>
          <w:color w:val="4F8ABE"/>
        </w:rPr>
        <w:t>Lead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Retired President and CEO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Northwestern Mutual</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4F8ABE"/>
        </w:rPr>
        <w:t>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Jonas Prising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Darryl Green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Michael J. Van Handel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Executive Vice President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John "Jack" T. McGinnis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Ram Chandrashekar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Operational Excellence and 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 APME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Mara Swan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Global Strategy and Talent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Richard Buchband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4F8ABE"/>
        </w:rPr>
        <w:t>Board Committees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F8ABE"/>
        </w:rPr>
        <w:t>1 Audit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F8ABE"/>
        </w:rPr>
        <w:t>2 Executive Compensation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F8ABE"/>
        </w:rPr>
        <w:t>Human Resources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F8ABE"/>
        </w:rPr>
        <w:t>3 Nominating and Governance Committee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4F8ABE"/>
        </w:rPr>
        <w:t>*Denotes Committee Chair</w:t>
      </w:r>
    </w:p>
    <w:p>
      <w:pPr>
        <w:spacing w:after="0" w:line="1037" w:lineRule="exact"/>
        <w:rPr>
          <w:sz w:val="20"/>
          <w:szCs w:val="20"/>
          <w:color w:val="auto"/>
        </w:rPr>
      </w:pPr>
    </w:p>
    <w:p>
      <w:pPr>
        <w:sectPr>
          <w:pgSz w:w="11900" w:h="16838" w:orient="portrait"/>
          <w:cols w:equalWidth="0" w:num="2">
            <w:col w:w="5340" w:space="720"/>
            <w:col w:w="5340"/>
          </w:cols>
          <w:pgMar w:left="240" w:top="36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10240" w:val="left"/>
        </w:tabs>
        <w:rPr>
          <w:sz w:val="20"/>
          <w:szCs w:val="20"/>
          <w:color w:val="auto"/>
        </w:rPr>
      </w:pPr>
      <w:r>
        <w:rPr>
          <w:rFonts w:ascii="Arial" w:cs="Arial" w:eastAsia="Arial" w:hAnsi="Arial"/>
          <w:sz w:val="12"/>
          <w:szCs w:val="12"/>
          <w:color w:val="auto"/>
        </w:rPr>
        <w:t xml:space="preserve">Annual Report 2015 | </w:t>
      </w:r>
      <w:r>
        <w:rPr>
          <w:rFonts w:ascii="Arial" w:cs="Arial" w:eastAsia="Arial" w:hAnsi="Arial"/>
          <w:sz w:val="12"/>
          <w:szCs w:val="12"/>
          <w:b w:val="1"/>
          <w:bCs w:val="1"/>
          <w:color w:val="auto"/>
        </w:rPr>
        <w:t>86</w:t>
      </w:r>
      <w:r>
        <w:rPr>
          <w:sz w:val="20"/>
          <w:szCs w:val="20"/>
          <w:color w:val="auto"/>
        </w:rPr>
        <w:tab/>
      </w:r>
      <w:r>
        <w:rPr>
          <w:rFonts w:ascii="Arial" w:cs="Arial" w:eastAsia="Arial" w:hAnsi="Arial"/>
          <w:sz w:val="11"/>
          <w:szCs w:val="11"/>
          <w:color w:val="auto"/>
        </w:rPr>
        <w:t>Corporate Information</w:t>
      </w:r>
    </w:p>
    <w:p>
      <w:pPr>
        <w:sectPr>
          <w:pgSz w:w="11900" w:h="16838" w:orient="portrait"/>
          <w:cols w:equalWidth="0" w:num="1">
            <w:col w:w="11400"/>
          </w:cols>
          <w:pgMar w:left="240" w:top="362" w:right="25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22"/>
          <w:szCs w:val="22"/>
          <w:color w:val="2989B9"/>
        </w:rPr>
        <w:t>CORPORATE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4F8ABE"/>
        </w:rPr>
        <w:t>World Headquarters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2053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100 Manpower Place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w:t>
      </w:r>
      <w:r>
        <w:rPr>
          <w:rFonts w:ascii="Arial" w:cs="Arial" w:eastAsia="Arial" w:hAnsi="Arial"/>
          <w:sz w:val="16"/>
          <w:szCs w:val="16"/>
          <w:color w:val="282A32"/>
        </w:rPr>
        <w:t>ilwaukee, WI 5321</w:t>
      </w:r>
      <w:r>
        <w:rPr>
          <w:rFonts w:ascii="Arial" w:cs="Arial" w:eastAsia="Arial" w:hAnsi="Arial"/>
          <w:sz w:val="16"/>
          <w:szCs w:val="16"/>
          <w:color w:val="auto"/>
        </w:rPr>
        <w:t>2 USA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color w:val="282A32"/>
        </w:rPr>
        <w:t>.414.96</w:t>
      </w:r>
      <w:r>
        <w:rPr>
          <w:rFonts w:ascii="Arial" w:cs="Arial" w:eastAsia="Arial" w:hAnsi="Arial"/>
          <w:sz w:val="16"/>
          <w:szCs w:val="16"/>
          <w:color w:val="auto"/>
        </w:rPr>
        <w:t>1.1000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www.manpowergroup.com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282A32"/>
        </w:rPr>
        <w:t>Transfer Agent and Registrar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82A32"/>
        </w:rPr>
        <w:t>Computershare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82A32"/>
        </w:rPr>
        <w:t>PO Box 30170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82A32"/>
        </w:rPr>
        <w:t>College Station, TX 77842-3170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Or for overnight deliveries: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Computershare</w:t>
      </w:r>
    </w:p>
    <w:p>
      <w:pPr>
        <w:spacing w:after="0" w:line="5" w:lineRule="exact"/>
        <w:rPr>
          <w:sz w:val="20"/>
          <w:szCs w:val="20"/>
          <w:color w:val="auto"/>
        </w:rPr>
      </w:pPr>
    </w:p>
    <w:p>
      <w:pPr>
        <w:ind w:right="2220"/>
        <w:spacing w:after="0" w:line="250" w:lineRule="auto"/>
        <w:rPr>
          <w:sz w:val="20"/>
          <w:szCs w:val="20"/>
          <w:color w:val="auto"/>
        </w:rPr>
      </w:pPr>
      <w:r>
        <w:rPr>
          <w:rFonts w:ascii="Arial" w:cs="Arial" w:eastAsia="Arial" w:hAnsi="Arial"/>
          <w:sz w:val="16"/>
          <w:szCs w:val="16"/>
          <w:color w:val="auto"/>
        </w:rPr>
        <w:t>211 Q</w:t>
      </w:r>
      <w:r>
        <w:rPr>
          <w:rFonts w:ascii="Arial" w:cs="Arial" w:eastAsia="Arial" w:hAnsi="Arial"/>
          <w:sz w:val="16"/>
          <w:szCs w:val="16"/>
          <w:color w:val="282A32"/>
        </w:rPr>
        <w:t>uality Circle, Suite</w:t>
      </w:r>
      <w:r>
        <w:rPr>
          <w:rFonts w:ascii="Arial" w:cs="Arial" w:eastAsia="Arial" w:hAnsi="Arial"/>
          <w:sz w:val="16"/>
          <w:szCs w:val="16"/>
          <w:color w:val="auto"/>
        </w:rPr>
        <w:t xml:space="preserve"> 210 College Station, TX 77845 Shareowners Toll Free: +1.800.874.1547 Foreign Shareowners: +1.201.680.6578 Website: www.computershare.com/investor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4F8ABE"/>
        </w:rPr>
        <w:t>Stock Exchange Listing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NYSE Symbol: MAN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Form 10-K</w:t>
      </w:r>
    </w:p>
    <w:p>
      <w:pPr>
        <w:spacing w:after="0" w:line="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 copy of Form 10-K filed with the Securities and Exchange Commission for the year ended December 31, 2015 is available without charge after March 18, 2016 and can be obtained at www.manpowergroup.com in the section titled “Investor Relations” or by writing to:</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Richard Buchband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ManpowerGroup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100 Manpower Place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Milwaukee, WI 53212 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4F8ABE"/>
        </w:rPr>
        <w:t>Shareholders</w:t>
      </w:r>
    </w:p>
    <w:p>
      <w:pPr>
        <w:spacing w:after="0" w:line="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As of February 17, 2016, ManpowerGroup common stock was held by approximately 3,300 record 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4F8ABE"/>
        </w:rPr>
        <w:t>Annual Meeting of Shareholders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3, 2016 at 10 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ManpowerGroup World Headquarters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100 Manpower Place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Milwaukee, WI 53212 USA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F8ABE"/>
        </w:rPr>
        <w:t>Investor Relations Website</w:t>
      </w:r>
    </w:p>
    <w:p>
      <w:pPr>
        <w:spacing w:after="0" w:line="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m</w:t>
      </w:r>
      <w:r>
        <w:rPr>
          <w:rFonts w:ascii="Arial" w:cs="Arial" w:eastAsia="Arial" w:hAnsi="Arial"/>
          <w:sz w:val="16"/>
          <w:szCs w:val="16"/>
          <w:color w:val="282A32"/>
        </w:rPr>
        <w:t>ost current corporate and investor information can be found</w:t>
      </w:r>
      <w:r>
        <w:rPr>
          <w:rFonts w:ascii="Arial" w:cs="Arial" w:eastAsia="Arial" w:hAnsi="Arial"/>
          <w:sz w:val="16"/>
          <w:szCs w:val="16"/>
          <w:color w:val="auto"/>
        </w:rPr>
        <w:t xml:space="preserve"> on the ManpowerGroup corporate website at www.manpowergroup.com. Interested individuals may also choose to receive ManpowerGroup press releases and other information via e-mail by subscribing to our E-mail Alert service at www.manpowergroup.com in the section titled “Investor Relations.”</w:t>
      </w:r>
    </w:p>
    <w:p>
      <w:pPr>
        <w:spacing w:after="0" w:line="3506" w:lineRule="exact"/>
        <w:rPr>
          <w:sz w:val="20"/>
          <w:szCs w:val="20"/>
          <w:color w:val="auto"/>
        </w:rPr>
      </w:pPr>
    </w:p>
    <w:p>
      <w:pPr>
        <w:sectPr>
          <w:pgSz w:w="11900" w:h="16838" w:orient="portrait"/>
          <w:cols w:equalWidth="0" w:num="2">
            <w:col w:w="5340" w:space="720"/>
            <w:col w:w="5340"/>
          </w:cols>
          <w:pgMar w:left="240" w:top="36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10280" w:val="left"/>
        </w:tabs>
        <w:rPr>
          <w:sz w:val="20"/>
          <w:szCs w:val="20"/>
          <w:color w:val="auto"/>
        </w:rPr>
      </w:pPr>
      <w:r>
        <w:rPr>
          <w:rFonts w:ascii="Arial" w:cs="Arial" w:eastAsia="Arial" w:hAnsi="Arial"/>
          <w:sz w:val="12"/>
          <w:szCs w:val="12"/>
          <w:color w:val="auto"/>
        </w:rPr>
        <w:t>Corporate Information</w:t>
      </w:r>
      <w:r>
        <w:rPr>
          <w:sz w:val="20"/>
          <w:szCs w:val="20"/>
          <w:color w:val="auto"/>
        </w:rPr>
        <w:tab/>
      </w:r>
      <w:r>
        <w:rPr>
          <w:rFonts w:ascii="Arial" w:cs="Arial" w:eastAsia="Arial" w:hAnsi="Arial"/>
          <w:sz w:val="11"/>
          <w:szCs w:val="11"/>
          <w:b w:val="1"/>
          <w:bCs w:val="1"/>
          <w:color w:val="auto"/>
        </w:rPr>
        <w:t xml:space="preserve">87 </w:t>
      </w:r>
      <w:r>
        <w:rPr>
          <w:rFonts w:ascii="Arial" w:cs="Arial" w:eastAsia="Arial" w:hAnsi="Arial"/>
          <w:sz w:val="11"/>
          <w:szCs w:val="11"/>
          <w:color w:val="auto"/>
        </w:rPr>
        <w:t>| ManpowerGroup</w:t>
      </w:r>
    </w:p>
    <w:p>
      <w:pPr>
        <w:sectPr>
          <w:pgSz w:w="11900" w:h="16838" w:orient="portrait"/>
          <w:cols w:equalWidth="0" w:num="1">
            <w:col w:w="11400"/>
          </w:cols>
          <w:pgMar w:left="240" w:top="363" w:right="25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730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SUBSIDIARIES OF MANPOWERGROUP INC.</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300" w:type="dxa"/>
            <w:vAlign w:val="bottom"/>
          </w:tcPr>
          <w:p>
            <w:pPr>
              <w:jc w:val="center"/>
              <w:ind w:left="990"/>
              <w:spacing w:after="0"/>
              <w:rPr>
                <w:sz w:val="20"/>
                <w:szCs w:val="20"/>
                <w:color w:val="auto"/>
              </w:rPr>
            </w:pPr>
            <w:r>
              <w:rPr>
                <w:rFonts w:ascii="Arial" w:cs="Arial" w:eastAsia="Arial" w:hAnsi="Arial"/>
                <w:sz w:val="18"/>
                <w:szCs w:val="18"/>
                <w:b w:val="1"/>
                <w:bCs w:val="1"/>
                <w:color w:val="auto"/>
                <w:w w:val="89"/>
              </w:rPr>
              <w:t>As of December 31, 2015</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8"/>
        </w:trPr>
        <w:tc>
          <w:tcPr>
            <w:tcW w:w="13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Incorporated in State /</w:t>
            </w:r>
          </w:p>
        </w:tc>
      </w:tr>
      <w:tr>
        <w:trPr>
          <w:trHeight w:val="196"/>
        </w:trPr>
        <w:tc>
          <w:tcPr>
            <w:tcW w:w="8640" w:type="dxa"/>
            <w:vAlign w:val="bottom"/>
            <w:gridSpan w:val="2"/>
          </w:tcPr>
          <w:p>
            <w:pPr>
              <w:spacing w:after="0" w:line="196" w:lineRule="exact"/>
              <w:rPr>
                <w:sz w:val="20"/>
                <w:szCs w:val="20"/>
                <w:color w:val="auto"/>
              </w:rPr>
            </w:pPr>
            <w:r>
              <w:rPr>
                <w:rFonts w:ascii="Arial" w:cs="Arial" w:eastAsia="Arial" w:hAnsi="Arial"/>
                <w:sz w:val="18"/>
                <w:szCs w:val="18"/>
                <w:color w:val="auto"/>
              </w:rPr>
              <w:t>Corporation Name</w:t>
            </w:r>
          </w:p>
        </w:tc>
        <w:tc>
          <w:tcPr>
            <w:tcW w:w="1600" w:type="dxa"/>
            <w:vAlign w:val="bottom"/>
            <w:gridSpan w:val="2"/>
          </w:tcPr>
          <w:p>
            <w:pPr>
              <w:spacing w:after="0" w:line="196" w:lineRule="exact"/>
              <w:rPr>
                <w:sz w:val="20"/>
                <w:szCs w:val="20"/>
                <w:color w:val="auto"/>
              </w:rPr>
            </w:pPr>
            <w:r>
              <w:rPr>
                <w:rFonts w:ascii="Arial" w:cs="Arial" w:eastAsia="Arial" w:hAnsi="Arial"/>
                <w:sz w:val="18"/>
                <w:szCs w:val="18"/>
                <w:color w:val="auto"/>
              </w:rPr>
              <w:t>Country of</w:t>
            </w:r>
          </w:p>
        </w:tc>
      </w:tr>
      <w:tr>
        <w:trPr>
          <w:trHeight w:val="291"/>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Benefits S.A.</w:t>
            </w:r>
          </w:p>
        </w:tc>
        <w:tc>
          <w:tcPr>
            <w:tcW w:w="7300" w:type="dxa"/>
            <w:vAlign w:val="bottom"/>
          </w:tcPr>
          <w:p>
            <w:pPr>
              <w:spacing w:after="0"/>
              <w:rPr>
                <w:sz w:val="24"/>
                <w:szCs w:val="24"/>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Argentina</w:t>
            </w:r>
          </w:p>
        </w:tc>
        <w:tc>
          <w:tcPr>
            <w:tcW w:w="820" w:type="dxa"/>
            <w:vAlign w:val="bottom"/>
          </w:tcPr>
          <w:p>
            <w:pPr>
              <w:spacing w:after="0"/>
              <w:rPr>
                <w:sz w:val="24"/>
                <w:szCs w:val="24"/>
                <w:color w:val="auto"/>
              </w:rPr>
            </w:pP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Cotecsud S.A.S.E.</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Salespower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Greythorn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Services (Australia)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Marks Sattin (Australia) Pty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Marks Sattin Holdings (AsiaPac) Pty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Consultants (OC)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Consultants Holdings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Consultants International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Consultants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Safesearch Pty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Experis Services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ManpowerGroup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ManpowerGroup Holding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Montaplan Austria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Austria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Stegman Austria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Bel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RO of Manpower CIS LLC in Belarus Republic</w:t>
            </w:r>
          </w:p>
        </w:tc>
        <w:tc>
          <w:tcPr>
            <w:tcW w:w="160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Experis Belgium SA</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Personal Services NV</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ManpowerGroup Solutions Belgium SA</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Network Computing Technology &amp; Services SARL</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Belgium NV</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S.A. Manpower (Belgium) N.V.</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Stegmann Belgium SA</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Brasil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Professional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Staffing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do Brasil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ManpowerGroup Greater China (BVI) Limited</w:t>
            </w:r>
          </w:p>
        </w:tc>
        <w:tc>
          <w:tcPr>
            <w:tcW w:w="1600" w:type="dxa"/>
            <w:vAlign w:val="bottom"/>
            <w:gridSpan w:val="2"/>
          </w:tcPr>
          <w:p>
            <w:pPr>
              <w:spacing w:after="0"/>
              <w:rPr>
                <w:sz w:val="20"/>
                <w:szCs w:val="20"/>
                <w:color w:val="auto"/>
              </w:rPr>
            </w:pPr>
            <w:r>
              <w:rPr>
                <w:rFonts w:ascii="Arial" w:cs="Arial" w:eastAsia="Arial" w:hAnsi="Arial"/>
                <w:sz w:val="18"/>
                <w:szCs w:val="18"/>
                <w:color w:val="auto"/>
                <w:w w:val="96"/>
              </w:rPr>
              <w:t>British Virgin Islands</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Bulgaria Team EOOD</w:t>
            </w:r>
          </w:p>
        </w:tc>
        <w:tc>
          <w:tcPr>
            <w:tcW w:w="160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Bulgaria OOD</w:t>
            </w:r>
          </w:p>
        </w:tc>
        <w:tc>
          <w:tcPr>
            <w:tcW w:w="160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Inc. / California Peninsula</w:t>
            </w:r>
          </w:p>
        </w:tc>
        <w:tc>
          <w:tcPr>
            <w:tcW w:w="1600" w:type="dxa"/>
            <w:vAlign w:val="bottom"/>
            <w:gridSpan w:val="2"/>
          </w:tcPr>
          <w:p>
            <w:pPr>
              <w:spacing w:after="0"/>
              <w:rPr>
                <w:sz w:val="20"/>
                <w:szCs w:val="20"/>
                <w:color w:val="auto"/>
              </w:rPr>
            </w:pPr>
            <w:r>
              <w:rPr>
                <w:rFonts w:ascii="Arial" w:cs="Arial" w:eastAsia="Arial" w:hAnsi="Arial"/>
                <w:sz w:val="18"/>
                <w:szCs w:val="18"/>
                <w:color w:val="auto"/>
              </w:rPr>
              <w:t>CA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Services Canada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Right Management Canada</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Techno5,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Veritaaq</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ManpowerGroup Greater China (Cayman)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Experis Management Consulting (Beijing)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Experis Management Consulting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&amp; Reach Human Resource Services (Guangzhou)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&amp; Standard Human Resources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&amp; Standard Labor Service (Beijing)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Business Consulting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Caden (China)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640" w:type="dxa"/>
            <w:vAlign w:val="bottom"/>
            <w:gridSpan w:val="2"/>
          </w:tcPr>
          <w:p>
            <w:pPr>
              <w:spacing w:after="0"/>
              <w:rPr>
                <w:sz w:val="20"/>
                <w:szCs w:val="20"/>
                <w:color w:val="auto"/>
              </w:rPr>
            </w:pPr>
            <w:r>
              <w:rPr>
                <w:rFonts w:ascii="Arial" w:cs="Arial" w:eastAsia="Arial" w:hAnsi="Arial"/>
                <w:sz w:val="18"/>
                <w:szCs w:val="18"/>
                <w:color w:val="auto"/>
              </w:rPr>
              <w:t>Manpower Enterprise Management Consulting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ectPr>
          <w:pgSz w:w="11900" w:h="16838" w:orient="portrait"/>
          <w:cols w:equalWidth="0" w:num="1">
            <w:col w:w="11240"/>
          </w:cols>
          <w:pgMar w:left="420" w:top="621" w:right="239" w:bottom="489" w:gutter="0" w:footer="0" w:header="0"/>
        </w:sectPr>
      </w:pPr>
    </w:p>
    <w:p>
      <w:pPr>
        <w:spacing w:after="0" w:line="5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420" w:top="621" w:right="239" w:bottom="489" w:gutter="0" w:footer="0" w:header="0"/>
          <w:type w:val="continuous"/>
        </w:sectPr>
      </w:pPr>
    </w:p>
    <w:bookmarkStart w:id="126" w:name="page127"/>
    <w:bookmarkEnd w:id="126"/>
    <w:p>
      <w:pPr>
        <w:spacing w:after="0"/>
        <w:tabs>
          <w:tab w:leader="none" w:pos="8620" w:val="left"/>
        </w:tabs>
        <w:rPr>
          <w:sz w:val="20"/>
          <w:szCs w:val="20"/>
          <w:color w:val="auto"/>
        </w:rPr>
      </w:pPr>
      <w:r>
        <w:rPr>
          <w:rFonts w:ascii="Arial" w:cs="Arial" w:eastAsia="Arial" w:hAnsi="Arial"/>
          <w:sz w:val="18"/>
          <w:szCs w:val="18"/>
          <w:color w:val="auto"/>
        </w:rPr>
        <w:t>Right Management China</w:t>
      </w:r>
      <w:r>
        <w:rPr>
          <w:sz w:val="20"/>
          <w:szCs w:val="20"/>
          <w:color w:val="auto"/>
        </w:rPr>
        <w:tab/>
      </w:r>
      <w:r>
        <w:rPr>
          <w:rFonts w:ascii="Arial" w:cs="Arial" w:eastAsia="Arial" w:hAnsi="Arial"/>
          <w:sz w:val="16"/>
          <w:szCs w:val="16"/>
          <w:color w:val="auto"/>
        </w:rPr>
        <w:t>China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Consulting (Shanghai) Co., Ltd</w:t>
      </w:r>
      <w:r>
        <w:rPr>
          <w:sz w:val="20"/>
          <w:szCs w:val="20"/>
          <w:color w:val="auto"/>
        </w:rPr>
        <w:tab/>
      </w:r>
      <w:r>
        <w:rPr>
          <w:rFonts w:ascii="Arial" w:cs="Arial" w:eastAsia="Arial" w:hAnsi="Arial"/>
          <w:sz w:val="16"/>
          <w:szCs w:val="16"/>
          <w:color w:val="auto"/>
        </w:rPr>
        <w:t>China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Xi'an Foreign Enterprise Service Co., Ltd.</w:t>
      </w:r>
      <w:r>
        <w:rPr>
          <w:sz w:val="20"/>
          <w:szCs w:val="20"/>
          <w:color w:val="auto"/>
        </w:rPr>
        <w:tab/>
      </w:r>
      <w:r>
        <w:rPr>
          <w:rFonts w:ascii="Arial" w:cs="Arial" w:eastAsia="Arial" w:hAnsi="Arial"/>
          <w:sz w:val="16"/>
          <w:szCs w:val="16"/>
          <w:color w:val="auto"/>
        </w:rPr>
        <w:t>China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de Columbia Ltda.</w:t>
      </w:r>
      <w:r>
        <w:rPr>
          <w:sz w:val="20"/>
          <w:szCs w:val="20"/>
          <w:color w:val="auto"/>
        </w:rPr>
        <w:tab/>
      </w:r>
      <w:r>
        <w:rPr>
          <w:rFonts w:ascii="Arial" w:cs="Arial" w:eastAsia="Arial" w:hAnsi="Arial"/>
          <w:sz w:val="16"/>
          <w:szCs w:val="16"/>
          <w:color w:val="auto"/>
        </w:rPr>
        <w:t>Colombia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Professional Ltd.</w:t>
      </w:r>
      <w:r>
        <w:rPr>
          <w:sz w:val="20"/>
          <w:szCs w:val="20"/>
          <w:color w:val="auto"/>
        </w:rPr>
        <w:tab/>
      </w:r>
      <w:r>
        <w:rPr>
          <w:rFonts w:ascii="Arial" w:cs="Arial" w:eastAsia="Arial" w:hAnsi="Arial"/>
          <w:sz w:val="16"/>
          <w:szCs w:val="16"/>
          <w:color w:val="auto"/>
        </w:rPr>
        <w:t>Colombia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Costa Rica, S.A.</w:t>
      </w:r>
      <w:r>
        <w:rPr>
          <w:sz w:val="20"/>
          <w:szCs w:val="20"/>
          <w:color w:val="auto"/>
        </w:rPr>
        <w:tab/>
      </w:r>
      <w:r>
        <w:rPr>
          <w:rFonts w:ascii="Arial" w:cs="Arial" w:eastAsia="Arial" w:hAnsi="Arial"/>
          <w:sz w:val="15"/>
          <w:szCs w:val="15"/>
          <w:color w:val="auto"/>
        </w:rPr>
        <w:t>Costa Rica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Professional Costa Rica, S.A.</w:t>
      </w:r>
      <w:r>
        <w:rPr>
          <w:sz w:val="20"/>
          <w:szCs w:val="20"/>
          <w:color w:val="auto"/>
        </w:rPr>
        <w:tab/>
      </w:r>
      <w:r>
        <w:rPr>
          <w:rFonts w:ascii="Arial" w:cs="Arial" w:eastAsia="Arial" w:hAnsi="Arial"/>
          <w:sz w:val="15"/>
          <w:szCs w:val="15"/>
          <w:color w:val="auto"/>
        </w:rPr>
        <w:t>Costa Rica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DOO</w:t>
      </w:r>
      <w:r>
        <w:rPr>
          <w:sz w:val="20"/>
          <w:szCs w:val="20"/>
          <w:color w:val="auto"/>
        </w:rPr>
        <w:tab/>
      </w:r>
      <w:r>
        <w:rPr>
          <w:rFonts w:ascii="Arial" w:cs="Arial" w:eastAsia="Arial" w:hAnsi="Arial"/>
          <w:sz w:val="16"/>
          <w:szCs w:val="16"/>
          <w:color w:val="auto"/>
        </w:rPr>
        <w:t>Croatia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Savjetovanje DOO</w:t>
      </w:r>
      <w:r>
        <w:rPr>
          <w:sz w:val="20"/>
          <w:szCs w:val="20"/>
          <w:color w:val="auto"/>
        </w:rPr>
        <w:tab/>
      </w:r>
      <w:r>
        <w:rPr>
          <w:rFonts w:ascii="Arial" w:cs="Arial" w:eastAsia="Arial" w:hAnsi="Arial"/>
          <w:sz w:val="16"/>
          <w:szCs w:val="16"/>
          <w:color w:val="auto"/>
        </w:rPr>
        <w:t>Croatia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Business Solutions Ltd.</w:t>
      </w:r>
      <w:r>
        <w:rPr>
          <w:sz w:val="20"/>
          <w:szCs w:val="20"/>
          <w:color w:val="auto"/>
        </w:rPr>
        <w:tab/>
      </w:r>
      <w:r>
        <w:rPr>
          <w:rFonts w:ascii="Arial" w:cs="Arial" w:eastAsia="Arial" w:hAnsi="Arial"/>
          <w:sz w:val="16"/>
          <w:szCs w:val="16"/>
          <w:color w:val="auto"/>
        </w:rPr>
        <w:t>Cyprus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s.r.o.</w:t>
      </w:r>
      <w:r>
        <w:rPr>
          <w:sz w:val="20"/>
          <w:szCs w:val="20"/>
          <w:color w:val="auto"/>
        </w:rPr>
        <w:tab/>
      </w:r>
      <w:r>
        <w:rPr>
          <w:rFonts w:ascii="Arial" w:cs="Arial" w:eastAsia="Arial" w:hAnsi="Arial"/>
          <w:sz w:val="16"/>
          <w:szCs w:val="16"/>
          <w:color w:val="auto"/>
        </w:rPr>
        <w:t>Czech Republic</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Czech Republic [branch]</w:t>
      </w:r>
      <w:r>
        <w:rPr>
          <w:sz w:val="20"/>
          <w:szCs w:val="20"/>
          <w:color w:val="auto"/>
        </w:rPr>
        <w:tab/>
      </w:r>
      <w:r>
        <w:rPr>
          <w:rFonts w:ascii="Arial" w:cs="Arial" w:eastAsia="Arial" w:hAnsi="Arial"/>
          <w:sz w:val="16"/>
          <w:szCs w:val="16"/>
          <w:color w:val="auto"/>
        </w:rPr>
        <w:t>Czech Republic</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Stegmann Czech s.r.o.</w:t>
      </w:r>
      <w:r>
        <w:rPr>
          <w:sz w:val="20"/>
          <w:szCs w:val="20"/>
          <w:color w:val="auto"/>
        </w:rPr>
        <w:tab/>
      </w:r>
      <w:r>
        <w:rPr>
          <w:rFonts w:ascii="Arial" w:cs="Arial" w:eastAsia="Arial" w:hAnsi="Arial"/>
          <w:sz w:val="16"/>
          <w:szCs w:val="16"/>
          <w:color w:val="auto"/>
        </w:rPr>
        <w:t>Czech Republic</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blueRADIAN Engineering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CareerHarmony Inc.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COMSYS Information Technology Services,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IT Services US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Econometrix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Finance US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CIS Inc.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Finances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Franchises,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Holdings, Inc.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US Inc.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PFI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Plum Rhino Consulting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License Holding, Inc.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Stowe Group Healthcare,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TAPFIN LLC</w:t>
      </w:r>
      <w:r>
        <w:rPr>
          <w:sz w:val="20"/>
          <w:szCs w:val="20"/>
          <w:color w:val="auto"/>
        </w:rPr>
        <w:tab/>
      </w:r>
      <w:r>
        <w:rPr>
          <w:rFonts w:ascii="Arial" w:cs="Arial" w:eastAsia="Arial" w:hAnsi="Arial"/>
          <w:sz w:val="17"/>
          <w:szCs w:val="17"/>
          <w:color w:val="auto"/>
        </w:rPr>
        <w:t>DE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A/S</w:t>
      </w:r>
      <w:r>
        <w:rPr>
          <w:sz w:val="20"/>
          <w:szCs w:val="20"/>
          <w:color w:val="auto"/>
        </w:rPr>
        <w:tab/>
      </w:r>
      <w:r>
        <w:rPr>
          <w:rFonts w:ascii="Arial" w:cs="Arial" w:eastAsia="Arial" w:hAnsi="Arial"/>
          <w:sz w:val="16"/>
          <w:szCs w:val="16"/>
          <w:color w:val="auto"/>
        </w:rPr>
        <w:t>Denmark</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Europe Holdings, Aps</w:t>
      </w:r>
      <w:r>
        <w:rPr>
          <w:sz w:val="20"/>
          <w:szCs w:val="20"/>
          <w:color w:val="auto"/>
        </w:rPr>
        <w:tab/>
      </w:r>
      <w:r>
        <w:rPr>
          <w:rFonts w:ascii="Arial" w:cs="Arial" w:eastAsia="Arial" w:hAnsi="Arial"/>
          <w:sz w:val="16"/>
          <w:szCs w:val="16"/>
          <w:color w:val="auto"/>
        </w:rPr>
        <w:t>Denmark</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Denmark A/S</w:t>
      </w:r>
      <w:r>
        <w:rPr>
          <w:sz w:val="20"/>
          <w:szCs w:val="20"/>
          <w:color w:val="auto"/>
        </w:rPr>
        <w:tab/>
      </w:r>
      <w:r>
        <w:rPr>
          <w:rFonts w:ascii="Arial" w:cs="Arial" w:eastAsia="Arial" w:hAnsi="Arial"/>
          <w:sz w:val="16"/>
          <w:szCs w:val="16"/>
          <w:color w:val="auto"/>
        </w:rPr>
        <w:t>Denmark</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Nordic Holding A/S</w:t>
      </w:r>
      <w:r>
        <w:rPr>
          <w:sz w:val="20"/>
          <w:szCs w:val="20"/>
          <w:color w:val="auto"/>
        </w:rPr>
        <w:tab/>
      </w:r>
      <w:r>
        <w:rPr>
          <w:rFonts w:ascii="Arial" w:cs="Arial" w:eastAsia="Arial" w:hAnsi="Arial"/>
          <w:sz w:val="16"/>
          <w:szCs w:val="16"/>
          <w:color w:val="auto"/>
        </w:rPr>
        <w:t>Denmark</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Republica Dominicana, S.A.</w:t>
      </w:r>
      <w:r>
        <w:rPr>
          <w:sz w:val="20"/>
          <w:szCs w:val="20"/>
          <w:color w:val="auto"/>
        </w:rPr>
        <w:tab/>
      </w:r>
      <w:r>
        <w:rPr>
          <w:rFonts w:ascii="Arial" w:cs="Arial" w:eastAsia="Arial" w:hAnsi="Arial"/>
          <w:sz w:val="16"/>
          <w:szCs w:val="16"/>
          <w:color w:val="auto"/>
        </w:rPr>
        <w:t>Dominican Republic</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El Salvador, S.A. de C.V.</w:t>
      </w:r>
      <w:r>
        <w:rPr>
          <w:sz w:val="20"/>
          <w:szCs w:val="20"/>
          <w:color w:val="auto"/>
        </w:rPr>
        <w:tab/>
      </w:r>
      <w:r>
        <w:rPr>
          <w:rFonts w:ascii="Arial" w:cs="Arial" w:eastAsia="Arial" w:hAnsi="Arial"/>
          <w:sz w:val="16"/>
          <w:szCs w:val="16"/>
          <w:color w:val="auto"/>
        </w:rPr>
        <w:t>El Salvador</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OÜ</w:t>
      </w:r>
      <w:r>
        <w:rPr>
          <w:sz w:val="20"/>
          <w:szCs w:val="20"/>
          <w:color w:val="auto"/>
        </w:rPr>
        <w:tab/>
      </w:r>
      <w:r>
        <w:rPr>
          <w:rFonts w:ascii="Arial" w:cs="Arial" w:eastAsia="Arial" w:hAnsi="Arial"/>
          <w:sz w:val="16"/>
          <w:szCs w:val="16"/>
          <w:color w:val="auto"/>
        </w:rPr>
        <w:t>Estonia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Contact Center OY</w:t>
      </w:r>
      <w:r>
        <w:rPr>
          <w:sz w:val="20"/>
          <w:szCs w:val="20"/>
          <w:color w:val="auto"/>
        </w:rPr>
        <w:tab/>
      </w:r>
      <w:r>
        <w:rPr>
          <w:rFonts w:ascii="Arial" w:cs="Arial" w:eastAsia="Arial" w:hAnsi="Arial"/>
          <w:sz w:val="16"/>
          <w:szCs w:val="16"/>
          <w:color w:val="auto"/>
        </w:rPr>
        <w:t>Finland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Inclusive Oy</w:t>
      </w:r>
      <w:r>
        <w:rPr>
          <w:sz w:val="20"/>
          <w:szCs w:val="20"/>
          <w:color w:val="auto"/>
        </w:rPr>
        <w:tab/>
      </w:r>
      <w:r>
        <w:rPr>
          <w:rFonts w:ascii="Arial" w:cs="Arial" w:eastAsia="Arial" w:hAnsi="Arial"/>
          <w:sz w:val="16"/>
          <w:szCs w:val="16"/>
          <w:color w:val="auto"/>
        </w:rPr>
        <w:t>Finland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OY</w:t>
      </w:r>
      <w:r>
        <w:rPr>
          <w:sz w:val="20"/>
          <w:szCs w:val="20"/>
          <w:color w:val="auto"/>
        </w:rPr>
        <w:tab/>
      </w:r>
      <w:r>
        <w:rPr>
          <w:rFonts w:ascii="Arial" w:cs="Arial" w:eastAsia="Arial" w:hAnsi="Arial"/>
          <w:sz w:val="16"/>
          <w:szCs w:val="16"/>
          <w:color w:val="auto"/>
        </w:rPr>
        <w:t>Finland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OY</w:t>
      </w:r>
      <w:r>
        <w:rPr>
          <w:sz w:val="20"/>
          <w:szCs w:val="20"/>
          <w:color w:val="auto"/>
        </w:rPr>
        <w:tab/>
      </w:r>
      <w:r>
        <w:rPr>
          <w:rFonts w:ascii="Arial" w:cs="Arial" w:eastAsia="Arial" w:hAnsi="Arial"/>
          <w:sz w:val="16"/>
          <w:szCs w:val="16"/>
          <w:color w:val="auto"/>
        </w:rPr>
        <w:t>Finland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Arkes Informatique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Damilo Consulting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Damilo Information Technology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Damilo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Elan I.T. Resource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Executive France</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Executive Lyon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Management de Transition SA</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Futur Skill IT</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Egalite Des Chances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France Holding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France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France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Nouvelles Competences SAS</w:t>
      </w:r>
      <w:r>
        <w:rPr>
          <w:sz w:val="20"/>
          <w:szCs w:val="20"/>
          <w:color w:val="auto"/>
        </w:rPr>
        <w:tab/>
      </w:r>
      <w:r>
        <w:rPr>
          <w:rFonts w:ascii="Arial" w:cs="Arial" w:eastAsia="Arial" w:hAnsi="Arial"/>
          <w:sz w:val="15"/>
          <w:szCs w:val="15"/>
          <w:color w:val="auto"/>
        </w:rPr>
        <w:t>France</w:t>
      </w:r>
    </w:p>
    <w:p>
      <w:pPr>
        <w:sectPr>
          <w:pgSz w:w="11900" w:h="16838" w:orient="portrait"/>
          <w:cols w:equalWidth="0" w:num="1">
            <w:col w:w="10120"/>
          </w:cols>
          <w:pgMar w:left="420" w:top="787" w:right="1359" w:bottom="489" w:gutter="0" w:footer="0" w:header="0"/>
        </w:sectPr>
      </w:pP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20"/>
          </w:cols>
          <w:pgMar w:left="420" w:top="787" w:right="1359" w:bottom="489" w:gutter="0" w:footer="0" w:header="0"/>
          <w:type w:val="continuous"/>
        </w:sectPr>
      </w:pPr>
    </w:p>
    <w:bookmarkStart w:id="127" w:name="page128"/>
    <w:bookmarkEnd w:id="127"/>
    <w:p>
      <w:pPr>
        <w:spacing w:after="0"/>
        <w:tabs>
          <w:tab w:leader="none" w:pos="8620" w:val="left"/>
        </w:tabs>
        <w:rPr>
          <w:sz w:val="20"/>
          <w:szCs w:val="20"/>
          <w:color w:val="auto"/>
        </w:rPr>
      </w:pPr>
      <w:r>
        <w:rPr>
          <w:rFonts w:ascii="Arial" w:cs="Arial" w:eastAsia="Arial" w:hAnsi="Arial"/>
          <w:sz w:val="18"/>
          <w:szCs w:val="18"/>
          <w:color w:val="auto"/>
        </w:rPr>
        <w:t>ManpowerGroup Solutions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Ovialis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Proservia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Supplay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Syfadis SAS</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Tapfin Sarl</w:t>
      </w:r>
      <w:r>
        <w:rPr>
          <w:sz w:val="20"/>
          <w:szCs w:val="20"/>
          <w:color w:val="auto"/>
        </w:rPr>
        <w:tab/>
      </w:r>
      <w:r>
        <w:rPr>
          <w:rFonts w:ascii="Arial" w:cs="Arial" w:eastAsia="Arial" w:hAnsi="Arial"/>
          <w:sz w:val="15"/>
          <w:szCs w:val="15"/>
          <w:color w:val="auto"/>
        </w:rPr>
        <w:t>France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 LOG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7(S) B&amp;I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7(S) Englishes Verwaltung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7(S) Inkasso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7S Group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AIM KG</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Arcqus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AviationPower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AviationStaffManagement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AviationworX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Bankpower GmbH Personaldienstleistungen</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C(S)R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dactylo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Datos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Edwork KG</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EDWORK Verwaltung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FAO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Fink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Fink LOG KG</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Friendly People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IMS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Jefferson Wells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jenovation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K+K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Beteiligungsgesellschaft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Deutschland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GmbH &amp; Co. KG Personaldienstleistungen</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MFP KG</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Montaplan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P+P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PADES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SAM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Servitus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Shoga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Siebenlist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SIT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SpluP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SpluS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Stegdoc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Stegmann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Stegmann Personaldienstleistung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Stegmed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Stegpharm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Wolleschensky GmbH</w:t>
      </w:r>
      <w:r>
        <w:rPr>
          <w:sz w:val="20"/>
          <w:szCs w:val="20"/>
          <w:color w:val="auto"/>
        </w:rPr>
        <w:tab/>
      </w:r>
      <w:r>
        <w:rPr>
          <w:rFonts w:ascii="Arial" w:cs="Arial" w:eastAsia="Arial" w:hAnsi="Arial"/>
          <w:sz w:val="16"/>
          <w:szCs w:val="16"/>
          <w:color w:val="auto"/>
        </w:rPr>
        <w:t>Germany</w:t>
      </w:r>
    </w:p>
    <w:p>
      <w:pPr>
        <w:sectPr>
          <w:pgSz w:w="11900" w:h="16838" w:orient="portrait"/>
          <w:cols w:equalWidth="0" w:num="1">
            <w:col w:w="10039"/>
          </w:cols>
          <w:pgMar w:left="420" w:top="787" w:right="1440" w:bottom="489" w:gutter="0" w:footer="0" w:header="0"/>
        </w:sectPr>
      </w:pP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039"/>
          </w:cols>
          <w:pgMar w:left="420" w:top="787" w:right="1440" w:bottom="489" w:gutter="0" w:footer="0" w:header="0"/>
          <w:type w:val="continuous"/>
        </w:sectPr>
      </w:pPr>
    </w:p>
    <w:bookmarkStart w:id="128" w:name="page129"/>
    <w:bookmarkEnd w:id="128"/>
    <w:p>
      <w:pPr>
        <w:spacing w:after="0"/>
        <w:tabs>
          <w:tab w:leader="none" w:pos="8620" w:val="left"/>
        </w:tabs>
        <w:rPr>
          <w:sz w:val="20"/>
          <w:szCs w:val="20"/>
          <w:color w:val="auto"/>
        </w:rPr>
      </w:pPr>
      <w:r>
        <w:rPr>
          <w:rFonts w:ascii="Arial" w:cs="Arial" w:eastAsia="Arial" w:hAnsi="Arial"/>
          <w:sz w:val="18"/>
          <w:szCs w:val="18"/>
          <w:color w:val="auto"/>
        </w:rPr>
        <w:t>ManpowerGroup S.A.</w:t>
      </w:r>
      <w:r>
        <w:rPr>
          <w:sz w:val="20"/>
          <w:szCs w:val="20"/>
          <w:color w:val="auto"/>
        </w:rPr>
        <w:tab/>
      </w:r>
      <w:r>
        <w:rPr>
          <w:rFonts w:ascii="Arial" w:cs="Arial" w:eastAsia="Arial" w:hAnsi="Arial"/>
          <w:sz w:val="15"/>
          <w:szCs w:val="15"/>
          <w:color w:val="auto"/>
        </w:rPr>
        <w:t>Greece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Project Solutions S.A.</w:t>
      </w:r>
      <w:r>
        <w:rPr>
          <w:sz w:val="20"/>
          <w:szCs w:val="20"/>
          <w:color w:val="auto"/>
        </w:rPr>
        <w:tab/>
      </w:r>
      <w:r>
        <w:rPr>
          <w:rFonts w:ascii="Arial" w:cs="Arial" w:eastAsia="Arial" w:hAnsi="Arial"/>
          <w:sz w:val="15"/>
          <w:szCs w:val="15"/>
          <w:color w:val="auto"/>
        </w:rPr>
        <w:t>Greece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Guatemala S.A.</w:t>
      </w:r>
      <w:r>
        <w:rPr>
          <w:sz w:val="20"/>
          <w:szCs w:val="20"/>
          <w:color w:val="auto"/>
        </w:rPr>
        <w:tab/>
      </w:r>
      <w:r>
        <w:rPr>
          <w:rFonts w:ascii="Arial" w:cs="Arial" w:eastAsia="Arial" w:hAnsi="Arial"/>
          <w:sz w:val="15"/>
          <w:szCs w:val="15"/>
          <w:color w:val="auto"/>
        </w:rPr>
        <w:t>Guatemala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Professional Guatemala S.A.</w:t>
      </w:r>
      <w:r>
        <w:rPr>
          <w:sz w:val="20"/>
          <w:szCs w:val="20"/>
          <w:color w:val="auto"/>
        </w:rPr>
        <w:tab/>
      </w:r>
      <w:r>
        <w:rPr>
          <w:rFonts w:ascii="Arial" w:cs="Arial" w:eastAsia="Arial" w:hAnsi="Arial"/>
          <w:sz w:val="15"/>
          <w:szCs w:val="15"/>
          <w:color w:val="auto"/>
        </w:rPr>
        <w:t>Guatemala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Honduras, S.A.</w:t>
      </w:r>
      <w:r>
        <w:rPr>
          <w:sz w:val="20"/>
          <w:szCs w:val="20"/>
          <w:color w:val="auto"/>
        </w:rPr>
        <w:tab/>
      </w:r>
      <w:r>
        <w:rPr>
          <w:rFonts w:ascii="Arial" w:cs="Arial" w:eastAsia="Arial" w:hAnsi="Arial"/>
          <w:sz w:val="16"/>
          <w:szCs w:val="16"/>
          <w:color w:val="auto"/>
        </w:rPr>
        <w:t>Honduras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Jefferson Wells HK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Legal Futures (HK)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Greater China (HK)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Services (Hong Kong)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Holdings Hong Kong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Consultants Ltd (Hong Kong)</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Hong Kong Holdings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Hong Kong Ltd.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Standard Management Consulting Limited</w:t>
      </w:r>
      <w:r>
        <w:rPr>
          <w:sz w:val="20"/>
          <w:szCs w:val="20"/>
          <w:color w:val="auto"/>
        </w:rPr>
        <w:tab/>
      </w:r>
      <w:r>
        <w:rPr>
          <w:rFonts w:ascii="Arial" w:cs="Arial" w:eastAsia="Arial" w:hAnsi="Arial"/>
          <w:sz w:val="16"/>
          <w:szCs w:val="16"/>
          <w:color w:val="auto"/>
        </w:rPr>
        <w:t>Hong Kong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Business Solutions Kft</w:t>
      </w:r>
      <w:r>
        <w:rPr>
          <w:sz w:val="20"/>
          <w:szCs w:val="20"/>
          <w:color w:val="auto"/>
        </w:rPr>
        <w:tab/>
      </w:r>
      <w:r>
        <w:rPr>
          <w:rFonts w:ascii="Arial" w:cs="Arial" w:eastAsia="Arial" w:hAnsi="Arial"/>
          <w:sz w:val="16"/>
          <w:szCs w:val="16"/>
          <w:color w:val="auto"/>
        </w:rPr>
        <w:t>Hungary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Munkaero Szervezesi KFT</w:t>
      </w:r>
      <w:r>
        <w:rPr>
          <w:sz w:val="20"/>
          <w:szCs w:val="20"/>
          <w:color w:val="auto"/>
        </w:rPr>
        <w:tab/>
      </w:r>
      <w:r>
        <w:rPr>
          <w:rFonts w:ascii="Arial" w:cs="Arial" w:eastAsia="Arial" w:hAnsi="Arial"/>
          <w:sz w:val="16"/>
          <w:szCs w:val="16"/>
          <w:color w:val="auto"/>
        </w:rPr>
        <w:t>Hungary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RMC OF Illinois, Inc.</w:t>
      </w:r>
      <w:r>
        <w:rPr>
          <w:sz w:val="20"/>
          <w:szCs w:val="20"/>
          <w:color w:val="auto"/>
        </w:rPr>
        <w:tab/>
      </w:r>
      <w:r>
        <w:rPr>
          <w:rFonts w:ascii="Arial" w:cs="Arial" w:eastAsia="Arial" w:hAnsi="Arial"/>
          <w:sz w:val="18"/>
          <w:szCs w:val="18"/>
          <w:color w:val="auto"/>
        </w:rPr>
        <w:t>IL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COMSYS IT India, Inc.</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IT Private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Solutions Pvt. Ltd.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Services India Pvt. Ltd.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India Pvt. Limited</w:t>
      </w:r>
      <w:r>
        <w:rPr>
          <w:sz w:val="20"/>
          <w:szCs w:val="20"/>
          <w:color w:val="auto"/>
        </w:rPr>
        <w:tab/>
      </w:r>
      <w:r>
        <w:rPr>
          <w:rFonts w:ascii="Arial" w:cs="Arial" w:eastAsia="Arial" w:hAnsi="Arial"/>
          <w:sz w:val="16"/>
          <w:szCs w:val="16"/>
          <w:color w:val="auto"/>
        </w:rPr>
        <w:t>India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Limited</w:t>
      </w:r>
      <w:r>
        <w:rPr>
          <w:sz w:val="20"/>
          <w:szCs w:val="20"/>
          <w:color w:val="auto"/>
        </w:rPr>
        <w:tab/>
      </w:r>
      <w:r>
        <w:rPr>
          <w:rFonts w:ascii="Arial" w:cs="Arial" w:eastAsia="Arial" w:hAnsi="Arial"/>
          <w:sz w:val="16"/>
          <w:szCs w:val="16"/>
          <w:color w:val="auto"/>
        </w:rPr>
        <w:t>Ireland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(Ireland) Limited</w:t>
      </w:r>
      <w:r>
        <w:rPr>
          <w:sz w:val="20"/>
          <w:szCs w:val="20"/>
          <w:color w:val="auto"/>
        </w:rPr>
        <w:tab/>
      </w:r>
      <w:r>
        <w:rPr>
          <w:rFonts w:ascii="Arial" w:cs="Arial" w:eastAsia="Arial" w:hAnsi="Arial"/>
          <w:sz w:val="16"/>
          <w:szCs w:val="16"/>
          <w:color w:val="auto"/>
        </w:rPr>
        <w:t>Ireland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Holdings (Ireland) Limited</w:t>
      </w:r>
      <w:r>
        <w:rPr>
          <w:sz w:val="20"/>
          <w:szCs w:val="20"/>
          <w:color w:val="auto"/>
        </w:rPr>
        <w:tab/>
      </w:r>
      <w:r>
        <w:rPr>
          <w:rFonts w:ascii="Arial" w:cs="Arial" w:eastAsia="Arial" w:hAnsi="Arial"/>
          <w:sz w:val="16"/>
          <w:szCs w:val="16"/>
          <w:color w:val="auto"/>
        </w:rPr>
        <w:t>Ireland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Transition Ltd</w:t>
      </w:r>
      <w:r>
        <w:rPr>
          <w:sz w:val="20"/>
          <w:szCs w:val="20"/>
          <w:color w:val="auto"/>
        </w:rPr>
        <w:tab/>
      </w:r>
      <w:r>
        <w:rPr>
          <w:rFonts w:ascii="Arial" w:cs="Arial" w:eastAsia="Arial" w:hAnsi="Arial"/>
          <w:sz w:val="16"/>
          <w:szCs w:val="16"/>
          <w:color w:val="auto"/>
        </w:rPr>
        <w:t>Ireland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Adam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Adi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Career Harmony,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Career Management of Housing for Elderly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ConnectIT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BI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I.T.S.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Software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M.F.S. Manpower Facility Services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M.P.H. Holdings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Care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Israel Holdings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Israel Limited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Language Services</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MNPM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Nativ 2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Telepower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Unison Engineering Projects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Elan Solutions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Jefferson Wells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Formazione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Italia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Consultants (Italy) SRL</w:t>
      </w:r>
      <w:r>
        <w:rPr>
          <w:sz w:val="20"/>
          <w:szCs w:val="20"/>
          <w:color w:val="auto"/>
        </w:rPr>
        <w:tab/>
      </w:r>
      <w:r>
        <w:rPr>
          <w:rFonts w:ascii="Arial" w:cs="Arial" w:eastAsia="Arial" w:hAnsi="Arial"/>
          <w:sz w:val="17"/>
          <w:szCs w:val="17"/>
          <w:color w:val="auto"/>
        </w:rPr>
        <w:t>Italy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Technology Futures Co. Ltd.</w:t>
      </w:r>
      <w:r>
        <w:rPr>
          <w:sz w:val="20"/>
          <w:szCs w:val="20"/>
          <w:color w:val="auto"/>
        </w:rPr>
        <w:tab/>
      </w:r>
      <w:r>
        <w:rPr>
          <w:rFonts w:ascii="Arial" w:cs="Arial" w:eastAsia="Arial" w:hAnsi="Arial"/>
          <w:sz w:val="14"/>
          <w:szCs w:val="14"/>
          <w:color w:val="auto"/>
        </w:rPr>
        <w:t>Japan</w:t>
      </w:r>
    </w:p>
    <w:p>
      <w:pPr>
        <w:sectPr>
          <w:pgSz w:w="11900" w:h="16838" w:orient="portrait"/>
          <w:cols w:equalWidth="0" w:num="1">
            <w:col w:w="10039"/>
          </w:cols>
          <w:pgMar w:left="420" w:top="787" w:right="1440" w:bottom="489" w:gutter="0" w:footer="0" w:header="0"/>
        </w:sectPr>
      </w:pP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039"/>
          </w:cols>
          <w:pgMar w:left="420" w:top="787" w:right="1440" w:bottom="489" w:gutter="0" w:footer="0" w:header="0"/>
          <w:type w:val="continuous"/>
        </w:sectPr>
      </w:pPr>
    </w:p>
    <w:bookmarkStart w:id="129" w:name="page130"/>
    <w:bookmarkEnd w:id="129"/>
    <w:p>
      <w:pPr>
        <w:spacing w:after="0"/>
        <w:tabs>
          <w:tab w:leader="none" w:pos="8620" w:val="left"/>
        </w:tabs>
        <w:rPr>
          <w:sz w:val="20"/>
          <w:szCs w:val="20"/>
          <w:color w:val="auto"/>
        </w:rPr>
      </w:pPr>
      <w:r>
        <w:rPr>
          <w:rFonts w:ascii="Arial" w:cs="Arial" w:eastAsia="Arial" w:hAnsi="Arial"/>
          <w:sz w:val="18"/>
          <w:szCs w:val="18"/>
          <w:color w:val="auto"/>
        </w:rPr>
        <w:t>Human Business Associates Co. Ltd.</w:t>
      </w:r>
      <w:r>
        <w:rPr>
          <w:sz w:val="20"/>
          <w:szCs w:val="20"/>
          <w:color w:val="auto"/>
        </w:rPr>
        <w:tab/>
      </w:r>
      <w:r>
        <w:rPr>
          <w:rFonts w:ascii="Arial" w:cs="Arial" w:eastAsia="Arial" w:hAnsi="Arial"/>
          <w:sz w:val="14"/>
          <w:szCs w:val="14"/>
          <w:color w:val="auto"/>
        </w:rPr>
        <w:t>Japan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JobSearchpower Co. Ltd.</w:t>
      </w:r>
      <w:r>
        <w:rPr>
          <w:sz w:val="20"/>
          <w:szCs w:val="20"/>
          <w:color w:val="auto"/>
        </w:rPr>
        <w:tab/>
      </w:r>
      <w:r>
        <w:rPr>
          <w:rFonts w:ascii="Arial" w:cs="Arial" w:eastAsia="Arial" w:hAnsi="Arial"/>
          <w:sz w:val="14"/>
          <w:szCs w:val="14"/>
          <w:color w:val="auto"/>
        </w:rPr>
        <w:t>Japan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JobSupportpower Co. Ltd.</w:t>
      </w:r>
      <w:r>
        <w:rPr>
          <w:sz w:val="20"/>
          <w:szCs w:val="20"/>
          <w:color w:val="auto"/>
        </w:rPr>
        <w:tab/>
      </w:r>
      <w:r>
        <w:rPr>
          <w:rFonts w:ascii="Arial" w:cs="Arial" w:eastAsia="Arial" w:hAnsi="Arial"/>
          <w:sz w:val="14"/>
          <w:szCs w:val="14"/>
          <w:color w:val="auto"/>
        </w:rPr>
        <w:t>Japan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Legal Futures Japan K.K.</w:t>
      </w:r>
      <w:r>
        <w:rPr>
          <w:sz w:val="20"/>
          <w:szCs w:val="20"/>
          <w:color w:val="auto"/>
        </w:rPr>
        <w:tab/>
      </w:r>
      <w:r>
        <w:rPr>
          <w:rFonts w:ascii="Arial" w:cs="Arial" w:eastAsia="Arial" w:hAnsi="Arial"/>
          <w:sz w:val="14"/>
          <w:szCs w:val="14"/>
          <w:color w:val="auto"/>
        </w:rPr>
        <w:t>Japan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Co. Ltd.</w:t>
      </w:r>
      <w:r>
        <w:rPr>
          <w:sz w:val="20"/>
          <w:szCs w:val="20"/>
          <w:color w:val="auto"/>
        </w:rPr>
        <w:tab/>
      </w:r>
      <w:r>
        <w:rPr>
          <w:rFonts w:ascii="Arial" w:cs="Arial" w:eastAsia="Arial" w:hAnsi="Arial"/>
          <w:sz w:val="14"/>
          <w:szCs w:val="14"/>
          <w:color w:val="auto"/>
        </w:rPr>
        <w:t>Japan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Motus Godokaisha</w:t>
      </w:r>
      <w:r>
        <w:rPr>
          <w:sz w:val="20"/>
          <w:szCs w:val="20"/>
          <w:color w:val="auto"/>
        </w:rPr>
        <w:tab/>
      </w:r>
      <w:r>
        <w:rPr>
          <w:rFonts w:ascii="Arial" w:cs="Arial" w:eastAsia="Arial" w:hAnsi="Arial"/>
          <w:sz w:val="14"/>
          <w:szCs w:val="14"/>
          <w:color w:val="auto"/>
        </w:rPr>
        <w:t>Japan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Kaz LLC</w:t>
      </w:r>
      <w:r>
        <w:rPr>
          <w:sz w:val="20"/>
          <w:szCs w:val="20"/>
          <w:color w:val="auto"/>
        </w:rPr>
        <w:tab/>
      </w:r>
      <w:r>
        <w:rPr>
          <w:rFonts w:ascii="Arial" w:cs="Arial" w:eastAsia="Arial" w:hAnsi="Arial"/>
          <w:sz w:val="16"/>
          <w:szCs w:val="16"/>
          <w:color w:val="auto"/>
        </w:rPr>
        <w:t>Kazakhstan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Representative Office of Manpower CIS LLC in Kazakhstan</w:t>
      </w:r>
      <w:r>
        <w:rPr>
          <w:sz w:val="20"/>
          <w:szCs w:val="20"/>
          <w:color w:val="auto"/>
        </w:rPr>
        <w:tab/>
      </w:r>
      <w:r>
        <w:rPr>
          <w:rFonts w:ascii="Arial" w:cs="Arial" w:eastAsia="Arial" w:hAnsi="Arial"/>
          <w:sz w:val="16"/>
          <w:szCs w:val="16"/>
          <w:color w:val="auto"/>
        </w:rPr>
        <w:t>Kazakhstan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Korea, Inc.</w:t>
      </w:r>
      <w:r>
        <w:rPr>
          <w:sz w:val="20"/>
          <w:szCs w:val="20"/>
          <w:color w:val="auto"/>
        </w:rPr>
        <w:tab/>
      </w:r>
      <w:r>
        <w:rPr>
          <w:rFonts w:ascii="Arial" w:cs="Arial" w:eastAsia="Arial" w:hAnsi="Arial"/>
          <w:sz w:val="16"/>
          <w:szCs w:val="16"/>
          <w:color w:val="auto"/>
        </w:rPr>
        <w:t>Korea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Korea, Inc.</w:t>
      </w:r>
      <w:r>
        <w:rPr>
          <w:sz w:val="20"/>
          <w:szCs w:val="20"/>
          <w:color w:val="auto"/>
        </w:rPr>
        <w:tab/>
      </w:r>
      <w:r>
        <w:rPr>
          <w:rFonts w:ascii="Arial" w:cs="Arial" w:eastAsia="Arial" w:hAnsi="Arial"/>
          <w:sz w:val="16"/>
          <w:szCs w:val="16"/>
          <w:color w:val="auto"/>
        </w:rPr>
        <w:t>Korea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Service Inc.</w:t>
      </w:r>
      <w:r>
        <w:rPr>
          <w:sz w:val="20"/>
          <w:szCs w:val="20"/>
          <w:color w:val="auto"/>
        </w:rPr>
        <w:tab/>
      </w:r>
      <w:r>
        <w:rPr>
          <w:rFonts w:ascii="Arial" w:cs="Arial" w:eastAsia="Arial" w:hAnsi="Arial"/>
          <w:sz w:val="16"/>
          <w:szCs w:val="16"/>
          <w:color w:val="auto"/>
        </w:rPr>
        <w:t>Korea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Korea Co. Ltd.</w:t>
      </w:r>
      <w:r>
        <w:rPr>
          <w:sz w:val="20"/>
          <w:szCs w:val="20"/>
          <w:color w:val="auto"/>
        </w:rPr>
        <w:tab/>
      </w:r>
      <w:r>
        <w:rPr>
          <w:rFonts w:ascii="Arial" w:cs="Arial" w:eastAsia="Arial" w:hAnsi="Arial"/>
          <w:sz w:val="16"/>
          <w:szCs w:val="16"/>
          <w:color w:val="auto"/>
        </w:rPr>
        <w:t>Korea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Representative Office of UAB "Manpower Lit" in Latvia</w:t>
      </w:r>
      <w:r>
        <w:rPr>
          <w:sz w:val="20"/>
          <w:szCs w:val="20"/>
          <w:color w:val="auto"/>
        </w:rPr>
        <w:tab/>
      </w:r>
      <w:r>
        <w:rPr>
          <w:rFonts w:ascii="Arial" w:cs="Arial" w:eastAsia="Arial" w:hAnsi="Arial"/>
          <w:sz w:val="17"/>
          <w:szCs w:val="17"/>
          <w:color w:val="auto"/>
        </w:rPr>
        <w:t>Latvia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Lit UAB</w:t>
      </w:r>
      <w:r>
        <w:rPr>
          <w:sz w:val="20"/>
          <w:szCs w:val="20"/>
          <w:color w:val="auto"/>
        </w:rPr>
        <w:tab/>
      </w:r>
      <w:r>
        <w:rPr>
          <w:rFonts w:ascii="Arial" w:cs="Arial" w:eastAsia="Arial" w:hAnsi="Arial"/>
          <w:sz w:val="16"/>
          <w:szCs w:val="16"/>
          <w:color w:val="auto"/>
        </w:rPr>
        <w:t>Lithuania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Elan IT Resource S.a.r.l.</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Business Solutions Luxembourg S.A.</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Luxembourg S.A.</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Luxembourg SA</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Services (Macau) Limited</w:t>
      </w:r>
      <w:r>
        <w:rPr>
          <w:sz w:val="20"/>
          <w:szCs w:val="20"/>
          <w:color w:val="auto"/>
        </w:rPr>
        <w:tab/>
      </w:r>
      <w:r>
        <w:rPr>
          <w:rFonts w:ascii="Arial" w:cs="Arial" w:eastAsia="Arial" w:hAnsi="Arial"/>
          <w:sz w:val="15"/>
          <w:szCs w:val="15"/>
          <w:color w:val="auto"/>
        </w:rPr>
        <w:t>Macau</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Agensi Pekerjaan Manpower Recruitment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Business Solutions (M)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Staffing Services (Malaysia)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(Malaysia)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Consultants International Pty Ltd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Techpower Consulting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Antilles</w:t>
      </w:r>
      <w:r>
        <w:rPr>
          <w:sz w:val="20"/>
          <w:szCs w:val="20"/>
          <w:color w:val="auto"/>
        </w:rPr>
        <w:tab/>
      </w:r>
      <w:r>
        <w:rPr>
          <w:rFonts w:ascii="Arial" w:cs="Arial" w:eastAsia="Arial" w:hAnsi="Arial"/>
          <w:sz w:val="17"/>
          <w:szCs w:val="17"/>
          <w:color w:val="auto"/>
        </w:rPr>
        <w:t>Martinique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Agropower,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Mexico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Factoria Y Manufactura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Intelecto Tecnologico,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Corporativo,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Industrial, S. de R.L.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Mensajeria,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Professional,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Nurse.Co de Mexico,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Payment Services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Tecnologia Y Manufactura,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Monaco SAM</w:t>
      </w:r>
      <w:r>
        <w:rPr>
          <w:sz w:val="20"/>
          <w:szCs w:val="20"/>
          <w:color w:val="auto"/>
        </w:rPr>
        <w:tab/>
      </w:r>
      <w:r>
        <w:rPr>
          <w:rFonts w:ascii="Arial" w:cs="Arial" w:eastAsia="Arial" w:hAnsi="Arial"/>
          <w:sz w:val="16"/>
          <w:szCs w:val="16"/>
          <w:color w:val="auto"/>
        </w:rPr>
        <w:t>Monaco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Management Business Services Maroc Sarl</w:t>
      </w:r>
      <w:r>
        <w:rPr>
          <w:sz w:val="20"/>
          <w:szCs w:val="20"/>
          <w:color w:val="auto"/>
        </w:rPr>
        <w:tab/>
      </w:r>
      <w:r>
        <w:rPr>
          <w:rFonts w:ascii="Arial" w:cs="Arial" w:eastAsia="Arial" w:hAnsi="Arial"/>
          <w:sz w:val="16"/>
          <w:szCs w:val="16"/>
          <w:color w:val="auto"/>
        </w:rPr>
        <w:t>Morocco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Societe Marocaine De Travail Temporaire</w:t>
      </w:r>
      <w:r>
        <w:rPr>
          <w:sz w:val="20"/>
          <w:szCs w:val="20"/>
          <w:color w:val="auto"/>
        </w:rPr>
        <w:tab/>
      </w:r>
      <w:r>
        <w:rPr>
          <w:rFonts w:ascii="Arial" w:cs="Arial" w:eastAsia="Arial" w:hAnsi="Arial"/>
          <w:sz w:val="16"/>
          <w:szCs w:val="16"/>
          <w:color w:val="auto"/>
        </w:rPr>
        <w:t>Morocco</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Nederland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iJobs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&amp; …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Amsterdam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Beheer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Consulting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Contract Beheer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Corporate Staffing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Eindhoven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General Staffing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Rotterdam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iSense Utrecht B.V.</w:t>
      </w:r>
      <w:r>
        <w:rPr>
          <w:sz w:val="20"/>
          <w:szCs w:val="20"/>
          <w:color w:val="auto"/>
        </w:rPr>
        <w:tab/>
      </w:r>
      <w:r>
        <w:rPr>
          <w:rFonts w:ascii="Arial" w:cs="Arial" w:eastAsia="Arial" w:hAnsi="Arial"/>
          <w:sz w:val="15"/>
          <w:szCs w:val="15"/>
          <w:color w:val="auto"/>
        </w:rPr>
        <w:t>Netherlands</w:t>
      </w:r>
    </w:p>
    <w:p>
      <w:pPr>
        <w:sectPr>
          <w:pgSz w:w="11900" w:h="16838" w:orient="portrait"/>
          <w:cols w:equalWidth="0" w:num="1">
            <w:col w:w="10039"/>
          </w:cols>
          <w:pgMar w:left="420" w:top="787" w:right="1440" w:bottom="489" w:gutter="0" w:footer="0" w:header="0"/>
        </w:sectPr>
      </w:pP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039"/>
          </w:cols>
          <w:pgMar w:left="420" w:top="787" w:right="1440" w:bottom="489" w:gutter="0" w:footer="0" w:header="0"/>
          <w:type w:val="continuous"/>
        </w:sectPr>
      </w:pPr>
    </w:p>
    <w:bookmarkStart w:id="130" w:name="page131"/>
    <w:bookmarkEnd w:id="130"/>
    <w:p>
      <w:pPr>
        <w:spacing w:after="0"/>
        <w:tabs>
          <w:tab w:leader="none" w:pos="8620" w:val="left"/>
        </w:tabs>
        <w:rPr>
          <w:sz w:val="20"/>
          <w:szCs w:val="20"/>
          <w:color w:val="auto"/>
        </w:rPr>
      </w:pPr>
      <w:r>
        <w:rPr>
          <w:rFonts w:ascii="Arial" w:cs="Arial" w:eastAsia="Arial" w:hAnsi="Arial"/>
          <w:sz w:val="18"/>
          <w:szCs w:val="18"/>
          <w:color w:val="auto"/>
        </w:rPr>
        <w:t>Manpower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Business Services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Direkt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Engineering Industry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Food Industry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Heavy Industry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Logistics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Management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Netherlands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Pharmaceuticals &amp; Basic Industry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Solutions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Special Staffing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Peak Holding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Peak IT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Peak-IT Managed Services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Nederland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Salarisprofs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Stegmann Nederland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Ultraflex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Ultrasearch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Nouvelle Caledonie Sarl</w:t>
      </w:r>
      <w:r>
        <w:rPr>
          <w:sz w:val="20"/>
          <w:szCs w:val="20"/>
          <w:color w:val="auto"/>
        </w:rPr>
        <w:tab/>
      </w:r>
      <w:r>
        <w:rPr>
          <w:rFonts w:ascii="Arial" w:cs="Arial" w:eastAsia="Arial" w:hAnsi="Arial"/>
          <w:sz w:val="16"/>
          <w:szCs w:val="16"/>
          <w:color w:val="auto"/>
        </w:rPr>
        <w:t>New Caledonia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Recrutement Sarl</w:t>
      </w:r>
      <w:r>
        <w:rPr>
          <w:sz w:val="20"/>
          <w:szCs w:val="20"/>
          <w:color w:val="auto"/>
        </w:rPr>
        <w:tab/>
      </w:r>
      <w:r>
        <w:rPr>
          <w:rFonts w:ascii="Arial" w:cs="Arial" w:eastAsia="Arial" w:hAnsi="Arial"/>
          <w:sz w:val="16"/>
          <w:szCs w:val="16"/>
          <w:color w:val="auto"/>
        </w:rPr>
        <w:t>New Caledonia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Global Career Link Limited</w:t>
      </w:r>
      <w:r>
        <w:rPr>
          <w:sz w:val="20"/>
          <w:szCs w:val="20"/>
          <w:color w:val="auto"/>
        </w:rPr>
        <w:tab/>
      </w:r>
      <w:r>
        <w:rPr>
          <w:rFonts w:ascii="Arial" w:cs="Arial" w:eastAsia="Arial" w:hAnsi="Arial"/>
          <w:sz w:val="16"/>
          <w:szCs w:val="16"/>
          <w:color w:val="auto"/>
        </w:rPr>
        <w:t>New Zealand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Services (New Zealand) Ltd.</w:t>
      </w:r>
      <w:r>
        <w:rPr>
          <w:sz w:val="20"/>
          <w:szCs w:val="20"/>
          <w:color w:val="auto"/>
        </w:rPr>
        <w:tab/>
      </w:r>
      <w:r>
        <w:rPr>
          <w:rFonts w:ascii="Arial" w:cs="Arial" w:eastAsia="Arial" w:hAnsi="Arial"/>
          <w:sz w:val="16"/>
          <w:szCs w:val="16"/>
          <w:color w:val="auto"/>
        </w:rPr>
        <w:t>New Zealand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Nicaruagua S.A.</w:t>
      </w:r>
      <w:r>
        <w:rPr>
          <w:sz w:val="20"/>
          <w:szCs w:val="20"/>
          <w:color w:val="auto"/>
        </w:rPr>
        <w:tab/>
      </w:r>
      <w:r>
        <w:rPr>
          <w:rFonts w:ascii="Arial" w:cs="Arial" w:eastAsia="Arial" w:hAnsi="Arial"/>
          <w:sz w:val="16"/>
          <w:szCs w:val="16"/>
          <w:color w:val="auto"/>
        </w:rPr>
        <w:t>Nicaragua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Avan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Staffing Service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Framnaes Installajon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Staffing Services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Norway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Workshop Bemanning og Kompetanse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Workshop Holding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Inc.</w:t>
      </w:r>
      <w:r>
        <w:rPr>
          <w:sz w:val="20"/>
          <w:szCs w:val="20"/>
          <w:color w:val="auto"/>
        </w:rPr>
        <w:tab/>
      </w:r>
      <w:r>
        <w:rPr>
          <w:rFonts w:ascii="Arial" w:cs="Arial" w:eastAsia="Arial" w:hAnsi="Arial"/>
          <w:sz w:val="14"/>
          <w:szCs w:val="14"/>
          <w:color w:val="auto"/>
        </w:rPr>
        <w:t>PA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Panama S.A.</w:t>
      </w:r>
      <w:r>
        <w:rPr>
          <w:sz w:val="20"/>
          <w:szCs w:val="20"/>
          <w:color w:val="auto"/>
        </w:rPr>
        <w:tab/>
      </w:r>
      <w:r>
        <w:rPr>
          <w:rFonts w:ascii="Arial" w:cs="Arial" w:eastAsia="Arial" w:hAnsi="Arial"/>
          <w:sz w:val="15"/>
          <w:szCs w:val="15"/>
          <w:color w:val="auto"/>
        </w:rPr>
        <w:t>Panama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Staffing Services Panama, S.A.</w:t>
      </w:r>
      <w:r>
        <w:rPr>
          <w:sz w:val="20"/>
          <w:szCs w:val="20"/>
          <w:color w:val="auto"/>
        </w:rPr>
        <w:tab/>
      </w:r>
      <w:r>
        <w:rPr>
          <w:rFonts w:ascii="Arial" w:cs="Arial" w:eastAsia="Arial" w:hAnsi="Arial"/>
          <w:sz w:val="15"/>
          <w:szCs w:val="15"/>
          <w:color w:val="auto"/>
        </w:rPr>
        <w:t>Panama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Paraguay S.R.L.</w:t>
      </w:r>
      <w:r>
        <w:rPr>
          <w:sz w:val="20"/>
          <w:szCs w:val="20"/>
          <w:color w:val="auto"/>
        </w:rPr>
        <w:tab/>
      </w:r>
      <w:r>
        <w:rPr>
          <w:rFonts w:ascii="Arial" w:cs="Arial" w:eastAsia="Arial" w:hAnsi="Arial"/>
          <w:sz w:val="15"/>
          <w:szCs w:val="15"/>
          <w:color w:val="auto"/>
        </w:rPr>
        <w:t>Paraguay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Peru S.A.</w:t>
      </w:r>
      <w:r>
        <w:rPr>
          <w:sz w:val="20"/>
          <w:szCs w:val="20"/>
          <w:color w:val="auto"/>
        </w:rPr>
        <w:tab/>
      </w:r>
      <w:r>
        <w:rPr>
          <w:rFonts w:ascii="Arial" w:cs="Arial" w:eastAsia="Arial" w:hAnsi="Arial"/>
          <w:sz w:val="15"/>
          <w:szCs w:val="15"/>
          <w:color w:val="auto"/>
        </w:rPr>
        <w:t>Peru</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Professional Services S.A.</w:t>
      </w:r>
      <w:r>
        <w:rPr>
          <w:sz w:val="20"/>
          <w:szCs w:val="20"/>
          <w:color w:val="auto"/>
        </w:rPr>
        <w:tab/>
      </w:r>
      <w:r>
        <w:rPr>
          <w:rFonts w:ascii="Arial" w:cs="Arial" w:eastAsia="Arial" w:hAnsi="Arial"/>
          <w:sz w:val="15"/>
          <w:szCs w:val="15"/>
          <w:color w:val="auto"/>
        </w:rPr>
        <w:t>Peru</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Peru S.A.C.</w:t>
      </w:r>
      <w:r>
        <w:rPr>
          <w:sz w:val="20"/>
          <w:szCs w:val="20"/>
          <w:color w:val="auto"/>
        </w:rPr>
        <w:tab/>
      </w:r>
      <w:r>
        <w:rPr>
          <w:rFonts w:ascii="Arial" w:cs="Arial" w:eastAsia="Arial" w:hAnsi="Arial"/>
          <w:sz w:val="15"/>
          <w:szCs w:val="15"/>
          <w:color w:val="auto"/>
        </w:rPr>
        <w:t>Peru</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Outsourcing Services Inc.</w:t>
      </w:r>
      <w:r>
        <w:rPr>
          <w:sz w:val="20"/>
          <w:szCs w:val="20"/>
          <w:color w:val="auto"/>
        </w:rPr>
        <w:tab/>
      </w:r>
      <w:r>
        <w:rPr>
          <w:rFonts w:ascii="Arial" w:cs="Arial" w:eastAsia="Arial" w:hAnsi="Arial"/>
          <w:sz w:val="16"/>
          <w:szCs w:val="16"/>
          <w:color w:val="auto"/>
        </w:rPr>
        <w:t>Philippines</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HR Hunters Sp.z.o.o.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Polska Sp. z 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SP. Zo.o.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Transactions Sp. z 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MP Management Sp.z.o.o.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MP Services Sp. z 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Poland</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Stegmann Pers. Sp.Zo.o.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Stegmann Polska Sp.Zo.o.</w:t>
      </w:r>
      <w:r>
        <w:rPr>
          <w:sz w:val="20"/>
          <w:szCs w:val="20"/>
          <w:color w:val="auto"/>
        </w:rPr>
        <w:tab/>
      </w:r>
      <w:r>
        <w:rPr>
          <w:rFonts w:ascii="Arial" w:cs="Arial" w:eastAsia="Arial" w:hAnsi="Arial"/>
          <w:sz w:val="16"/>
          <w:szCs w:val="16"/>
          <w:color w:val="auto"/>
        </w:rPr>
        <w:t>Poland</w:t>
      </w:r>
    </w:p>
    <w:p>
      <w:pPr>
        <w:sectPr>
          <w:pgSz w:w="11900" w:h="16838" w:orient="portrait"/>
          <w:cols w:equalWidth="0" w:num="1">
            <w:col w:w="10039"/>
          </w:cols>
          <w:pgMar w:left="420" w:top="787" w:right="1440" w:bottom="489" w:gutter="0" w:footer="0" w:header="0"/>
        </w:sectPr>
      </w:pP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039"/>
          </w:cols>
          <w:pgMar w:left="420" w:top="787" w:right="1440" w:bottom="489" w:gutter="0" w:footer="0" w:header="0"/>
          <w:type w:val="continuous"/>
        </w:sectPr>
      </w:pPr>
    </w:p>
    <w:bookmarkStart w:id="131" w:name="page132"/>
    <w:bookmarkEnd w:id="131"/>
    <w:p>
      <w:pPr>
        <w:spacing w:after="0"/>
        <w:tabs>
          <w:tab w:leader="none" w:pos="8620" w:val="left"/>
        </w:tabs>
        <w:rPr>
          <w:sz w:val="20"/>
          <w:szCs w:val="20"/>
          <w:color w:val="auto"/>
        </w:rPr>
      </w:pPr>
      <w:r>
        <w:rPr>
          <w:rFonts w:ascii="Arial" w:cs="Arial" w:eastAsia="Arial" w:hAnsi="Arial"/>
          <w:sz w:val="18"/>
          <w:szCs w:val="18"/>
          <w:color w:val="auto"/>
        </w:rPr>
        <w:t>Experis Lda.</w:t>
      </w:r>
      <w:r>
        <w:rPr>
          <w:sz w:val="20"/>
          <w:szCs w:val="20"/>
          <w:color w:val="auto"/>
        </w:rPr>
        <w:tab/>
      </w:r>
      <w:r>
        <w:rPr>
          <w:rFonts w:ascii="Arial" w:cs="Arial" w:eastAsia="Arial" w:hAnsi="Arial"/>
          <w:sz w:val="16"/>
          <w:szCs w:val="16"/>
          <w:color w:val="auto"/>
        </w:rPr>
        <w:t>Portugal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Portugal Empresa de Trabalho Temporario S.A.</w:t>
      </w:r>
      <w:r>
        <w:rPr>
          <w:sz w:val="20"/>
          <w:szCs w:val="20"/>
          <w:color w:val="auto"/>
        </w:rPr>
        <w:tab/>
      </w:r>
      <w:r>
        <w:rPr>
          <w:rFonts w:ascii="Arial" w:cs="Arial" w:eastAsia="Arial" w:hAnsi="Arial"/>
          <w:sz w:val="16"/>
          <w:szCs w:val="16"/>
          <w:color w:val="auto"/>
        </w:rPr>
        <w:t>Portugal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Portugal - SGPS, S.A.</w:t>
      </w:r>
      <w:r>
        <w:rPr>
          <w:sz w:val="20"/>
          <w:szCs w:val="20"/>
          <w:color w:val="auto"/>
        </w:rPr>
        <w:tab/>
      </w:r>
      <w:r>
        <w:rPr>
          <w:rFonts w:ascii="Arial" w:cs="Arial" w:eastAsia="Arial" w:hAnsi="Arial"/>
          <w:sz w:val="16"/>
          <w:szCs w:val="16"/>
          <w:color w:val="auto"/>
        </w:rPr>
        <w:t>Portugal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Lda.</w:t>
      </w:r>
      <w:r>
        <w:rPr>
          <w:sz w:val="20"/>
          <w:szCs w:val="20"/>
          <w:color w:val="auto"/>
        </w:rPr>
        <w:tab/>
      </w:r>
      <w:r>
        <w:rPr>
          <w:rFonts w:ascii="Arial" w:cs="Arial" w:eastAsia="Arial" w:hAnsi="Arial"/>
          <w:sz w:val="16"/>
          <w:szCs w:val="16"/>
          <w:color w:val="auto"/>
        </w:rPr>
        <w:t>Portugal</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Ocean Indien</w:t>
      </w:r>
      <w:r>
        <w:rPr>
          <w:sz w:val="20"/>
          <w:szCs w:val="20"/>
          <w:color w:val="auto"/>
        </w:rPr>
        <w:tab/>
      </w:r>
      <w:r>
        <w:rPr>
          <w:rFonts w:ascii="Arial" w:cs="Arial" w:eastAsia="Arial" w:hAnsi="Arial"/>
          <w:sz w:val="16"/>
          <w:szCs w:val="16"/>
          <w:color w:val="auto"/>
        </w:rPr>
        <w:t>Reunion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HR SRL</w:t>
      </w:r>
      <w:r>
        <w:rPr>
          <w:sz w:val="20"/>
          <w:szCs w:val="20"/>
          <w:color w:val="auto"/>
        </w:rPr>
        <w:tab/>
      </w:r>
      <w:r>
        <w:rPr>
          <w:rFonts w:ascii="Arial" w:cs="Arial" w:eastAsia="Arial" w:hAnsi="Arial"/>
          <w:sz w:val="15"/>
          <w:szCs w:val="15"/>
          <w:color w:val="auto"/>
        </w:rPr>
        <w:t>Romania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SC Manpower Romania SRL</w:t>
      </w:r>
      <w:r>
        <w:rPr>
          <w:sz w:val="20"/>
          <w:szCs w:val="20"/>
          <w:color w:val="auto"/>
        </w:rPr>
        <w:tab/>
      </w:r>
      <w:r>
        <w:rPr>
          <w:rFonts w:ascii="Arial" w:cs="Arial" w:eastAsia="Arial" w:hAnsi="Arial"/>
          <w:sz w:val="15"/>
          <w:szCs w:val="15"/>
          <w:color w:val="auto"/>
        </w:rPr>
        <w:t>Romania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CIS LLC</w:t>
      </w:r>
      <w:r>
        <w:rPr>
          <w:sz w:val="20"/>
          <w:szCs w:val="20"/>
          <w:color w:val="auto"/>
        </w:rPr>
        <w:tab/>
      </w:r>
      <w:r>
        <w:rPr>
          <w:rFonts w:ascii="Arial" w:cs="Arial" w:eastAsia="Arial" w:hAnsi="Arial"/>
          <w:sz w:val="15"/>
          <w:szCs w:val="15"/>
          <w:color w:val="auto"/>
        </w:rPr>
        <w:t>Russia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Private Employment Agency Manpower</w:t>
      </w:r>
      <w:r>
        <w:rPr>
          <w:sz w:val="20"/>
          <w:szCs w:val="20"/>
          <w:color w:val="auto"/>
        </w:rPr>
        <w:tab/>
      </w:r>
      <w:r>
        <w:rPr>
          <w:rFonts w:ascii="Arial" w:cs="Arial" w:eastAsia="Arial" w:hAnsi="Arial"/>
          <w:sz w:val="15"/>
          <w:szCs w:val="15"/>
          <w:color w:val="auto"/>
        </w:rPr>
        <w:t>Russia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Clarendon Parker Arabia</w:t>
      </w:r>
      <w:r>
        <w:rPr>
          <w:sz w:val="20"/>
          <w:szCs w:val="20"/>
          <w:color w:val="auto"/>
        </w:rPr>
        <w:tab/>
      </w:r>
      <w:r>
        <w:rPr>
          <w:rFonts w:ascii="Arial" w:cs="Arial" w:eastAsia="Arial" w:hAnsi="Arial"/>
          <w:sz w:val="16"/>
          <w:szCs w:val="16"/>
          <w:color w:val="auto"/>
        </w:rPr>
        <w:t>Saudi Arabia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Business Solutions d.o.o.</w:t>
      </w:r>
      <w:r>
        <w:rPr>
          <w:sz w:val="20"/>
          <w:szCs w:val="20"/>
          <w:color w:val="auto"/>
        </w:rPr>
        <w:tab/>
      </w:r>
      <w:r>
        <w:rPr>
          <w:rFonts w:ascii="Arial" w:cs="Arial" w:eastAsia="Arial" w:hAnsi="Arial"/>
          <w:sz w:val="15"/>
          <w:szCs w:val="15"/>
          <w:color w:val="auto"/>
        </w:rPr>
        <w:t>Serbia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LLC Belgrade</w:t>
      </w:r>
      <w:r>
        <w:rPr>
          <w:sz w:val="20"/>
          <w:szCs w:val="20"/>
          <w:color w:val="auto"/>
        </w:rPr>
        <w:tab/>
      </w:r>
      <w:r>
        <w:rPr>
          <w:rFonts w:ascii="Arial" w:cs="Arial" w:eastAsia="Arial" w:hAnsi="Arial"/>
          <w:sz w:val="15"/>
          <w:szCs w:val="15"/>
          <w:color w:val="auto"/>
        </w:rPr>
        <w:t>Serbia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Professional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Staffing Services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Marks Sattin (Singapore) Pte. Limited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WDC Consulting Singapore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Slovakia SRO</w:t>
      </w:r>
      <w:r>
        <w:rPr>
          <w:sz w:val="20"/>
          <w:szCs w:val="20"/>
          <w:color w:val="auto"/>
        </w:rPr>
        <w:tab/>
      </w:r>
      <w:r>
        <w:rPr>
          <w:rFonts w:ascii="Arial" w:cs="Arial" w:eastAsia="Arial" w:hAnsi="Arial"/>
          <w:sz w:val="16"/>
          <w:szCs w:val="16"/>
          <w:color w:val="auto"/>
        </w:rPr>
        <w:t>Slovakia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 Serv. Slovakis SRO</w:t>
      </w:r>
      <w:r>
        <w:rPr>
          <w:sz w:val="20"/>
          <w:szCs w:val="20"/>
          <w:color w:val="auto"/>
        </w:rPr>
        <w:tab/>
      </w:r>
      <w:r>
        <w:rPr>
          <w:rFonts w:ascii="Arial" w:cs="Arial" w:eastAsia="Arial" w:hAnsi="Arial"/>
          <w:sz w:val="16"/>
          <w:szCs w:val="16"/>
          <w:color w:val="auto"/>
        </w:rPr>
        <w:t>Slovakia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Stegmann Slovakia SRO</w:t>
      </w:r>
      <w:r>
        <w:rPr>
          <w:sz w:val="20"/>
          <w:szCs w:val="20"/>
          <w:color w:val="auto"/>
        </w:rPr>
        <w:tab/>
      </w:r>
      <w:r>
        <w:rPr>
          <w:rFonts w:ascii="Arial" w:cs="Arial" w:eastAsia="Arial" w:hAnsi="Arial"/>
          <w:sz w:val="16"/>
          <w:szCs w:val="16"/>
          <w:color w:val="auto"/>
        </w:rPr>
        <w:t>Slovakia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d.o.o.</w:t>
      </w:r>
      <w:r>
        <w:rPr>
          <w:sz w:val="20"/>
          <w:szCs w:val="20"/>
          <w:color w:val="auto"/>
        </w:rPr>
        <w:tab/>
      </w:r>
      <w:r>
        <w:rPr>
          <w:rFonts w:ascii="Arial" w:cs="Arial" w:eastAsia="Arial" w:hAnsi="Arial"/>
          <w:sz w:val="16"/>
          <w:szCs w:val="16"/>
          <w:color w:val="auto"/>
        </w:rPr>
        <w:t>Slovenia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SA (Pty) Ltd.</w:t>
      </w:r>
      <w:r>
        <w:rPr>
          <w:sz w:val="20"/>
          <w:szCs w:val="20"/>
          <w:color w:val="auto"/>
        </w:rPr>
        <w:tab/>
      </w:r>
      <w:r>
        <w:rPr>
          <w:rFonts w:ascii="Arial" w:cs="Arial" w:eastAsia="Arial" w:hAnsi="Arial"/>
          <w:sz w:val="16"/>
          <w:szCs w:val="16"/>
          <w:color w:val="auto"/>
        </w:rPr>
        <w:t>South Africa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Anyhelp International, S.L.U.</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ByManpower, S.L.U.</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ManpowerGroup S.L.U.</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S.L.U</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Team E.T.T., S.A.U.</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Spain, S.L.U.</w:t>
      </w:r>
      <w:r>
        <w:rPr>
          <w:sz w:val="20"/>
          <w:szCs w:val="20"/>
          <w:color w:val="auto"/>
        </w:rPr>
        <w:tab/>
      </w:r>
      <w:r>
        <w:rPr>
          <w:rFonts w:ascii="Arial" w:cs="Arial" w:eastAsia="Arial" w:hAnsi="Arial"/>
          <w:sz w:val="15"/>
          <w:szCs w:val="15"/>
          <w:color w:val="auto"/>
        </w:rPr>
        <w:t>Spain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Elan IT Resources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EL &amp; Tele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Solutions IT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Matchning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Student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Sweden AB</w:t>
      </w:r>
      <w:r>
        <w:rPr>
          <w:sz w:val="20"/>
          <w:szCs w:val="20"/>
          <w:color w:val="auto"/>
        </w:rPr>
        <w:tab/>
      </w:r>
      <w:r>
        <w:rPr>
          <w:rFonts w:ascii="Arial" w:cs="Arial" w:eastAsia="Arial" w:hAnsi="Arial"/>
          <w:sz w:val="15"/>
          <w:szCs w:val="15"/>
          <w:color w:val="auto"/>
        </w:rPr>
        <w:t>Sweden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AG</w:t>
      </w:r>
      <w:r>
        <w:rPr>
          <w:sz w:val="20"/>
          <w:szCs w:val="20"/>
          <w:color w:val="auto"/>
        </w:rPr>
        <w:tab/>
      </w:r>
      <w:r>
        <w:rPr>
          <w:rFonts w:ascii="Arial" w:cs="Arial" w:eastAsia="Arial" w:hAnsi="Arial"/>
          <w:sz w:val="16"/>
          <w:szCs w:val="16"/>
          <w:color w:val="auto"/>
        </w:rPr>
        <w:t>Switzerland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M.S.A.</w:t>
      </w:r>
      <w:r>
        <w:rPr>
          <w:sz w:val="20"/>
          <w:szCs w:val="20"/>
          <w:color w:val="auto"/>
        </w:rPr>
        <w:tab/>
      </w:r>
      <w:r>
        <w:rPr>
          <w:rFonts w:ascii="Arial" w:cs="Arial" w:eastAsia="Arial" w:hAnsi="Arial"/>
          <w:sz w:val="18"/>
          <w:szCs w:val="18"/>
          <w:color w:val="auto"/>
        </w:rPr>
        <w:t>Switzerland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Schweiz AG</w:t>
      </w:r>
      <w:r>
        <w:rPr>
          <w:sz w:val="20"/>
          <w:szCs w:val="20"/>
          <w:color w:val="auto"/>
        </w:rPr>
        <w:tab/>
      </w:r>
      <w:r>
        <w:rPr>
          <w:rFonts w:ascii="Arial" w:cs="Arial" w:eastAsia="Arial" w:hAnsi="Arial"/>
          <w:sz w:val="16"/>
          <w:szCs w:val="16"/>
          <w:color w:val="auto"/>
        </w:rPr>
        <w:t>Switzerland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Switzerland AG</w:t>
      </w:r>
      <w:r>
        <w:rPr>
          <w:sz w:val="20"/>
          <w:szCs w:val="20"/>
          <w:color w:val="auto"/>
        </w:rPr>
        <w:tab/>
      </w:r>
      <w:r>
        <w:rPr>
          <w:rFonts w:ascii="Arial" w:cs="Arial" w:eastAsia="Arial" w:hAnsi="Arial"/>
          <w:sz w:val="16"/>
          <w:szCs w:val="16"/>
          <w:color w:val="auto"/>
        </w:rPr>
        <w:t>Switzerland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Services (Taiwan) Co., Ltd.</w:t>
      </w:r>
      <w:r>
        <w:rPr>
          <w:sz w:val="20"/>
          <w:szCs w:val="20"/>
          <w:color w:val="auto"/>
        </w:rPr>
        <w:tab/>
      </w:r>
      <w:r>
        <w:rPr>
          <w:rFonts w:ascii="Arial" w:cs="Arial" w:eastAsia="Arial" w:hAnsi="Arial"/>
          <w:sz w:val="16"/>
          <w:szCs w:val="16"/>
          <w:color w:val="auto"/>
        </w:rPr>
        <w:t>Taiwan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Consulting Taiwan</w:t>
      </w:r>
      <w:r>
        <w:rPr>
          <w:sz w:val="20"/>
          <w:szCs w:val="20"/>
          <w:color w:val="auto"/>
        </w:rPr>
        <w:tab/>
      </w:r>
      <w:r>
        <w:rPr>
          <w:rFonts w:ascii="Arial" w:cs="Arial" w:eastAsia="Arial" w:hAnsi="Arial"/>
          <w:sz w:val="16"/>
          <w:szCs w:val="16"/>
          <w:color w:val="auto"/>
        </w:rPr>
        <w:t>Taiwan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Taiwan Co., Ltd.</w:t>
      </w:r>
      <w:r>
        <w:rPr>
          <w:sz w:val="20"/>
          <w:szCs w:val="20"/>
          <w:color w:val="auto"/>
        </w:rPr>
        <w:tab/>
      </w:r>
      <w:r>
        <w:rPr>
          <w:rFonts w:ascii="Arial" w:cs="Arial" w:eastAsia="Arial" w:hAnsi="Arial"/>
          <w:sz w:val="16"/>
          <w:szCs w:val="16"/>
          <w:color w:val="auto"/>
        </w:rPr>
        <w:t>Taiwan</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HR Power Solution Co., Ltd.</w:t>
      </w:r>
      <w:r>
        <w:rPr>
          <w:sz w:val="20"/>
          <w:szCs w:val="20"/>
          <w:color w:val="auto"/>
        </w:rPr>
        <w:tab/>
      </w:r>
      <w:r>
        <w:rPr>
          <w:rFonts w:ascii="Arial" w:cs="Arial" w:eastAsia="Arial" w:hAnsi="Arial"/>
          <w:sz w:val="16"/>
          <w:szCs w:val="16"/>
          <w:color w:val="auto"/>
        </w:rPr>
        <w:t>Thailand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Professional and Executive Recruitment Co., Ltd.</w:t>
      </w:r>
      <w:r>
        <w:rPr>
          <w:sz w:val="20"/>
          <w:szCs w:val="20"/>
          <w:color w:val="auto"/>
        </w:rPr>
        <w:tab/>
      </w:r>
      <w:r>
        <w:rPr>
          <w:rFonts w:ascii="Arial" w:cs="Arial" w:eastAsia="Arial" w:hAnsi="Arial"/>
          <w:sz w:val="16"/>
          <w:szCs w:val="16"/>
          <w:color w:val="auto"/>
        </w:rPr>
        <w:t>Thailand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Skillpower Services (Thailand) Co. Ltd.</w:t>
      </w:r>
      <w:r>
        <w:rPr>
          <w:sz w:val="20"/>
          <w:szCs w:val="20"/>
          <w:color w:val="auto"/>
        </w:rPr>
        <w:tab/>
      </w:r>
      <w:r>
        <w:rPr>
          <w:rFonts w:ascii="Arial" w:cs="Arial" w:eastAsia="Arial" w:hAnsi="Arial"/>
          <w:sz w:val="16"/>
          <w:szCs w:val="16"/>
          <w:color w:val="auto"/>
        </w:rPr>
        <w:t>Thailand</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Business Services Tunisie Sarl</w:t>
      </w:r>
      <w:r>
        <w:rPr>
          <w:sz w:val="20"/>
          <w:szCs w:val="20"/>
          <w:color w:val="auto"/>
        </w:rPr>
        <w:tab/>
      </w:r>
      <w:r>
        <w:rPr>
          <w:rFonts w:ascii="Arial" w:cs="Arial" w:eastAsia="Arial" w:hAnsi="Arial"/>
          <w:sz w:val="16"/>
          <w:szCs w:val="16"/>
          <w:color w:val="auto"/>
        </w:rPr>
        <w:t>Tunisia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Tunisie International Sarl</w:t>
      </w:r>
      <w:r>
        <w:rPr>
          <w:sz w:val="20"/>
          <w:szCs w:val="20"/>
          <w:color w:val="auto"/>
        </w:rPr>
        <w:tab/>
      </w:r>
      <w:r>
        <w:rPr>
          <w:rFonts w:ascii="Arial" w:cs="Arial" w:eastAsia="Arial" w:hAnsi="Arial"/>
          <w:sz w:val="16"/>
          <w:szCs w:val="16"/>
          <w:color w:val="auto"/>
        </w:rPr>
        <w:t>Tunisia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Tunisie Sarl</w:t>
      </w:r>
      <w:r>
        <w:rPr>
          <w:sz w:val="20"/>
          <w:szCs w:val="20"/>
          <w:color w:val="auto"/>
        </w:rPr>
        <w:tab/>
      </w:r>
      <w:r>
        <w:rPr>
          <w:rFonts w:ascii="Arial" w:cs="Arial" w:eastAsia="Arial" w:hAnsi="Arial"/>
          <w:sz w:val="16"/>
          <w:szCs w:val="16"/>
          <w:color w:val="auto"/>
        </w:rPr>
        <w:t>Tunisia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Insan Kaynaklari Limited Sirketi</w:t>
      </w:r>
      <w:r>
        <w:rPr>
          <w:sz w:val="20"/>
          <w:szCs w:val="20"/>
          <w:color w:val="auto"/>
        </w:rPr>
        <w:tab/>
      </w:r>
      <w:r>
        <w:rPr>
          <w:rFonts w:ascii="Arial" w:cs="Arial" w:eastAsia="Arial" w:hAnsi="Arial"/>
          <w:sz w:val="16"/>
          <w:szCs w:val="16"/>
          <w:color w:val="auto"/>
        </w:rPr>
        <w:t>Turkey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Secme ve Yerlestirme Hizmetleri Limited Sirketi</w:t>
      </w:r>
      <w:r>
        <w:rPr>
          <w:sz w:val="20"/>
          <w:szCs w:val="20"/>
          <w:color w:val="auto"/>
        </w:rPr>
        <w:tab/>
      </w:r>
      <w:r>
        <w:rPr>
          <w:rFonts w:ascii="Arial" w:cs="Arial" w:eastAsia="Arial" w:hAnsi="Arial"/>
          <w:sz w:val="16"/>
          <w:szCs w:val="16"/>
          <w:color w:val="auto"/>
        </w:rPr>
        <w:t>Turkey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Middle East FZ-LLC</w:t>
      </w:r>
      <w:r>
        <w:rPr>
          <w:sz w:val="20"/>
          <w:szCs w:val="20"/>
          <w:color w:val="auto"/>
        </w:rPr>
        <w:tab/>
      </w:r>
      <w:r>
        <w:rPr>
          <w:rFonts w:ascii="Arial" w:cs="Arial" w:eastAsia="Arial" w:hAnsi="Arial"/>
          <w:sz w:val="17"/>
          <w:szCs w:val="17"/>
          <w:color w:val="auto"/>
        </w:rPr>
        <w:t>UAE</w:t>
      </w:r>
    </w:p>
    <w:p>
      <w:pPr>
        <w:sectPr>
          <w:pgSz w:w="11900" w:h="16838" w:orient="portrait"/>
          <w:cols w:equalWidth="0" w:num="1">
            <w:col w:w="10039"/>
          </w:cols>
          <w:pgMar w:left="420" w:top="787" w:right="1440" w:bottom="489" w:gutter="0" w:footer="0" w:header="0"/>
        </w:sectPr>
      </w:pP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039"/>
          </w:cols>
          <w:pgMar w:left="420" w:top="787" w:right="1440" w:bottom="489" w:gutter="0" w:footer="0" w:header="0"/>
          <w:type w:val="continuous"/>
        </w:sectPr>
      </w:pPr>
    </w:p>
    <w:bookmarkStart w:id="132" w:name="page133"/>
    <w:bookmarkEnd w:id="132"/>
    <w:p>
      <w:pPr>
        <w:spacing w:after="0"/>
        <w:tabs>
          <w:tab w:leader="none" w:pos="8620" w:val="left"/>
        </w:tabs>
        <w:rPr>
          <w:sz w:val="20"/>
          <w:szCs w:val="20"/>
          <w:color w:val="auto"/>
        </w:rPr>
      </w:pPr>
      <w:r>
        <w:rPr>
          <w:rFonts w:ascii="Arial" w:cs="Arial" w:eastAsia="Arial" w:hAnsi="Arial"/>
          <w:sz w:val="18"/>
          <w:szCs w:val="18"/>
          <w:color w:val="auto"/>
        </w:rPr>
        <w:t>Manpower Middle East LLC</w:t>
      </w:r>
      <w:r>
        <w:rPr>
          <w:sz w:val="20"/>
          <w:szCs w:val="20"/>
          <w:color w:val="auto"/>
        </w:rPr>
        <w:tab/>
      </w:r>
      <w:r>
        <w:rPr>
          <w:rFonts w:ascii="Arial" w:cs="Arial" w:eastAsia="Arial" w:hAnsi="Arial"/>
          <w:sz w:val="17"/>
          <w:szCs w:val="17"/>
          <w:color w:val="auto"/>
        </w:rPr>
        <w:t>UAE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Ukraine LLC</w:t>
      </w:r>
      <w:r>
        <w:rPr>
          <w:sz w:val="20"/>
          <w:szCs w:val="20"/>
          <w:color w:val="auto"/>
        </w:rPr>
        <w:tab/>
      </w:r>
      <w:r>
        <w:rPr>
          <w:rFonts w:ascii="Arial" w:cs="Arial" w:eastAsia="Arial" w:hAnsi="Arial"/>
          <w:sz w:val="16"/>
          <w:szCs w:val="16"/>
          <w:color w:val="auto"/>
        </w:rPr>
        <w:t>Ukraine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Representative Office of Manpower CIS LLC in Ukraine</w:t>
      </w:r>
      <w:r>
        <w:rPr>
          <w:sz w:val="20"/>
          <w:szCs w:val="20"/>
          <w:color w:val="auto"/>
        </w:rPr>
        <w:tab/>
      </w:r>
      <w:r>
        <w:rPr>
          <w:rFonts w:ascii="Arial" w:cs="Arial" w:eastAsia="Arial" w:hAnsi="Arial"/>
          <w:sz w:val="16"/>
          <w:szCs w:val="16"/>
          <w:color w:val="auto"/>
        </w:rPr>
        <w:t>Ukraine</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AviationPower UK Ltd.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Bafin Holdings</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Brook Street (UK)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Brook Street Bureau PLC</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BS Project Services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Challoners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Comsys VMS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Finance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Group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Resource Support Services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Integral Search &amp; Selection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Jefferson Wells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Juice Resource Solutions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Contract Services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Holdings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IT Services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Nominees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Public Limited Company</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Services Ltd.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UK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Nicholas Andrews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People Source Consulting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People Source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RMC EMEA Ltd.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SAM Ltd.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SJB Corporate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SJB Services UK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Temp Finance &amp; Accounting Service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The Empower Group Ltd.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Volaris Exec Recruitment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777 Recruitment Limited</w:t>
      </w:r>
      <w:r>
        <w:rPr>
          <w:sz w:val="20"/>
          <w:szCs w:val="20"/>
          <w:color w:val="auto"/>
        </w:rPr>
        <w:tab/>
      </w:r>
      <w:r>
        <w:rPr>
          <w:rFonts w:ascii="Arial" w:cs="Arial" w:eastAsia="Arial" w:hAnsi="Arial"/>
          <w:sz w:val="16"/>
          <w:szCs w:val="16"/>
          <w:color w:val="auto"/>
        </w:rPr>
        <w:t>United Kingdom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Aris Sociedad Anonima</w:t>
      </w:r>
      <w:r>
        <w:rPr>
          <w:sz w:val="20"/>
          <w:szCs w:val="20"/>
          <w:color w:val="auto"/>
        </w:rPr>
        <w:tab/>
      </w:r>
      <w:r>
        <w:rPr>
          <w:rFonts w:ascii="Arial" w:cs="Arial" w:eastAsia="Arial" w:hAnsi="Arial"/>
          <w:sz w:val="16"/>
          <w:szCs w:val="16"/>
          <w:color w:val="auto"/>
        </w:rPr>
        <w:t>Uruguay</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Public Sector Inc.</w:t>
      </w:r>
      <w:r>
        <w:rPr>
          <w:sz w:val="20"/>
          <w:szCs w:val="20"/>
          <w:color w:val="auto"/>
        </w:rPr>
        <w:tab/>
      </w:r>
      <w:r>
        <w:rPr>
          <w:rFonts w:ascii="Arial" w:cs="Arial" w:eastAsia="Arial" w:hAnsi="Arial"/>
          <w:sz w:val="17"/>
          <w:szCs w:val="17"/>
          <w:color w:val="auto"/>
        </w:rPr>
        <w:t>VA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de Venezuela C.A.</w:t>
      </w:r>
      <w:r>
        <w:rPr>
          <w:sz w:val="20"/>
          <w:szCs w:val="20"/>
          <w:color w:val="auto"/>
        </w:rPr>
        <w:tab/>
      </w:r>
      <w:r>
        <w:rPr>
          <w:rFonts w:ascii="Arial" w:cs="Arial" w:eastAsia="Arial" w:hAnsi="Arial"/>
          <w:sz w:val="15"/>
          <w:szCs w:val="15"/>
          <w:color w:val="auto"/>
        </w:rPr>
        <w:t>Venezuela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Empresa de Trabajo Temporal, C.A.</w:t>
      </w:r>
      <w:r>
        <w:rPr>
          <w:sz w:val="20"/>
          <w:szCs w:val="20"/>
          <w:color w:val="auto"/>
        </w:rPr>
        <w:tab/>
      </w:r>
      <w:r>
        <w:rPr>
          <w:rFonts w:ascii="Arial" w:cs="Arial" w:eastAsia="Arial" w:hAnsi="Arial"/>
          <w:sz w:val="15"/>
          <w:szCs w:val="15"/>
          <w:color w:val="auto"/>
        </w:rPr>
        <w:t>Venezuela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Servicios Alleray, C.A.</w:t>
      </w:r>
      <w:r>
        <w:rPr>
          <w:sz w:val="20"/>
          <w:szCs w:val="20"/>
          <w:color w:val="auto"/>
        </w:rPr>
        <w:tab/>
      </w:r>
      <w:r>
        <w:rPr>
          <w:rFonts w:ascii="Arial" w:cs="Arial" w:eastAsia="Arial" w:hAnsi="Arial"/>
          <w:sz w:val="15"/>
          <w:szCs w:val="15"/>
          <w:color w:val="auto"/>
        </w:rPr>
        <w:t>Venezuela</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Vietnam Company Ltd.</w:t>
      </w:r>
      <w:r>
        <w:rPr>
          <w:sz w:val="20"/>
          <w:szCs w:val="20"/>
          <w:color w:val="auto"/>
        </w:rPr>
        <w:tab/>
      </w:r>
      <w:r>
        <w:rPr>
          <w:rFonts w:ascii="Arial" w:cs="Arial" w:eastAsia="Arial" w:hAnsi="Arial"/>
          <w:sz w:val="16"/>
          <w:szCs w:val="16"/>
          <w:color w:val="auto"/>
        </w:rPr>
        <w:t>Vietnam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Right Management Vietnam Company Ltd.</w:t>
      </w:r>
      <w:r>
        <w:rPr>
          <w:sz w:val="20"/>
          <w:szCs w:val="20"/>
          <w:color w:val="auto"/>
        </w:rPr>
        <w:tab/>
      </w:r>
      <w:r>
        <w:rPr>
          <w:rFonts w:ascii="Arial" w:cs="Arial" w:eastAsia="Arial" w:hAnsi="Arial"/>
          <w:sz w:val="16"/>
          <w:szCs w:val="16"/>
          <w:color w:val="auto"/>
        </w:rPr>
        <w:t>Vietnam</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Brook Street Bureau Inc.</w:t>
      </w:r>
      <w:r>
        <w:rPr>
          <w:sz w:val="20"/>
          <w:szCs w:val="20"/>
          <w:color w:val="auto"/>
        </w:rPr>
        <w:tab/>
      </w:r>
      <w:r>
        <w:rPr>
          <w:rFonts w:ascii="Arial" w:cs="Arial" w:eastAsia="Arial" w:hAnsi="Arial"/>
          <w:sz w:val="18"/>
          <w:szCs w:val="18"/>
          <w:color w:val="auto"/>
        </w:rPr>
        <w:t>WI</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 Nominees Inc.</w:t>
      </w:r>
      <w:r>
        <w:rPr>
          <w:sz w:val="20"/>
          <w:szCs w:val="20"/>
          <w:color w:val="auto"/>
        </w:rPr>
        <w:tab/>
      </w:r>
      <w:r>
        <w:rPr>
          <w:rFonts w:ascii="Arial" w:cs="Arial" w:eastAsia="Arial" w:hAnsi="Arial"/>
          <w:sz w:val="18"/>
          <w:szCs w:val="18"/>
          <w:color w:val="auto"/>
        </w:rPr>
        <w:t>WI</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Experis US Inc</w:t>
      </w:r>
      <w:r>
        <w:rPr>
          <w:sz w:val="20"/>
          <w:szCs w:val="20"/>
          <w:color w:val="auto"/>
        </w:rPr>
        <w:tab/>
      </w:r>
      <w:r>
        <w:rPr>
          <w:rFonts w:ascii="Arial" w:cs="Arial" w:eastAsia="Arial" w:hAnsi="Arial"/>
          <w:sz w:val="18"/>
          <w:szCs w:val="18"/>
          <w:color w:val="auto"/>
        </w:rPr>
        <w:t>WI</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Signature Graphics of Milwaukee, LLC</w:t>
      </w:r>
      <w:r>
        <w:rPr>
          <w:sz w:val="20"/>
          <w:szCs w:val="20"/>
          <w:color w:val="auto"/>
        </w:rPr>
        <w:tab/>
      </w:r>
      <w:r>
        <w:rPr>
          <w:rFonts w:ascii="Arial" w:cs="Arial" w:eastAsia="Arial" w:hAnsi="Arial"/>
          <w:sz w:val="18"/>
          <w:szCs w:val="18"/>
          <w:color w:val="auto"/>
        </w:rPr>
        <w:t>WI</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US Inc.</w:t>
      </w:r>
      <w:r>
        <w:rPr>
          <w:sz w:val="20"/>
          <w:szCs w:val="20"/>
          <w:color w:val="auto"/>
        </w:rPr>
        <w:tab/>
      </w:r>
      <w:r>
        <w:rPr>
          <w:rFonts w:ascii="Arial" w:cs="Arial" w:eastAsia="Arial" w:hAnsi="Arial"/>
          <w:sz w:val="18"/>
          <w:szCs w:val="18"/>
          <w:color w:val="auto"/>
        </w:rPr>
        <w:t>WI</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Global Inc.</w:t>
      </w:r>
      <w:r>
        <w:rPr>
          <w:sz w:val="20"/>
          <w:szCs w:val="20"/>
          <w:color w:val="auto"/>
        </w:rPr>
        <w:tab/>
      </w:r>
      <w:r>
        <w:rPr>
          <w:rFonts w:ascii="Arial" w:cs="Arial" w:eastAsia="Arial" w:hAnsi="Arial"/>
          <w:sz w:val="18"/>
          <w:szCs w:val="18"/>
          <w:color w:val="auto"/>
        </w:rPr>
        <w:t>WI</w:t>
      </w:r>
    </w:p>
    <w:p>
      <w:pPr>
        <w:spacing w:after="0" w:line="63"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ManpowerGroup Mexico Holdings LLC</w:t>
      </w:r>
      <w:r>
        <w:rPr>
          <w:sz w:val="20"/>
          <w:szCs w:val="20"/>
          <w:color w:val="auto"/>
        </w:rPr>
        <w:tab/>
      </w:r>
      <w:r>
        <w:rPr>
          <w:rFonts w:ascii="Arial" w:cs="Arial" w:eastAsia="Arial" w:hAnsi="Arial"/>
          <w:sz w:val="18"/>
          <w:szCs w:val="18"/>
          <w:color w:val="auto"/>
        </w:rPr>
        <w:t>WI</w:t>
      </w:r>
    </w:p>
    <w:p>
      <w:pPr>
        <w:sectPr>
          <w:pgSz w:w="11900" w:h="16838" w:orient="portrait"/>
          <w:cols w:equalWidth="0" w:num="1">
            <w:col w:w="10039"/>
          </w:cols>
          <w:pgMar w:left="420" w:top="787" w:right="1440" w:bottom="7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039"/>
          </w:cols>
          <w:pgMar w:left="420" w:top="787" w:right="1440" w:bottom="705"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33-40441, 333-1040, 333-105205, 333-126703, 333-135000, 333-161765, 333-174305, and 333-195833 on Form S-8 and Registration Nos. 333-650 and 33-95896 on Form S-4 of our reports dated February 22, 2016, relating to the consolidated financial statements and consolidated financial statement schedule of ManpowerGroup Inc. and subsidiaries (the “Company”), and the effectiveness of the Company’s internal control over financial reporting, appearing in or incorporated by reference in the Annual Report on Form 10-K of the Company for the year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2016</w:t>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24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Each of the undersigned directors of ManpowerGroup Inc. (the “Company”) hereby constitutes and appoints Jonas Prising, Michael J. Van Handel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2015,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8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22nd day of January, 2016.</w:t>
      </w:r>
    </w:p>
    <w:p>
      <w:pPr>
        <w:spacing w:after="0" w:line="33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 Gina R. Boswell</w:t>
            </w:r>
          </w:p>
        </w:tc>
        <w:tc>
          <w:tcPr>
            <w:tcW w:w="2280" w:type="dxa"/>
            <w:vAlign w:val="bottom"/>
          </w:tcPr>
          <w:p>
            <w:pPr>
              <w:ind w:left="20"/>
              <w:spacing w:after="0"/>
              <w:rPr>
                <w:sz w:val="20"/>
                <w:szCs w:val="20"/>
                <w:color w:val="auto"/>
              </w:rPr>
            </w:pPr>
            <w:r>
              <w:rPr>
                <w:rFonts w:ascii="Arial" w:cs="Arial" w:eastAsia="Arial" w:hAnsi="Arial"/>
                <w:sz w:val="18"/>
                <w:szCs w:val="18"/>
                <w:color w:val="auto"/>
              </w:rPr>
              <w:t>/s/ Ulice Payne, Jr.</w:t>
            </w:r>
          </w:p>
        </w:tc>
      </w:tr>
      <w:tr>
        <w:trPr>
          <w:trHeight w:val="34"/>
        </w:trPr>
        <w:tc>
          <w:tcPr>
            <w:tcW w:w="26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Gina R. Boswell</w:t>
            </w:r>
          </w:p>
        </w:tc>
        <w:tc>
          <w:tcPr>
            <w:tcW w:w="2280" w:type="dxa"/>
            <w:vAlign w:val="bottom"/>
          </w:tcPr>
          <w:p>
            <w:pPr>
              <w:ind w:left="20"/>
              <w:spacing w:after="0"/>
              <w:rPr>
                <w:sz w:val="20"/>
                <w:szCs w:val="20"/>
                <w:color w:val="auto"/>
              </w:rPr>
            </w:pPr>
            <w:r>
              <w:rPr>
                <w:rFonts w:ascii="Arial" w:cs="Arial" w:eastAsia="Arial" w:hAnsi="Arial"/>
                <w:sz w:val="18"/>
                <w:szCs w:val="18"/>
                <w:color w:val="auto"/>
              </w:rPr>
              <w:t>Ulice Payne, Jr.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 Cari M. Dominguez</w:t>
            </w:r>
          </w:p>
        </w:tc>
        <w:tc>
          <w:tcPr>
            <w:tcW w:w="2280" w:type="dxa"/>
            <w:vAlign w:val="bottom"/>
          </w:tcPr>
          <w:p>
            <w:pPr>
              <w:ind w:left="20"/>
              <w:spacing w:after="0"/>
              <w:rPr>
                <w:sz w:val="20"/>
                <w:szCs w:val="20"/>
                <w:color w:val="auto"/>
              </w:rPr>
            </w:pPr>
            <w:r>
              <w:rPr>
                <w:rFonts w:ascii="Arial" w:cs="Arial" w:eastAsia="Arial" w:hAnsi="Arial"/>
                <w:sz w:val="18"/>
                <w:szCs w:val="18"/>
                <w:color w:val="auto"/>
              </w:rPr>
              <w:t>/s/ Jonas Prising</w:t>
            </w:r>
          </w:p>
        </w:tc>
      </w:tr>
      <w:tr>
        <w:trPr>
          <w:trHeight w:val="34"/>
        </w:trPr>
        <w:tc>
          <w:tcPr>
            <w:tcW w:w="26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Cari M. Dominguez</w:t>
            </w:r>
          </w:p>
        </w:tc>
        <w:tc>
          <w:tcPr>
            <w:tcW w:w="2280" w:type="dxa"/>
            <w:vAlign w:val="bottom"/>
          </w:tcPr>
          <w:p>
            <w:pPr>
              <w:ind w:left="20"/>
              <w:spacing w:after="0"/>
              <w:rPr>
                <w:sz w:val="20"/>
                <w:szCs w:val="20"/>
                <w:color w:val="auto"/>
              </w:rPr>
            </w:pPr>
            <w:r>
              <w:rPr>
                <w:rFonts w:ascii="Arial" w:cs="Arial" w:eastAsia="Arial" w:hAnsi="Arial"/>
                <w:sz w:val="18"/>
                <w:szCs w:val="18"/>
                <w:color w:val="auto"/>
              </w:rPr>
              <w:t>Jonas Prising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560" w:type="dxa"/>
            <w:vAlign w:val="bottom"/>
            <w:gridSpan w:val="2"/>
          </w:tcPr>
          <w:p>
            <w:pPr>
              <w:ind w:left="80"/>
              <w:spacing w:after="0"/>
              <w:rPr>
                <w:sz w:val="20"/>
                <w:szCs w:val="20"/>
                <w:color w:val="auto"/>
              </w:rPr>
            </w:pPr>
            <w:r>
              <w:rPr>
                <w:rFonts w:ascii="Arial" w:cs="Arial" w:eastAsia="Arial" w:hAnsi="Arial"/>
                <w:sz w:val="18"/>
                <w:szCs w:val="18"/>
                <w:color w:val="auto"/>
              </w:rPr>
              <w:t>/s/ William Downe</w:t>
            </w:r>
          </w:p>
        </w:tc>
        <w:tc>
          <w:tcPr>
            <w:tcW w:w="2280" w:type="dxa"/>
            <w:vAlign w:val="bottom"/>
          </w:tcPr>
          <w:p>
            <w:pPr>
              <w:ind w:left="20"/>
              <w:spacing w:after="0"/>
              <w:rPr>
                <w:sz w:val="20"/>
                <w:szCs w:val="20"/>
                <w:color w:val="auto"/>
              </w:rPr>
            </w:pPr>
            <w:r>
              <w:rPr>
                <w:rFonts w:ascii="Arial" w:cs="Arial" w:eastAsia="Arial" w:hAnsi="Arial"/>
                <w:sz w:val="18"/>
                <w:szCs w:val="18"/>
                <w:color w:val="auto"/>
              </w:rPr>
              <w:t>/s/ Paul Read</w:t>
            </w:r>
          </w:p>
        </w:tc>
      </w:tr>
      <w:tr>
        <w:trPr>
          <w:trHeight w:val="34"/>
        </w:trPr>
        <w:tc>
          <w:tcPr>
            <w:tcW w:w="26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2"/>
          </w:tcPr>
          <w:p>
            <w:pPr>
              <w:ind w:left="80"/>
              <w:spacing w:after="0"/>
              <w:rPr>
                <w:sz w:val="20"/>
                <w:szCs w:val="20"/>
                <w:color w:val="auto"/>
              </w:rPr>
            </w:pPr>
            <w:r>
              <w:rPr>
                <w:rFonts w:ascii="Arial" w:cs="Arial" w:eastAsia="Arial" w:hAnsi="Arial"/>
                <w:sz w:val="18"/>
                <w:szCs w:val="18"/>
                <w:color w:val="auto"/>
              </w:rPr>
              <w:t>William Downe</w:t>
            </w:r>
          </w:p>
        </w:tc>
        <w:tc>
          <w:tcPr>
            <w:tcW w:w="2280" w:type="dxa"/>
            <w:vAlign w:val="bottom"/>
          </w:tcPr>
          <w:p>
            <w:pPr>
              <w:ind w:left="20"/>
              <w:spacing w:after="0"/>
              <w:rPr>
                <w:sz w:val="20"/>
                <w:szCs w:val="20"/>
                <w:color w:val="auto"/>
              </w:rPr>
            </w:pPr>
            <w:r>
              <w:rPr>
                <w:rFonts w:ascii="Arial" w:cs="Arial" w:eastAsia="Arial" w:hAnsi="Arial"/>
                <w:sz w:val="18"/>
                <w:szCs w:val="18"/>
                <w:color w:val="auto"/>
              </w:rPr>
              <w:t>Paul Read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 John F. Ferraro</w:t>
            </w:r>
          </w:p>
        </w:tc>
        <w:tc>
          <w:tcPr>
            <w:tcW w:w="2280" w:type="dxa"/>
            <w:vAlign w:val="bottom"/>
          </w:tcPr>
          <w:p>
            <w:pPr>
              <w:ind w:left="20"/>
              <w:spacing w:after="0"/>
              <w:rPr>
                <w:sz w:val="20"/>
                <w:szCs w:val="20"/>
                <w:color w:val="auto"/>
              </w:rPr>
            </w:pPr>
            <w:r>
              <w:rPr>
                <w:rFonts w:ascii="Arial" w:cs="Arial" w:eastAsia="Arial" w:hAnsi="Arial"/>
                <w:sz w:val="18"/>
                <w:szCs w:val="18"/>
                <w:color w:val="auto"/>
              </w:rPr>
              <w:t>/s/ Elizabeth P. Sartain</w:t>
            </w:r>
          </w:p>
        </w:tc>
      </w:tr>
      <w:tr>
        <w:trPr>
          <w:trHeight w:val="34"/>
        </w:trPr>
        <w:tc>
          <w:tcPr>
            <w:tcW w:w="26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John F. Ferraro</w:t>
            </w:r>
          </w:p>
        </w:tc>
        <w:tc>
          <w:tcPr>
            <w:tcW w:w="2280" w:type="dxa"/>
            <w:vAlign w:val="bottom"/>
          </w:tcPr>
          <w:p>
            <w:pPr>
              <w:ind w:left="20"/>
              <w:spacing w:after="0"/>
              <w:rPr>
                <w:sz w:val="20"/>
                <w:szCs w:val="20"/>
                <w:color w:val="auto"/>
              </w:rPr>
            </w:pPr>
            <w:r>
              <w:rPr>
                <w:rFonts w:ascii="Arial" w:cs="Arial" w:eastAsia="Arial" w:hAnsi="Arial"/>
                <w:sz w:val="18"/>
                <w:szCs w:val="18"/>
                <w:color w:val="auto"/>
              </w:rPr>
              <w:t>Elizabeth P. Sartain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 Patricia A. Hemingway</w:t>
            </w:r>
          </w:p>
        </w:tc>
        <w:tc>
          <w:tcPr>
            <w:tcW w:w="2280" w:type="dxa"/>
            <w:vAlign w:val="bottom"/>
          </w:tcPr>
          <w:p>
            <w:pPr>
              <w:ind w:left="20"/>
              <w:spacing w:after="0"/>
              <w:rPr>
                <w:sz w:val="20"/>
                <w:szCs w:val="20"/>
                <w:color w:val="auto"/>
              </w:rPr>
            </w:pPr>
            <w:r>
              <w:rPr>
                <w:rFonts w:ascii="Arial" w:cs="Arial" w:eastAsia="Arial" w:hAnsi="Arial"/>
                <w:sz w:val="18"/>
                <w:szCs w:val="18"/>
                <w:color w:val="auto"/>
              </w:rPr>
              <w:t>/s/ John R. Walter</w:t>
            </w:r>
          </w:p>
        </w:tc>
      </w:tr>
      <w:tr>
        <w:trPr>
          <w:trHeight w:val="34"/>
        </w:trPr>
        <w:tc>
          <w:tcPr>
            <w:tcW w:w="26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Patricia A. Hemingway</w:t>
            </w:r>
          </w:p>
        </w:tc>
        <w:tc>
          <w:tcPr>
            <w:tcW w:w="2280" w:type="dxa"/>
            <w:vAlign w:val="bottom"/>
          </w:tcPr>
          <w:p>
            <w:pPr>
              <w:ind w:left="20"/>
              <w:spacing w:after="0"/>
              <w:rPr>
                <w:sz w:val="20"/>
                <w:szCs w:val="20"/>
                <w:color w:val="auto"/>
              </w:rPr>
            </w:pPr>
            <w:r>
              <w:rPr>
                <w:rFonts w:ascii="Arial" w:cs="Arial" w:eastAsia="Arial" w:hAnsi="Arial"/>
                <w:sz w:val="18"/>
                <w:szCs w:val="18"/>
                <w:color w:val="auto"/>
              </w:rPr>
              <w:t>John R. Walter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 Roberto Mendoza</w:t>
            </w:r>
          </w:p>
        </w:tc>
        <w:tc>
          <w:tcPr>
            <w:tcW w:w="2280" w:type="dxa"/>
            <w:vAlign w:val="bottom"/>
          </w:tcPr>
          <w:p>
            <w:pPr>
              <w:ind w:left="20"/>
              <w:spacing w:after="0"/>
              <w:rPr>
                <w:sz w:val="20"/>
                <w:szCs w:val="20"/>
                <w:color w:val="auto"/>
              </w:rPr>
            </w:pPr>
            <w:r>
              <w:rPr>
                <w:rFonts w:ascii="Arial" w:cs="Arial" w:eastAsia="Arial" w:hAnsi="Arial"/>
                <w:sz w:val="18"/>
                <w:szCs w:val="18"/>
                <w:color w:val="auto"/>
              </w:rPr>
              <w:t>/s/ Edward J. Zore</w:t>
            </w:r>
          </w:p>
        </w:tc>
      </w:tr>
      <w:tr>
        <w:trPr>
          <w:trHeight w:val="34"/>
        </w:trPr>
        <w:tc>
          <w:tcPr>
            <w:tcW w:w="26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Roberto Mendoza</w:t>
            </w:r>
          </w:p>
        </w:tc>
        <w:tc>
          <w:tcPr>
            <w:tcW w:w="2280" w:type="dxa"/>
            <w:vAlign w:val="bottom"/>
          </w:tcPr>
          <w:p>
            <w:pPr>
              <w:ind w:left="60"/>
              <w:spacing w:after="0"/>
              <w:rPr>
                <w:sz w:val="20"/>
                <w:szCs w:val="20"/>
                <w:color w:val="auto"/>
              </w:rPr>
            </w:pPr>
            <w:r>
              <w:rPr>
                <w:rFonts w:ascii="Arial" w:cs="Arial" w:eastAsia="Arial" w:hAnsi="Arial"/>
                <w:sz w:val="18"/>
                <w:szCs w:val="18"/>
                <w:color w:val="auto"/>
              </w:rPr>
              <w:t>Edward J. Zore</w:t>
            </w:r>
          </w:p>
        </w:tc>
      </w:tr>
    </w:tbl>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Chairman and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80" w:hanging="329"/>
        <w:spacing w:after="0" w:line="264"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22,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700" w:hanging="368"/>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80" w:hanging="329"/>
        <w:spacing w:after="0" w:line="264"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22,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20" w:right="160" w:hanging="328"/>
        <w:spacing w:after="0" w:line="277"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2015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20" w:hanging="328"/>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MANPOWERGROUP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22,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20" w:right="160" w:hanging="328"/>
        <w:spacing w:after="0" w:line="277"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2015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20" w:hanging="328"/>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MANPOWERGROUP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22,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097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139" w:name="page140"/>
    <w:bookmarkEnd w:id="139"/>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begin 644 rightmanagementrevenuergb1.jpg M_]C_X 02D9)1@ ! 0$!+ $L #_[0 L4&amp;AO=&amp;]S:&amp;]P(#,N, X0DE- ^T M ! !+ $ 0$L 0</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!_^("0$E#0U]04D]&amp;24Q% $! ",$%$ M0D4"$ ;6YT0 .7-T96US($EN8V]R&lt;&amp;]R871E9 &amp;1EG)E4WI. M5&amp;-Z:V,Y9"</w:t>
      </w:r>
    </w:p>
    <w:p>
      <w:pPr>
        <w:spacing w:after="0"/>
        <w:rPr>
          <w:sz w:val="20"/>
          <w:szCs w:val="20"/>
          <w:color w:val="auto"/>
        </w:rPr>
      </w:pPr>
      <w:r>
        <w:rPr>
          <w:rFonts w:ascii="Arial" w:cs="Arial" w:eastAsia="Arial" w:hAnsi="Arial"/>
          <w:sz w:val="21"/>
          <w:szCs w:val="21"/>
          <w:color w:val="auto"/>
        </w:rPr>
        <w:t>(_/@H\&gt;#IX;7!M971A('AM;&amp;YS.G@](F%D;V)E.FYS.FUE=&amp;$O M(B!X.GAM&lt;'1K/2)!9&amp;]B92!835 @0V]R92 U+C8M8S V-R</w:t>
      </w:r>
    </w:p>
    <w:p>
      <w:pPr>
        <w:spacing w:after="0" w:line="232" w:lineRule="auto"/>
        <w:rPr>
          <w:sz w:val="20"/>
          <w:szCs w:val="20"/>
          <w:color w:val="auto"/>
        </w:rPr>
      </w:pPr>
      <w:r>
        <w:rPr>
          <w:rFonts w:ascii="Arial" w:cs="Arial" w:eastAsia="Arial" w:hAnsi="Arial"/>
          <w:sz w:val="22"/>
          <w:szCs w:val="22"/>
          <w:color w:val="auto"/>
        </w:rPr>
        <w:t>W.2XQ-3&amp;UL;G,Z&amp;%P+S$N,"]S5'EP92]297-O=7)C95)E9B,B"B @(" @(" @(" @ M('AM;&amp;YS.G-</w:t>
      </w:r>
    </w:p>
    <w:p>
      <w:pPr>
        <w:spacing w:after="0" w:line="230" w:lineRule="auto"/>
        <w:rPr>
          <w:sz w:val="20"/>
          <w:szCs w:val="20"/>
          <w:color w:val="auto"/>
        </w:rPr>
      </w:pPr>
      <w:r>
        <w:rPr>
          <w:rFonts w:ascii="Arial" w:cs="Arial" w:eastAsia="Arial" w:hAnsi="Arial"/>
          <w:sz w:val="22"/>
          <w:szCs w:val="22"/>
          <w:color w:val="auto"/>
        </w:rPr>
        <w:t>T179T/2)H='1P.B\O;G,N861O8F4N8V]M+WAA&lt;"\Q+C O&amp;UP M.DUE=&amp;%D871A1&amp;%T93XR,#$V+3 R+3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U5#$V.C4V.C0S+3 U.C P/"]X;7 Z M365T861A=&amp;%$871E/@H@(" @(" @(" \&gt;&amp;UP.DUO9&amp;EF&gt;41A=&amp;4^,C Q-BTP M,BTP-</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50R,3HU-CHT-5H\+WAM&lt;#I-;V1I9GE$871E/@H@(" @(" @(" \&gt;&amp;UP M.D-R96%T941A=&amp;4^,C Q-BTP,BTP-50Q-CHU-</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CHT,RTP-3HP,#PO&gt;&amp;UP.D-R M96%T941A=&amp;4^"B @(" @(" @(#QX;7 Z0W)E871O&amp;UP.D-R96%T;W)4;V]L M/@H@(" @("</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\&gt;&amp;UP.E1H=6UB;F%I;',^"B @(" @(" @(" @(#QR9&amp;8Z M06QT/@H@(" @(" @(" @(" @(" \&amp;UP1TEM9SIH</w:t>
      </w:r>
    </w:p>
    <w:p>
      <w:pPr>
        <w:spacing w:after="0"/>
        <w:rPr>
          <w:sz w:val="20"/>
          <w:szCs w:val="20"/>
          <w:color w:val="auto"/>
        </w:rPr>
      </w:pPr>
      <w:r>
        <w:rPr>
          <w:rFonts w:ascii="Arial" w:cs="Arial" w:eastAsia="Arial" w:hAnsi="Arial"/>
          <w:sz w:val="19"/>
          <w:szCs w:val="19"/>
          <w:color w:val="auto"/>
        </w:rPr>
        <w:t>M96EG:'0^,30T/"]X;7!'26UG.FAE:6=H=#X*(" @(" @(" @(" @(" @(" @ M/'AM&lt;$=);6&amp;UP1TEM9SII;6%G93XO.6HO-$%!45-</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K6DI29T%"06=% M0DQ!17-!040O-U%!#AF2'@X9DAX.&amp;9(=T5(0G=C3D1!,%E%0D%91VA54D92;V9(&gt;#AF)B-X03M(</w:t>
      </w:r>
    </w:p>
    <w:p>
      <w:pPr>
        <w:spacing w:after="0" w:line="232" w:lineRule="auto"/>
        <w:rPr>
          <w:sz w:val="20"/>
          <w:szCs w:val="20"/>
          <w:color w:val="auto"/>
        </w:rPr>
      </w:pPr>
      <w:r>
        <w:rPr>
          <w:rFonts w:ascii="Arial" w:cs="Arial" w:eastAsia="Arial" w:hAnsi="Arial"/>
          <w:sz w:val="22"/>
          <w:szCs w:val="22"/>
          <w:color w:val="auto"/>
        </w:rPr>
        <w:t>M&gt;#AF2'@X9DAX.&amp;9(&gt;#AF2'@X9DAX.&amp;9(&gt;#AF2'@X9DAX.&amp;9(&gt;#AF2'@X9DAX</w:t>
      </w:r>
    </w:p>
    <w:p>
      <w:pPr>
        <w:spacing w:after="0" w:line="230" w:lineRule="auto"/>
        <w:rPr>
          <w:sz w:val="20"/>
          <w:szCs w:val="20"/>
          <w:color w:val="auto"/>
        </w:rPr>
      </w:pPr>
      <w:r>
        <w:rPr>
          <w:rFonts w:ascii="Arial" w:cs="Arial" w:eastAsia="Arial" w:hAnsi="Arial"/>
          <w:sz w:val="22"/>
          <w:szCs w:val="22"/>
          <w:color w:val="auto"/>
        </w:rPr>
        <w:t>M.&amp;9(&gt;#AF2'@X9DAX.&amp;8O.$%!15%G06M!14%!=T52)B-X03M!04E205%-4D%F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M+T5!84E!04%!2$%114)!445!04%!04%!04%!05%&amp;07=)1T%104A#06M+0W=% M04%G241!445"05%%04%!04%!04%!)B-</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X03M!44%#07=11D)G8TE#46],14%! M0T%1341!9U%#0F=C1$)!24=!;DU"06=-4D)!049)4DEX459%1T4R16EC6455</w:t>
      </w:r>
    </w:p>
    <w:p>
      <w:pPr>
        <w:spacing w:after="0" w:line="230" w:lineRule="auto"/>
        <w:rPr>
          <w:sz w:val="20"/>
          <w:szCs w:val="20"/>
          <w:color w:val="auto"/>
        </w:rPr>
      </w:pPr>
      <w:r>
        <w:rPr>
          <w:rFonts w:ascii="Arial" w:cs="Arial" w:eastAsia="Arial" w:hAnsi="Arial"/>
          <w:sz w:val="22"/>
          <w:szCs w:val="22"/>
          <w:color w:val="auto"/>
        </w:rPr>
        <w:t>M37!':$)X5WA1:5!")B-X03M5=$AH37A::3A#4GEG=D5L47I25&amp;MQ2WE9,U!#</w:t>
      </w:r>
    </w:p>
    <w:p>
      <w:pPr>
        <w:spacing w:after="0" w:line="231" w:lineRule="auto"/>
        <w:rPr>
          <w:sz w:val="20"/>
          <w:szCs w:val="20"/>
          <w:color w:val="auto"/>
        </w:rPr>
      </w:pPr>
      <w:r>
        <w:rPr>
          <w:rFonts w:ascii="Arial" w:cs="Arial" w:eastAsia="Arial" w:hAnsi="Arial"/>
          <w:sz w:val="22"/>
          <w:szCs w:val="22"/>
          <w:color w:val="auto"/>
        </w:rPr>
        <w:t>M3E51;FLV3WI.:&amp;156DA41#!U24E*;TU*0VAG6FA*4D92&lt;5,P5G1.5DM"DI$4D1G:&amp;%357E7:5DW3$-</w:t>
      </w:r>
    </w:p>
    <w:p>
      <w:pPr>
        <w:spacing w:after="0" w:line="230" w:lineRule="auto"/>
        <w:rPr>
          <w:sz w:val="20"/>
          <w:szCs w:val="20"/>
          <w:color w:val="auto"/>
        </w:rPr>
      </w:pPr>
      <w:r>
        <w:rPr>
          <w:rFonts w:ascii="Arial" w:cs="Arial" w:eastAsia="Arial" w:hAnsi="Arial"/>
          <w:sz w:val="22"/>
          <w:szCs w:val="22"/>
          <w:color w:val="auto"/>
        </w:rPr>
        <w:t>",U!33F5*16=X9%5K=V=*0VAG M6DIJ6D9':61K9$95,SAQ3WIW&gt;6=P)B-X03LP*U!Z:$I3:W1-5%4U4%)L9%E7</w:t>
      </w:r>
    </w:p>
    <w:p>
      <w:pPr>
        <w:spacing w:after="0" w:line="231" w:lineRule="auto"/>
        <w:rPr>
          <w:sz w:val="20"/>
          <w:szCs w:val="20"/>
          <w:color w:val="auto"/>
        </w:rPr>
      </w:pPr>
      <w:r>
        <w:rPr>
          <w:rFonts w:ascii="Arial" w:cs="Arial" w:eastAsia="Arial" w:hAnsi="Arial"/>
          <w:sz w:val="22"/>
          <w:szCs w:val="22"/>
          <w:color w:val="auto"/>
        </w:rPr>
        <w:t>M5G!B6$8Q95@Q4FQ:;61O85=P6)T6C=E3S16-%8R3$0Y-U0T959E=F9&amp;551O9FUV)B-X03M2.6%V9%-S-TME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M3C4Y3G5$8GEX:5)'6F=Q27AK5E9*4$1K-5-V:7!X5DI.3"]-&lt;3%V9$,X=V%O M.6U96DY#;6UI*W)E&lt;'E-,W Q5TEH)B-</w:t>
      </w:r>
    </w:p>
    <w:p>
      <w:pPr>
        <w:spacing w:after="0" w:line="232" w:lineRule="auto"/>
        <w:rPr>
          <w:sz w:val="20"/>
          <w:szCs w:val="20"/>
          <w:color w:val="auto"/>
        </w:rPr>
      </w:pPr>
      <w:r>
        <w:rPr>
          <w:rFonts w:ascii="Arial" w:cs="Arial" w:eastAsia="Arial" w:hAnsi="Arial"/>
          <w:sz w:val="22"/>
          <w:szCs w:val="22"/>
          <w:color w:val="auto"/>
        </w:rPr>
        <w:t>X03MU030K696659M9W,U-VE-3U,R,T9/6$%V=G1S=4MP:3-M1%%6 M=FAP-V%L86DO6B]4)B-</w:t>
      </w:r>
    </w:p>
    <w:p>
      <w:pPr>
        <w:spacing w:after="0" w:line="230" w:lineRule="auto"/>
        <w:rPr>
          <w:sz w:val="20"/>
          <w:szCs w:val="20"/>
          <w:color w:val="auto"/>
        </w:rPr>
      </w:pPr>
      <w:r>
        <w:rPr>
          <w:rFonts w:ascii="Arial" w:cs="Arial" w:eastAsia="Arial" w:hAnsi="Arial"/>
          <w:sz w:val="22"/>
          <w:szCs w:val="22"/>
          <w:color w:val="auto"/>
        </w:rPr>
        <w:t>X03M7,$TX66U,,$(T:5!L&gt;7)29V%5&gt;%9U&gt;C$W435!'06%(;7%K;&amp;0O2$96;'0U:SAU,U55,'1T M&lt;6QN)B-X03M01F),-</w:t>
      </w:r>
    </w:p>
    <w:p>
      <w:pPr>
        <w:spacing w:after="0" w:line="231" w:lineRule="auto"/>
        <w:rPr>
          <w:sz w:val="20"/>
          <w:szCs w:val="20"/>
          <w:color w:val="auto"/>
        </w:rPr>
      </w:pPr>
      <w:r>
        <w:rPr>
          <w:rFonts w:ascii="Arial" w:cs="Arial" w:eastAsia="Arial" w:hAnsi="Arial"/>
          <w:sz w:val="22"/>
          <w:szCs w:val="22"/>
          <w:color w:val="auto"/>
        </w:rPr>
        <w:t>FQX2D90139X&lt;%5J:S56:49(=VYC-'%T:S@P*U=)-U=+ M-VLQ97E3,6Y$1T%!&amp;;D%.3VA)&gt;%96=$YD)B-X03LP</w:t>
      </w:r>
    </w:p>
    <w:p>
      <w:pPr>
        <w:spacing w:after="0" w:line="231" w:lineRule="auto"/>
        <w:rPr>
          <w:sz w:val="20"/>
          <w:szCs w:val="20"/>
          <w:color w:val="auto"/>
        </w:rPr>
      </w:pPr>
      <w:r>
        <w:rPr>
          <w:rFonts w:ascii="Arial" w:cs="Arial" w:eastAsia="Arial" w:hAnsi="Arial"/>
          <w:sz w:val="22"/>
          <w:szCs w:val="22"/>
          <w:color w:val="auto"/>
        </w:rPr>
        <w:t>M4SAN;&amp;=S.5%T$YA4S-R4&amp;-83%=Y)B-X03MH25I)-"M)-%$S1E=*;$A7;4MU M,&amp;9Z;F\Y-</w:t>
      </w:r>
    </w:p>
    <w:p>
      <w:pPr>
        <w:spacing w:after="0" w:line="230" w:lineRule="auto"/>
        <w:rPr>
          <w:sz w:val="20"/>
          <w:szCs w:val="20"/>
          <w:color w:val="auto"/>
        </w:rPr>
      </w:pPr>
      <w:r>
        <w:rPr>
          <w:rFonts w:ascii="Arial" w:cs="Arial" w:eastAsia="Arial" w:hAnsi="Arial"/>
          <w:sz w:val="22"/>
          <w:szCs w:val="22"/>
          <w:color w:val="auto"/>
        </w:rPr>
        <w:t>W!D;&amp;0SF%"=E93;C%G17%9978X06561D]06$96</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M1U!Z2C5D;'18=31T57,U3%-.&gt;$9*8TQ015DQ:UDP0TTT8FE'3F5M2W%L&lt;')E M:3-I)B-X03M1&gt;5=M;U7%P2D$W67%P</w:t>
      </w:r>
    </w:p>
    <w:p>
      <w:pPr>
        <w:spacing w:after="0" w:line="232" w:lineRule="auto"/>
        <w:rPr>
          <w:sz w:val="20"/>
          <w:szCs w:val="20"/>
          <w:color w:val="auto"/>
        </w:rPr>
      </w:pPr>
      <w:r>
        <w:rPr>
          <w:rFonts w:ascii="Arial" w:cs="Arial" w:eastAsia="Arial" w:hAnsi="Arial"/>
          <w:sz w:val="22"/>
          <w:szCs w:val="22"/>
          <w:color w:val="auto"/>
        </w:rPr>
        <w:t>M,U!M4'DY87=X5%A/&lt;5=K14UZ=DA$2DI016EU.&amp;)C2%93&gt;D%&amp;:UE5)B-X03M9 M1&amp;]C5EAVF%A351-</w:t>
      </w:r>
    </w:p>
    <w:p>
      <w:pPr>
        <w:spacing w:after="0" w:line="230" w:lineRule="auto"/>
        <w:rPr>
          <w:sz w:val="20"/>
          <w:szCs w:val="20"/>
          <w:color w:val="auto"/>
        </w:rPr>
      </w:pPr>
      <w:r>
        <w:rPr>
          <w:rFonts w:ascii="Arial" w:cs="Arial" w:eastAsia="Arial" w:hAnsi="Arial"/>
          <w:sz w:val="22"/>
          <w:szCs w:val="22"/>
          <w:color w:val="auto"/>
        </w:rPr>
        <w:t>1T915FI*-4=V%8R2W5X5C)+=7A6,DMU&gt;%8R2W5X5C5G)B-X03LO;&amp;4V:7-,:E=K M=#=X=%1T4$UC=#-</w:t>
      </w:r>
    </w:p>
    <w:p>
      <w:pPr>
        <w:spacing w:after="0" w:line="231" w:lineRule="auto"/>
        <w:rPr>
          <w:sz w:val="20"/>
          <w:szCs w:val="20"/>
          <w:color w:val="auto"/>
        </w:rPr>
      </w:pPr>
      <w:r>
        <w:rPr>
          <w:rFonts w:ascii="Arial" w:cs="Arial" w:eastAsia="Arial" w:hAnsi="Arial"/>
          <w:sz w:val="22"/>
          <w:szCs w:val="22"/>
          <w:color w:val="auto"/>
        </w:rPr>
        <w:t>B,G!.&gt;$I%.$0V:GA:,7135VIP-DQL&gt;$EI5B]A0G=Q9TY0 M=#5T2F$U9E9D3'5::W9.3S%#,W0T)B-X03ML=#-</w:t>
      </w:r>
    </w:p>
    <w:p>
      <w:pPr>
        <w:spacing w:after="0" w:line="231" w:lineRule="auto"/>
        <w:rPr>
          <w:sz w:val="20"/>
          <w:szCs w:val="20"/>
          <w:color w:val="auto"/>
        </w:rPr>
      </w:pPr>
      <w:r>
        <w:rPr>
          <w:rFonts w:ascii="Arial" w:cs="Arial" w:eastAsia="Arial" w:hAnsi="Arial"/>
          <w:sz w:val="22"/>
          <w:szCs w:val="22"/>
          <w:color w:val="auto"/>
        </w:rPr>
        <w:t>M64].5'5P1S5Q06944U)* M-'IZ86EK9#A65S9$;S$O3#5/=5HT$5U&gt;5$R.6IZ94YG M2VQ9-</w:t>
      </w:r>
    </w:p>
    <w:p>
      <w:pPr>
        <w:spacing w:after="0"/>
        <w:rPr>
          <w:sz w:val="20"/>
          <w:szCs w:val="20"/>
          <w:color w:val="auto"/>
        </w:rPr>
      </w:pPr>
      <w:r>
        <w:rPr>
          <w:rFonts w:ascii="Arial" w:cs="Arial" w:eastAsia="Arial" w:hAnsi="Arial"/>
          <w:sz w:val="19"/>
          <w:szCs w:val="19"/>
          <w:color w:val="auto"/>
        </w:rPr>
        <w:t>E!5:EEF1CG9Y;VLY=')0;5F%497I*&lt;4XW0G P&gt;E182&amp;UJ5#=Y179$2DE(R8V%Y3D5S1G5)4%8Y M3BM+36Y)9T4Y-D)6)B-</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X03M,5CAS830O;&amp;)Y+UHR;&amp;Q,8EAP.'9A&lt;&amp;)4+W5I M:%=A6DE#:U5P25AI,&amp;IC&lt;6-T-</w:t>
      </w:r>
    </w:p>
    <w:p>
      <w:pPr>
        <w:spacing w:after="0"/>
        <w:rPr>
          <w:sz w:val="20"/>
          <w:szCs w:val="20"/>
          <w:color w:val="auto"/>
        </w:rPr>
      </w:pPr>
      <w:r>
        <w:rPr>
          <w:rFonts w:ascii="Arial" w:cs="Arial" w:eastAsia="Arial" w:hAnsi="Arial"/>
          <w:sz w:val="21"/>
          <w:szCs w:val="21"/>
          <w:color w:val="auto"/>
        </w:rPr>
        <w:t>C%08D9697@P5S1U3EHP*SEI$]W&lt;7%J9$1S M3"MX.'DV6DI.6EA%9&amp;]L.35G:6I+=U-S:V$S3C-',$)00E-%:F-+)B-X03MX</w:t>
      </w:r>
    </w:p>
    <w:p>
      <w:pPr>
        <w:spacing w:after="0" w:line="232" w:lineRule="auto"/>
        <w:rPr>
          <w:sz w:val="20"/>
          <w:szCs w:val="20"/>
          <w:color w:val="auto"/>
        </w:rPr>
      </w:pPr>
      <w:r>
        <w:rPr>
          <w:rFonts w:ascii="Arial" w:cs="Arial" w:eastAsia="Arial" w:hAnsi="Arial"/>
          <w:sz w:val="22"/>
          <w:szCs w:val="22"/>
          <w:color w:val="auto"/>
        </w:rPr>
        <w:t>M5FI29F9&amp;538Q&gt;GDO=T1P6'IV6FTT4S97=UA3$=(4U-+6#9W3TE/-7%Z05E65&amp;9Z0C54,2LV</w:t>
      </w:r>
    </w:p>
    <w:p>
      <w:pPr>
        <w:spacing w:after="0"/>
        <w:rPr>
          <w:sz w:val="20"/>
          <w:szCs w:val="20"/>
          <w:color w:val="auto"/>
        </w:rPr>
      </w:pPr>
      <w:r>
        <w:rPr>
          <w:rFonts w:ascii="Arial" w:cs="Arial" w:eastAsia="Arial" w:hAnsi="Arial"/>
          <w:sz w:val="21"/>
          <w:szCs w:val="21"/>
          <w:color w:val="auto"/>
        </w:rPr>
        <w:t>M,2]69$IT8F0R,'E7,W5T671P&gt;4-))B-X03LR,4-E&gt;4YK%=60F)X,CA".4]" M2&amp;\P:E9"2&amp;5I,7A6)B-X03M-5%I8*VXK654-#0U-</w:t>
      </w:r>
    </w:p>
    <w:p>
      <w:pPr>
        <w:spacing w:after="0" w:line="232" w:lineRule="auto"/>
        <w:rPr>
          <w:sz w:val="20"/>
          <w:szCs w:val="20"/>
          <w:color w:val="auto"/>
        </w:rPr>
      </w:pPr>
      <w:r>
        <w:rPr>
          <w:rFonts w:ascii="Arial" w:cs="Arial" w:eastAsia="Arial" w:hAnsi="Arial"/>
          <w:sz w:val="22"/>
          <w:szCs w:val="22"/>
          <w:color w:val="auto"/>
        </w:rPr>
        <w:t>7 M47D]N&lt;6UJ1E%F,31Q:V1J&lt;$]Q,C1&amp;,657=7)7,71D,E8W M8G!")B-X03M:,FMC.')/,G S57!H;5-70S8Y25-</w:t>
      </w:r>
    </w:p>
    <w:p>
      <w:pPr>
        <w:spacing w:after="0" w:line="230" w:lineRule="auto"/>
        <w:rPr>
          <w:sz w:val="20"/>
          <w:szCs w:val="20"/>
          <w:color w:val="auto"/>
        </w:rPr>
      </w:pPr>
      <w:r>
        <w:rPr>
          <w:rFonts w:ascii="Arial" w:cs="Arial" w:eastAsia="Arial" w:hAnsi="Arial"/>
          <w:sz w:val="22"/>
          <w:szCs w:val="22"/>
          <w:color w:val="auto"/>
        </w:rPr>
        <w:t>X&gt;DE1,4%P+VTR&gt;%9'-F1P M1W R1W!71FQ&amp;&lt;&amp;PR;$QR5$=U%9"5UAM6'DS$HY M3G5I,7(R6EU3FU!&lt;4-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R9V=J631Q:4U69&amp;ERC=Z:EII M9GI834IR4V4V4CE-=%AT=G%R1DQI33(K;V,U-7)C:%A*:VA$&gt;%-C44MT4VYF M1E5$-5-</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H,3(V+TM$5EE*;TAK33)M)B-X03M02'!D25)(4$UH,#5%565M9W$Y M2DMX&gt;'8Y&lt;#%!4&amp;A5&lt;70X&lt;"M7-</w:t>
      </w:r>
    </w:p>
    <w:p>
      <w:pPr>
        <w:spacing w:after="0" w:line="230" w:lineRule="auto"/>
        <w:rPr>
          <w:sz w:val="20"/>
          <w:szCs w:val="20"/>
          <w:color w:val="auto"/>
        </w:rPr>
      </w:pPr>
      <w:r>
        <w:rPr>
          <w:rFonts w:ascii="Arial" w:cs="Arial" w:eastAsia="Arial" w:hAnsi="Arial"/>
          <w:sz w:val="22"/>
          <w:szCs w:val="22"/>
          <w:color w:val="auto"/>
        </w:rPr>
        <w:t>S)Z,5!2DID6$YX&lt;%1Z"]75D9/&gt;&amp;-5-C1Q&gt;'DT.'5E84IR935:.4YV M2&amp;MK)B-X03LP6F]Y5VAK3$Y-9$PP-4-U-#-</w:t>
      </w:r>
    </w:p>
    <w:p>
      <w:pPr>
        <w:spacing w:after="0" w:line="231" w:lineRule="auto"/>
        <w:rPr>
          <w:sz w:val="20"/>
          <w:szCs w:val="20"/>
          <w:color w:val="auto"/>
        </w:rPr>
      </w:pPr>
      <w:r>
        <w:rPr>
          <w:rFonts w:ascii="Arial" w:cs="Arial" w:eastAsia="Arial" w:hAnsi="Arial"/>
          <w:sz w:val="22"/>
          <w:szCs w:val="22"/>
          <w:color w:val="auto"/>
        </w:rPr>
        <w:t>C&gt;5)U=$]T5DDW2$95-C W479- M0U1X97)9,U@Q-#-58F%.8VU.*T9Q&lt;39X8WDS:&amp;QB64E*8F1L4'AF)B-X03MB</w:t>
      </w:r>
    </w:p>
    <w:p>
      <w:pPr>
        <w:spacing w:after="0" w:line="230" w:lineRule="auto"/>
        <w:rPr>
          <w:sz w:val="20"/>
          <w:szCs w:val="20"/>
          <w:color w:val="auto"/>
        </w:rPr>
      </w:pPr>
      <w:r>
        <w:rPr>
          <w:rFonts w:ascii="Arial" w:cs="Arial" w:eastAsia="Arial" w:hAnsi="Arial"/>
          <w:sz w:val="22"/>
          <w:szCs w:val="22"/>
          <w:color w:val="auto"/>
        </w:rPr>
        <w:t>M5V=&amp;8U918TAL83ET3DXP0TPY1C-D=$AD-E-%,6EE0S%E8W!.2&amp;11&gt;6]B&lt;3-! M-51J-%-</w:t>
      </w:r>
    </w:p>
    <w:p>
      <w:pPr>
        <w:spacing w:after="0" w:line="231" w:lineRule="auto"/>
        <w:rPr>
          <w:sz w:val="20"/>
          <w:szCs w:val="20"/>
          <w:color w:val="auto"/>
        </w:rPr>
      </w:pPr>
      <w:r>
        <w:rPr>
          <w:rFonts w:ascii="Arial" w:cs="Arial" w:eastAsia="Arial" w:hAnsi="Arial"/>
          <w:sz w:val="22"/>
          <w:szCs w:val="22"/>
          <w:color w:val="auto"/>
        </w:rPr>
        <w:t>J4B]A-$4P,D=+%8V2F=6,DMU&gt;%8R2W5X5C)+ M=7A6,DMU&gt;%8R2W5X5C)+=7A6,DMU)B-</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X03MX5C)+=7A6,DMU&gt;%8R2W5X5C)+ M=7A6,DMQ8C(Q=DI.2$TX4U!.1'DY1U)L0EI/46\S16YC5DA7;4MQ;4MU&gt;%8R</w:t>
      </w:r>
    </w:p>
    <w:p>
      <w:pPr>
        <w:spacing w:after="0" w:line="232" w:lineRule="auto"/>
        <w:rPr>
          <w:sz w:val="20"/>
          <w:szCs w:val="20"/>
          <w:color w:val="auto"/>
        </w:rPr>
      </w:pPr>
      <w:r>
        <w:rPr>
          <w:rFonts w:ascii="Arial" w:cs="Arial" w:eastAsia="Arial" w:hAnsi="Arial"/>
          <w:sz w:val="22"/>
          <w:szCs w:val="22"/>
          <w:color w:val="auto"/>
        </w:rPr>
        <w:t>M2W5X5C)+=7A65&amp;AT)B-X03MR945Y1T=*27I--6MM2TM&amp;3'5105=A;E9Q2T)5 M-'%Q67$W1EA9&lt;3=&amp;6%EQ-</w:t>
      </w:r>
    </w:p>
    <w:p>
      <w:pPr>
        <w:spacing w:after="0" w:line="230" w:lineRule="auto"/>
        <w:rPr>
          <w:sz w:val="20"/>
          <w:szCs w:val="20"/>
          <w:color w:val="auto"/>
        </w:rPr>
      </w:pPr>
      <w:r>
        <w:rPr>
          <w:rFonts w:ascii="Arial" w:cs="Arial" w:eastAsia="Arial" w:hAnsi="Arial"/>
          <w:sz w:val="22"/>
          <w:szCs w:val="22"/>
          <w:color w:val="auto"/>
        </w:rPr>
        <w:t>T9867$W1EA9&lt;3=&amp;6%EQ-T9867$W1EA9&lt;3=&amp;6%EQ M-T98)B-X03M9&lt;3=&amp;6%EQ-T9867$W1EA9&lt;3=&amp;6%EQ-</w:t>
      </w:r>
    </w:p>
    <w:p>
      <w:pPr>
        <w:spacing w:after="0" w:line="231" w:lineRule="auto"/>
        <w:rPr>
          <w:sz w:val="20"/>
          <w:szCs w:val="20"/>
          <w:color w:val="auto"/>
        </w:rPr>
      </w:pPr>
      <w:r>
        <w:rPr>
          <w:rFonts w:ascii="Arial" w:cs="Arial" w:eastAsia="Arial" w:hAnsi="Arial"/>
          <w:sz w:val="22"/>
          <w:szCs w:val="22"/>
          <w:color w:val="auto"/>
        </w:rPr>
        <w:t>T9867$W1EA9&lt;3=&amp;6%EQ M-T9867$W1EA9&lt;3=&amp;6%EQ-T9867$W1EA9&lt;3=&amp;6&amp;Y6="MC34TO;FEB)B-X03MY</w:t>
      </w:r>
    </w:p>
    <w:p>
      <w:pPr>
        <w:spacing w:after="0"/>
        <w:rPr>
          <w:sz w:val="20"/>
          <w:szCs w:val="20"/>
          <w:color w:val="auto"/>
        </w:rPr>
      </w:pPr>
      <w:r>
        <w:rPr>
          <w:rFonts w:ascii="Arial" w:cs="Arial" w:eastAsia="Arial" w:hAnsi="Arial"/>
          <w:sz w:val="19"/>
          <w:szCs w:val="19"/>
          <w:color w:val="auto"/>
        </w:rPr>
        <w:t>M#AC&lt;6$X MBMX9GIN)B-X03MK-R]L95 X03)P9BMNFHK4C@OFHK M4C@O)B-X03MS6#@U-4\O-5AJ+S)P9CA!&lt;#8O-</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C@T+VMF4#=&amp;+T]E5'8K5C0O M=T1A;"\V978K=D]0-4AZ*WAF&gt;FYK-R]!2EAJ+W="&lt;5@O&lt;#8O=T-V)B-X03M/</w:t>
      </w:r>
    </w:p>
    <w:p>
      <w:pPr>
        <w:spacing w:after="0"/>
        <w:rPr>
          <w:sz w:val="20"/>
          <w:szCs w:val="20"/>
          <w:color w:val="auto"/>
        </w:rPr>
      </w:pPr>
      <w:r>
        <w:rPr>
          <w:rFonts w:ascii="Arial" w:cs="Arial" w:eastAsia="Arial" w:hAnsi="Arial"/>
          <w:sz w:val="21"/>
          <w:szCs w:val="21"/>
          <w:color w:val="auto"/>
        </w:rPr>
        <w:t>M4#5(&gt;BMX9GIN:S&amp;9Z;FLW+VQE4"]A;"]W M0VYR+W)Z:BM2."]S6#@U-4\O-5AJ+T%.&lt;5@O&lt;#8O)B-X03LV.#0O:V90-</w:t>
      </w:r>
    </w:p>
    <w:p>
      <w:pPr>
        <w:spacing w:after="0" w:line="232" w:lineRule="auto"/>
        <w:rPr>
          <w:sz w:val="20"/>
          <w:szCs w:val="20"/>
          <w:color w:val="auto"/>
        </w:rPr>
      </w:pPr>
      <w:r>
        <w:rPr>
          <w:rFonts w:ascii="Arial" w:cs="Arial" w:eastAsia="Arial" w:hAnsi="Arial"/>
          <w:sz w:val="22"/>
          <w:szCs w:val="22"/>
          <w:color w:val="auto"/>
        </w:rPr>
        <w:t>T8O M3V54=CA!;&amp;50+T%'&lt;&amp;8K;G(O04LX-"]K9E W1B]/951V*U8T+SEQ6"]P-B\V M.#0O:V90-T8O3V54=BM6-</w:t>
      </w:r>
    </w:p>
    <w:p>
      <w:pPr>
        <w:spacing w:after="0" w:line="230" w:lineRule="auto"/>
        <w:rPr>
          <w:sz w:val="20"/>
          <w:szCs w:val="20"/>
          <w:color w:val="auto"/>
        </w:rPr>
      </w:pPr>
      <w:r>
        <w:rPr>
          <w:rFonts w:ascii="Arial" w:cs="Arial" w:eastAsia="Arial" w:hAnsi="Arial"/>
          <w:sz w:val="22"/>
          <w:szCs w:val="22"/>
          <w:color w:val="auto"/>
        </w:rPr>
        <w:t>"\Y&lt;5@O)B-X03M!2V5V*W9/4#5(&gt;BMX9GIN:SFHK M4C@OFHK4C@O6]T9G5Z1&amp;Y(:&amp;M1-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6M*5T%58FM'5'-69&amp;ER'!I&lt;5@O;7@O&gt;6AD,2]X:V@O-4]$36Y39E3)733!M-4=R25$Y4',W9'-X-'EM5'</w:t>
      </w:r>
      <w:r>
        <w:rPr>
          <w:rFonts w:ascii="Arial" w:cs="Arial" w:eastAsia="Arial" w:hAnsi="Arial"/>
          <w:sz w:val="21"/>
          <w:szCs w:val="21"/>
          <w:color w:val="auto"/>
          <w:strike w:val="1"/>
        </w:rPr>
        <w:t>E-#3=S66)Z5&amp;)F,'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P94-/-7)*1S%#0VMG M=%6IZ M6C5G.'-A&gt;&amp;0R.3%!8CA#2C0T,71*56A70TLR6%IK:59(2G)T,WEJ)B-X03M&amp; M:FY%5G,S-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strike w:val="1"/>
        </w:rPr>
        <w:t>6-K6D55C8V]W04(S4DQ)1$UK.&amp;TO)B-X03M-2&amp;U,4F174FDP</w:t>
      </w:r>
    </w:p>
    <w:p>
      <w:pPr>
        <w:spacing w:after="0" w:line="230" w:lineRule="auto"/>
        <w:rPr>
          <w:sz w:val="20"/>
          <w:szCs w:val="20"/>
          <w:color w:val="auto"/>
        </w:rPr>
      </w:pPr>
      <w:r>
        <w:rPr>
          <w:rFonts w:ascii="Arial" w:cs="Arial" w:eastAsia="Arial" w:hAnsi="Arial"/>
          <w:sz w:val="22"/>
          <w:szCs w:val="22"/>
          <w:color w:val="auto"/>
          <w:strike w:val="1"/>
        </w:rPr>
        <w:t>M9#!B;7IT8F$P,'5E46]3,W!/5$LY&gt;'8Q64YT4W5$2&amp;IL2'4S2G8Y:35-:UID M+VMJ3F4X.&amp;%F&lt;49J&lt;79O451*9F$R)B-</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strike w:val="1"/>
        </w:rPr>
        <w:t>X03M,55AQ&gt;49F4FDK&lt;6=F,U9#5V)L M5#EQ;5)X-$-#3S9.+V%Y;FU"0G)M5T8U;$]--T9867$W1EA9&lt;3=&amp;6%EQ-T98</w:t>
      </w:r>
    </w:p>
    <w:p>
      <w:pPr>
        <w:spacing w:after="0" w:line="232" w:lineRule="auto"/>
        <w:rPr>
          <w:sz w:val="20"/>
          <w:szCs w:val="20"/>
          <w:color w:val="auto"/>
        </w:rPr>
      </w:pPr>
      <w:r>
        <w:rPr>
          <w:rFonts w:ascii="Arial" w:cs="Arial" w:eastAsia="Arial" w:hAnsi="Arial"/>
          <w:sz w:val="22"/>
          <w:szCs w:val="22"/>
          <w:color w:val="auto"/>
          <w:strike w:val="1"/>
        </w:rPr>
        <w:t>M67$W1EA9&lt;3=&amp;6%EQ)B-X03LW1EA9&lt;3=&amp;6#!8-4DO=T-54C!J+T%*:%DO=T)7 M85A0.5HY-W0X4#!$,THS;%19-</w:t>
      </w:r>
    </w:p>
    <w:p>
      <w:pPr>
        <w:spacing w:after="0" w:line="230" w:lineRule="auto"/>
        <w:rPr>
          <w:sz w:val="20"/>
          <w:szCs w:val="20"/>
          <w:color w:val="auto"/>
        </w:rPr>
      </w:pPr>
      <w:r>
        <w:rPr>
          <w:rFonts w:ascii="Arial" w:cs="Arial" w:eastAsia="Arial" w:hAnsi="Arial"/>
          <w:sz w:val="22"/>
          <w:szCs w:val="22"/>
          <w:color w:val="auto"/>
          <w:strike w:val="1"/>
        </w:rPr>
        <w:t>T9867$W1E5J.#EF.$%+16599BLR6F5F.$%5 M3RM+)B-X03MV2%E03$]V,E@U=U,V$=6 M;'%Z44UO,$AL=B]+</w:t>
      </w:r>
    </w:p>
    <w:p>
      <w:pPr>
        <w:spacing w:after="0" w:line="231" w:lineRule="auto"/>
        <w:rPr>
          <w:sz w:val="20"/>
          <w:szCs w:val="20"/>
          <w:color w:val="auto"/>
        </w:rPr>
      </w:pPr>
      <w:r>
        <w:rPr>
          <w:rFonts w:ascii="Arial" w:cs="Arial" w:eastAsia="Arial" w:hAnsi="Arial"/>
          <w:sz w:val="22"/>
          <w:szCs w:val="22"/>
          <w:color w:val="auto"/>
          <w:strike w:val="1"/>
        </w:rPr>
        <w:t>&lt;&amp;9/6"LK668X06MA=6)$.#-"=V9Y4Y82#@S0F9YF0O&gt;7%8&gt;FPO=FU(+T%*1W)J*V)G=C578G8K5E,K8W8Y.'"].</w:t>
      </w:r>
    </w:p>
    <w:p>
      <w:pPr>
        <w:spacing w:after="0" w:line="231" w:lineRule="auto"/>
        <w:rPr>
          <w:sz w:val="20"/>
          <w:szCs w:val="20"/>
          <w:color w:val="auto"/>
        </w:rPr>
      </w:pPr>
      <w:r>
        <w:rPr>
          <w:rFonts w:ascii="Arial" w:cs="Arial" w:eastAsia="Arial" w:hAnsi="Arial"/>
          <w:sz w:val="22"/>
          <w:szCs w:val="22"/>
          <w:color w:val="auto"/>
          <w:strike w:val="1"/>
        </w:rPr>
        <w:t>M=U@X)B-X03MR3C,O04-Q6'IL+W9M2"]K8750-75#+VQ:=2\U5DPU&gt;2]W0CAW</w:t>
      </w:r>
    </w:p>
    <w:p>
      <w:pPr>
        <w:spacing w:after="0" w:line="230" w:lineRule="auto"/>
        <w:rPr>
          <w:sz w:val="20"/>
          <w:szCs w:val="20"/>
          <w:color w:val="auto"/>
        </w:rPr>
      </w:pPr>
      <w:r>
        <w:rPr>
          <w:rFonts w:ascii="Arial" w:cs="Arial" w:eastAsia="Arial" w:hAnsi="Arial"/>
          <w:sz w:val="22"/>
          <w:szCs w:val="22"/>
          <w:color w:val="auto"/>
          <w:strike w:val="1"/>
        </w:rPr>
        <w:t>M+SA!23%C9GIC1B]+&gt;F0O&gt;7%8&gt;FPO=FU(+VMA=5 U=4,O;%IU+S56)B-X03M, M-</w:t>
      </w:r>
    </w:p>
    <w:p>
      <w:pPr>
        <w:spacing w:after="0" w:line="231" w:lineRule="auto"/>
        <w:rPr>
          <w:sz w:val="20"/>
          <w:szCs w:val="20"/>
          <w:color w:val="auto"/>
        </w:rPr>
      </w:pPr>
      <w:r>
        <w:rPr>
          <w:rFonts w:ascii="Arial" w:cs="Arial" w:eastAsia="Arial" w:hAnsi="Arial"/>
          <w:sz w:val="22"/>
          <w:szCs w:val="22"/>
          <w:color w:val="auto"/>
          <w:strike w:val="1"/>
        </w:rPr>
        <w:t>7DO,WI$+T%-:E9X+TYW6#AR3C,O2W!F3U@K*UEF*U)Q-"]M-$PK5FTW+T%*</w:t>
      </w:r>
    </w:p>
    <w:p>
      <w:pPr>
        <w:spacing w:after="0"/>
        <w:rPr>
          <w:sz w:val="20"/>
          <w:szCs w:val="20"/>
          <w:color w:val="auto"/>
        </w:rPr>
      </w:pPr>
      <w:r>
        <w:rPr>
          <w:rFonts w:ascii="Arial" w:cs="Arial" w:eastAsia="Arial" w:hAnsi="Arial"/>
          <w:sz w:val="21"/>
          <w:szCs w:val="21"/>
          <w:color w:val="auto"/>
          <w:strike w:val="1"/>
        </w:rPr>
        <w:t>M5DPU&gt;2\S&gt;D0O&gt;4Y82#@S0F9YF0O=T%Q;#@U9CF5W95=B0S0P+WDO M&lt;#EL8V=#93-G4T]5)B-X03M+86IK;S-</w:t>
      </w:r>
    </w:p>
    <w:p>
      <w:pPr>
        <w:spacing w:after="0" w:line="232" w:lineRule="auto"/>
        <w:rPr>
          <w:sz w:val="20"/>
          <w:szCs w:val="20"/>
          <w:color w:val="auto"/>
        </w:rPr>
      </w:pPr>
      <w:r>
        <w:rPr>
          <w:rFonts w:ascii="Arial" w:cs="Arial" w:eastAsia="Arial" w:hAnsi="Arial"/>
          <w:sz w:val="22"/>
          <w:szCs w:val="22"/>
          <w:color w:val="auto"/>
          <w:strike w:val="1"/>
        </w:rPr>
        <w:t>O8S%U5U%-:5$W1$A';V=*;FQB3C)+ M=7A6,DMP2#4V+S51:GI$+T%.B]G278K&lt;6U+,##5D+S5:B]!</w:t>
      </w:r>
    </w:p>
    <w:p>
      <w:pPr>
        <w:spacing w:after="0"/>
        <w:rPr>
          <w:sz w:val="20"/>
          <w:szCs w:val="20"/>
          <w:color w:val="auto"/>
        </w:rPr>
      </w:pPr>
      <w:r>
        <w:rPr>
          <w:rFonts w:ascii="Arial" w:cs="Arial" w:eastAsia="Arial" w:hAnsi="Arial"/>
          <w:sz w:val="21"/>
          <w:szCs w:val="21"/>
          <w:color w:val="auto"/>
          <w:strike w:val="1"/>
        </w:rPr>
        <w:t>M24-,+W%P:71/+S57&gt;#5D+W=#5V$X+S1#3"]Q&lt;&amp;ET3R]W0U9S95AF)B-X03LK M5V$X+W=#06DO-G%9$Y+ M6EEU)B-</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X03M)1WA#549C5E,K-3AS,C P;6IY-EDX=C%45FI)&lt;6EF:5I)+U)F M:DEZ1F%#9U@T%8R2W5X5C)+=7A6,DMU&gt;%8R)B-</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strike w:val="1"/>
        </w:rPr>
        <w:t>X03M+=7A6,DMU&gt;%8R M2W5X5C)+=7A6369,9B]!0VM7;&amp;8X04U:0B]Y9%A&amp;6'970D1S5F1I&lt;5(K978X M06Q#4$U0+V)-</w:t>
      </w:r>
    </w:p>
    <w:p>
      <w:pPr>
        <w:sectPr>
          <w:pgSz w:w="11900" w:h="16865" w:orient="portrait"/>
          <w:cols w:equalWidth="0" w:num="1">
            <w:col w:w="11360"/>
          </w:cols>
          <w:pgMar w:left="240" w:top="118" w:right="299" w:bottom="0" w:gutter="0" w:footer="0" w:header="0"/>
        </w:sectPr>
      </w:pPr>
    </w:p>
    <w:bookmarkStart w:id="140" w:name="page141"/>
    <w:bookmarkEnd w:id="140"/>
    <w:p>
      <w:pPr>
        <w:spacing w:after="0" w:line="11"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color w:val="auto"/>
          <w:strike w:val="1"/>
        </w:rPr>
        <w:t>=E X07%(9D961'IN)B-X03LO=T)+3"]T%9I M2&amp;YV5')'4V946FTP-C0Q3RMV2B]Q555%3V]81FE!:7=Z6$Q-0DA):V).4TIH M.%9++WIB67%O*U4W)B-X03M$&gt;4E.64YX&lt;'DS5FYR.%5F0V%Y=G)M.$9Y27E# M94QW&gt;GEU%9'+VU4+W=!;VYC+S8X6"]%&gt;&amp;ER&gt;4MY4S)E M.&amp;=3)B-X03LV:TU64@Q049C:R]A-S$Q&amp;6%EQ-T98 M67$W1EA9&lt;3=&amp;6%EQ-T9867$W1EA9)B-X03MQ-T9867$W1EA9&lt;3=&amp;57@X="\X M04M2858O=T%X:T@O2C%C5F4Y645/&gt;%8R2W!(-38O=T-523AW+SES&gt;3@O=T-O M9#A655!/9B]!16]V)B-X03LK,G9A9CAB-'%Y4$95:S%Z&gt;58U6#$R.&amp;=V3E</w:t>
      </w:r>
    </w:p>
    <w:p>
      <w:pPr>
        <w:spacing w:after="0" w:line="189" w:lineRule="exact"/>
        <w:rPr>
          <w:sz w:val="20"/>
          <w:szCs w:val="20"/>
          <w:color w:val="auto"/>
        </w:rPr>
      </w:pPr>
    </w:p>
    <w:p>
      <w:pPr>
        <w:ind w:right="4240"/>
        <w:spacing w:after="0" w:line="250" w:lineRule="auto"/>
        <w:rPr>
          <w:sz w:val="20"/>
          <w:szCs w:val="20"/>
          <w:color w:val="auto"/>
        </w:rPr>
      </w:pPr>
      <w:r>
        <w:rPr>
          <w:rFonts w:ascii="Arial" w:cs="Arial" w:eastAsia="Arial" w:hAnsi="Arial"/>
          <w:sz w:val="21"/>
          <w:szCs w:val="21"/>
          <w:color w:val="auto"/>
          <w:strike w:val="1"/>
        </w:rPr>
        <w:t>3-08C)K5%145%(0D]+=DQV.$B]!4$$T574O=V(U;R\V=',O)B-X03LO M031Q-R]"=FUJ+W$R&gt;B\X1&amp;ER=CA'*V%0*W)B4"]W3TMU+W=B-6\O-G1S+R]! M-</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strike w:val="1"/>
        </w:rPr>
        <w:t>'$W+T)V;6HO&lt;3)Z+SA$:7)V.$B\X1&amp;ER=CA'*V%0*W)B4"]W3TMU+W=B-6\O-G1S M+R]!-'$W+T)V;6HO&lt;3)Z+SA$:7)V)B-</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X03LX1RMA4"MR8E O=T]+=2]W8C5O M+S9TB\X1&amp;ER=CA'*V%0*W)B4"]W3TMU+W=B-6\O M-G1S+R]!-'$W+T)V)B-</w:t>
      </w:r>
    </w:p>
    <w:p>
      <w:pPr>
        <w:spacing w:after="0" w:line="232" w:lineRule="auto"/>
        <w:rPr>
          <w:sz w:val="20"/>
          <w:szCs w:val="20"/>
          <w:color w:val="auto"/>
        </w:rPr>
      </w:pPr>
      <w:r>
        <w:rPr>
          <w:rFonts w:ascii="Arial" w:cs="Arial" w:eastAsia="Arial" w:hAnsi="Arial"/>
          <w:sz w:val="22"/>
          <w:szCs w:val="22"/>
          <w:color w:val="auto"/>
          <w:strike w:val="1"/>
        </w:rPr>
        <w:t>X03MM:B]Q,GHO.$1IB\X1&amp;ER=CA'*V%0*W)B4"]W3TMO-U%F M2VYM)B-</w:t>
      </w:r>
    </w:p>
    <w:p>
      <w:pPr>
        <w:spacing w:after="0" w:line="230" w:lineRule="auto"/>
        <w:rPr>
          <w:sz w:val="20"/>
          <w:szCs w:val="20"/>
          <w:color w:val="auto"/>
        </w:rPr>
      </w:pPr>
      <w:r>
        <w:rPr>
          <w:rFonts w:ascii="Arial" w:cs="Arial" w:eastAsia="Arial" w:hAnsi="Arial"/>
          <w:sz w:val="22"/>
          <w:szCs w:val="22"/>
          <w:color w:val="auto"/>
          <w:strike w:val="1"/>
        </w:rPr>
        <w:t>X03M/1%A.3VUM,"M:26]R&lt;48U2$LW0E9K0DI0&gt;4=+=EI-0TA9&lt;3=&amp;</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strike w:val="1"/>
        </w:rPr>
        <w:t>M56HX.68X04M%95EF*S):968X055/*TMQ2&amp;Y0+W!29CET93 O=T-.)B-X03LX M5EI(:7)S5F1I&lt;46PO,6-6+S1#5"]M)B-</w:t>
      </w:r>
    </w:p>
    <w:p>
      <w:pPr>
        <w:spacing w:after="0" w:line="232" w:lineRule="auto"/>
        <w:rPr>
          <w:sz w:val="20"/>
          <w:szCs w:val="20"/>
          <w:color w:val="auto"/>
        </w:rPr>
      </w:pPr>
      <w:r>
        <w:rPr>
          <w:rFonts w:ascii="Arial" w:cs="Arial" w:eastAsia="Arial" w:hAnsi="Arial"/>
          <w:sz w:val="22"/>
          <w:szCs w:val="22"/>
          <w:color w:val="auto"/>
          <w:strike w:val="1"/>
        </w:rPr>
        <w:t>X03MN1EAF-#DX&lt;&amp;8Y M6$9F*T%K+W=#86-69"]J,WEL+W="6$9F.$%G2E K86-69"]J,WEL+S%C5B\T</w:t>
      </w:r>
    </w:p>
    <w:p>
      <w:pPr>
        <w:spacing w:after="0" w:line="230" w:lineRule="auto"/>
        <w:rPr>
          <w:sz w:val="20"/>
          <w:szCs w:val="20"/>
          <w:color w:val="auto"/>
        </w:rPr>
      </w:pPr>
      <w:r>
        <w:rPr>
          <w:rFonts w:ascii="Arial" w:cs="Arial" w:eastAsia="Arial" w:hAnsi="Arial"/>
          <w:sz w:val="22"/>
          <w:szCs w:val="22"/>
          <w:color w:val="auto"/>
          <w:strike w:val="1"/>
        </w:rPr>
        <w:t>M0U0O;6Y&amp;6&amp;8T.3AP9CE81F8K06LO)B-X03LU&lt;'A6,RM09DM8+U9X6"]G2E X M06UN1EAF-#DX&lt;&amp;8X059X6"]!24-</w:t>
      </w:r>
    </w:p>
    <w:p>
      <w:pPr>
        <w:spacing w:after="0" w:line="231" w:lineRule="auto"/>
        <w:rPr>
          <w:sz w:val="20"/>
          <w:szCs w:val="20"/>
          <w:color w:val="auto"/>
        </w:rPr>
      </w:pPr>
      <w:r>
        <w:rPr>
          <w:rFonts w:ascii="Arial" w:cs="Arial" w:eastAsia="Arial" w:hAnsi="Arial"/>
          <w:sz w:val="22"/>
          <w:szCs w:val="22"/>
          <w:color w:val="auto"/>
          <w:strike w:val="1"/>
        </w:rPr>
        <w:t>4+VUN1EAF-#DX&lt;&amp;8Y6$9F*T%K+S5P&gt;%8S M*U!F2U@O5GA8+V=*)B-X03M0*V%C5F0O:C-Y;"\Q8U8O-$-4+T%*</w:t>
      </w:r>
    </w:p>
    <w:p>
      <w:pPr>
        <w:spacing w:after="0" w:line="231" w:lineRule="auto"/>
        <w:rPr>
          <w:sz w:val="20"/>
          <w:szCs w:val="20"/>
          <w:color w:val="auto"/>
        </w:rPr>
      </w:pPr>
      <w:r>
        <w:rPr>
          <w:rFonts w:ascii="Arial" w:cs="Arial" w:eastAsia="Arial" w:hAnsi="Arial"/>
          <w:sz w:val="22"/>
          <w:szCs w:val="22"/>
          <w:color w:val="auto"/>
          <w:strike w:val="1"/>
        </w:rPr>
        <w:t>&lt;'A6,RM0 M9DM8+T%&amp;8U8O=T-!:R\U&lt;'A6,RM09DM8+U9X6"]G2E K86-69"]J,WEL+S%C M5B\T)B-</w:t>
      </w:r>
    </w:p>
    <w:p>
      <w:pPr>
        <w:spacing w:after="0"/>
        <w:rPr>
          <w:sz w:val="20"/>
          <w:szCs w:val="20"/>
          <w:color w:val="auto"/>
        </w:rPr>
      </w:pPr>
      <w:r>
        <w:rPr>
          <w:rFonts w:ascii="Arial" w:cs="Arial" w:eastAsia="Arial" w:hAnsi="Arial"/>
          <w:sz w:val="21"/>
          <w:szCs w:val="21"/>
          <w:color w:val="auto"/>
          <w:strike w:val="1"/>
        </w:rPr>
        <w:t>X03M#5"]M;D989C0Y.'!F.5A&amp;9BM!:R]W0V%C5F0O:C-Y;"]W0EA&amp; M9CA!9TI0*V%C5F0O:C-Y;"\Q8U8O-$-4+VUN1EAF-</w:t>
      </w:r>
    </w:p>
    <w:p>
      <w:pPr>
        <w:spacing w:after="0" w:line="232" w:lineRule="auto"/>
        <w:rPr>
          <w:sz w:val="20"/>
          <w:szCs w:val="20"/>
          <w:color w:val="auto"/>
        </w:rPr>
      </w:pPr>
      <w:r>
        <w:rPr>
          <w:rFonts w:ascii="Arial" w:cs="Arial" w:eastAsia="Arial" w:hAnsi="Arial"/>
          <w:sz w:val="22"/>
          <w:szCs w:val="22"/>
          <w:color w:val="auto"/>
          <w:strike w:val="1"/>
        </w:rPr>
        <w:t>#DX&lt;&amp;8Y6$9F)B-X03LK M06LO-7!X5C,K4&amp;9+6"]6&gt;%@O9TI0.$%M;D989C0Y.'!F.$%6&gt;%@O04E#5"]M</w:t>
      </w:r>
    </w:p>
    <w:p>
      <w:pPr>
        <w:spacing w:after="0" w:line="230" w:lineRule="auto"/>
        <w:rPr>
          <w:sz w:val="20"/>
          <w:szCs w:val="20"/>
          <w:color w:val="auto"/>
        </w:rPr>
      </w:pPr>
      <w:r>
        <w:rPr>
          <w:rFonts w:ascii="Arial" w:cs="Arial" w:eastAsia="Arial" w:hAnsi="Arial"/>
          <w:sz w:val="22"/>
          <w:szCs w:val="22"/>
          <w:color w:val="auto"/>
          <w:strike w:val="1"/>
        </w:rPr>
        <w:t>M;D989C0Y.'!F.5A&amp;9BM!:R\U&lt;'A6,RM09DM8+U9X)B-X03M8+V=*4"MA8U9D M+VHS&gt;6PO,6-</w:t>
      </w:r>
    </w:p>
    <w:p>
      <w:pPr>
        <w:spacing w:after="0" w:line="231" w:lineRule="auto"/>
        <w:rPr>
          <w:sz w:val="20"/>
          <w:szCs w:val="20"/>
          <w:color w:val="auto"/>
        </w:rPr>
      </w:pPr>
      <w:r>
        <w:rPr>
          <w:rFonts w:ascii="Arial" w:cs="Arial" w:eastAsia="Arial" w:hAnsi="Arial"/>
          <w:sz w:val="22"/>
          <w:szCs w:val="22"/>
          <w:color w:val="auto"/>
          <w:strike w:val="1"/>
        </w:rPr>
        <w:t>6+S1#5"]!2G!X5C,K4&amp;9+6"]!1F-6+W=#06LO-7!X5D@V5C5H M,&amp;96;6M85#=K5'1%05I!1EE51&amp;10)B-</w:t>
      </w:r>
    </w:p>
    <w:p>
      <w:pPr>
        <w:spacing w:after="0"/>
        <w:rPr>
          <w:sz w:val="20"/>
          <w:szCs w:val="20"/>
          <w:color w:val="auto"/>
        </w:rPr>
      </w:pPr>
      <w:r>
        <w:rPr>
          <w:rFonts w:ascii="Arial" w:cs="Arial" w:eastAsia="Arial" w:hAnsi="Arial"/>
          <w:sz w:val="21"/>
          <w:szCs w:val="21"/>
          <w:color w:val="auto"/>
          <w:strike w:val="1"/>
        </w:rPr>
        <w:t>X03MT065'2W!H:7%2*V5V*U5).''9IE)P3$9+;7AO+S=,&lt;%9U1$1U2S1Q;6US951N,#8P=7!29')0 M8U=":%#EF05EQ&gt;#-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&amp;6%EQ)B-X03LW1EA9&lt;3=&amp;6%EQ M-T9867$W1EA9&lt;3=&amp;6%EQ-T9867$W1EA9&lt;3=&amp;6%EQ-T98;T@U4F8W,6%L+W%2</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strike w:val="1"/>
        </w:rPr>
        <w:t>M9G)B17%8&lt;&amp;5"0U(K978K54DX=R\Y)B-X03MS&gt;3@O-F@S&gt;%91.#4O=T13:2\W</w:t>
      </w:r>
    </w:p>
    <w:p>
      <w:pPr>
        <w:spacing w:after="0" w:line="230" w:lineRule="auto"/>
        <w:rPr>
          <w:sz w:val="20"/>
          <w:szCs w:val="20"/>
          <w:color w:val="auto"/>
        </w:rPr>
      </w:pPr>
      <w:r>
        <w:rPr>
          <w:rFonts w:ascii="Arial" w:cs="Arial" w:eastAsia="Arial" w:hAnsi="Arial"/>
          <w:sz w:val="22"/>
          <w:szCs w:val="22"/>
          <w:color w:val="auto"/>
          <w:strike w:val="1"/>
        </w:rPr>
        <w:t>M83EP+WAV:7)).%99&gt;#5J1FY0DA31W=S0D=Y')I&lt;4@P-U-D4#!N&gt;FA'2G9-3W!85W)89'%&amp;</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strike w:val="1"/>
        </w:rPr>
        <w:t>M1G)D*VE96C1):DE66&amp;ML=D=P84YN9#9+-%ED+VA/-G%V*UI0+TM*,U K=D8O M=T%4)B-X03M'2W9(-$9I86%.6FY-</w:t>
      </w:r>
    </w:p>
    <w:p>
      <w:pPr>
        <w:spacing w:after="0" w:line="232" w:lineRule="auto"/>
        <w:rPr>
          <w:sz w:val="20"/>
          <w:szCs w:val="20"/>
          <w:color w:val="auto"/>
        </w:rPr>
      </w:pPr>
      <w:r>
        <w:rPr>
          <w:rFonts w:ascii="Arial" w:cs="Arial" w:eastAsia="Arial" w:hAnsi="Arial"/>
          <w:sz w:val="22"/>
          <w:szCs w:val="22"/>
          <w:color w:val="auto"/>
          <w:strike w:val="1"/>
        </w:rPr>
        <w:t>8U)90U)W3U)64V1Y0C-O34M75"M92DY- M:#AT5RMN4C-&amp;=&amp;1814XP&gt;E=S='%!0V)C&gt;#!,5$%%9T]Z538W-'%N)B-</w:t>
      </w:r>
    </w:p>
    <w:p>
      <w:pPr>
        <w:spacing w:after="0" w:line="230" w:lineRule="auto"/>
        <w:rPr>
          <w:sz w:val="20"/>
          <w:szCs w:val="20"/>
          <w:color w:val="auto"/>
        </w:rPr>
      </w:pPr>
      <w:r>
        <w:rPr>
          <w:rFonts w:ascii="Arial" w:cs="Arial" w:eastAsia="Arial" w:hAnsi="Arial"/>
          <w:sz w:val="22"/>
          <w:szCs w:val="22"/>
          <w:color w:val="auto"/>
          <w:strike w:val="1"/>
        </w:rPr>
        <w:t>X03M% M,G5A8VYN8E=*63=Q07@S=&amp;E93%%8R2W5X5C)+=7A6)B-X03LR2W5X5C)+=7A6,DMU&gt;%8R2W5X</w:t>
      </w:r>
    </w:p>
    <w:p>
      <w:pPr>
        <w:spacing w:after="0" w:line="231" w:lineRule="auto"/>
        <w:rPr>
          <w:sz w:val="20"/>
          <w:szCs w:val="20"/>
          <w:color w:val="auto"/>
        </w:rPr>
      </w:pPr>
      <w:r>
        <w:rPr>
          <w:rFonts w:ascii="Arial" w:cs="Arial" w:eastAsia="Arial" w:hAnsi="Arial"/>
          <w:sz w:val="22"/>
          <w:szCs w:val="22"/>
          <w:color w:val="auto"/>
          <w:strike w:val="1"/>
        </w:rPr>
        <w:t>M5C)+=7A6-D(K55@K.5=P9C9K6#8R&gt;$ML-EAG46MF;G(O04I1:GI$+S)Z3'HO M04MH,WA64C@U2W@O)B-</w:t>
      </w:r>
    </w:p>
    <w:p>
      <w:pPr>
        <w:spacing w:after="0" w:line="231" w:lineRule="auto"/>
        <w:rPr>
          <w:sz w:val="20"/>
          <w:szCs w:val="20"/>
          <w:color w:val="auto"/>
        </w:rPr>
      </w:pPr>
      <w:r>
        <w:rPr>
          <w:rFonts w:ascii="Arial" w:cs="Arial" w:eastAsia="Arial" w:hAnsi="Arial"/>
          <w:sz w:val="22"/>
          <w:szCs w:val="22"/>
          <w:color w:val="auto"/>
          <w:strike w:val="1"/>
        </w:rPr>
        <w:t>X03M19$%45%8W56UN:#A72W-I&gt;%9J*W1A0G)C,G!V M&lt;65I86Y(65A.&gt;&amp;)*6C-1;G0O5-H:GE6635'</w:t>
      </w:r>
    </w:p>
    <w:p>
      <w:pPr>
        <w:spacing w:after="0"/>
        <w:rPr>
          <w:sz w:val="20"/>
          <w:szCs w:val="20"/>
          <w:color w:val="auto"/>
        </w:rPr>
      </w:pPr>
      <w:r>
        <w:rPr>
          <w:rFonts w:ascii="Arial" w:cs="Arial" w:eastAsia="Arial" w:hAnsi="Arial"/>
          <w:sz w:val="19"/>
          <w:szCs w:val="19"/>
          <w:color w:val="auto"/>
          <w:strike w:val="1"/>
        </w:rPr>
        <w:t>M0V=)3S%385EQ&lt;69M3W).-55U06],2&amp;Y&amp;B\W-V(O9U1I&amp;UP34TZ M26YS=&amp;%N8V5)1#YX;7 N:6ED.F5B8C0V93=C+68P-</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strike w:val="1"/>
        </w:rPr>
        <w:t>S$M-#8T.2TX,&amp;0X+3EE M8V$U-C)A9CEF,SPO&gt;&amp;UP34TZ26YS=&amp;%N8V5)1#X*(" @(" @(" @/'AM&lt;$U-</w:t>
      </w:r>
    </w:p>
    <w:p>
      <w:pPr>
        <w:spacing w:after="0"/>
        <w:rPr>
          <w:sz w:val="20"/>
          <w:szCs w:val="20"/>
          <w:color w:val="auto"/>
        </w:rPr>
      </w:pPr>
      <w:r>
        <w:rPr>
          <w:rFonts w:ascii="Arial" w:cs="Arial" w:eastAsia="Arial" w:hAnsi="Arial"/>
          <w:sz w:val="21"/>
          <w:szCs w:val="21"/>
          <w:color w:val="auto"/>
          <w:strike w:val="1"/>
        </w:rPr>
        <w:t>M.D1O8W5M96YT240^&gt;&amp;UP+F1I9#IE8F(T-F4W8RUF,#&amp;UP34TZ3W)I9VEN86Q$;V-U;65N=$E$/@H@(" @ M("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\&gt;&amp;UP34TZ4F5N9&amp;ET:6]N0VQA&amp;UP34TZ1&amp;5R:79E9$9R M;VT^"B @(" @(" @(#QX;7!-33I(:7-T;W)Y/@H@(" @(" @("</w:t>
      </w:r>
    </w:p>
    <w:p>
      <w:pPr>
        <w:spacing w:after="0" w:line="232" w:lineRule="auto"/>
        <w:rPr>
          <w:sz w:val="20"/>
          <w:szCs w:val="20"/>
          <w:color w:val="auto"/>
        </w:rPr>
      </w:pPr>
      <w:r>
        <w:rPr>
          <w:rFonts w:ascii="Arial" w:cs="Arial" w:eastAsia="Arial" w:hAnsi="Arial"/>
          <w:sz w:val="22"/>
          <w:szCs w:val="22"/>
          <w:color w:val="auto"/>
          <w:strike w:val="1"/>
        </w:rPr>
        <w:t>@(" \7!E/2)2 M97-O=7)C92(^"B @(" @(" @(" @(" @("</w:t>
      </w:r>
    </w:p>
    <w:p>
      <w:pPr>
        <w:spacing w:after="0" w:line="230" w:lineRule="auto"/>
        <w:rPr>
          <w:sz w:val="20"/>
          <w:szCs w:val="20"/>
          <w:color w:val="auto"/>
        </w:rPr>
      </w:pPr>
      <w:r>
        <w:rPr>
          <w:rFonts w:ascii="Arial" w:cs="Arial" w:eastAsia="Arial" w:hAnsi="Arial"/>
          <w:sz w:val="22"/>
          <w:szCs w:val="22"/>
          <w:color w:val="auto"/>
          <w:strike w:val="1"/>
        </w:rPr>
        <w:t>@(#QS=$5V=#IA8W1I;VX^&amp;UP+FEI9#HX9#=B9#AC8BTR8C(S+30U8V(M83=D,RTS,34U M93-C.3(P-C8\+W-</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strike w:val="1"/>
        </w:rPr>
        <w:t>T179T.FEN#IX M;7!M971A/@H@(" @(" @(" @(" @(" @(" @(" @(" @(" @(" @(" @(" @ M(" @(" @(" @(" @(" @(" @(" @("</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M(" @(" @(" @(" @(" @(" @"B @(" @(" @(" @(" @(" @(" @(" @(" @ M("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 @(" @(" @ M(" @(" @(" @(" @(" @(" @(" @(" @(" @(" *(" @(" @("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M(" @(" @(" @(" @(" @(" @(" @(" @(" @(" @(" @(" @(" @(" @(" @ M(" @(" @(" @(" @(" @(" @(" @(" @("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H@(" @ M(" @(" @(" @(" @(" @(" @(" @(" @(" @(" @(" @(" @(" @(" @(" @ M(" @(" @(" @(" @("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M(" @(" @"B @(" @(" @(" @(" @(" @(" @(" @(" @(" @(" @(" @(" @ M("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 @(" @(" @ M(" @(" @(" @(" @(" @(" *(" @(" @(" @(" @(" @(" @(" @(" @("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M(" @(" @(" @(" @(" @(" @(" @(" @(" @(" @(" @(" @(" @(" @(" @ M(" @(" @(" @(" @(" @(" @(" @(" @(" @( H@(" @("</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M(" @(" @(" @(" @(" @(" @(" @(" @(" @(" @(" @(" @(" @(" @(" @ M(" @(" @(" @(" @("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@"B @(" @ M(" @(" @(" @(" @(" @(" @(" @(" @(" @(" @(" @(" @(" @(" @(" @ M("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 @(" @(" @ M(" @(" *(" @(" @(" @(" @(" @(" @(" @(" @(" @(" @(" @(" @("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M(" @(" @(" @(" @(" @(" @(" @(" @(" @(" @(" @(" @(" @(" @(" @ M(" @(" @(" @(" @(" @( H@(" @(" @(" @(" @(" @("</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M(" @(" @(" @(" @(" @(" @(" @(" @(" @(" @(" @(" @(" @(" @(" @ M(" @(" @(" @(" @("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@"B @(" @(" @(" @(" @(" @ M(" @(" @(" @(" @(" @(" @(" @(" @(" @(" @(" @(" @(" @(" @(" @ M("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 *(" @(" @ M(" @(" @(" @(" @(" @(" @(" @(" @(" @(" @(" @(" @(" @(" @("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M(" @(" @(" @(" @(" @(" @(" @(" @(" @(" @(" @(" @(" @(" @(" @ M(" @( H@(" @(" @(" @(" @(" @(" @(" @(" @(" @("</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M(" @(" @(" @(" @(" @(" @(" @(" @(" @(" @(" @(" @(" @(" @(" @ M(" @(" @(" @(" @(" @"B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M(" @(" @(" @(" @(" @(" @(" @(" @(" @(" @(" @(" @(" @(" @(" @ M("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 @(" @(" @ M(" @(" @(" @(" @(" @(" @(" @(" @(" @(" @(" @(" @(" @(" @("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M(" @(" @(" @(" @(" @(" @(" @(" @(" @(" @(" @(" @( H@(" @(" @ M(" @(" @(" @(" @(" @(" @(" @(" @(" @(" @(" @("</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M(" @(" @(" @(" @(" @(" @(" @(" @(" @(" @(" @(" @(" @(" @(" @ M(" @"B @(" @(" @("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M(" @(" @(" @(" @(" @(" @(" @(" @(" @(" @(" @(" @(" @(" @(" @ M("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 @(" @(" @ M(" @(" @(" @(" @(" @(" @(" @(" @(" @(" @(" @(" @(" @(" @("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strike w:val="1"/>
        </w:rPr>
        <w:t>M(" @(" @(" @(" @(" @(" @(" @(" @( H@(" @(" @(" @(" @(" @(" @ M(" @(" @(" @(" @(" @(" @(" @(" @(" @(" @(" @("</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M(" @(" @(" @(" @(" @(" @(" @(" @(" @(" @(" @(" @"B @(" @(" @ M(" @(" @(" @(" @(" @(" @("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strike w:val="1"/>
        </w:rPr>
        <w:t>@(" @(" @(" @(" @(" @(" @(" @ M(" @(" @(" @(" @(" @(" @(" @(" @(" @(" @(" @(" @(" @(" @(" @ M(" *(" @(" @("</w:t>
      </w:r>
    </w:p>
    <w:p>
      <w:pPr>
        <w:spacing w:after="0" w:line="232" w:lineRule="auto"/>
        <w:rPr>
          <w:sz w:val="20"/>
          <w:szCs w:val="20"/>
          <w:color w:val="auto"/>
        </w:rPr>
      </w:pPr>
      <w:r>
        <w:rPr>
          <w:rFonts w:ascii="Arial" w:cs="Arial" w:eastAsia="Arial" w:hAnsi="Arial"/>
          <w:sz w:val="22"/>
          <w:szCs w:val="22"/>
          <w:color w:val="auto"/>
          <w:strike w:val="1"/>
        </w:rPr>
        <w:t>@(" @(" @(" @(" @(" @(" @"CP_&gt;'!A8VME="!E;F0] M(G</w:t>
      </w:r>
      <w:r>
        <w:rPr>
          <w:rFonts w:ascii="Arial" w:cs="Arial" w:eastAsia="Arial" w:hAnsi="Arial"/>
          <w:sz w:val="22"/>
          <w:szCs w:val="22"/>
          <w:b w:val="1"/>
          <w:bCs w:val="1"/>
          <w:color w:val="auto"/>
          <w:strike w:val="1"/>
        </w:rPr>
        <w:t>3G)#3FY.(&gt;D.-L/I*0M?)JY4.1K@F$"E6,I:,4U-RKZM-</w:t>
      </w:r>
    </w:p>
    <w:p>
      <w:pPr>
        <w:spacing w:after="0" w:line="230" w:lineRule="auto"/>
        <w:rPr>
          <w:sz w:val="20"/>
          <w:szCs w:val="20"/>
          <w:color w:val="auto"/>
        </w:rPr>
      </w:pPr>
      <w:r>
        <w:rPr>
          <w:rFonts w:ascii="Arial" w:cs="Arial" w:eastAsia="Arial" w:hAnsi="Arial"/>
          <w:sz w:val="22"/>
          <w:szCs w:val="22"/>
          <w:b w:val="1"/>
          <w:bCs w:val="1"/>
          <w:color w:val="auto"/>
          <w:strike w:val="1"/>
        </w:rPr>
        <w:t>[S2&gt;Y&gt;4/2;&lt; M1*YG=/(73O$S;&amp;A:RZC\[,SQRG]KQ&amp;PJK"R,@C%YL#9OLU;+&gt;1:MW3QFH\9&lt;^+^[*/&gt;[</w:t>
      </w:r>
    </w:p>
    <w:p>
      <w:pPr>
        <w:spacing w:after="0" w:line="231" w:lineRule="auto"/>
        <w:rPr>
          <w:sz w:val="20"/>
          <w:szCs w:val="20"/>
          <w:color w:val="auto"/>
        </w:rPr>
      </w:pPr>
      <w:r>
        <w:rPr>
          <w:rFonts w:ascii="Arial" w:cs="Arial" w:eastAsia="Arial" w:hAnsi="Arial"/>
          <w:sz w:val="22"/>
          <w:szCs w:val="22"/>
          <w:b w:val="1"/>
          <w:bCs w:val="1"/>
          <w:color w:val="auto"/>
          <w:strike w:val="1"/>
        </w:rPr>
        <w:t>MMLS;"T-.*/JDR)0V]HU*I'/TYINWB"S,B]9IG(]CGAU"9RDEALIGM"UPJDG) M^LM"</w:t>
      </w:r>
    </w:p>
    <w:p>
      <w:pPr>
        <w:spacing w:after="0" w:line="231" w:lineRule="auto"/>
        <w:rPr>
          <w:sz w:val="20"/>
          <w:szCs w:val="20"/>
          <w:color w:val="auto"/>
        </w:rPr>
      </w:pPr>
      <w:r>
        <w:rPr>
          <w:rFonts w:ascii="Arial" w:cs="Arial" w:eastAsia="Arial" w:hAnsi="Arial"/>
          <w:sz w:val="22"/>
          <w:szCs w:val="22"/>
          <w:b w:val="1"/>
          <w:bCs w:val="1"/>
          <w:color w:val="auto"/>
          <w:strike w:val="1"/>
        </w:rPr>
        <w:t>[=ZDTTZT3#$$&amp;G.0M_F=2Z"WAM2MMHQ[8=9Z@V7L""93:#QS#.YFFTN: ML&lt;6VEV[!ZV7&lt;19WTG&amp;W1NY;4</w:t>
      </w:r>
    </w:p>
    <w:p>
      <w:pPr>
        <w:spacing w:after="0"/>
        <w:rPr>
          <w:sz w:val="20"/>
          <w:szCs w:val="20"/>
          <w:color w:val="auto"/>
        </w:rPr>
      </w:pPr>
      <w:r>
        <w:rPr>
          <w:rFonts w:ascii="Arial" w:cs="Arial" w:eastAsia="Arial" w:hAnsi="Arial"/>
          <w:sz w:val="22"/>
          <w:szCs w:val="22"/>
          <w:b w:val="1"/>
          <w:bCs w:val="1"/>
          <w:color w:val="auto"/>
          <w:strike w:val="1"/>
        </w:rPr>
        <w:t>MRB(RQ[.U?3KO.1]?2&gt;MX-E)V*%:R3MK%(2#YTNDP(LX/A,JSA93!&lt;8ZZA\^Z</w:t>
      </w:r>
    </w:p>
    <w:p>
      <w:pPr>
        <w:sectPr>
          <w:pgSz w:w="11900" w:h="16850" w:orient="portrait"/>
          <w:cols w:equalWidth="0" w:num="1">
            <w:col w:w="11420"/>
          </w:cols>
          <w:pgMar w:left="240" w:top="118" w:right="239" w:bottom="0" w:gutter="0" w:footer="0" w:header="0"/>
        </w:sectPr>
      </w:pPr>
    </w:p>
    <w:bookmarkStart w:id="141" w:name="page142"/>
    <w:bookmarkEnd w:id="141"/>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M$HT8US*Y/1G#W05HWO+U)_=V5:EJC$&amp;K&lt;;*-H5T\5MMHBJPW6+(N M6;@B!$590JI\=D?)BH9*7!^E:Y^[SX-</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GT*32E(US=U M=G-]S2-H:7V+MDDJQC=4PM-L2CN%4K-JC?%"$AY&gt;?5=F7(Y+U&amp;21R]B5-7M+</w:t>
      </w:r>
    </w:p>
    <w:p>
      <w:pPr>
        <w:spacing w:after="0" w:line="230" w:lineRule="auto"/>
        <w:rPr>
          <w:sz w:val="20"/>
          <w:szCs w:val="20"/>
          <w:color w:val="auto"/>
        </w:rPr>
      </w:pPr>
      <w:r>
        <w:rPr>
          <w:rFonts w:ascii="Arial" w:cs="Arial" w:eastAsia="Arial" w:hAnsi="Arial"/>
          <w:sz w:val="22"/>
          <w:szCs w:val="22"/>
          <w:b w:val="1"/>
          <w:bCs w:val="1"/>
          <w:color w:val="auto"/>
          <w:strike w:val="1"/>
        </w:rPr>
        <w:t>MV&lt;8S;JZ4IOOT#1OJSEJFOKI#;*H5)V)7C'4K]]J-T5AK5#,IV,4/ MU'(SI1TU?ZW[ 5(U[I)=I6SI3$N&amp;%&gt;J&amp;OE-"IV/8-</w:t>
      </w:r>
    </w:p>
    <w:p>
      <w:pPr>
        <w:spacing w:after="0" w:line="231" w:lineRule="auto"/>
        <w:rPr>
          <w:sz w:val="20"/>
          <w:szCs w:val="20"/>
          <w:color w:val="auto"/>
        </w:rPr>
      </w:pPr>
      <w:r>
        <w:rPr>
          <w:rFonts w:ascii="Arial" w:cs="Arial" w:eastAsia="Arial" w:hAnsi="Arial"/>
          <w:sz w:val="22"/>
          <w:szCs w:val="22"/>
          <w:b w:val="1"/>
          <w:bCs w:val="1"/>
          <w:color w:val="auto"/>
          <w:strike w:val="1"/>
        </w:rPr>
        <w:t>&amp;7OJ M\7:#7QW*8SX&amp;8 T_OW;330VD]K;ID89S8F.K:'9</w:t>
      </w:r>
    </w:p>
    <w:p>
      <w:pPr>
        <w:spacing w:after="0" w:line="230" w:lineRule="auto"/>
        <w:rPr>
          <w:sz w:val="20"/>
          <w:szCs w:val="20"/>
          <w:color w:val="auto"/>
        </w:rPr>
      </w:pPr>
      <w:r>
        <w:rPr>
          <w:rFonts w:ascii="Arial" w:cs="Arial" w:eastAsia="Arial" w:hAnsi="Arial"/>
          <w:sz w:val="22"/>
          <w:szCs w:val="22"/>
          <w:b w:val="1"/>
          <w:bCs w:val="1"/>
          <w:color w:val="auto"/>
          <w:strike w:val="1"/>
        </w:rPr>
        <w:t>M;TZ@F;I)@YEV]:BW,H&gt;/;/ET5"MEE2H=3"AB'P3)NMUU'JO;+:,6A&amp;^T-&lt;4C8K:$7=$?+Q#&gt;</w:t>
      </w:r>
    </w:p>
    <w:p>
      <w:pPr>
        <w:spacing w:after="0" w:line="231" w:lineRule="auto"/>
        <w:rPr>
          <w:sz w:val="20"/>
          <w:szCs w:val="20"/>
          <w:color w:val="auto"/>
        </w:rPr>
      </w:pPr>
      <w:r>
        <w:rPr>
          <w:rFonts w:ascii="Arial" w:cs="Arial" w:eastAsia="Arial" w:hAnsi="Arial"/>
          <w:sz w:val="22"/>
          <w:szCs w:val="22"/>
          <w:b w:val="1"/>
          <w:bCs w:val="1"/>
          <w:color w:val="auto"/>
          <w:strike w:val="1"/>
        </w:rPr>
        <w:t>[5F+LJ44N\312*\5;IR14C*X M33*H9/)L$)@W5P&gt;:5-0(B=(KR=V[Q;UAJ*P:3AM&lt;35YVGR-UUHYLAM-I9GE4</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M9M]@15O.E(K^U.;8O&amp;ZJ4O"Q.3*ERY*1L=QC#514R64[02DW6OJIO-OOV#1F MS]L]+UHZHR^T[/JO@SN"ETF/?</w:t>
      </w:r>
    </w:p>
    <w:p>
      <w:pPr>
        <w:spacing w:after="0" w:line="232" w:lineRule="auto"/>
        <w:rPr>
          <w:sz w:val="20"/>
          <w:szCs w:val="20"/>
          <w:color w:val="auto"/>
        </w:rPr>
      </w:pPr>
      <w:r>
        <w:rPr>
          <w:rFonts w:ascii="Arial" w:cs="Arial" w:eastAsia="Arial" w:hAnsi="Arial"/>
          <w:sz w:val="22"/>
          <w:szCs w:val="22"/>
          <w:b w:val="1"/>
          <w:bCs w:val="1"/>
          <w:color w:val="auto"/>
          <w:strike w:val="1"/>
        </w:rPr>
        <w:t>6:[5'4,YO*!V"YJT*CE_-JUUY?%/$LO4XQ! MXJ4N$7BW^S^!%DY4,1$\I6;S5:;UD[[[HL,X[;SI_)?</w:t>
      </w:r>
    </w:p>
    <w:p>
      <w:pPr>
        <w:spacing w:after="0" w:line="230" w:lineRule="auto"/>
        <w:rPr>
          <w:sz w:val="20"/>
          <w:szCs w:val="20"/>
          <w:color w:val="auto"/>
        </w:rPr>
      </w:pPr>
      <w:r>
        <w:rPr>
          <w:rFonts w:ascii="Arial" w:cs="Arial" w:eastAsia="Arial" w:hAnsi="Arial"/>
          <w:sz w:val="22"/>
          <w:szCs w:val="22"/>
          <w:b w:val="1"/>
          <w:bCs w:val="1"/>
          <w:color w:val="auto"/>
          <w:strike w:val="1"/>
        </w:rPr>
        <w:t>26MMZT3QM*L;)KC&gt;= M9,G^.J_B7I%W$;.0+_J8P15]'SS&amp;29+'3R9(ZK$RB1CIY(?-))J5-1!NP M %)'2</w:t>
      </w:r>
    </w:p>
    <w:p>
      <w:pPr>
        <w:spacing w:after="0" w:line="231" w:lineRule="auto"/>
        <w:rPr>
          <w:sz w:val="20"/>
          <w:szCs w:val="20"/>
          <w:color w:val="auto"/>
        </w:rPr>
      </w:pPr>
      <w:r>
        <w:rPr>
          <w:rFonts w:ascii="Arial" w:cs="Arial" w:eastAsia="Arial" w:hAnsi="Arial"/>
          <w:sz w:val="22"/>
          <w:szCs w:val="22"/>
          <w:b w:val="1"/>
          <w:bCs w:val="1"/>
          <w:color w:val="auto"/>
          <w:strike w:val="1"/>
        </w:rPr>
        <w:t>M@;4H6D&gt;8W1;;3V?.^UFAT^\ MW+R-C6VL:_B0@)S6]*K:=IE&amp;D&lt;_E[-9=J1\*1'J1YG7BI6A'9CNSHE-U,&gt;'P</w:t>
      </w:r>
    </w:p>
    <w:p>
      <w:pPr>
        <w:spacing w:after="0"/>
        <w:rPr>
          <w:sz w:val="20"/>
          <w:szCs w:val="20"/>
          <w:color w:val="auto"/>
        </w:rPr>
      </w:pPr>
      <w:r>
        <w:rPr>
          <w:rFonts w:ascii="Arial" w:cs="Arial" w:eastAsia="Arial" w:hAnsi="Arial"/>
          <w:sz w:val="21"/>
          <w:szCs w:val="21"/>
          <w:b w:val="1"/>
          <w:bCs w:val="1"/>
          <w:color w:val="auto"/>
          <w:strike w:val="1"/>
        </w:rPr>
        <w:t>MS&amp;$HM3EF2&amp;M[6S,2Z5E&amp;C2188 M0:1^4#(81?MU2'1.DZ]D9S0C',FYZ_P_V3OO]^^8C/0[IR&amp;.^Z:C2F]MN6S: M6-</w:t>
      </w:r>
    </w:p>
    <w:p>
      <w:pPr>
        <w:spacing w:after="0" w:line="232" w:lineRule="auto"/>
        <w:rPr>
          <w:sz w:val="20"/>
          <w:szCs w:val="20"/>
          <w:color w:val="auto"/>
        </w:rPr>
      </w:pPr>
      <w:r>
        <w:rPr>
          <w:rFonts w:ascii="Arial" w:cs="Arial" w:eastAsia="Arial" w:hAnsi="Arial"/>
          <w:sz w:val="22"/>
          <w:szCs w:val="22"/>
          <w:b w:val="1"/>
          <w:bCs w:val="1"/>
          <w:color w:val="auto"/>
          <w:strike w:val="1"/>
        </w:rPr>
        <w:t>'\5'59JSJ;DG"&lt;4[AW&amp;G-HK0MO3JB"V(ZOVJ7I^*LO.'8()%&gt;2*:SE3)U% M,FS/J_\</w:t>
      </w:r>
    </w:p>
    <w:p>
      <w:pPr>
        <w:spacing w:after="0" w:line="230" w:lineRule="auto"/>
        <w:rPr>
          <w:sz w:val="20"/>
          <w:szCs w:val="20"/>
          <w:color w:val="auto"/>
        </w:rPr>
      </w:pPr>
      <w:r>
        <w:rPr>
          <w:rFonts w:ascii="Arial" w:cs="Arial" w:eastAsia="Arial" w:hAnsi="Arial"/>
          <w:sz w:val="22"/>
          <w:szCs w:val="22"/>
          <w:b w:val="1"/>
          <w:bCs w:val="1"/>
          <w:color w:val="auto"/>
          <w:strike w:val="1"/>
        </w:rPr>
        <w:t>ADE2K[T'1Z.2F^_X&amp;P.+'#G=&gt;U^"6F]E2_-GDMJ&gt;TET!7'&amp;IZAI: M[MZ-</w:t>
      </w:r>
    </w:p>
    <w:p>
      <w:pPr>
        <w:spacing w:after="0" w:line="231" w:lineRule="auto"/>
        <w:rPr>
          <w:sz w:val="20"/>
          <w:szCs w:val="20"/>
          <w:color w:val="auto"/>
        </w:rPr>
      </w:pPr>
      <w:r>
        <w:rPr>
          <w:rFonts w:ascii="Arial" w:cs="Arial" w:eastAsia="Arial" w:hAnsi="Arial"/>
          <w:sz w:val="22"/>
          <w:szCs w:val="22"/>
          <w:b w:val="1"/>
          <w:bCs w:val="1"/>
          <w:color w:val="auto"/>
          <w:strike w:val="1"/>
        </w:rPr>
        <w:t>J.C5Z"K!?:,6T5F/A5'E_D'31FP&gt;SB[AXFJ=2378,L(H-T3FBT=G-;VV;5VKV*I5:TIP.K=@/FG(8M +</w:t>
      </w:r>
    </w:p>
    <w:p>
      <w:pPr>
        <w:spacing w:after="0" w:line="231" w:lineRule="auto"/>
        <w:rPr>
          <w:sz w:val="20"/>
          <w:szCs w:val="20"/>
          <w:color w:val="auto"/>
        </w:rPr>
      </w:pPr>
      <w:r>
        <w:rPr>
          <w:rFonts w:ascii="Arial" w:cs="Arial" w:eastAsia="Arial" w:hAnsi="Arial"/>
          <w:sz w:val="22"/>
          <w:szCs w:val="22"/>
          <w:b w:val="1"/>
          <w:bCs w:val="1"/>
          <w:color w:val="auto"/>
          <w:strike w:val="1"/>
        </w:rPr>
        <w:t>M&lt;+S2&amp;T;E&amp;8M1&amp;D"W&gt;M5B*-TFCU4YTD&gt;IU2"T:1M7%*J5&gt;O17?H(TI9J5H^PZ M+M#:4QHFF/:;C;&amp;</w:t>
      </w:r>
    </w:p>
    <w:p>
      <w:pPr>
        <w:spacing w:after="0" w:line="230" w:lineRule="auto"/>
        <w:rPr>
          <w:sz w:val="20"/>
          <w:szCs w:val="20"/>
          <w:color w:val="auto"/>
        </w:rPr>
      </w:pPr>
      <w:r>
        <w:rPr>
          <w:rFonts w:ascii="Arial" w:cs="Arial" w:eastAsia="Arial" w:hAnsi="Arial"/>
          <w:sz w:val="22"/>
          <w:szCs w:val="22"/>
          <w:b w:val="1"/>
          <w:bCs w:val="1"/>
          <w:color w:val="auto"/>
          <w:strike w:val="1"/>
        </w:rPr>
        <w:t>[=QX&gt;6)]8?;3OJ_J;&amp;N;?+QA%L?85G.JQK7+&gt;NI&gt;QG;(M M&gt;RSA-Q(.E.N;MO</w:t>
      </w:r>
    </w:p>
    <w:p>
      <w:pPr>
        <w:spacing w:after="0" w:line="231" w:lineRule="auto"/>
        <w:rPr>
          <w:sz w:val="20"/>
          <w:szCs w:val="20"/>
          <w:color w:val="auto"/>
        </w:rPr>
      </w:pPr>
      <w:r>
        <w:rPr>
          <w:rFonts w:ascii="Arial" w:cs="Arial" w:eastAsia="Arial" w:hAnsi="Arial"/>
          <w:sz w:val="22"/>
          <w:szCs w:val="22"/>
          <w:b w:val="1"/>
          <w:bCs w:val="1"/>
          <w:color w:val="auto"/>
          <w:strike w:val="1"/>
        </w:rPr>
        <w:t>7%NKK1+J)965TE=+AMD\RNC&amp;UW84SJU^_2?+^ESJ:74[1 M2&amp;M6H*K!R9"9/C..MED^6QC.&lt;9P-</w:t>
      </w:r>
    </w:p>
    <w:p>
      <w:pPr>
        <w:spacing w:after="0" w:line="230" w:lineRule="auto"/>
        <w:rPr>
          <w:sz w:val="20"/>
          <w:szCs w:val="20"/>
          <w:color w:val="auto"/>
        </w:rPr>
      </w:pPr>
      <w:r>
        <w:rPr>
          <w:rFonts w:ascii="Arial" w:cs="Arial" w:eastAsia="Arial" w:hAnsi="Arial"/>
          <w:sz w:val="22"/>
          <w:szCs w:val="22"/>
          <w:b w:val="1"/>
          <w:bCs w:val="1"/>
          <w:color w:val="auto"/>
          <w:strike w:val="1"/>
        </w:rPr>
        <w:t>(.D;1TSJGX,CE71X,SWHR-O*TW@),PNT MEU6]AX33.ZM.;6*L?/;L4])/I6;1(5%7&amp;#-4&amp;]&amp;=0:"93XSC/L&gt;;)&lt;]7."DB</w:t>
      </w:r>
    </w:p>
    <w:p>
      <w:pPr>
        <w:spacing w:after="0" w:line="231" w:lineRule="auto"/>
        <w:rPr>
          <w:sz w:val="20"/>
          <w:szCs w:val="20"/>
          <w:color w:val="auto"/>
        </w:rPr>
      </w:pPr>
      <w:r>
        <w:rPr>
          <w:rFonts w:ascii="Arial" w:cs="Arial" w:eastAsia="Arial" w:hAnsi="Arial"/>
          <w:sz w:val="22"/>
          <w:szCs w:val="22"/>
          <w:b w:val="1"/>
          <w:bCs w:val="1"/>
          <w:color w:val="auto"/>
          <w:strike w:val="1"/>
        </w:rPr>
        <w:t>MT7KU7VJ-?,:&gt;7?1^I6IQ$IEA@&gt;5_13;#NZ;DNPN2&lt;9SOY-WM1UE0RKF7W#39 MF:AGF#+%P$^/=SG.&lt;&gt;</w:t>
      </w:r>
    </w:p>
    <w:p>
      <w:pPr>
        <w:spacing w:after="0" w:line="231" w:lineRule="auto"/>
        <w:rPr>
          <w:sz w:val="20"/>
          <w:szCs w:val="20"/>
          <w:color w:val="auto"/>
        </w:rPr>
      </w:pPr>
      <w:r>
        <w:rPr>
          <w:rFonts w:ascii="Arial" w:cs="Arial" w:eastAsia="Arial" w:hAnsi="Arial"/>
          <w:sz w:val="22"/>
          <w:szCs w:val="22"/>
          <w:b w:val="1"/>
          <w:bCs w:val="1"/>
          <w:color w:val="auto"/>
          <w:strike w:val="1"/>
        </w:rPr>
        <w:t>F2XQ&gt;3K&amp;:3]EQ68E\GS_ !IO\BR&amp;FO;Y%)1*\CM&amp;QOVS-A(65^^?E=.W4L\;-\HD(FH:&amp;U&amp;36 M!-)\OXTU?</w:t>
      </w:r>
    </w:p>
    <w:p>
      <w:pPr>
        <w:spacing w:after="0" w:line="230" w:lineRule="auto"/>
        <w:rPr>
          <w:sz w:val="20"/>
          <w:szCs w:val="20"/>
          <w:color w:val="auto"/>
        </w:rPr>
      </w:pPr>
      <w:r>
        <w:rPr>
          <w:rFonts w:ascii="Arial" w:cs="Arial" w:eastAsia="Arial" w:hAnsi="Arial"/>
          <w:sz w:val="22"/>
          <w:szCs w:val="22"/>
          <w:b w:val="1"/>
          <w:bCs w:val="1"/>
          <w:color w:val="auto"/>
          <w:strike w:val="1"/>
        </w:rPr>
        <w:t>+L)3K3DK0_9JR_\Y^;W#/@B[HMRE=?L]NR-Y1Y9\@*&amp;_J,#L"L5</w:t>
      </w:r>
    </w:p>
    <w:p>
      <w:pPr>
        <w:spacing w:after="0" w:line="231" w:lineRule="auto"/>
        <w:rPr>
          <w:sz w:val="20"/>
          <w:szCs w:val="20"/>
          <w:color w:val="auto"/>
        </w:rPr>
      </w:pPr>
      <w:r>
        <w:rPr>
          <w:rFonts w:ascii="Arial" w:cs="Arial" w:eastAsia="Arial" w:hAnsi="Arial"/>
          <w:sz w:val="22"/>
          <w:szCs w:val="22"/>
          <w:b w:val="1"/>
          <w:bCs w:val="1"/>
          <w:color w:val="auto"/>
          <w:strike w:val="1"/>
        </w:rPr>
        <w:t>M'6=FFZG!&gt;U!M+ODU6=@LSJ&amp;.=T[AH]PHR:NO??=G\86R3_$7I#^,/'BEV-9[VVA%[&gt;N.LI^D51:&gt; MI]C83)</w:t>
      </w:r>
    </w:p>
    <w:p>
      <w:pPr>
        <w:spacing w:after="0" w:line="231" w:lineRule="auto"/>
        <w:rPr>
          <w:sz w:val="20"/>
          <w:szCs w:val="20"/>
          <w:color w:val="auto"/>
        </w:rPr>
      </w:pPr>
      <w:r>
        <w:rPr>
          <w:rFonts w:ascii="Arial" w:cs="Arial" w:eastAsia="Arial" w:hAnsi="Arial"/>
          <w:sz w:val="22"/>
          <w:szCs w:val="22"/>
          <w:b w:val="1"/>
          <w:bCs w:val="1"/>
          <w:color w:val="auto"/>
          <w:strike w:val="1"/>
        </w:rPr>
        <w:t>(M%U5$GSPBZ!F2N$C+XAWJA_&amp;/"EAHHI0E+#A&lt;7FIT[[U)[]^OH-A;</w:t>
      </w:r>
    </w:p>
    <w:p>
      <w:pPr>
        <w:spacing w:after="0" w:line="230" w:lineRule="auto"/>
        <w:rPr>
          <w:sz w:val="20"/>
          <w:szCs w:val="20"/>
          <w:color w:val="auto"/>
        </w:rPr>
      </w:pPr>
      <w:r>
        <w:rPr>
          <w:rFonts w:ascii="Arial" w:cs="Arial" w:eastAsia="Arial" w:hAnsi="Arial"/>
          <w:sz w:val="22"/>
          <w:szCs w:val="22"/>
          <w:b w:val="1"/>
          <w:bCs w:val="1"/>
          <w:color w:val="auto"/>
          <w:strike w:val="1"/>
        </w:rPr>
        <w:t>M!DML\S^&gt;^W.,E=WQMG0NA.*&amp;O:%)WQ_H&amp;VHTO8NP-K;28)V" 9/+H1@X5C:V</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MQ@&lt;.B*LR)G*9Q%+$6+D[DAF;-&amp;,94K*5=/01F^:W[OQ,?XS2N^=8])YLSC9L M_?&amp;R-JZJUKPWOK;RNG&gt;6W)GC]</w:t>
      </w:r>
    </w:p>
    <w:p>
      <w:pPr>
        <w:spacing w:after="0" w:line="232" w:lineRule="auto"/>
        <w:rPr>
          <w:sz w:val="20"/>
          <w:szCs w:val="20"/>
          <w:color w:val="auto"/>
        </w:rPr>
      </w:pPr>
      <w:r>
        <w:rPr>
          <w:rFonts w:ascii="Arial" w:cs="Arial" w:eastAsia="Arial" w:hAnsi="Arial"/>
          <w:sz w:val="22"/>
          <w:szCs w:val="22"/>
          <w:b w:val="1"/>
          <w:bCs w:val="1"/>
          <w:color w:val="auto"/>
          <w:strike w:val="1"/>
        </w:rPr>
        <w:t>7BYWZ M(XVZ_P!$W!&amp;C4ZGZ^IM@DJQ79R^Q&amp;87M-FSSN=B'B\@95RV(JBD=JW6:IJ$(</w:t>
      </w:r>
    </w:p>
    <w:p>
      <w:pPr>
        <w:spacing w:after="0" w:line="230" w:lineRule="auto"/>
        <w:rPr>
          <w:sz w:val="20"/>
          <w:szCs w:val="20"/>
          <w:color w:val="auto"/>
        </w:rPr>
      </w:pPr>
      <w:r>
        <w:rPr>
          <w:rFonts w:ascii="Arial" w:cs="Arial" w:eastAsia="Arial" w:hAnsi="Arial"/>
          <w:sz w:val="22"/>
          <w:szCs w:val="22"/>
          <w:b w:val="1"/>
          <w:bCs w:val="1"/>
          <w:color w:val="auto"/>
          <w:strike w:val="1"/>
        </w:rPr>
        <w:t>MSB34&amp;HX5)K37I[$,VNJWWWSQHMW,WE5=N#W'2=87M6!Y,T'I**KQ3N]EC'C^ M K5_L-</w:t>
      </w:r>
    </w:p>
    <w:p>
      <w:pPr>
        <w:spacing w:after="0" w:line="231" w:lineRule="auto"/>
        <w:rPr>
          <w:sz w:val="20"/>
          <w:szCs w:val="20"/>
          <w:color w:val="auto"/>
        </w:rPr>
      </w:pPr>
      <w:r>
        <w:rPr>
          <w:rFonts w:ascii="Arial" w:cs="Arial" w:eastAsia="Arial" w:hAnsi="Arial"/>
          <w:sz w:val="22"/>
          <w:szCs w:val="22"/>
          <w:b w:val="1"/>
          <w:bCs w:val="1"/>
          <w:color w:val="auto"/>
          <w:strike w:val="1"/>
        </w:rPr>
        <w:t>&gt;C[HW:IW:*KJ[5.:I[W,C4U9B,,7#)\K&amp;J'RBGUDRIVP14I+DPUZAF</w:t>
      </w:r>
    </w:p>
    <w:p>
      <w:pPr>
        <w:spacing w:after="0" w:line="231" w:lineRule="auto"/>
        <w:rPr>
          <w:sz w:val="20"/>
          <w:szCs w:val="20"/>
          <w:color w:val="auto"/>
        </w:rPr>
      </w:pPr>
      <w:r>
        <w:rPr>
          <w:rFonts w:ascii="Arial" w:cs="Arial" w:eastAsia="Arial" w:hAnsi="Arial"/>
          <w:sz w:val="22"/>
          <w:szCs w:val="22"/>
          <w:b w:val="1"/>
          <w:bCs w:val="1"/>
          <w:color w:val="auto"/>
          <w:strike w:val="1"/>
        </w:rPr>
        <w:t>M73_NFZ_$V[S!U_RCX.&amp;X^;&gt;T]S/W[MJ\;7WA6^/UQI_(2S1]JU%+V#;M&gt;L:$</w:t>
      </w:r>
    </w:p>
    <w:p>
      <w:pPr>
        <w:spacing w:after="0" w:line="230" w:lineRule="auto"/>
        <w:rPr>
          <w:sz w:val="20"/>
          <w:szCs w:val="20"/>
          <w:color w:val="auto"/>
        </w:rPr>
      </w:pPr>
      <w:r>
        <w:rPr>
          <w:rFonts w:ascii="Arial" w:cs="Arial" w:eastAsia="Arial" w:hAnsi="Arial"/>
          <w:sz w:val="22"/>
          <w:szCs w:val="22"/>
          <w:b w:val="1"/>
          <w:bCs w:val="1"/>
          <w:color w:val="auto"/>
          <w:strike w:val="1"/>
        </w:rPr>
        <w:t>M-;H&amp;@Q,,S:4EG&amp;V6).Y38MLK8*BHV0*X*F@XP^B+C+$G&amp;BI7-IS=(KONO RK M?]#WAP1OW$?</w:t>
      </w:r>
    </w:p>
    <w:p>
      <w:pPr>
        <w:spacing w:after="0" w:line="231" w:lineRule="auto"/>
        <w:rPr>
          <w:sz w:val="20"/>
          <w:szCs w:val="20"/>
          <w:color w:val="auto"/>
        </w:rPr>
      </w:pPr>
      <w:r>
        <w:rPr>
          <w:rFonts w:ascii="Arial" w:cs="Arial" w:eastAsia="Arial" w:hAnsi="Arial"/>
          <w:sz w:val="22"/>
          <w:szCs w:val="22"/>
          <w:b w:val="1"/>
          <w:bCs w:val="1"/>
          <w:color w:val="auto"/>
          <w:strike w:val="1"/>
        </w:rPr>
        <w:t>A89*2PI455\NTC1NMZF[-LS^S&gt;6O-ZY\0 M:IN?9N@=/&lt;=M6U/8.U[+I.;;5+:U]V-L?)'5,JC6[+LW1ZW3V595P]5*V0[1</w:t>
      </w:r>
    </w:p>
    <w:p>
      <w:pPr>
        <w:spacing w:after="0" w:line="230" w:lineRule="auto"/>
        <w:rPr>
          <w:sz w:val="20"/>
          <w:szCs w:val="20"/>
          <w:color w:val="auto"/>
        </w:rPr>
      </w:pPr>
      <w:r>
        <w:rPr>
          <w:rFonts w:ascii="Arial" w:cs="Arial" w:eastAsia="Arial" w:hAnsi="Arial"/>
          <w:sz w:val="22"/>
          <w:szCs w:val="22"/>
          <w:b w:val="1"/>
          <w:bCs w:val="1"/>
          <w:color w:val="auto"/>
          <w:strike w:val="1"/>
        </w:rPr>
        <w:t>MXX.LBY*WM@[SH3W2L/R+T M/?=N/\3NRHJ$]M*=,M5+L5NPR2/R]S\W.5=,CH^6OU0UZPTQM!6K661:0UMF4)</w:t>
      </w:r>
    </w:p>
    <w:p>
      <w:pPr>
        <w:spacing w:after="0" w:line="231" w:lineRule="auto"/>
        <w:rPr>
          <w:sz w:val="20"/>
          <w:szCs w:val="20"/>
          <w:color w:val="auto"/>
        </w:rPr>
      </w:pPr>
      <w:r>
        <w:rPr>
          <w:rFonts w:ascii="Arial" w:cs="Arial" w:eastAsia="Arial" w:hAnsi="Arial"/>
          <w:sz w:val="22"/>
          <w:szCs w:val="22"/>
          <w:b w:val="1"/>
          <w:bCs w:val="1"/>
          <w:color w:val="auto"/>
          <w:strike w:val="1"/>
        </w:rPr>
        <w:t>M"X;3O4Q&amp;R4I&gt;[ &gt;=/(LV+1==-FPBH)D1,JBBJF2)-1EFBF\VG/RQ;;&lt;;#Q!7-O</w:t>
      </w:r>
    </w:p>
    <w:p>
      <w:pPr>
        <w:spacing w:after="0" w:line="231" w:lineRule="auto"/>
        <w:rPr>
          <w:sz w:val="20"/>
          <w:szCs w:val="20"/>
          <w:color w:val="auto"/>
        </w:rPr>
      </w:pPr>
      <w:r>
        <w:rPr>
          <w:rFonts w:ascii="Arial" w:cs="Arial" w:eastAsia="Arial" w:hAnsi="Arial"/>
          <w:sz w:val="22"/>
          <w:szCs w:val="22"/>
          <w:b w:val="1"/>
          <w:bCs w:val="1"/>
          <w:color w:val="auto"/>
          <w:strike w:val="1"/>
        </w:rPr>
        <w:t>M@7'LVN1=JH9%5LQ=N;PV1_6EHW0ME-7]K[ 4N=8UWX-&gt;LY#V U9$J1C?%.K/@GL(^*E.O_L\</w:t>
      </w:r>
    </w:p>
    <w:p>
      <w:pPr>
        <w:spacing w:after="0" w:line="230" w:lineRule="auto"/>
        <w:rPr>
          <w:sz w:val="20"/>
          <w:szCs w:val="20"/>
          <w:color w:val="auto"/>
        </w:rPr>
      </w:pPr>
      <w:r>
        <w:rPr>
          <w:rFonts w:ascii="Arial" w:cs="Arial" w:eastAsia="Arial" w:hAnsi="Arial"/>
          <w:sz w:val="22"/>
          <w:szCs w:val="22"/>
          <w:b w:val="1"/>
          <w:bCs w:val="1"/>
          <w:color w:val="auto"/>
          <w:strike w:val="1"/>
        </w:rPr>
        <w:t>M*P2[3_9\&amp;/E)U;35&amp;J\E.4=Q'GIJK'#4[2/%JW6-YF.KU6YY\?K'.R&amp;6[IYX MC#0&lt;1L:2E'GBC%!5=UA)BU74[-</w:t>
      </w:r>
    </w:p>
    <w:p>
      <w:pPr>
        <w:spacing w:after="0" w:line="231" w:lineRule="auto"/>
        <w:rPr>
          <w:sz w:val="20"/>
          <w:szCs w:val="20"/>
          <w:color w:val="auto"/>
        </w:rPr>
      </w:pPr>
      <w:r>
        <w:rPr>
          <w:rFonts w:ascii="Arial" w:cs="Arial" w:eastAsia="Arial" w:hAnsi="Arial"/>
          <w:sz w:val="22"/>
          <w:szCs w:val="22"/>
          <w:b w:val="1"/>
          <w:bCs w:val="1"/>
          <w:color w:val="auto"/>
          <w:strike w:val="1"/>
        </w:rPr>
        <w:t>%-153J=5-,Y\X+FUE6LUI&gt;%[_[&amp;H^3R'Z9 MSA M/(ZSRE*L.T8--A8E-7U)W(2FU-</w:t>
      </w:r>
    </w:p>
    <w:p>
      <w:pPr>
        <w:spacing w:after="0" w:line="231" w:lineRule="auto"/>
        <w:rPr>
          <w:sz w:val="20"/>
          <w:szCs w:val="20"/>
          <w:color w:val="auto"/>
        </w:rPr>
      </w:pPr>
      <w:r>
        <w:rPr>
          <w:rFonts w:ascii="Arial" w:cs="Arial" w:eastAsia="Arial" w:hAnsi="Arial"/>
          <w:sz w:val="22"/>
          <w:szCs w:val="22"/>
          <w:b w:val="1"/>
          <w:bCs w:val="1"/>
          <w:color w:val="auto"/>
          <w:strike w:val="1"/>
        </w:rPr>
        <w:t>P2U)4,XRTEK0Q:W%".CGGA.W,7"SQJHBX\ M3=)/5PV;RHUIOSH[-:5?E M]2N8?</w:t>
      </w:r>
    </w:p>
    <w:p>
      <w:pPr>
        <w:spacing w:after="0" w:line="230" w:lineRule="auto"/>
        <w:rPr>
          <w:sz w:val="20"/>
          <w:szCs w:val="20"/>
          <w:color w:val="auto"/>
        </w:rPr>
      </w:pPr>
      <w:r>
        <w:rPr>
          <w:rFonts w:ascii="Arial" w:cs="Arial" w:eastAsia="Arial" w:hAnsi="Arial"/>
          <w:sz w:val="22"/>
          <w:szCs w:val="22"/>
          <w:b w:val="1"/>
          <w:bCs w:val="1"/>
          <w:color w:val="auto"/>
          <w:strike w:val="1"/>
        </w:rPr>
        <w:t>*+&gt;&gt;-;W.AM]_:YW9UV",K5D6JU63ARIZV&gt;XEY5OEDHDHZ, MR1=D2*Y.=#&amp;71-</w:t>
      </w:r>
    </w:p>
    <w:p>
      <w:pPr>
        <w:spacing w:after="0" w:line="231" w:lineRule="auto"/>
        <w:rPr>
          <w:sz w:val="20"/>
          <w:szCs w:val="20"/>
          <w:color w:val="auto"/>
        </w:rPr>
      </w:pPr>
      <w:r>
        <w:rPr>
          <w:rFonts w:ascii="Arial" w:cs="Arial" w:eastAsia="Arial" w:hAnsi="Arial"/>
          <w:sz w:val="22"/>
          <w:szCs w:val="22"/>
          <w:b w:val="1"/>
          <w:bCs w:val="1"/>
          <w:color w:val="auto"/>
          <w:strike w:val="1"/>
        </w:rPr>
        <w:t>3&gt;%P2KHH177OV=9E&gt;W76_=T=*,^X\:ZY";,U1IJ=X;U38M MY,+7D'1I#&gt;=I]O6Q*/8XN</w:t>
      </w:r>
    </w:p>
    <w:p>
      <w:pPr>
        <w:spacing w:after="0"/>
        <w:rPr>
          <w:sz w:val="20"/>
          <w:szCs w:val="20"/>
          <w:color w:val="auto"/>
        </w:rPr>
      </w:pPr>
      <w:r>
        <w:rPr>
          <w:rFonts w:ascii="Arial" w:cs="Arial" w:eastAsia="Arial" w:hAnsi="Arial"/>
          <w:sz w:val="21"/>
          <w:szCs w:val="21"/>
          <w:b w:val="1"/>
          <w:bCs w:val="1"/>
          <w:color w:val="auto"/>
          <w:strike w:val="1"/>
        </w:rPr>
        <w:t>M_9HTO#FN*S)NK)0SGQ&gt;37*CE(J:15&amp;1$RE61=+NHDE*"EAHTZ.FAD;[_ 'FS M&gt;B_V!?=AT_EV[OMTM5W=&lt; MUA</w:t>
      </w:r>
    </w:p>
    <w:p>
      <w:pPr>
        <w:spacing w:after="0" w:line="232" w:lineRule="auto"/>
        <w:rPr>
          <w:sz w:val="20"/>
          <w:szCs w:val="20"/>
          <w:color w:val="auto"/>
        </w:rPr>
      </w:pPr>
      <w:r>
        <w:rPr>
          <w:rFonts w:ascii="Arial" w:cs="Arial" w:eastAsia="Arial" w:hAnsi="Arial"/>
          <w:sz w:val="22"/>
          <w:szCs w:val="22"/>
          <w:b w:val="1"/>
          <w:bCs w:val="1"/>
          <w:color w:val="auto"/>
          <w:strike w:val="1"/>
        </w:rPr>
        <w:t>W:PS2.3PU)1LT^Q*9DR.@1%LHIAL5,W5%L*;LXT] MI)N@TUZ/ ^3M;CURUU?Q-D.9T5SBY-3/)FEZ\;</w:t>
      </w:r>
    </w:p>
    <w:p>
      <w:pPr>
        <w:spacing w:after="0" w:line="230" w:lineRule="auto"/>
        <w:rPr>
          <w:sz w:val="20"/>
          <w:szCs w:val="20"/>
          <w:color w:val="auto"/>
        </w:rPr>
      </w:pPr>
      <w:r>
        <w:rPr>
          <w:rFonts w:ascii="Arial" w:cs="Arial" w:eastAsia="Arial" w:hAnsi="Arial"/>
          <w:sz w:val="22"/>
          <w:szCs w:val="22"/>
          <w:b w:val="1"/>
          <w:bCs w:val="1"/>
          <w:color w:val="auto"/>
          <w:strike w:val="1"/>
        </w:rPr>
        <w:t>[]N%$EK'&amp;/^.,IA",2N%VH M$;I-A!D9QT"V@LO6S50JIRX/&amp;9&lt;=@V(N4C25*.+"X+"\U&gt;7KKOJ)&gt;:O1OOR]</w:t>
      </w:r>
    </w:p>
    <w:p>
      <w:pPr>
        <w:spacing w:after="0" w:line="231" w:lineRule="auto"/>
        <w:rPr>
          <w:sz w:val="20"/>
          <w:szCs w:val="20"/>
          <w:color w:val="auto"/>
        </w:rPr>
      </w:pPr>
      <w:r>
        <w:rPr>
          <w:rFonts w:ascii="Arial" w:cs="Arial" w:eastAsia="Arial" w:hAnsi="Arial"/>
          <w:sz w:val="22"/>
          <w:szCs w:val="22"/>
          <w:b w:val="1"/>
          <w:bCs w:val="1"/>
          <w:color w:val="auto"/>
          <w:strike w:val="1"/>
        </w:rPr>
        <w:t>M+/V[*Y'7'EOO[A/HQKO.Z\5=.\A.*,1R7DIW5-E94K9%_P!@VAQXA%:9K6Q9 M9DJ&gt;/6CR)K.#H,$?</w:t>
      </w:r>
    </w:p>
    <w:p>
      <w:pPr>
        <w:spacing w:after="0" w:line="231" w:lineRule="auto"/>
        <w:rPr>
          <w:sz w:val="20"/>
          <w:szCs w:val="20"/>
          <w:color w:val="auto"/>
        </w:rPr>
      </w:pPr>
      <w:r>
        <w:rPr>
          <w:rFonts w:ascii="Arial" w:cs="Arial" w:eastAsia="Arial" w:hAnsi="Arial"/>
          <w:sz w:val="22"/>
          <w:szCs w:val="22"/>
          <w:b w:val="1"/>
          <w:bCs w:val="1"/>
          <w:color w:val="auto"/>
          <w:strike w:val="1"/>
        </w:rPr>
        <w:t>&amp;7N%5&lt;+)'/X@JUA+"I2IB&lt;73/R=/&lt;.KE_3=\I+#B_K#E</w:t>
      </w:r>
    </w:p>
    <w:p>
      <w:pPr>
        <w:spacing w:after="0" w:line="230" w:lineRule="auto"/>
        <w:rPr>
          <w:sz w:val="20"/>
          <w:szCs w:val="20"/>
          <w:color w:val="auto"/>
        </w:rPr>
      </w:pPr>
      <w:r>
        <w:rPr>
          <w:rFonts w:ascii="Arial" w:cs="Arial" w:eastAsia="Arial" w:hAnsi="Arial"/>
          <w:sz w:val="22"/>
          <w:szCs w:val="22"/>
          <w:b w:val="1"/>
          <w:bCs w:val="1"/>
          <w:color w:val="auto"/>
          <w:strike w:val="1"/>
        </w:rPr>
        <w:t>M'H+E!L_4]FV+MS&gt;W$Z8U9#W[7.TMW66)N=XJNT"6)O"3VN%+4D=%_+,UXE1U M(EPY9D;</w:t>
      </w:r>
    </w:p>
    <w:p>
      <w:pPr>
        <w:spacing w:after="0" w:line="231" w:lineRule="auto"/>
        <w:rPr>
          <w:sz w:val="20"/>
          <w:szCs w:val="20"/>
          <w:color w:val="auto"/>
        </w:rPr>
      </w:pPr>
      <w:r>
        <w:rPr>
          <w:rFonts w:ascii="Arial" w:cs="Arial" w:eastAsia="Arial" w:hAnsi="Arial"/>
          <w:sz w:val="22"/>
          <w:szCs w:val="22"/>
          <w:b w:val="1"/>
          <w:bCs w:val="1"/>
          <w:color w:val="auto"/>
          <w:strike w:val="1"/>
        </w:rPr>
        <w:t>(),FY&amp;W44RY4=PW%I.B4J\G:"R@4( M *BN=?_$'Z(_]X?)K^75'%X^S:?+M(&gt;E=?!O))U8J_%2)7SX@JBJH@H3.6S</w:t>
      </w:r>
    </w:p>
    <w:p>
      <w:pPr>
        <w:spacing w:after="0" w:line="230" w:lineRule="auto"/>
        <w:rPr>
          <w:sz w:val="20"/>
          <w:szCs w:val="20"/>
          <w:color w:val="auto"/>
        </w:rPr>
      </w:pPr>
      <w:r>
        <w:rPr>
          <w:rFonts w:ascii="Arial" w:cs="Arial" w:eastAsia="Arial" w:hAnsi="Arial"/>
          <w:sz w:val="22"/>
          <w:szCs w:val="22"/>
          <w:b w:val="1"/>
          <w:bCs w:val="1"/>
          <w:color w:val="auto"/>
          <w:strike w:val="1"/>
        </w:rPr>
        <w:t>MM=-3K(J*)G6;I..&gt;E63K(50MFDKKRTZ"RWS4JI-S=IXF[BL$W,*KY'W?")I2-JJ:&amp;NUBN&gt;O1X;_,W+T&lt;3].F</w:t>
      </w:r>
    </w:p>
    <w:p>
      <w:pPr>
        <w:spacing w:after="0" w:line="231" w:lineRule="auto"/>
        <w:rPr>
          <w:sz w:val="20"/>
          <w:szCs w:val="20"/>
          <w:color w:val="auto"/>
        </w:rPr>
      </w:pPr>
      <w:r>
        <w:rPr>
          <w:rFonts w:ascii="Arial" w:cs="Arial" w:eastAsia="Arial" w:hAnsi="Arial"/>
          <w:sz w:val="22"/>
          <w:szCs w:val="22"/>
          <w:b w:val="1"/>
          <w:bCs w:val="1"/>
          <w:color w:val="auto"/>
          <w:strike w:val="1"/>
        </w:rPr>
        <w:t>M\J&gt;E!TK83HQ5V\JR4W?'0KU=-"5EJ%M9!22AI^.8+&amp;*J]B4VWL/E9PD0R2)I M]H113!W"'7B:JK-Z52FC4332]?</w:t>
      </w:r>
    </w:p>
    <w:p>
      <w:pPr>
        <w:spacing w:after="0" w:line="231" w:lineRule="auto"/>
        <w:rPr>
          <w:sz w:val="20"/>
          <w:szCs w:val="20"/>
          <w:color w:val="auto"/>
        </w:rPr>
      </w:pPr>
      <w:r>
        <w:rPr>
          <w:rFonts w:ascii="Arial" w:cs="Arial" w:eastAsia="Arial" w:hAnsi="Arial"/>
          <w:sz w:val="22"/>
          <w:szCs w:val="22"/>
          <w:b w:val="1"/>
          <w:bCs w:val="1"/>
          <w:color w:val="auto"/>
          <w:strike w:val="1"/>
        </w:rPr>
        <w:t>@OU7R(?0FRH+;&amp;[^G[N%7&gt;-). +QD9U2-E M&amp;)\+,I+-!T3LJBR3UD[(1'.'A_4&amp;SV.&gt;])1GC7-ZC\24RFU:SU_MK?5.</w:t>
      </w:r>
    </w:p>
    <w:p>
      <w:pPr>
        <w:spacing w:after="0"/>
        <w:rPr>
          <w:sz w:val="20"/>
          <w:szCs w:val="20"/>
          <w:color w:val="auto"/>
        </w:rPr>
      </w:pPr>
      <w:r>
        <w:rPr>
          <w:rFonts w:ascii="Arial" w:cs="Arial" w:eastAsia="Arial" w:hAnsi="Arial"/>
          <w:sz w:val="21"/>
          <w:szCs w:val="21"/>
          <w:b w:val="1"/>
          <w:bCs w:val="1"/>
          <w:color w:val="auto"/>
          <w:strike w:val="1"/>
        </w:rPr>
        <w:t>M^UE"_P!RYY%@A/N7&gt;,&gt;$Q2=4RF,H9-DMX4&lt;82&gt;?R=?T+?/?0_N5.0G!O&amp;MP] M-Z4WHKJC7&amp;2&lt;=7JKJ'D[6X*.2\/9,</w:t>
      </w:r>
    </w:p>
    <w:p>
      <w:pPr>
        <w:spacing w:after="0" w:line="232" w:lineRule="auto"/>
        <w:rPr>
          <w:sz w:val="20"/>
          <w:szCs w:val="20"/>
          <w:color w:val="auto"/>
        </w:rPr>
      </w:pPr>
      <w:r>
        <w:rPr>
          <w:rFonts w:ascii="Arial" w:cs="Arial" w:eastAsia="Arial" w:hAnsi="Arial"/>
          <w:sz w:val="22"/>
          <w:szCs w:val="22"/>
          <w:b w:val="1"/>
          <w:bCs w:val="1"/>
          <w:color w:val="auto"/>
          <w:strike w:val="1"/>
        </w:rPr>
        <w:t>(:#T^[C(MDEX?=PFDR:MR%_^R?A%%1V MM75O4E[M,O':OTE MJ6@I%)6Y]6EHS2$4?</w:t>
      </w:r>
    </w:p>
    <w:p>
      <w:pPr>
        <w:spacing w:after="0"/>
        <w:rPr>
          <w:sz w:val="20"/>
          <w:szCs w:val="20"/>
          <w:color w:val="auto"/>
        </w:rPr>
      </w:pPr>
      <w:r>
        <w:rPr>
          <w:rFonts w:ascii="Arial" w:cs="Arial" w:eastAsia="Arial" w:hAnsi="Arial"/>
          <w:sz w:val="21"/>
          <w:szCs w:val="21"/>
          <w:b w:val="1"/>
          <w:bCs w:val="1"/>
          <w:color w:val="auto"/>
          <w:strike w:val="1"/>
        </w:rPr>
        <w:t>$CF/LF7KY^DX075J[IV8W:JN%5)=8*$89JK3KJ,_P!^ M^_7JH:RX.J4HF6:5E74NW&gt;I%=/7O_LM/X/?\-_C?_A7I?V 0</w:t>
      </w:r>
    </w:p>
    <w:p>
      <w:pPr>
        <w:spacing w:after="0" w:line="232" w:lineRule="auto"/>
        <w:rPr>
          <w:sz w:val="20"/>
          <w:szCs w:val="20"/>
          <w:color w:val="auto"/>
        </w:rPr>
      </w:pPr>
      <w:r>
        <w:rPr>
          <w:rFonts w:ascii="Arial" w:cs="Arial" w:eastAsia="Arial" w:hAnsi="Arial"/>
          <w:sz w:val="22"/>
          <w:szCs w:val="22"/>
          <w:b w:val="1"/>
          <w:bCs w:val="1"/>
          <w:color w:val="auto"/>
          <w:strike w:val="1"/>
        </w:rPr>
        <w:t>M%)^W+K?:0M"**^/T])77C1T.'$RVWBS:ZX^/M5]59V0JDCL&amp;5I&amp;R[L</w:t>
      </w:r>
    </w:p>
    <w:p>
      <w:pPr>
        <w:spacing w:after="0" w:line="230" w:lineRule="auto"/>
        <w:rPr>
          <w:sz w:val="20"/>
          <w:szCs w:val="20"/>
          <w:color w:val="auto"/>
        </w:rPr>
      </w:pPr>
      <w:r>
        <w:rPr>
          <w:rFonts w:ascii="Arial" w:cs="Arial" w:eastAsia="Arial" w:hAnsi="Arial"/>
          <w:sz w:val="22"/>
          <w:szCs w:val="22"/>
          <w:b w:val="1"/>
          <w:bCs w:val="1"/>
          <w:color w:val="auto"/>
          <w:strike w:val="1"/>
        </w:rPr>
        <w:t>MXH^K'%GAW2+MG$RMBF&amp;3)=LDJEXTK--3D-EPV0,CK+-*VE2LE3\52M"4\T&gt;K M?Q_VR6.TM7\5M!])OT:&gt;C^.=</w:t>
      </w:r>
    </w:p>
    <w:p>
      <w:pPr>
        <w:spacing w:after="0" w:line="231" w:lineRule="auto"/>
        <w:rPr>
          <w:sz w:val="20"/>
          <w:szCs w:val="20"/>
          <w:color w:val="auto"/>
        </w:rPr>
      </w:pPr>
      <w:r>
        <w:rPr>
          <w:rFonts w:ascii="Arial" w:cs="Arial" w:eastAsia="Arial" w:hAnsi="Arial"/>
          <w:sz w:val="22"/>
          <w:szCs w:val="22"/>
          <w:b w:val="1"/>
          <w:bCs w:val="1"/>
          <w:color w:val="auto"/>
          <w:strike w:val="1"/>
        </w:rPr>
        <w:t>IE%L%=F-[V[9C2LH8=378V_5N&amp;M()=+&amp;]=. M9&amp;3DU$:Y9%VR,BY.HBW&lt;&gt;,)8[-</w:t>
      </w:r>
    </w:p>
    <w:p>
      <w:pPr>
        <w:spacing w:after="0" w:line="231" w:lineRule="auto"/>
        <w:rPr>
          <w:sz w:val="20"/>
          <w:szCs w:val="20"/>
          <w:color w:val="auto"/>
        </w:rPr>
      </w:pPr>
      <w:r>
        <w:rPr>
          <w:rFonts w:ascii="Arial" w:cs="Arial" w:eastAsia="Arial" w:hAnsi="Arial"/>
          <w:sz w:val="22"/>
          <w:szCs w:val="22"/>
          <w:b w:val="1"/>
          <w:bCs w:val="1"/>
          <w:color w:val="auto"/>
          <w:strike w:val="1"/>
        </w:rPr>
        <w:t>YDQZQQ.SFY/53[QRKIZM6_70D=QBDF^KNE M=Z0K5]C43BY'?</w:t>
      </w:r>
    </w:p>
    <w:p>
      <w:pPr>
        <w:spacing w:after="0" w:line="230" w:lineRule="auto"/>
        <w:rPr>
          <w:sz w:val="20"/>
          <w:szCs w:val="20"/>
          <w:color w:val="auto"/>
        </w:rPr>
      </w:pPr>
      <w:r>
        <w:rPr>
          <w:rFonts w:ascii="Arial" w:cs="Arial" w:eastAsia="Arial" w:hAnsi="Arial"/>
          <w:sz w:val="22"/>
          <w:szCs w:val="22"/>
          <w:b w:val="1"/>
          <w:bCs w:val="1"/>
          <w:color w:val="auto"/>
          <w:strike w:val="1"/>
        </w:rPr>
        <w:t>54T#NO699%3L%;7!5&amp;IR=;MAX0ZF$RR&amp;&amp;LY-/4SI)%,H0L, M[/G)R-5E!6&gt;&gt;SAF]FM&gt;@?</w:t>
      </w:r>
    </w:p>
    <w:p>
      <w:pPr>
        <w:spacing w:after="0" w:line="231" w:lineRule="auto"/>
        <w:rPr>
          <w:sz w:val="20"/>
          <w:szCs w:val="20"/>
          <w:color w:val="auto"/>
        </w:rPr>
      </w:pPr>
      <w:r>
        <w:rPr>
          <w:rFonts w:ascii="Arial" w:cs="Arial" w:eastAsia="Arial" w:hAnsi="Arial"/>
          <w:sz w:val="22"/>
          <w:szCs w:val="22"/>
          <w:b w:val="1"/>
          <w:bCs w:val="1"/>
          <w:color w:val="auto"/>
          <w:strike w:val="1"/>
        </w:rPr>
        <w:t>[[M^M&amp;)U"U5W:733\DJU6Y1%U[5&gt; 6-7S&amp;L_6</w:t>
      </w:r>
    </w:p>
    <w:p>
      <w:pPr>
        <w:spacing w:after="0" w:line="230" w:lineRule="auto"/>
        <w:rPr>
          <w:sz w:val="20"/>
          <w:szCs w:val="20"/>
          <w:color w:val="auto"/>
        </w:rPr>
      </w:pPr>
      <w:r>
        <w:rPr>
          <w:rFonts w:ascii="Arial" w:cs="Arial" w:eastAsia="Arial" w:hAnsi="Arial"/>
          <w:sz w:val="22"/>
          <w:szCs w:val="22"/>
          <w:b w:val="1"/>
          <w:bCs w:val="1"/>
          <w:color w:val="auto"/>
          <w:strike w:val="1"/>
        </w:rPr>
        <w:t>MEWD6NC*X)\"]O&lt;5'+C&gt;^J(AWO#1MSVC0N0SF:V9LJIN:U+5FXV5ZQ?6&amp;'C+T MP:UZ-3IWL&gt;3*^6[=</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YH9V8YS*HN3.8IG)J5TS3$&gt;19PBV M4KJG@&lt;*JG5-@JXIJ3JU%]F@/HU]_1K+'^EQ_,?A1_P!1SB[_ /O0I#3+J?80</w:t>
      </w:r>
    </w:p>
    <w:p>
      <w:pPr>
        <w:spacing w:after="0" w:line="232" w:lineRule="auto"/>
        <w:rPr>
          <w:sz w:val="20"/>
          <w:szCs w:val="20"/>
          <w:color w:val="auto"/>
        </w:rPr>
      </w:pPr>
      <w:r>
        <w:rPr>
          <w:rFonts w:ascii="Arial" w:cs="Arial" w:eastAsia="Arial" w:hAnsi="Arial"/>
          <w:sz w:val="22"/>
          <w:szCs w:val="22"/>
          <w:b w:val="1"/>
          <w:bCs w:val="1"/>
          <w:color w:val="auto"/>
          <w:strike w:val="1"/>
        </w:rPr>
        <w:t>M]'S7:.EQ_,?A1_U'.+O_ .]!#3+J?8'H^:[2+-CXL\==S=,%R;I?*6AM+(;:</w:t>
      </w:r>
    </w:p>
    <w:p>
      <w:pPr>
        <w:spacing w:after="0" w:line="230" w:lineRule="auto"/>
        <w:rPr>
          <w:sz w:val="20"/>
          <w:szCs w:val="20"/>
          <w:color w:val="auto"/>
        </w:rPr>
      </w:pPr>
      <w:r>
        <w:rPr>
          <w:rFonts w:ascii="Arial" w:cs="Arial" w:eastAsia="Arial" w:hAnsi="Arial"/>
          <w:sz w:val="22"/>
          <w:szCs w:val="22"/>
          <w:b w:val="1"/>
          <w:bCs w:val="1"/>
          <w:color w:val="auto"/>
          <w:strike w:val="1"/>
        </w:rPr>
        <w:t>M&gt;D-/[,T6C*6VUU#$XC3:S$T.\I01JO8XX\_*$6K[I51MD[A1%I773HJ1$4E5 M"VJU91:UM??ONBU-_O\ T)#</w:t>
      </w:r>
    </w:p>
    <w:p>
      <w:pPr>
        <w:spacing w:after="0" w:line="231" w:lineRule="auto"/>
        <w:rPr>
          <w:sz w:val="20"/>
          <w:szCs w:val="20"/>
          <w:color w:val="auto"/>
        </w:rPr>
      </w:pPr>
      <w:r>
        <w:rPr>
          <w:rFonts w:ascii="Arial" w:cs="Arial" w:eastAsia="Arial" w:hAnsi="Arial"/>
          <w:sz w:val="22"/>
          <w:szCs w:val="22"/>
          <w:b w:val="1"/>
          <w:bCs w:val="1"/>
          <w:color w:val="auto"/>
          <w:strike w:val="1"/>
        </w:rPr>
        <w:t>&lt;6]7&lt;+=5&lt;^]G:DXQ&lt;&lt;48:TZ?TFS=;+WNRVC?K M1&amp;UN?NUD9$:Z84K5AF9)L6:</w:t>
      </w:r>
    </w:p>
    <w:p>
      <w:pPr>
        <w:spacing w:after="0" w:line="231" w:lineRule="auto"/>
        <w:rPr>
          <w:sz w:val="20"/>
          <w:szCs w:val="20"/>
          <w:color w:val="auto"/>
        </w:rPr>
      </w:pPr>
      <w:r>
        <w:rPr>
          <w:rFonts w:ascii="Arial" w:cs="Arial" w:eastAsia="Arial" w:hAnsi="Arial"/>
          <w:sz w:val="22"/>
          <w:szCs w:val="22"/>
          <w:b w:val="1"/>
          <w:bCs w:val="1"/>
          <w:color w:val="auto"/>
          <w:strike w:val="1"/>
        </w:rPr>
        <w:t>&lt;0S!.3.Y.Z071Q%NFN&amp;V#)JG/66)P6*69O,LW MWC-GU[[_ #,@Z$C_ (&gt;&amp;K?EIN?\ FQ;@M/:?</w:t>
      </w:r>
    </w:p>
    <w:p>
      <w:pPr>
        <w:spacing w:after="0" w:line="230" w:lineRule="auto"/>
        <w:rPr>
          <w:sz w:val="20"/>
          <w:szCs w:val="20"/>
          <w:color w:val="auto"/>
        </w:rPr>
      </w:pPr>
      <w:r>
        <w:rPr>
          <w:rFonts w:ascii="Arial" w:cs="Arial" w:eastAsia="Arial" w:hAnsi="Arial"/>
          <w:sz w:val="22"/>
          <w:szCs w:val="22"/>
          <w:b w:val="1"/>
          <w:bCs w:val="1"/>
          <w:color w:val="auto"/>
          <w:strike w:val="1"/>
        </w:rPr>
        <w:t>R[$56CYOM(9Z@(&lt;_1L],E@A3 M'SY2_/4^&lt;%QDV&lt;$3J-84.;_^N"%/G.?^6"__ "%G[=EU1&amp;?"_F7(&lt;(G3=WPS</w:t>
      </w:r>
    </w:p>
    <w:p>
      <w:pPr>
        <w:spacing w:after="0" w:line="231" w:lineRule="auto"/>
        <w:rPr>
          <w:sz w:val="20"/>
          <w:szCs w:val="20"/>
          <w:color w:val="auto"/>
        </w:rPr>
      </w:pPr>
      <w:r>
        <w:rPr>
          <w:rFonts w:ascii="Arial" w:cs="Arial" w:eastAsia="Arial" w:hAnsi="Arial"/>
          <w:sz w:val="22"/>
          <w:szCs w:val="22"/>
          <w:b w:val="1"/>
          <w:bCs w:val="1"/>
          <w:color w:val="auto"/>
          <w:strike w:val="1"/>
        </w:rPr>
        <w:t>MXE+-7"+A'/&amp;K1I,+(*D63,HAK&amp;L(+)]HGG.,F(LFJ0^,9\)3)Y+GW&lt;#.2I*7 M0V20LZ8;]&amp;?#K_J&amp;\:?X:_"T-,NI]A#T?-</w:t>
      </w:r>
    </w:p>
    <w:p>
      <w:pPr>
        <w:spacing w:after="0" w:line="230" w:lineRule="auto"/>
        <w:rPr>
          <w:sz w:val="20"/>
          <w:szCs w:val="20"/>
          <w:color w:val="auto"/>
        </w:rPr>
      </w:pPr>
      <w:r>
        <w:rPr>
          <w:rFonts w:ascii="Arial" w:cs="Arial" w:eastAsia="Arial" w:hAnsi="Arial"/>
          <w:sz w:val="22"/>
          <w:szCs w:val="22"/>
          <w:b w:val="1"/>
          <w:bCs w:val="1"/>
          <w:color w:val="auto"/>
          <w:strike w:val="1"/>
        </w:rPr>
        <w:t>=I8)R.UE3]NZ/VK1;M6XBQQ$YK M^XL&lt;-I:):2V6CIS7GQ&amp;DG'$=)&amp;RUEF[KL%VKA')%T%VR:B)R*D(?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%$VFFN1D MHYA6$#3MM\2^A%O')!-.V:/B-G[NT?M&amp;8FK%)0D7"-+7;GE2UJSL%HCI1JO7</w:t>
      </w:r>
    </w:p>
    <w:p>
      <w:pPr>
        <w:sectPr>
          <w:pgSz w:w="11900" w:h="16877" w:orient="portrait"/>
          <w:cols w:equalWidth="0" w:num="1">
            <w:col w:w="11420"/>
          </w:cols>
          <w:pgMar w:left="240" w:top="112" w:right="239" w:bottom="0" w:gutter="0" w:footer="0" w:header="0"/>
        </w:sectPr>
      </w:pPr>
    </w:p>
    <w:bookmarkStart w:id="142" w:name="page143"/>
    <w:bookmarkEnd w:id="142"/>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MHIFRURSP9;+MLFBV@,854*ECP#D9U.U4=.9]GB--'71X&gt;/:6-[IXG='/QBW? MQ)H]*XG-[WNO&lt;.</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[JTUIL(TW+MAN^HE?K*YIVP;FDHQ_:I/$E"P!V;1&lt;[99H1 M!V1-S@SE,K=8ILXN4E)N5(TU+Y(G???4?</w:t>
      </w:r>
    </w:p>
    <w:p>
      <w:pPr>
        <w:spacing w:after="0"/>
        <w:rPr>
          <w:sz w:val="20"/>
          <w:szCs w:val="20"/>
          <w:color w:val="auto"/>
        </w:rPr>
      </w:pPr>
      <w:r>
        <w:rPr>
          <w:rFonts w:ascii="Arial" w:cs="Arial" w:eastAsia="Arial" w:hAnsi="Arial"/>
          <w:sz w:val="21"/>
          <w:szCs w:val="21"/>
          <w:b w:val="1"/>
          <w:bCs w:val="1"/>
          <w:color w:val="auto"/>
          <w:strike w:val="1"/>
        </w:rPr>
        <w:t>FZ1;8KGAARTIW+2.&gt;HQ,9MSB'R+ MT/-.&lt;-SFQG8NN:X_VOIXSA0J?@))2-G+'QK53!\&amp;P2/,0V2IYSD+-8XRCRII M_?</w:t>
      </w:r>
    </w:p>
    <w:p>
      <w:pPr>
        <w:spacing w:after="0" w:line="232" w:lineRule="auto"/>
        <w:rPr>
          <w:sz w:val="20"/>
          <w:szCs w:val="20"/>
          <w:color w:val="auto"/>
        </w:rPr>
      </w:pPr>
      <w:r>
        <w:rPr>
          <w:rFonts w:ascii="Arial" w:cs="Arial" w:eastAsia="Arial" w:hAnsi="Arial"/>
          <w:sz w:val="22"/>
          <w:szCs w:val="22"/>
          <w:b w:val="1"/>
          <w:bCs w:val="1"/>
          <w:color w:val="auto"/>
          <w:strike w:val="1"/>
        </w:rPr>
        <w:t>F)T4&gt;E+_?&lt;_O-"\M..;/570^&lt;+ZQ::VYEJCJ/;''S;F^&amp;"/CB#A&amp;$O)[4M MLPSQPT[-T@;-</w:t>
      </w:r>
    </w:p>
    <w:p>
      <w:pPr>
        <w:spacing w:after="0" w:line="230" w:lineRule="auto"/>
        <w:rPr>
          <w:sz w:val="20"/>
          <w:szCs w:val="20"/>
          <w:color w:val="auto"/>
        </w:rPr>
      </w:pPr>
      <w:r>
        <w:rPr>
          <w:rFonts w:ascii="Arial" w:cs="Arial" w:eastAsia="Arial" w:hAnsi="Arial"/>
          <w:sz w:val="22"/>
          <w:szCs w:val="22"/>
          <w:b w:val="1"/>
          <w:bCs w:val="1"/>
          <w:color w:val="auto"/>
          <w:strike w:val="1"/>
        </w:rPr>
        <w:t>BVFHT.LGDBZ6'.,X.7).L+1=;23Y6G3N^705Z^2G:J^/@;;Y M&lt;\0NBXXV:8J^R(?</w:t>
      </w:r>
    </w:p>
    <w:p>
      <w:pPr>
        <w:spacing w:after="0" w:line="231" w:lineRule="auto"/>
        <w:rPr>
          <w:sz w:val="20"/>
          <w:szCs w:val="20"/>
          <w:color w:val="auto"/>
        </w:rPr>
      </w:pPr>
      <w:r>
        <w:rPr>
          <w:rFonts w:ascii="Arial" w:cs="Arial" w:eastAsia="Arial" w:hAnsi="Arial"/>
          <w:sz w:val="22"/>
          <w:szCs w:val="22"/>
          <w:b w:val="1"/>
          <w:bCs w:val="1"/>
          <w:color w:val="auto"/>
          <w:strike w:val="1"/>
        </w:rPr>
        <w:t>BO$[JG=I6JB4[2VNZWO?;+9?;9..+&amp;YK$PA&gt;I$CZ-+ M"NSR!'+9H[25*1LF7)?&amp;TEL1&amp;4VWZU,V?</w:t>
      </w:r>
    </w:p>
    <w:p>
      <w:pPr>
        <w:spacing w:after="0" w:line="231" w:lineRule="auto"/>
        <w:rPr>
          <w:sz w:val="20"/>
          <w:szCs w:val="20"/>
          <w:color w:val="auto"/>
        </w:rPr>
      </w:pPr>
      <w:r>
        <w:rPr>
          <w:rFonts w:ascii="Arial" w:cs="Arial" w:eastAsia="Arial" w:hAnsi="Arial"/>
          <w:sz w:val="22"/>
          <w:szCs w:val="22"/>
          <w:b w:val="1"/>
          <w:bCs w:val="1"/>
          <w:color w:val="auto"/>
          <w:strike w:val="1"/>
        </w:rPr>
        <w:t>Y#KW^\D%2V*$;TTMMC6K[_S%?Y55[W&lt;3OOOUGT+ M#_QMZ!_TXYS^?LN'\M_U+L97E7S[CX?10V*$A8?I</w:t>
      </w:r>
    </w:p>
    <w:p>
      <w:pPr>
        <w:spacing w:after="0" w:line="230" w:lineRule="auto"/>
        <w:rPr>
          <w:sz w:val="20"/>
          <w:szCs w:val="20"/>
          <w:color w:val="auto"/>
        </w:rPr>
      </w:pPr>
      <w:r>
        <w:rPr>
          <w:rFonts w:ascii="Arial" w:cs="Arial" w:eastAsia="Arial" w:hAnsi="Arial"/>
          <w:sz w:val="22"/>
          <w:szCs w:val="22"/>
          <w:b w:val="1"/>
          <w:bCs w:val="1"/>
          <w:color w:val="auto"/>
          <w:strike w:val="1"/>
        </w:rPr>
        <w:t>*O,RC*(GJ3T@7(RQVR. MDG";)6 K\X2OFB9R4,X.4C2*7]K=@R5B:U]P6CN8LGH&gt;"MM8&lt;:C</w:t>
      </w:r>
    </w:p>
    <w:p>
      <w:pPr>
        <w:spacing w:after="0" w:line="231" w:lineRule="auto"/>
        <w:rPr>
          <w:sz w:val="20"/>
          <w:szCs w:val="20"/>
          <w:color w:val="auto"/>
        </w:rPr>
      </w:pPr>
      <w:r>
        <w:rPr>
          <w:rFonts w:ascii="Arial" w:cs="Arial" w:eastAsia="Arial" w:hAnsi="Arial"/>
          <w:sz w:val="22"/>
          <w:szCs w:val="22"/>
          <w:b w:val="1"/>
          <w:bCs w:val="1"/>
          <w:color w:val="auto"/>
          <w:strike w:val="1"/>
        </w:rPr>
        <w:t>M@;5%1S3=FU6AKI(0;LZ V&gt;I;#52:3Z]M,K&amp;O$2-E58Y9L[PJRZS15#%4[</w:t>
      </w:r>
    </w:p>
    <w:p>
      <w:pPr>
        <w:spacing w:after="0" w:line="230" w:lineRule="auto"/>
        <w:rPr>
          <w:sz w:val="20"/>
          <w:szCs w:val="20"/>
          <w:color w:val="auto"/>
        </w:rPr>
      </w:pPr>
      <w:r>
        <w:rPr>
          <w:rFonts w:ascii="Arial" w:cs="Arial" w:eastAsia="Arial" w:hAnsi="Arial"/>
          <w:sz w:val="22"/>
          <w:szCs w:val="22"/>
          <w:b w:val="1"/>
          <w:bCs w:val="1"/>
          <w:color w:val="auto"/>
          <w:strike w:val="1"/>
        </w:rPr>
        <w:t>M1SPUI1_=OOR$ZTM'=^OXF\%$&gt;*6Z[5QKZ/+?O$J%H\#)\1*WO#4$;9[Q*/)B</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MC32RS6'F=*5&amp;&gt;*T9SJ=MC(J.DEY!Y[)-E7A*L;+EDJ0J:@KZR4IQERT_7Y]H MWWZN\_IQ#:VGCCT@&amp;TN$U'V]?</w:t>
      </w:r>
    </w:p>
    <w:p>
      <w:pPr>
        <w:spacing w:after="0" w:line="232" w:lineRule="auto"/>
        <w:rPr>
          <w:sz w:val="20"/>
          <w:szCs w:val="20"/>
          <w:color w:val="auto"/>
        </w:rPr>
      </w:pPr>
      <w:r>
        <w:rPr>
          <w:rFonts w:ascii="Arial" w:cs="Arial" w:eastAsia="Arial" w:hAnsi="Arial"/>
          <w:sz w:val="22"/>
          <w:szCs w:val="22"/>
          <w:b w:val="1"/>
          <w:bCs w:val="1"/>
          <w:color w:val="auto"/>
          <w:strike w:val="1"/>
        </w:rPr>
        <w:t>-T&lt;=XCCI";@8Q&amp;Q;-BY6#CW=W%R9U]OKE*S M+I$5+#/H)WF0;1QO[1%L\:*=CDZ3QZ\F3Q04G&amp;DJTSN+E?</w:t>
      </w:r>
    </w:p>
    <w:p>
      <w:pPr>
        <w:spacing w:after="0" w:line="230" w:lineRule="auto"/>
        <w:rPr>
          <w:sz w:val="20"/>
          <w:szCs w:val="20"/>
          <w:color w:val="auto"/>
        </w:rPr>
      </w:pPr>
      <w:r>
        <w:rPr>
          <w:rFonts w:ascii="Arial" w:cs="Arial" w:eastAsia="Arial" w:hAnsi="Arial"/>
          <w:sz w:val="22"/>
          <w:szCs w:val="22"/>
          <w:b w:val="1"/>
          <w:bCs w:val="1"/>
          <w:color w:val="auto"/>
          <w:strike w:val="1"/>
        </w:rPr>
        <w:t>I96B5^\1SB)LD0CB9M*Y9YDM%N5&amp;Z193#[Q)%-)-AEN5!+L[.3=:OVG</w:t>
      </w:r>
    </w:p>
    <w:p>
      <w:pPr>
        <w:spacing w:after="0" w:line="231" w:lineRule="auto"/>
        <w:rPr>
          <w:sz w:val="20"/>
          <w:szCs w:val="20"/>
          <w:color w:val="auto"/>
        </w:rPr>
      </w:pPr>
      <w:r>
        <w:rPr>
          <w:rFonts w:ascii="Arial" w:cs="Arial" w:eastAsia="Arial" w:hAnsi="Arial"/>
          <w:sz w:val="22"/>
          <w:szCs w:val="22"/>
          <w:b w:val="1"/>
          <w:bCs w:val="1"/>
          <w:color w:val="auto"/>
          <w:strike w:val="1"/>
        </w:rPr>
        <w:t>MOOWD=Q5AS*M/#E;EO:Z]TD?'6.K]"B:;67G'/DU#QFYLHWJ+\2,O=*)N^,_)YCKO1.G:!</w:t>
      </w:r>
    </w:p>
    <w:p>
      <w:pPr>
        <w:spacing w:after="0" w:line="231" w:lineRule="auto"/>
        <w:rPr>
          <w:sz w:val="20"/>
          <w:szCs w:val="20"/>
          <w:color w:val="auto"/>
        </w:rPr>
      </w:pPr>
      <w:r>
        <w:rPr>
          <w:rFonts w:ascii="Arial" w:cs="Arial" w:eastAsia="Arial" w:hAnsi="Arial"/>
          <w:sz w:val="22"/>
          <w:szCs w:val="22"/>
          <w:b w:val="1"/>
          <w:bCs w:val="1"/>
          <w:color w:val="auto"/>
          <w:strike w:val="1"/>
        </w:rPr>
        <w:t>(QDQ0W&lt;[H'5VKW^LI&amp;::1+!VW=0D).LY(QVKA-1 M%[@Z+@Z2Q#8*J=-M8%6LHU;?2V0^K?</w:t>
      </w:r>
    </w:p>
    <w:p>
      <w:pPr>
        <w:spacing w:after="0" w:line="230" w:lineRule="auto"/>
        <w:rPr>
          <w:sz w:val="20"/>
          <w:szCs w:val="20"/>
          <w:color w:val="auto"/>
        </w:rPr>
      </w:pPr>
      <w:r>
        <w:rPr>
          <w:rFonts w:ascii="Arial" w:cs="Arial" w:eastAsia="Arial" w:hAnsi="Arial"/>
          <w:sz w:val="22"/>
          <w:szCs w:val="22"/>
          <w:b w:val="1"/>
          <w:bCs w:val="1"/>
          <w:color w:val="auto"/>
          <w:strike w:val="1"/>
        </w:rPr>
        <w:t>&gt;M,V@MQI6M*3KK75=U-3(/$+K^IU=K M2Z]7B/Y1ZG'UE@P+&amp;LXPLE(O5GK@I&amp;1&lt;$PJJX57SC'6.H8W@-C-</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NK;&gt;=L=QK M"(XF&lt;&gt;83CSGBDRUE%J\?V!Y:',-FQ6J MSE/./X^*BG;TKZXSD@Y13-'PL8GA!-8B!/%NL1(IU%#'AR.-</w:t>
      </w:r>
    </w:p>
    <w:p>
      <w:pPr>
        <w:spacing w:after="0" w:line="232" w:lineRule="auto"/>
        <w:rPr>
          <w:sz w:val="20"/>
          <w:szCs w:val="20"/>
          <w:color w:val="auto"/>
        </w:rPr>
      </w:pPr>
      <w:r>
        <w:rPr>
          <w:rFonts w:ascii="Arial" w:cs="Arial" w:eastAsia="Arial" w:hAnsi="Arial"/>
          <w:sz w:val="22"/>
          <w:szCs w:val="22"/>
          <w:b w:val="1"/>
          <w:bCs w:val="1"/>
          <w:color w:val="auto"/>
          <w:strike w:val="1"/>
        </w:rPr>
        <w:t>^D]E;6U?N^[T&amp;.G]IZ:S)?U;6UQ(3C=Q6_9 M?&amp;2O?!',91)E+YQG)CH&gt;/MG7BBI\K-</w:t>
      </w:r>
    </w:p>
    <w:p>
      <w:pPr>
        <w:spacing w:after="0" w:line="230" w:lineRule="auto"/>
        <w:rPr>
          <w:sz w:val="20"/>
          <w:szCs w:val="20"/>
          <w:color w:val="auto"/>
        </w:rPr>
      </w:pPr>
      <w:r>
        <w:rPr>
          <w:rFonts w:ascii="Arial" w:cs="Arial" w:eastAsia="Arial" w:hAnsi="Arial"/>
          <w:sz w:val="22"/>
          <w:szCs w:val="22"/>
          <w:b w:val="1"/>
          <w:bCs w:val="1"/>
          <w:color w:val="auto"/>
          <w:strike w:val="1"/>
        </w:rPr>
        <w:t>&gt;Q5SD^9JU5)YF#Z=ET5JNX[:UKO2Q5 M3$AM34#*UQFNK5F9L+0]&lt;8W&gt;*6A+2@6'8RZ4?*E=QCA5/.7S1R9+.</w:t>
      </w:r>
    </w:p>
    <w:p>
      <w:pPr>
        <w:spacing w:after="0" w:line="231" w:lineRule="auto"/>
        <w:rPr>
          <w:sz w:val="20"/>
          <w:szCs w:val="20"/>
          <w:color w:val="auto"/>
        </w:rPr>
      </w:pPr>
      <w:r>
        <w:rPr>
          <w:rFonts w:ascii="Arial" w:cs="Arial" w:eastAsia="Arial" w:hAnsi="Arial"/>
          <w:sz w:val="22"/>
          <w:szCs w:val="22"/>
          <w:b w:val="1"/>
          <w:bCs w:val="1"/>
          <w:color w:val="auto"/>
          <w:strike w:val="1"/>
        </w:rPr>
        <w:t>&lt;'0RFH4 MARQB='&amp;M$P1^VITRG^WMFZ!K-DV#+G9GG)LLQ&lt;81K8EF!6Y6RUDK]= MLC2-LKCJ-</w:t>
      </w:r>
    </w:p>
    <w:p>
      <w:pPr>
        <w:spacing w:after="0" w:line="231" w:lineRule="auto"/>
        <w:rPr>
          <w:sz w:val="20"/>
          <w:szCs w:val="20"/>
          <w:color w:val="auto"/>
        </w:rPr>
      </w:pPr>
      <w:r>
        <w:rPr>
          <w:rFonts w:ascii="Arial" w:cs="Arial" w:eastAsia="Arial" w:hAnsi="Arial"/>
          <w:sz w:val="22"/>
          <w:szCs w:val="22"/>
          <w:b w:val="1"/>
          <w:bCs w:val="1"/>
          <w:color w:val="auto"/>
          <w:strike w:val="1"/>
        </w:rPr>
        <w:t>6Y%#OF;@ZQ4"D6,H7'@S*G)*BE2E:$ZLQED+P;XIUJ8W-.UO3L+</w:t>
      </w:r>
    </w:p>
    <w:p>
      <w:pPr>
        <w:spacing w:after="0" w:line="230" w:lineRule="auto"/>
        <w:rPr>
          <w:sz w:val="20"/>
          <w:szCs w:val="20"/>
          <w:color w:val="auto"/>
        </w:rPr>
      </w:pPr>
      <w:r>
        <w:rPr>
          <w:rFonts w:ascii="Arial" w:cs="Arial" w:eastAsia="Arial" w:hAnsi="Arial"/>
          <w:sz w:val="22"/>
          <w:szCs w:val="22"/>
          <w:b w:val="1"/>
          <w:bCs w:val="1"/>
          <w:color w:val="auto"/>
          <w:strike w:val="1"/>
        </w:rPr>
        <w:t>M7'W(*FS6O=N)U^9M&lt;)%VBH6)D6.F8E""C)])C6#.&amp;A&lt;%,YB&amp;\&gt;[*;/:$7PKG</w:t>
      </w:r>
    </w:p>
    <w:p>
      <w:pPr>
        <w:spacing w:after="0" w:line="231" w:lineRule="auto"/>
        <w:rPr>
          <w:sz w:val="20"/>
          <w:szCs w:val="20"/>
          <w:color w:val="auto"/>
        </w:rPr>
      </w:pPr>
      <w:r>
        <w:rPr>
          <w:rFonts w:ascii="Arial" w:cs="Arial" w:eastAsia="Arial" w:hAnsi="Arial"/>
          <w:sz w:val="22"/>
          <w:szCs w:val="22"/>
          <w:b w:val="1"/>
          <w:bCs w:val="1"/>
          <w:color w:val="auto"/>
          <w:strike w:val="1"/>
        </w:rPr>
        <w:t>M)\RY2=,_L[[U%3&gt;M*UI2==:ZKNIJ9!XA=?U.KM:77J\1_*/4X^LL&amp;!8UG&amp;%D MI%ZL]&lt;%</w:t>
      </w:r>
    </w:p>
    <w:p>
      <w:pPr>
        <w:spacing w:after="0" w:line="230" w:lineRule="auto"/>
        <w:rPr>
          <w:sz w:val="20"/>
          <w:szCs w:val="20"/>
          <w:color w:val="auto"/>
        </w:rPr>
      </w:pPr>
      <w:r>
        <w:rPr>
          <w:rFonts w:ascii="Arial" w:cs="Arial" w:eastAsia="Arial" w:hAnsi="Arial"/>
          <w:sz w:val="22"/>
          <w:szCs w:val="22"/>
          <w:b w:val="1"/>
          <w:bCs w:val="1"/>
          <w:color w:val="auto"/>
          <w:strike w:val="1"/>
        </w:rPr>
        <w:t>(R+@F%57"J^&lt;8ZQU#&amp;\!L5;JVWG;([B/$QP%XAV'0U2XSSFE(66TM M09*2EJ54W\[EC&amp;RG)8_LG?B__P .5-(L</w:t>
      </w:r>
    </w:p>
    <w:p>
      <w:pPr>
        <w:spacing w:after="0" w:line="231" w:lineRule="auto"/>
        <w:rPr>
          <w:sz w:val="20"/>
          <w:szCs w:val="20"/>
          <w:color w:val="auto"/>
        </w:rPr>
      </w:pPr>
      <w:r>
        <w:rPr>
          <w:rFonts w:ascii="Arial" w:cs="Arial" w:eastAsia="Arial" w:hAnsi="Arial"/>
          <w:sz w:val="22"/>
          <w:szCs w:val="22"/>
          <w:b w:val="1"/>
          <w:bCs w:val="1"/>
          <w:color w:val="auto"/>
          <w:strike w:val="1"/>
        </w:rPr>
        <w:t>MXY)U3]9@PY#HQ.![:MUNIM&gt;.M7:Q=2N"E\@W;:&gt;O#&gt;RHVI5!JV4D7]T1M)9F M;2,BR:$\5?/W+/P-R?</w:t>
      </w:r>
    </w:p>
    <w:p>
      <w:pPr>
        <w:spacing w:after="0" w:line="231" w:lineRule="auto"/>
        <w:rPr>
          <w:sz w:val="20"/>
          <w:szCs w:val="20"/>
          <w:color w:val="auto"/>
        </w:rPr>
      </w:pPr>
      <w:r>
        <w:rPr>
          <w:rFonts w:ascii="Arial" w:cs="Arial" w:eastAsia="Arial" w:hAnsi="Arial"/>
          <w:sz w:val="22"/>
          <w:szCs w:val="22"/>
          <w:b w:val="1"/>
          <w:bCs w:val="1"/>
          <w:color w:val="auto"/>
          <w:strike w:val="1"/>
        </w:rPr>
        <w:t>[/[F,ACE5Y])-6M]\Y"[G'L+BT\Y+/-;=)!QY38:*B MJU7ICC9R9C(7;2QY26&gt;L$L;</w:t>
      </w:r>
    </w:p>
    <w:p>
      <w:pPr>
        <w:spacing w:after="0" w:line="230" w:lineRule="auto"/>
        <w:rPr>
          <w:sz w:val="20"/>
          <w:szCs w:val="20"/>
          <w:color w:val="auto"/>
        </w:rPr>
      </w:pPr>
      <w:r>
        <w:rPr>
          <w:rFonts w:ascii="Arial" w:cs="Arial" w:eastAsia="Arial" w:hAnsi="Arial"/>
          <w:sz w:val="22"/>
          <w:szCs w:val="22"/>
          <w:b w:val="1"/>
          <w:bCs w:val="1"/>
          <w:color w:val="auto"/>
          <w:strike w:val="1"/>
        </w:rPr>
        <w:t>H]BN6IW!)&amp;$=I3Q\^+QJ&gt;3MSI)I/'J:&gt;7+-5 M6\%)QK"&gt;=Z5^*S,;[YLWWG^^CTI&amp;O;US!VIR-</w:t>
      </w:r>
    </w:p>
    <w:p>
      <w:pPr>
        <w:spacing w:after="0" w:line="231" w:lineRule="auto"/>
        <w:rPr>
          <w:sz w:val="20"/>
          <w:szCs w:val="20"/>
          <w:color w:val="auto"/>
        </w:rPr>
      </w:pPr>
      <w:r>
        <w:rPr>
          <w:rFonts w:ascii="Arial" w:cs="Arial" w:eastAsia="Arial" w:hAnsi="Arial"/>
          <w:sz w:val="22"/>
          <w:szCs w:val="22"/>
          <w:b w:val="1"/>
          <w:bCs w:val="1"/>
          <w:color w:val="auto"/>
          <w:strike w:val="1"/>
        </w:rPr>
        <w:t>XWZQ=:UXBT;CM6N,&gt;E9)U6K M#4VNT7QKY_65&lt;;M QEH03D'D&gt;G-)N6Z[]X3#EZLY*X&lt;9R].\*FG512;K)NOX</w:t>
      </w:r>
    </w:p>
    <w:p>
      <w:pPr>
        <w:spacing w:after="0" w:line="231" w:lineRule="auto"/>
        <w:rPr>
          <w:sz w:val="20"/>
          <w:szCs w:val="20"/>
          <w:color w:val="auto"/>
        </w:rPr>
      </w:pPr>
      <w:r>
        <w:rPr>
          <w:rFonts w:ascii="Arial" w:cs="Arial" w:eastAsia="Arial" w:hAnsi="Arial"/>
          <w:sz w:val="22"/>
          <w:szCs w:val="22"/>
          <w:b w:val="1"/>
          <w:bCs w:val="1"/>
          <w:color w:val="auto"/>
          <w:strike w:val="1"/>
        </w:rPr>
        <w:t>M4#U\N_B3BV[T;_"7&gt;U^D-H[2T!7+%&gt;Y@S92;G6DUPJLRMRH+V2.J%D8- M+&amp;Y[-</w:t>
      </w:r>
    </w:p>
    <w:p>
      <w:pPr>
        <w:spacing w:after="0" w:line="230" w:lineRule="auto"/>
        <w:rPr>
          <w:sz w:val="20"/>
          <w:szCs w:val="20"/>
          <w:color w:val="auto"/>
        </w:rPr>
      </w:pPr>
      <w:r>
        <w:rPr>
          <w:rFonts w:ascii="Arial" w:cs="Arial" w:eastAsia="Arial" w:hAnsi="Arial"/>
          <w:sz w:val="22"/>
          <w:szCs w:val="22"/>
          <w:b w:val="1"/>
          <w:bCs w:val="1"/>
          <w:color w:val="auto"/>
          <w:strike w:val="1"/>
        </w:rPr>
        <w:t>JW(91\@X.J1$I%3&amp;+^2*JNZV^DCR\FVBC/WK M^9E%$B(9D9R&gt;FW;J0G'N&amp;Z2:9%';I8Q"%P0N&lt;$\. E)R=7GH0?</w:t>
      </w:r>
    </w:p>
    <w:p>
      <w:pPr>
        <w:spacing w:after="0" w:line="231" w:lineRule="auto"/>
        <w:rPr>
          <w:sz w:val="20"/>
          <w:szCs w:val="20"/>
          <w:color w:val="auto"/>
        </w:rPr>
      </w:pPr>
      <w:r>
        <w:rPr>
          <w:rFonts w:ascii="Arial" w:cs="Arial" w:eastAsia="Arial" w:hAnsi="Arial"/>
          <w:sz w:val="22"/>
          <w:szCs w:val="22"/>
          <w:b w:val="1"/>
          <w:bCs w:val="1"/>
          <w:color w:val="auto"/>
          <w:strike w:val="1"/>
        </w:rPr>
        <w:t>7TEH_5W';7 MT7JG3E6Q3:#".Y=]&amp;0!9BP3V&amp;SN&gt;DW,S++YE+/+/7BQEY-ZZ6SA1P?!3+9*G MU28P7$-MNK=0?</w:t>
      </w:r>
    </w:p>
    <w:p>
      <w:pPr>
        <w:spacing w:after="0" w:line="231" w:lineRule="auto"/>
        <w:rPr>
          <w:sz w:val="20"/>
          <w:szCs w:val="20"/>
          <w:color w:val="auto"/>
        </w:rPr>
      </w:pPr>
      <w:r>
        <w:rPr>
          <w:rFonts w:ascii="Arial" w:cs="Arial" w:eastAsia="Arial" w:hAnsi="Arial"/>
          <w:sz w:val="22"/>
          <w:szCs w:val="22"/>
          <w:b w:val="1"/>
          <w:bCs w:val="1"/>
          <w:color w:val="auto"/>
          <w:strike w:val="1"/>
        </w:rPr>
        <w:t>(HG'#2FMZKM&amp;C5"AQ[&amp;H;IMUWO6T*](2,Y98RWV;9#%K&amp;7E MY(-[-*N\(M)&amp;/9HI+,F_8L&lt;$P?</w:t>
      </w:r>
    </w:p>
    <w:p>
      <w:pPr>
        <w:spacing w:after="0" w:line="230" w:lineRule="auto"/>
        <w:rPr>
          <w:sz w:val="20"/>
          <w:szCs w:val="20"/>
          <w:color w:val="auto"/>
        </w:rPr>
      </w:pPr>
      <w:r>
        <w:rPr>
          <w:rFonts w:ascii="Arial" w:cs="Arial" w:eastAsia="Arial" w:hAnsi="Arial"/>
          <w:sz w:val="22"/>
          <w:szCs w:val="22"/>
          <w:b w:val="1"/>
          <w:bCs w:val="1"/>
          <w:color w:val="auto"/>
          <w:strike w:val="1"/>
        </w:rPr>
        <w:t>LVR&gt;5%&gt;N=:-]_P)Z48WQWXA&lt;=N**- MM;: UTGKUK&gt;5H=&gt;S-D+1=;"W?</w:t>
      </w:r>
    </w:p>
    <w:p>
      <w:pPr>
        <w:spacing w:after="0" w:line="231" w:lineRule="auto"/>
        <w:rPr>
          <w:sz w:val="20"/>
          <w:szCs w:val="20"/>
          <w:color w:val="auto"/>
        </w:rPr>
      </w:pPr>
      <w:r>
        <w:rPr>
          <w:rFonts w:ascii="Arial" w:cs="Arial" w:eastAsia="Arial" w:hAnsi="Arial"/>
          <w:sz w:val="22"/>
          <w:szCs w:val="22"/>
          <w:b w:val="1"/>
          <w:bCs w:val="1"/>
          <w:color w:val="auto"/>
          <w:strike w:val="1"/>
        </w:rPr>
        <w:t>JP'LOF([!O;K'($BDT&lt;3LKX",RMR'\:_M"G M[-</w:t>
      </w:r>
    </w:p>
    <w:p>
      <w:pPr>
        <w:spacing w:after="0" w:line="230" w:lineRule="auto"/>
        <w:rPr>
          <w:sz w:val="20"/>
          <w:szCs w:val="20"/>
          <w:color w:val="auto"/>
        </w:rPr>
      </w:pPr>
      <w:r>
        <w:rPr>
          <w:rFonts w:ascii="Arial" w:cs="Arial" w:eastAsia="Arial" w:hAnsi="Arial"/>
          <w:sz w:val="22"/>
          <w:szCs w:val="22"/>
          <w:b w:val="1"/>
          <w:bCs w:val="1"/>
          <w:color w:val="auto"/>
          <w:strike w:val="1"/>
        </w:rPr>
        <w:t>+LYE*4J5=:$=AF^W]%:KWU'4Z(VQ5,6R.H.PJYM2HMC35BA,1%]J*%_&amp;.HZ.FN-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&lt;1J2%5T9/R,G*2&amp;N)Z3LMN@B/Y M=RB]=N8M2US3US!&amp;Q(($=(88KMRLW&gt;3.VN$'!U%33CDVI5SZP?%T)P/XE&lt;8K</w:t>
      </w:r>
    </w:p>
    <w:p>
      <w:pPr>
        <w:spacing w:after="0" w:line="232" w:lineRule="auto"/>
        <w:rPr>
          <w:sz w:val="20"/>
          <w:szCs w:val="20"/>
          <w:color w:val="auto"/>
        </w:rPr>
      </w:pPr>
      <w:r>
        <w:rPr>
          <w:rFonts w:ascii="Arial" w:cs="Arial" w:eastAsia="Arial" w:hAnsi="Arial"/>
          <w:sz w:val="22"/>
          <w:szCs w:val="22"/>
          <w:b w:val="1"/>
          <w:bCs w:val="1"/>
          <w:color w:val="auto"/>
          <w:strike w:val="1"/>
        </w:rPr>
        <w:t>M,]N6D-+0-,MLA&amp;GAE;,O+VVVSK&gt;)5,F=&gt;,BI:ZV"26A8]3**':I,SMR*X1QA M0IL8QC"4I2S-[[[T)-</w:t>
      </w:r>
    </w:p>
    <w:p>
      <w:pPr>
        <w:spacing w:after="0" w:line="230" w:lineRule="auto"/>
        <w:rPr>
          <w:sz w:val="20"/>
          <w:szCs w:val="20"/>
          <w:color w:val="auto"/>
        </w:rPr>
      </w:pPr>
      <w:r>
        <w:rPr>
          <w:rFonts w:ascii="Arial" w:cs="Arial" w:eastAsia="Arial" w:hAnsi="Arial"/>
          <w:sz w:val="22"/>
          <w:szCs w:val="22"/>
          <w:b w:val="1"/>
          <w:bCs w:val="1"/>
          <w:color w:val="auto"/>
          <w:strike w:val="1"/>
        </w:rPr>
        <w:t>C;^XU:1Y156%I&amp;^*$TV!5Z]:V-TAHMY*V&amp;&amp;PQLL8QD MXQG)$=UJ79.%</w:t>
      </w:r>
    </w:p>
    <w:p>
      <w:pPr>
        <w:spacing w:after="0" w:line="231" w:lineRule="auto"/>
        <w:rPr>
          <w:sz w:val="20"/>
          <w:szCs w:val="20"/>
          <w:color w:val="auto"/>
        </w:rPr>
      </w:pPr>
      <w:r>
        <w:rPr>
          <w:rFonts w:ascii="Arial" w:cs="Arial" w:eastAsia="Arial" w:hAnsi="Arial"/>
          <w:sz w:val="22"/>
          <w:szCs w:val="22"/>
          <w:b w:val="1"/>
          <w:bCs w:val="1"/>
          <w:color w:val="auto"/>
          <w:strike w:val="1"/>
        </w:rPr>
        <w:t>&lt;883$DF=%14[=4KK^T2.8J&gt;2E*475.A!MFQUR N$#,56V0D5</w:t>
      </w:r>
    </w:p>
    <w:p>
      <w:pPr>
        <w:spacing w:after="0" w:line="231" w:lineRule="auto"/>
        <w:rPr>
          <w:sz w:val="20"/>
          <w:szCs w:val="20"/>
          <w:color w:val="auto"/>
        </w:rPr>
      </w:pPr>
      <w:r>
        <w:rPr>
          <w:rFonts w:ascii="Arial" w:cs="Arial" w:eastAsia="Arial" w:hAnsi="Arial"/>
          <w:sz w:val="22"/>
          <w:szCs w:val="22"/>
          <w:b w:val="1"/>
          <w:bCs w:val="1"/>
          <w:color w:val="auto"/>
          <w:strike w:val="1"/>
        </w:rPr>
        <w:t>M9*S8(YW$3L!.L&amp;TI#S$4^2,@]CY./&gt;I'1?,U6YCE.FH4Q38-G&amp;&lt;9Q[HKRIZ&amp;</w:t>
      </w:r>
    </w:p>
    <w:p>
      <w:pPr>
        <w:spacing w:after="0" w:line="230" w:lineRule="auto"/>
        <w:rPr>
          <w:sz w:val="20"/>
          <w:szCs w:val="20"/>
          <w:color w:val="auto"/>
        </w:rPr>
      </w:pPr>
      <w:r>
        <w:rPr>
          <w:rFonts w:ascii="Arial" w:cs="Arial" w:eastAsia="Arial" w:hAnsi="Arial"/>
          <w:sz w:val="22"/>
          <w:szCs w:val="22"/>
          <w:b w:val="1"/>
          <w:bCs w:val="1"/>
          <w:color w:val="auto"/>
          <w:strike w:val="1"/>
        </w:rPr>
        <w:t>M20^U'T&lt;7";15^C=GZNT%6Z]&gt;84SI2!FW1*%6PGN22UV34SZY%F+! MD[C7Z$\A:$:^:"/+9C"8+.M$5\.BL\//#C*?</w:t>
      </w:r>
    </w:p>
    <w:p>
      <w:pPr>
        <w:spacing w:after="0" w:line="231" w:lineRule="auto"/>
        <w:rPr>
          <w:sz w:val="20"/>
          <w:szCs w:val="20"/>
          <w:color w:val="auto"/>
        </w:rPr>
      </w:pPr>
      <w:r>
        <w:rPr>
          <w:rFonts w:ascii="Arial" w:cs="Arial" w:eastAsia="Arial" w:hAnsi="Arial"/>
          <w:sz w:val="22"/>
          <w:szCs w:val="22"/>
          <w:b w:val="1"/>
          <w:bCs w:val="1"/>
          <w:color w:val="auto"/>
          <w:strike w:val="1"/>
        </w:rPr>
        <w:t>C'8G.F:M72G)I 7T=JYSNQER M)7JV%-R1NNSZF8W(TQ8,';Z_7GE[0M7RP1);$8?!IUVLOET9GEYXUP%FK] Z?</w:t>
      </w:r>
    </w:p>
    <w:p>
      <w:pPr>
        <w:spacing w:after="0" w:line="230" w:lineRule="auto"/>
        <w:rPr>
          <w:sz w:val="20"/>
          <w:szCs w:val="20"/>
          <w:color w:val="auto"/>
        </w:rPr>
      </w:pPr>
      <w:r>
        <w:rPr>
          <w:rFonts w:ascii="Arial" w:cs="Arial" w:eastAsia="Arial" w:hAnsi="Arial"/>
          <w:sz w:val="22"/>
          <w:szCs w:val="22"/>
          <w:b w:val="1"/>
          <w:bCs w:val="1"/>
          <w:color w:val="auto"/>
          <w:strike w:val="1"/>
        </w:rPr>
        <w:t>TNG?V^L:/'5-I MM*XR5[O,&gt;T)16%2OQRR3HA5&amp;^$(LA&amp;YDBF0(GU2YQ;RDZ4JZ#??I-T&lt;@N*''?E3&amp;0,3OW5</w:t>
      </w:r>
    </w:p>
    <w:p>
      <w:pPr>
        <w:spacing w:after="0" w:line="231" w:lineRule="auto"/>
        <w:rPr>
          <w:sz w:val="20"/>
          <w:szCs w:val="20"/>
          <w:color w:val="auto"/>
        </w:rPr>
      </w:pPr>
      <w:r>
        <w:rPr>
          <w:rFonts w:ascii="Arial" w:cs="Arial" w:eastAsia="Arial" w:hAnsi="Arial"/>
          <w:sz w:val="22"/>
          <w:szCs w:val="22"/>
          <w:b w:val="1"/>
          <w:bCs w:val="1"/>
          <w:color w:val="auto"/>
          <w:strike w:val="1"/>
        </w:rPr>
        <w:t>M\'L-O5WJ[^MO'CF:A)V!&lt;.RHX&gt;&gt;Q%EK,HRD8UNMEJSRN@DY*BN9DB=5,YD4C M)Q&amp;4H^RZ:_\ 79O4?</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LT#Q=T!Q&lt;@IFN:$UC!:[CK'((2=B6CU925F[ ^;E6(S M5G;-89!Y)3)6^'+S+=-TZ53;9&gt;N,HE3RX6ZZ4I2:JZD[[]Y( 00 M</w:t>
      </w:r>
    </w:p>
    <w:p>
      <w:pPr>
        <w:spacing w:after="0" w:line="232" w:lineRule="auto"/>
        <w:rPr>
          <w:sz w:val="20"/>
          <w:szCs w:val="20"/>
          <w:color w:val="auto"/>
        </w:rPr>
      </w:pPr>
      <w:r>
        <w:rPr>
          <w:rFonts w:ascii="Arial" w:cs="Arial" w:eastAsia="Arial" w:hAnsi="Arial"/>
          <w:sz w:val="22"/>
          <w:szCs w:val="22"/>
          <w:b w:val="1"/>
          <w:bCs w:val="1"/>
          <w:color w:val="auto"/>
          <w:strike w:val="1"/>
        </w:rPr>
        <w:t>'S7$E&amp; MLG4&gt;P=R#%L^F%G"$0QC]&amp;Z.2:V25K2,I#*H/H=*U756KPB MCMH\06RP]E&amp;INNBX4ZDQ6:4G]GM?</w:t>
      </w:r>
    </w:p>
    <w:p>
      <w:pPr>
        <w:spacing w:after="0" w:line="230" w:lineRule="auto"/>
        <w:rPr>
          <w:sz w:val="20"/>
          <w:szCs w:val="20"/>
          <w:color w:val="auto"/>
        </w:rPr>
      </w:pPr>
      <w:r>
        <w:rPr>
          <w:rFonts w:ascii="Arial" w:cs="Arial" w:eastAsia="Arial" w:hAnsi="Arial"/>
          <w:sz w:val="22"/>
          <w:szCs w:val="22"/>
          <w:b w:val="1"/>
          <w:bCs w:val="1"/>
          <w:color w:val="auto"/>
          <w:strike w:val="1"/>
        </w:rPr>
        <w:t>@B5OO\T46U^%Y%&lt;[+?Q#WW,/&amp;%IM\Q@(1O-KK92&gt;OZ]954G!G:</w:t>
      </w:r>
    </w:p>
    <w:p>
      <w:pPr>
        <w:spacing w:after="0" w:line="231" w:lineRule="auto"/>
        <w:rPr>
          <w:sz w:val="20"/>
          <w:szCs w:val="20"/>
          <w:color w:val="auto"/>
        </w:rPr>
      </w:pPr>
      <w:r>
        <w:rPr>
          <w:rFonts w:ascii="Arial" w:cs="Arial" w:eastAsia="Arial" w:hAnsi="Arial"/>
          <w:sz w:val="22"/>
          <w:szCs w:val="22"/>
          <w:b w:val="1"/>
          <w:bCs w:val="1"/>
          <w:color w:val="auto"/>
          <w:strike w:val="1"/>
        </w:rPr>
        <w:t>MKSQPVWJP4HJ*=$M/+G7CF[AJTI5[GX'1OQ"L6\K1QKU),\E*LK3]Y*5M1AL6 M$6(Q37S-</w:t>
      </w:r>
    </w:p>
    <w:p>
      <w:pPr>
        <w:spacing w:after="0"/>
        <w:rPr>
          <w:sz w:val="20"/>
          <w:szCs w:val="20"/>
          <w:color w:val="auto"/>
        </w:rPr>
      </w:pPr>
      <w:r>
        <w:rPr>
          <w:rFonts w:ascii="Arial" w:cs="Arial" w:eastAsia="Arial" w:hAnsi="Arial"/>
          <w:sz w:val="21"/>
          <w:szCs w:val="21"/>
          <w:b w:val="1"/>
          <w:bCs w:val="1"/>
          <w:color w:val="auto"/>
          <w:strike w:val="1"/>
        </w:rPr>
        <w:t>0DI)0J,VY0BG*K9NYE(N.82BB3&lt;^$4E)C*2::)2X13QE3$U%U1!J MZN[$UUKO?7/.\6;D;;[)$ZQH6DKQL_44O!7YS5.-</w:t>
      </w:r>
    </w:p>
    <w:p>
      <w:pPr>
        <w:spacing w:after="0" w:line="232" w:lineRule="auto"/>
        <w:rPr>
          <w:sz w:val="20"/>
          <w:szCs w:val="20"/>
          <w:color w:val="auto"/>
        </w:rPr>
      </w:pPr>
      <w:r>
        <w:rPr>
          <w:rFonts w:ascii="Arial" w:cs="Arial" w:eastAsia="Arial" w:hAnsi="Arial"/>
          <w:sz w:val="22"/>
          <w:szCs w:val="22"/>
          <w:b w:val="1"/>
          <w:bCs w:val="1"/>
          <w:color w:val="auto"/>
          <w:strike w:val="1"/>
        </w:rPr>
        <w:t>%5@-9WBPKS]/\.'+.PJ6 MB!C9"6D4*ZT,Z*O7$D7::[M1N43G:@E&amp;FGYY^[?H/6?NH/2(&lt;,]F[#K.K:1O</w:t>
      </w:r>
    </w:p>
    <w:p>
      <w:pPr>
        <w:spacing w:after="0" w:line="230" w:lineRule="auto"/>
        <w:rPr>
          <w:sz w:val="20"/>
          <w:szCs w:val="20"/>
          <w:color w:val="auto"/>
        </w:rPr>
      </w:pPr>
      <w:r>
        <w:rPr>
          <w:rFonts w:ascii="Arial" w:cs="Arial" w:eastAsia="Arial" w:hAnsi="Arial"/>
          <w:sz w:val="22"/>
          <w:szCs w:val="22"/>
          <w:b w:val="1"/>
          <w:bCs w:val="1"/>
          <w:color w:val="auto"/>
          <w:strike w:val="1"/>
        </w:rPr>
        <w:t>M&amp;$F+G=B%+4FAZ[&gt;8F&amp;L3TS+#\T)$7&amp;;K#&gt;&amp;&gt;VBW2J?5H MI;JZ;T@Q-?=&gt;6CG6$\SIH["K?</w:t>
      </w:r>
    </w:p>
    <w:p>
      <w:pPr>
        <w:spacing w:after="0" w:line="231" w:lineRule="auto"/>
        <w:rPr>
          <w:sz w:val="20"/>
          <w:szCs w:val="20"/>
          <w:color w:val="auto"/>
        </w:rPr>
      </w:pPr>
      <w:r>
        <w:rPr>
          <w:rFonts w:ascii="Arial" w:cs="Arial" w:eastAsia="Arial" w:hAnsi="Arial"/>
          <w:sz w:val="22"/>
          <w:szCs w:val="22"/>
          <w:b w:val="1"/>
          <w:bCs w:val="1"/>
          <w:color w:val="auto"/>
          <w:strike w:val="1"/>
        </w:rPr>
        <w:t>*3U')V2Z#A2ZLY:NPFCT\ALVJ\].(UWV^UT</w:t>
      </w:r>
    </w:p>
    <w:p>
      <w:pPr>
        <w:spacing w:after="0" w:line="231" w:lineRule="auto"/>
        <w:rPr>
          <w:sz w:val="20"/>
          <w:szCs w:val="20"/>
          <w:color w:val="auto"/>
        </w:rPr>
      </w:pPr>
      <w:r>
        <w:rPr>
          <w:rFonts w:ascii="Arial" w:cs="Arial" w:eastAsia="Arial" w:hAnsi="Arial"/>
          <w:sz w:val="22"/>
          <w:szCs w:val="22"/>
          <w:b w:val="1"/>
          <w:bCs w:val="1"/>
          <w:color w:val="auto"/>
          <w:strike w:val="1"/>
        </w:rPr>
        <w:t>M55=UUZ:V5(R,O#Q,:TC+3BO3\S7R+JS,/6M@K0)*]9I=MXNZ*JU82KA\4\44XJE/OS/.. M5=:[MZ&amp;TU;[8I#?</w:t>
      </w:r>
    </w:p>
    <w:p>
      <w:pPr>
        <w:spacing w:after="0" w:line="230" w:lineRule="auto"/>
        <w:rPr>
          <w:sz w:val="20"/>
          <w:szCs w:val="20"/>
          <w:color w:val="auto"/>
        </w:rPr>
      </w:pPr>
      <w:r>
        <w:rPr>
          <w:rFonts w:ascii="Arial" w:cs="Arial" w:eastAsia="Arial" w:hAnsi="Arial"/>
          <w:sz w:val="22"/>
          <w:szCs w:val="22"/>
          <w:b w:val="1"/>
          <w:bCs w:val="1"/>
          <w:color w:val="auto"/>
          <w:strike w:val="1"/>
        </w:rPr>
        <w:t>O3(5:W[PO^N-=:^X_Z ?5ZVL)2W3B6@&amp;EBX][9D[IL?7-</w:t>
      </w:r>
    </w:p>
    <w:p>
      <w:pPr>
        <w:spacing w:after="0" w:line="231" w:lineRule="auto"/>
        <w:rPr>
          <w:sz w:val="20"/>
          <w:szCs w:val="20"/>
          <w:color w:val="auto"/>
        </w:rPr>
      </w:pPr>
      <w:r>
        <w:rPr>
          <w:rFonts w:ascii="Arial" w:cs="Arial" w:eastAsia="Arial" w:hAnsi="Arial"/>
          <w:sz w:val="22"/>
          <w:szCs w:val="22"/>
          <w:b w:val="1"/>
          <w:bCs w:val="1"/>
          <w:color w:val="auto"/>
          <w:strike w:val="1"/>
        </w:rPr>
        <w:t>M6AI#"T7.MEF*$RJ2&amp;*V?/WD"WR4YG1$3EBF:SHJMM_/1F9#[O$E:?DQH/CCQ</w:t>
      </w:r>
    </w:p>
    <w:p>
      <w:pPr>
        <w:spacing w:after="0" w:line="230" w:lineRule="auto"/>
        <w:rPr>
          <w:sz w:val="20"/>
          <w:szCs w:val="20"/>
          <w:color w:val="auto"/>
        </w:rPr>
      </w:pPr>
      <w:r>
        <w:rPr>
          <w:rFonts w:ascii="Arial" w:cs="Arial" w:eastAsia="Arial" w:hAnsi="Arial"/>
          <w:sz w:val="22"/>
          <w:szCs w:val="22"/>
          <w:b w:val="1"/>
          <w:bCs w:val="1"/>
          <w:color w:val="auto"/>
          <w:strike w:val="1"/>
        </w:rPr>
        <w:t>MRT5&lt;=N;V4E*Q9*'KV*J&amp;PK!$W"5O&amp;XG*U-BG;6S-:6RCY"PRL_*,NSD7J.6K MEV@K)9*\-</w:t>
      </w:r>
    </w:p>
    <w:p>
      <w:pPr>
        <w:spacing w:after="0" w:line="231" w:lineRule="auto"/>
        <w:rPr>
          <w:sz w:val="20"/>
          <w:szCs w:val="20"/>
          <w:color w:val="auto"/>
        </w:rPr>
      </w:pPr>
      <w:r>
        <w:rPr>
          <w:rFonts w:ascii="Arial" w:cs="Arial" w:eastAsia="Arial" w:hAnsi="Arial"/>
          <w:sz w:val="22"/>
          <w:szCs w:val="22"/>
          <w:b w:val="1"/>
          <w:bCs w:val="1"/>
          <w:color w:val="auto"/>
          <w:strike w:val="1"/>
        </w:rPr>
        <w:t>A4WAS7"VW1$TTT/TP_/#B;.Z7O'(*)W#'/=4ZSD8^)V%-EK=V3F MZ9)RRL=!6K)+#%.5I"7CR)E5BBY-</w:t>
      </w:r>
    </w:p>
    <w:p>
      <w:pPr>
        <w:spacing w:after="0" w:line="231" w:lineRule="auto"/>
        <w:rPr>
          <w:sz w:val="20"/>
          <w:szCs w:val="20"/>
          <w:color w:val="auto"/>
        </w:rPr>
      </w:pPr>
      <w:r>
        <w:rPr>
          <w:rFonts w:ascii="Arial" w:cs="Arial" w:eastAsia="Arial" w:hAnsi="Arial"/>
          <w:sz w:val="22"/>
          <w:szCs w:val="22"/>
          <w:b w:val="1"/>
          <w:bCs w:val="1"/>
          <w:color w:val="auto"/>
          <w:strike w:val="1"/>
        </w:rPr>
        <w:t>A4RF,8116.FP2JHTHWOU"C/PT' MI N'NS]I,M-4?=\%-[ E74HTK\&lt;:#N$7!VQW#95Q(MJ5=YFN-X*ZK$*BN8I8</w:t>
      </w:r>
    </w:p>
    <w:p>
      <w:pPr>
        <w:spacing w:after="0" w:line="230" w:lineRule="auto"/>
        <w:rPr>
          <w:sz w:val="20"/>
          <w:szCs w:val="20"/>
          <w:color w:val="auto"/>
        </w:rPr>
      </w:pPr>
      <w:r>
        <w:rPr>
          <w:rFonts w:ascii="Arial" w:cs="Arial" w:eastAsia="Arial" w:hAnsi="Arial"/>
          <w:sz w:val="22"/>
          <w:szCs w:val="22"/>
          <w:b w:val="1"/>
          <w:bCs w:val="1"/>
          <w:color w:val="auto"/>
          <w:strike w:val="1"/>
        </w:rPr>
        <w:t>MF3&gt;95*CDR/:%*;(8)K/AS?FV9TAW#73M_D]9;$W?#0-O@WC"/ MLS=O6[S/P50?</w:t>
      </w:r>
    </w:p>
    <w:p>
      <w:pPr>
        <w:spacing w:after="0" w:line="231" w:lineRule="auto"/>
        <w:rPr>
          <w:sz w:val="20"/>
          <w:szCs w:val="20"/>
          <w:color w:val="auto"/>
        </w:rPr>
      </w:pPr>
      <w:r>
        <w:rPr>
          <w:rFonts w:ascii="Arial" w:cs="Arial" w:eastAsia="Arial" w:hAnsi="Arial"/>
          <w:sz w:val="22"/>
          <w:szCs w:val="22"/>
          <w:b w:val="1"/>
          <w:bCs w:val="1"/>
          <w:color w:val="auto"/>
          <w:strike w:val="1"/>
        </w:rPr>
        <w:t>R64/%&amp;5TN=:J[N&amp;IKPWC*/62E'[0Z&gt;%2F4*3!@4)/.EF?XC? M_&gt;^@Q2A;-L%!YW;&amp;T98+?)V?7?</w:t>
      </w:r>
    </w:p>
    <w:p>
      <w:pPr>
        <w:spacing w:after="0" w:line="231" w:lineRule="auto"/>
        <w:rPr>
          <w:sz w:val="20"/>
          <w:szCs w:val="20"/>
          <w:color w:val="auto"/>
        </w:rPr>
      </w:pPr>
      <w:r>
        <w:rPr>
          <w:rFonts w:ascii="Arial" w:cs="Arial" w:eastAsia="Arial" w:hAnsi="Arial"/>
          <w:sz w:val="22"/>
          <w:szCs w:val="22"/>
          <w:b w:val="1"/>
          <w:bCs w:val="1"/>
          <w:color w:val="auto"/>
          <w:strike w:val="1"/>
        </w:rPr>
        <w:t>(/5&lt;)R/T2K+3KZ&lt;:U&gt;;K"C*A[=U_6'DBNY M/FONT$ZG9F+)NX2CH_,G*99-BDI;,K/KEW#?</w:t>
      </w:r>
    </w:p>
    <w:p>
      <w:pPr>
        <w:spacing w:after="0" w:line="230" w:lineRule="auto"/>
        <w:rPr>
          <w:sz w:val="20"/>
          <w:szCs w:val="20"/>
          <w:color w:val="auto"/>
        </w:rPr>
      </w:pPr>
      <w:r>
        <w:rPr>
          <w:rFonts w:ascii="Arial" w:cs="Arial" w:eastAsia="Arial" w:hAnsi="Arial"/>
          <w:sz w:val="22"/>
          <w:szCs w:val="22"/>
          <w:b w:val="1"/>
          <w:bCs w:val="1"/>
          <w:color w:val="auto"/>
          <w:strike w:val="1"/>
        </w:rPr>
        <w:t>Q[BN+8&amp;NM)*NS^36R.3BSW8? MBC)N_87+5FH=LK+R=VUDE/R=&gt;1=OYNLRK&gt;8413RXDHFR.5'1U%G.1I645.,_</w:t>
      </w:r>
    </w:p>
    <w:p>
      <w:pPr>
        <w:spacing w:after="0" w:line="231" w:lineRule="auto"/>
        <w:rPr>
          <w:sz w:val="20"/>
          <w:szCs w:val="20"/>
          <w:color w:val="auto"/>
        </w:rPr>
      </w:pPr>
      <w:r>
        <w:rPr>
          <w:rFonts w:ascii="Arial" w:cs="Arial" w:eastAsia="Arial" w:hAnsi="Arial"/>
          <w:sz w:val="22"/>
          <w:szCs w:val="22"/>
          <w:b w:val="1"/>
          <w:bCs w:val="1"/>
          <w:color w:val="auto"/>
          <w:strike w:val="1"/>
        </w:rPr>
        <w:t>M644OQ:)Z^3-^#Y-]&amp;DN*X &lt;@;7RDX?Z4WG=XYA&amp;7"YPL^VLJ&lt;4D9",&gt;3%.N5</w:t>
      </w:r>
    </w:p>
    <w:p>
      <w:pPr>
        <w:spacing w:after="0" w:line="231" w:lineRule="auto"/>
        <w:rPr>
          <w:sz w:val="20"/>
          <w:szCs w:val="20"/>
          <w:color w:val="auto"/>
        </w:rPr>
      </w:pPr>
      <w:r>
        <w:rPr>
          <w:rFonts w:ascii="Arial" w:cs="Arial" w:eastAsia="Arial" w:hAnsi="Arial"/>
          <w:sz w:val="22"/>
          <w:szCs w:val="22"/>
          <w:b w:val="1"/>
          <w:bCs w:val="1"/>
          <w:color w:val="auto"/>
          <w:strike w:val="1"/>
        </w:rPr>
        <w:t>MDHSZ9CF^3GPV92"U9R_33P8Q$R2.")YR0IS]6X(:(A^&amp;O0SMHF,8QK=ERJZ-]1HF MR:HM\-</w:t>
      </w:r>
    </w:p>
    <w:p>
      <w:pPr>
        <w:spacing w:after="0" w:line="230" w:lineRule="auto"/>
        <w:rPr>
          <w:sz w:val="20"/>
          <w:szCs w:val="20"/>
          <w:color w:val="auto"/>
        </w:rPr>
      </w:pPr>
      <w:r>
        <w:rPr>
          <w:rFonts w:ascii="Arial" w:cs="Arial" w:eastAsia="Arial" w:hAnsi="Arial"/>
          <w:sz w:val="22"/>
          <w:szCs w:val="22"/>
          <w:b w:val="1"/>
          <w:bCs w:val="1"/>
          <w:color w:val="auto"/>
          <w:strike w:val="1"/>
        </w:rPr>
        <w:t>U96!PM*JI=DGCJK.EW;I1R?&amp;&gt;NX.Y4.KDYE#YS"?K6E77-(L\U=^5+ MY%Z S(*!N+M9KK?H'=VND86,(O9-)</w:t>
      </w:r>
    </w:p>
    <w:p>
      <w:pPr>
        <w:spacing w:after="0" w:line="231" w:lineRule="auto"/>
        <w:rPr>
          <w:sz w:val="20"/>
          <w:szCs w:val="20"/>
          <w:color w:val="auto"/>
        </w:rPr>
      </w:pPr>
      <w:r>
        <w:rPr>
          <w:rFonts w:ascii="Arial" w:cs="Arial" w:eastAsia="Arial" w:hAnsi="Arial"/>
          <w:sz w:val="22"/>
          <w:szCs w:val="22"/>
          <w:b w:val="1"/>
          <w:bCs w:val="1"/>
          <w:color w:val="auto"/>
          <w:strike w:val="1"/>
        </w:rPr>
        <w:t>&lt;[[-.J&gt;)H&amp;-+6*(LN[HJ*FWW6+GMY1M</w:t>
      </w:r>
    </w:p>
    <w:p>
      <w:pPr>
        <w:spacing w:after="0" w:line="230" w:lineRule="auto"/>
        <w:rPr>
          <w:sz w:val="20"/>
          <w:szCs w:val="20"/>
          <w:color w:val="auto"/>
        </w:rPr>
      </w:pPr>
      <w:r>
        <w:rPr>
          <w:rFonts w:ascii="Arial" w:cs="Arial" w:eastAsia="Arial" w:hAnsi="Arial"/>
          <w:sz w:val="22"/>
          <w:szCs w:val="22"/>
          <w:b w:val="1"/>
          <w:bCs w:val="1"/>
          <w:color w:val="auto"/>
          <w:strike w:val="1"/>
        </w:rPr>
        <w:t>M'5:MHH+&amp;QUTB0;7L\ERB3.-77RL&gt;N/&lt;0]$NBO&gt;9/M2#AH;BQT(Q(F*CHU-GR MDX*I-L,62#HA:++^I]J(EH?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5WL_CQY;QLYS&gt;E-?:B*_ M2I-HR$W5TAC*GYPC'V[H^- VS;#=EC!&amp;KC9T5RVIE=JCJ7322P7$N77.6V$&lt;</w:t>
      </w:r>
    </w:p>
    <w:p>
      <w:pPr>
        <w:sectPr>
          <w:pgSz w:w="11900" w:h="16877" w:orient="portrait"/>
          <w:cols w:equalWidth="0" w:num="1">
            <w:col w:w="11380"/>
          </w:cols>
          <w:pgMar w:left="240" w:top="112" w:right="279" w:bottom="0" w:gutter="0" w:footer="0" w:header="0"/>
        </w:sectPr>
      </w:pPr>
    </w:p>
    <w:bookmarkStart w:id="143" w:name="page144"/>
    <w:bookmarkEnd w:id="143"/>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MJ&amp;,IENY.;&amp;3%-GJ6L]%GT2?94NMV+9)N6%K:=/V6SQ!1IB$P9I%9:Q&lt;:F9 F&lt;)G)'HX,4W9$R6D&amp;Z3KIH^U</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M9Q7/KK7L9&amp;*RQ%XTY5.?-@UE#ZDYL\++[NOD-9^46J36.RZRWQK6YRD01+?M</w:t>
      </w:r>
    </w:p>
    <w:p>
      <w:pPr>
        <w:spacing w:after="0" w:line="230" w:lineRule="auto"/>
        <w:rPr>
          <w:sz w:val="20"/>
          <w:szCs w:val="20"/>
          <w:color w:val="auto"/>
        </w:rPr>
      </w:pPr>
      <w:r>
        <w:rPr>
          <w:rFonts w:ascii="Arial" w:cs="Arial" w:eastAsia="Arial" w:hAnsi="Arial"/>
          <w:sz w:val="22"/>
          <w:szCs w:val="22"/>
          <w:b w:val="1"/>
          <w:bCs w:val="1"/>
          <w:color w:val="auto"/>
          <w:strike w:val="1"/>
        </w:rPr>
        <w:t>M6@;,BQ/'V6.AHY@U5;D(JSF42HH(Q3HJI$W:J2B&amp;J'_%VFS%592R\@]#]-0Z:,30]XO(\NM[5-.</w:t>
      </w:r>
    </w:p>
    <w:p>
      <w:pPr>
        <w:spacing w:after="0" w:line="231" w:lineRule="auto"/>
        <w:rPr>
          <w:sz w:val="20"/>
          <w:szCs w:val="20"/>
          <w:color w:val="auto"/>
        </w:rPr>
      </w:pPr>
      <w:r>
        <w:rPr>
          <w:rFonts w:ascii="Arial" w:cs="Arial" w:eastAsia="Arial" w:hAnsi="Arial"/>
          <w:sz w:val="22"/>
          <w:szCs w:val="22"/>
          <w:b w:val="1"/>
          <w:bCs w:val="1"/>
          <w:color w:val="auto"/>
          <w:strike w:val="1"/>
        </w:rPr>
        <w:t>M5"%;QU9B]QLJ^B^=Z=$[ M4+3R U59]56C&gt;SM[3&gt;\V=:5C5FU4FLG7R-8&amp;OU37EMUG'O- M?</w:t>
      </w:r>
    </w:p>
    <w:p>
      <w:pPr>
        <w:spacing w:after="0" w:line="230" w:lineRule="auto"/>
        <w:rPr>
          <w:sz w:val="20"/>
          <w:szCs w:val="20"/>
          <w:color w:val="auto"/>
        </w:rPr>
      </w:pPr>
      <w:r>
        <w:rPr>
          <w:rFonts w:ascii="Arial" w:cs="Arial" w:eastAsia="Arial" w:hAnsi="Arial"/>
          <w:sz w:val="22"/>
          <w:szCs w:val="22"/>
          <w:b w:val="1"/>
          <w:bCs w:val="1"/>
          <w:color w:val="auto"/>
          <w:strike w:val="1"/>
        </w:rPr>
        <w:t>$6K!S1,R&gt;!N,JJLI(GED3.VZ"A&amp;Z:)%$%94Y)1_]-'7NN1:P?MM?$;6]PUO MQJU9)S5X0K_%B_Z-V-</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KUXQDH%*8F)S0+$C"FM;DX&lt;5M1"0BG2*1,R9&amp;3&gt;/66 M,;/BB[+'AQ@F\[]ZOX[_ .R7GW^9*D001+HO#G6&gt;ON)$_P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,H6=O;G5]BIFX M**^GI.3KRU]1B=V2ESE[2X:RC6KH1Q))NYO4N6/,:+422(W;8UU(S=X1A.)5_U%L;7#IE)0*E:K)T^K-</w:t>
      </w:r>
    </w:p>
    <w:p>
      <w:pPr>
        <w:spacing w:after="0" w:line="232" w:lineRule="auto"/>
        <w:rPr>
          <w:sz w:val="20"/>
          <w:szCs w:val="20"/>
          <w:color w:val="auto"/>
        </w:rPr>
      </w:pPr>
      <w:r>
        <w:rPr>
          <w:rFonts w:ascii="Arial" w:cs="Arial" w:eastAsia="Arial" w:hAnsi="Arial"/>
          <w:sz w:val="22"/>
          <w:szCs w:val="22"/>
          <w:b w:val="1"/>
          <w:bCs w:val="1"/>
          <w:color w:val="auto"/>
          <w:strike w:val="1"/>
        </w:rPr>
        <w:t>M;LNO65$I&amp;*&lt;1LJX/($8(1JJJZ9#-UVJ&gt;#)G*36+_ -M]])/28!9. &amp;G+1J#D MCI60LNS4JKRAW^OR,O\</w:t>
      </w:r>
    </w:p>
    <w:p>
      <w:pPr>
        <w:spacing w:after="0" w:line="230" w:lineRule="auto"/>
        <w:rPr>
          <w:sz w:val="20"/>
          <w:szCs w:val="20"/>
          <w:color w:val="auto"/>
        </w:rPr>
      </w:pPr>
      <w:r>
        <w:rPr>
          <w:rFonts w:ascii="Arial" w:cs="Arial" w:eastAsia="Arial" w:hAnsi="Arial"/>
          <w:sz w:val="22"/>
          <w:szCs w:val="22"/>
          <w:b w:val="1"/>
          <w:bCs w:val="1"/>
          <w:color w:val="auto"/>
          <w:strike w:val="1"/>
        </w:rPr>
        <w:t>(,YBK)6"'N[BT:ZM:D73G*]-4;,*I[(ZS@B81&gt;M9 M!WA!T[+E[DYT5$&amp;-</w:t>
      </w:r>
    </w:p>
    <w:p>
      <w:pPr>
        <w:spacing w:after="0" w:line="231" w:lineRule="auto"/>
        <w:rPr>
          <w:sz w:val="20"/>
          <w:szCs w:val="20"/>
          <w:color w:val="auto"/>
        </w:rPr>
      </w:pPr>
      <w:r>
        <w:rPr>
          <w:rFonts w:ascii="Arial" w:cs="Arial" w:eastAsia="Arial" w:hAnsi="Arial"/>
          <w:sz w:val="22"/>
          <w:szCs w:val="22"/>
          <w:b w:val="1"/>
          <w:bCs w:val="1"/>
          <w:color w:val="auto"/>
          <w:strike w:val="1"/>
        </w:rPr>
        <w:t>U3IGBJ+\?'L&amp;C\&amp;9G/&lt;.M96&amp;=YASSV=O:;WFSK2L:LVJ MDUDZ^1K U^J:\MNLX]YKXBU8.:)F3P-</w:t>
      </w:r>
    </w:p>
    <w:p>
      <w:pPr>
        <w:spacing w:after="0"/>
        <w:rPr>
          <w:sz w:val="20"/>
          <w:szCs w:val="20"/>
          <w:color w:val="auto"/>
        </w:rPr>
      </w:pPr>
      <w:r>
        <w:rPr>
          <w:rFonts w:ascii="Arial" w:cs="Arial" w:eastAsia="Arial" w:hAnsi="Arial"/>
          <w:sz w:val="21"/>
          <w:szCs w:val="21"/>
          <w:b w:val="1"/>
          <w:bCs w:val="1"/>
          <w:color w:val="auto"/>
          <w:strike w:val="1"/>
        </w:rPr>
        <w:t>QE55E)$\LB9VW04(W31(H@J4Y)1_] M-'7NN1:R#'MB&lt;$M1[#HFAJGFR;3HUJXU5V)J^G]TZXMS.I[CK$3'5=C3WS?V</w:t>
      </w:r>
    </w:p>
    <w:p>
      <w:pPr>
        <w:spacing w:after="0" w:line="232" w:lineRule="auto"/>
        <w:rPr>
          <w:sz w:val="20"/>
          <w:szCs w:val="20"/>
          <w:color w:val="auto"/>
        </w:rPr>
      </w:pPr>
      <w:r>
        <w:rPr>
          <w:rFonts w:ascii="Arial" w:cs="Arial" w:eastAsia="Arial" w:hAnsi="Arial"/>
          <w:sz w:val="22"/>
          <w:szCs w:val="22"/>
          <w:b w:val="1"/>
          <w:bCs w:val="1"/>
          <w:color w:val="auto"/>
          <w:strike w:val="1"/>
        </w:rPr>
        <w:t>MQHP2K%ZWDX&gt;,98DFZL89FX.GG)&amp;R1,Y("DTY5HT^1Z"6Z]&gt;^^?N,!&lt;=&amp;9H&gt;2 MTUOC4=@M^Y[;,%NNG02?</w:t>
      </w:r>
    </w:p>
    <w:p>
      <w:pPr>
        <w:spacing w:after="0" w:line="230" w:lineRule="auto"/>
        <w:rPr>
          <w:sz w:val="20"/>
          <w:szCs w:val="20"/>
          <w:color w:val="auto"/>
        </w:rPr>
      </w:pPr>
      <w:r>
        <w:rPr>
          <w:rFonts w:ascii="Arial" w:cs="Arial" w:eastAsia="Arial" w:hAnsi="Arial"/>
          <w:sz w:val="22"/>
          <w:szCs w:val="22"/>
          <w:b w:val="1"/>
          <w:bCs w:val="1"/>
          <w:color w:val="auto"/>
          <w:strike w:val="1"/>
        </w:rPr>
        <w:t>W=Q_IN^EM,KV^3L\&lt;;1V]*1R!JA M:V\BV&gt;)"Y4-C8H^'C;#B4A7GC=951LK\SE%MXH[.=)'*3U'!3E/52&lt;:T^TJ$</w:t>
      </w:r>
    </w:p>
    <w:p>
      <w:pPr>
        <w:spacing w:after="0" w:line="231" w:lineRule="auto"/>
        <w:rPr>
          <w:sz w:val="20"/>
          <w:szCs w:val="20"/>
          <w:color w:val="auto"/>
        </w:rPr>
      </w:pPr>
      <w:r>
        <w:rPr>
          <w:rFonts w:ascii="Arial" w:cs="Arial" w:eastAsia="Arial" w:hAnsi="Arial"/>
          <w:sz w:val="22"/>
          <w:szCs w:val="22"/>
          <w:b w:val="1"/>
          <w:bCs w:val="1"/>
          <w:color w:val="auto"/>
          <w:strike w:val="1"/>
        </w:rPr>
        <w:t>MM:CO.=&gt;67=&amp;GM6[63JVIMFSTPU;Q]HE+) + M5MT\;N9IBV31ELQ\BRP]2_(4QX/!X+*;S9DZ:UO^).O-</w:t>
      </w:r>
    </w:p>
    <w:p>
      <w:pPr>
        <w:spacing w:after="0" w:line="231" w:lineRule="auto"/>
        <w:rPr>
          <w:sz w:val="20"/>
          <w:szCs w:val="20"/>
          <w:color w:val="auto"/>
        </w:rPr>
      </w:pPr>
      <w:r>
        <w:rPr>
          <w:rFonts w:ascii="Arial" w:cs="Arial" w:eastAsia="Arial" w:hAnsi="Arial"/>
          <w:sz w:val="22"/>
          <w:szCs w:val="22"/>
          <w:b w:val="1"/>
          <w:bCs w:val="1"/>
          <w:color w:val="auto"/>
          <w:strike w:val="1"/>
        </w:rPr>
        <w:t>OOJ,=US1XC9//M[8 MJM%)QNFN!FD&amp;'';7Z++)S09-P;*8PT[)77/'W;V=@7*%JKVZR4-[0=H53Q:LQLO!P3V3]D</w:t>
      </w:r>
    </w:p>
    <w:p>
      <w:pPr>
        <w:spacing w:after="0"/>
        <w:rPr>
          <w:sz w:val="20"/>
          <w:szCs w:val="20"/>
          <w:color w:val="auto"/>
        </w:rPr>
      </w:pPr>
      <w:r>
        <w:rPr>
          <w:rFonts w:ascii="Arial" w:cs="Arial" w:eastAsia="Arial" w:hAnsi="Arial"/>
          <w:sz w:val="21"/>
          <w:szCs w:val="21"/>
          <w:b w:val="1"/>
          <w:bCs w:val="1"/>
          <w:color w:val="auto"/>
          <w:strike w:val="1"/>
        </w:rPr>
        <w:t>M+M28UHMU)6QPJ644USN#&gt;.]X?!2^#P&amp;]S[&amp;1,AW[A!&gt;[2YY/4/+6=F[5XY85AC*$'GH\]9QS=&gt;H^=E/*EU MR380O-</w:t>
      </w:r>
    </w:p>
    <w:p>
      <w:pPr>
        <w:spacing w:after="0" w:line="232" w:lineRule="auto"/>
        <w:rPr>
          <w:sz w:val="20"/>
          <w:szCs w:val="20"/>
          <w:color w:val="auto"/>
        </w:rPr>
      </w:pPr>
      <w:r>
        <w:rPr>
          <w:rFonts w:ascii="Arial" w:cs="Arial" w:eastAsia="Arial" w:hAnsi="Arial"/>
          <w:sz w:val="22"/>
          <w:szCs w:val="22"/>
          <w:b w:val="1"/>
          <w:bCs w:val="1"/>
          <w:color w:val="auto"/>
          <w:strike w:val="1"/>
        </w:rPr>
        <w:t>\Q_0G/K4/1GPF]VPVOTCCKD/XEKLWXCSN'$3X7L?T)SZ MU#T9\)O=L-K](XZY#^):[-^(\[AQ$^%[']"</w:t>
      </w:r>
    </w:p>
    <w:p>
      <w:pPr>
        <w:spacing w:after="0"/>
        <w:rPr>
          <w:sz w:val="20"/>
          <w:szCs w:val="20"/>
          <w:color w:val="auto"/>
        </w:rPr>
      </w:pPr>
      <w:r>
        <w:rPr>
          <w:rFonts w:ascii="Arial" w:cs="Arial" w:eastAsia="Arial" w:hAnsi="Arial"/>
          <w:sz w:val="21"/>
          <w:szCs w:val="21"/>
          <w:b w:val="1"/>
          <w:bCs w:val="1"/>
          <w:color w:val="auto"/>
          <w:strike w:val="1"/>
        </w:rPr>
        <w:t>&lt;^M0]&amp;?";W;#:_2..N0_B6NS? MB/.X&lt;1/A&gt;Q_0G/K4/1GPF]VPVOTCCKD/XEKLWXCSN'$3X7L?T)SZU#T9\)O= ML-</w:t>
      </w:r>
    </w:p>
    <w:p>
      <w:pPr>
        <w:spacing w:after="0" w:line="232" w:lineRule="auto"/>
        <w:rPr>
          <w:sz w:val="20"/>
          <w:szCs w:val="20"/>
          <w:color w:val="auto"/>
        </w:rPr>
      </w:pPr>
      <w:r>
        <w:rPr>
          <w:rFonts w:ascii="Arial" w:cs="Arial" w:eastAsia="Arial" w:hAnsi="Arial"/>
          <w:sz w:val="22"/>
          <w:szCs w:val="22"/>
          <w:b w:val="1"/>
          <w:bCs w:val="1"/>
          <w:color w:val="auto"/>
          <w:strike w:val="1"/>
        </w:rPr>
        <w:t>K](XZY#^):[-^(\[AQ$^%[']"&lt;^M0]&amp;?";W;#:_2..N0_B6NS?B/.X&lt;1/A</w:t>
      </w:r>
    </w:p>
    <w:p>
      <w:pPr>
        <w:spacing w:after="0" w:line="230" w:lineRule="auto"/>
        <w:rPr>
          <w:sz w:val="20"/>
          <w:szCs w:val="20"/>
          <w:color w:val="auto"/>
        </w:rPr>
      </w:pPr>
      <w:r>
        <w:rPr>
          <w:rFonts w:ascii="Arial" w:cs="Arial" w:eastAsia="Arial" w:hAnsi="Arial"/>
          <w:sz w:val="22"/>
          <w:szCs w:val="22"/>
          <w:b w:val="1"/>
          <w:bCs w:val="1"/>
          <w:color w:val="auto"/>
          <w:strike w:val="1"/>
        </w:rPr>
        <w:t>M&gt;Q_0G/K4/1GPF]VPVOTCCKD/XEKLWXCSN'$3X7L?T)SZU#T9\)O=L-K](XZY M#^):[-^(\[AQ$^%[']"</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&lt;^M0]&amp;?";W;#:_2..N0_B6NS?B/.X&lt;1/A&gt;Q_0G/K4 M/1GPF]VPVOTCCKD/XEKLWXCSN'$3X7L?T)SZU#T9\)O=L-K]</w:t>
      </w:r>
    </w:p>
    <w:p>
      <w:pPr>
        <w:spacing w:after="0" w:line="232" w:lineRule="auto"/>
        <w:rPr>
          <w:sz w:val="20"/>
          <w:szCs w:val="20"/>
          <w:color w:val="auto"/>
        </w:rPr>
      </w:pPr>
      <w:r>
        <w:rPr>
          <w:rFonts w:ascii="Arial" w:cs="Arial" w:eastAsia="Arial" w:hAnsi="Arial"/>
          <w:sz w:val="22"/>
          <w:szCs w:val="22"/>
          <w:b w:val="1"/>
          <w:bCs w:val="1"/>
          <w:color w:val="auto"/>
          <w:strike w:val="1"/>
        </w:rPr>
        <w:t>(XZY#^):[-^( M\[AQ$^%[']"&lt;^M0]&amp;?";W;#:_2..N0_B6NS?B/.X&lt;1/A&gt;Q_0G/K4/1GPF]VP</w:t>
      </w:r>
    </w:p>
    <w:p>
      <w:pPr>
        <w:spacing w:after="0" w:line="230" w:lineRule="auto"/>
        <w:rPr>
          <w:sz w:val="20"/>
          <w:szCs w:val="20"/>
          <w:color w:val="auto"/>
        </w:rPr>
      </w:pPr>
      <w:r>
        <w:rPr>
          <w:rFonts w:ascii="Arial" w:cs="Arial" w:eastAsia="Arial" w:hAnsi="Arial"/>
          <w:sz w:val="22"/>
          <w:szCs w:val="22"/>
          <w:b w:val="1"/>
          <w:bCs w:val="1"/>
          <w:color w:val="auto"/>
          <w:strike w:val="1"/>
        </w:rPr>
        <w:t>MVOTCCKD/XEKLWXCSN'$3X7L?T)SZU#T9\)O=L-K](XZY#^):[-^(\[AQ$^%[ M']"&lt;^M0]&amp;?";W;#:_2..N0_B6NS?</w:t>
      </w:r>
    </w:p>
    <w:p>
      <w:pPr>
        <w:spacing w:after="0" w:line="231" w:lineRule="auto"/>
        <w:rPr>
          <w:sz w:val="20"/>
          <w:szCs w:val="20"/>
          <w:color w:val="auto"/>
        </w:rPr>
      </w:pPr>
      <w:r>
        <w:rPr>
          <w:rFonts w:ascii="Arial" w:cs="Arial" w:eastAsia="Arial" w:hAnsi="Arial"/>
          <w:sz w:val="22"/>
          <w:szCs w:val="22"/>
          <w:b w:val="1"/>
          <w:bCs w:val="1"/>
          <w:color w:val="auto"/>
          <w:strike w:val="1"/>
        </w:rPr>
        <w:t>B/.X&lt;1/A&gt;Q_0G/K4/1GPF]VPVOTCCKD/ MXEKLWXCSN'$3X7L?T)SZU#T9\)O=L-K](XZY#^):[-^(\[AQ$^%[']"</w:t>
      </w:r>
    </w:p>
    <w:p>
      <w:pPr>
        <w:spacing w:after="0"/>
        <w:rPr>
          <w:sz w:val="20"/>
          <w:szCs w:val="20"/>
          <w:color w:val="auto"/>
        </w:rPr>
      </w:pPr>
      <w:r>
        <w:rPr>
          <w:rFonts w:ascii="Arial" w:cs="Arial" w:eastAsia="Arial" w:hAnsi="Arial"/>
          <w:sz w:val="21"/>
          <w:szCs w:val="21"/>
          <w:b w:val="1"/>
          <w:bCs w:val="1"/>
          <w:color w:val="auto"/>
          <w:strike w:val="1"/>
        </w:rPr>
        <w:t>&lt;^M0] M&amp;?";W;#:_2..N0_B6NS?B/.X&lt;1/A&gt;Q_0G/K4/1GPF]VPVOTCCKD/XEKLWXCS MN'$3X7L?T)SZU#T9\)O=L-</w:t>
      </w:r>
    </w:p>
    <w:p>
      <w:pPr>
        <w:spacing w:after="0" w:line="232" w:lineRule="auto"/>
        <w:rPr>
          <w:sz w:val="20"/>
          <w:szCs w:val="20"/>
          <w:color w:val="auto"/>
        </w:rPr>
      </w:pPr>
      <w:r>
        <w:rPr>
          <w:rFonts w:ascii="Arial" w:cs="Arial" w:eastAsia="Arial" w:hAnsi="Arial"/>
          <w:sz w:val="22"/>
          <w:szCs w:val="22"/>
          <w:b w:val="1"/>
          <w:bCs w:val="1"/>
          <w:color w:val="auto"/>
          <w:strike w:val="1"/>
        </w:rPr>
        <w:t>K](XZY#^):[-^(\[AQ$^%[']"&lt;^M0]&amp;?";W;#: M_2..N0_B6NS?</w:t>
      </w:r>
    </w:p>
    <w:p>
      <w:pPr>
        <w:spacing w:after="0" w:line="230" w:lineRule="auto"/>
        <w:rPr>
          <w:sz w:val="20"/>
          <w:szCs w:val="20"/>
          <w:color w:val="auto"/>
        </w:rPr>
      </w:pPr>
      <w:r>
        <w:rPr>
          <w:rFonts w:ascii="Arial" w:cs="Arial" w:eastAsia="Arial" w:hAnsi="Arial"/>
          <w:sz w:val="22"/>
          <w:szCs w:val="22"/>
          <w:b w:val="1"/>
          <w:bCs w:val="1"/>
          <w:color w:val="auto"/>
          <w:strike w:val="1"/>
        </w:rPr>
        <w:t>B/.X&lt;1/A&gt;Q_0G/K4/1GPF]VPVOTCCKD/XEKLWXCSN'$3X7L? MT)SZU#T9\)O=L-K](XZY#^):[-^(\[AQ$^%[']"</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&lt;^M0]&amp;?";W;#:_2..N0_B M6NS?B/.X&lt;1/A&gt;Q_0G/K4/1GPF]VPVOTCCKD/XEKLWXCSN'$3X7L?T)SZU#T9 M\)O=L-</w:t>
      </w:r>
    </w:p>
    <w:p>
      <w:pPr>
        <w:spacing w:after="0" w:line="232" w:lineRule="auto"/>
        <w:rPr>
          <w:sz w:val="20"/>
          <w:szCs w:val="20"/>
          <w:color w:val="auto"/>
        </w:rPr>
      </w:pPr>
      <w:r>
        <w:rPr>
          <w:rFonts w:ascii="Arial" w:cs="Arial" w:eastAsia="Arial" w:hAnsi="Arial"/>
          <w:sz w:val="22"/>
          <w:szCs w:val="22"/>
          <w:b w:val="1"/>
          <w:bCs w:val="1"/>
          <w:color w:val="auto"/>
          <w:strike w:val="1"/>
        </w:rPr>
        <w:t>K](XZY#^):[-^(\[AQ$^%[']"&lt;^M0]&amp;?";W;#:_2..N0_B6NS?B/.X</w:t>
      </w:r>
    </w:p>
    <w:p>
      <w:pPr>
        <w:spacing w:after="0" w:line="230" w:lineRule="auto"/>
        <w:rPr>
          <w:sz w:val="20"/>
          <w:szCs w:val="20"/>
          <w:color w:val="auto"/>
        </w:rPr>
      </w:pPr>
      <w:r>
        <w:rPr>
          <w:rFonts w:ascii="Arial" w:cs="Arial" w:eastAsia="Arial" w:hAnsi="Arial"/>
          <w:sz w:val="22"/>
          <w:szCs w:val="22"/>
          <w:b w:val="1"/>
          <w:bCs w:val="1"/>
          <w:color w:val="auto"/>
          <w:strike w:val="1"/>
        </w:rPr>
        <w:t>M&lt;1/A&gt;Q_0G/K4/1GPF]VPVOTCCKD/XEKLWXCSN'$3X7L?T)SZU#T9\)O=L-K] M(XZY#^):[-^(\[AQ$^%[']"</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&lt;^M0]&amp;?";W;#:_2..N0_B6NS?B/.X&lt;1/A&gt;Q_0 MG/K4/1GPF]VPVOTCCKD/XEKLWXCSN'$3X7L?T)SZU#T9\)O=L-K]</w:t>
      </w:r>
    </w:p>
    <w:p>
      <w:pPr>
        <w:spacing w:after="0" w:line="232" w:lineRule="auto"/>
        <w:rPr>
          <w:sz w:val="20"/>
          <w:szCs w:val="20"/>
          <w:color w:val="auto"/>
        </w:rPr>
      </w:pPr>
      <w:r>
        <w:rPr>
          <w:rFonts w:ascii="Arial" w:cs="Arial" w:eastAsia="Arial" w:hAnsi="Arial"/>
          <w:sz w:val="22"/>
          <w:szCs w:val="22"/>
          <w:b w:val="1"/>
          <w:bCs w:val="1"/>
          <w:color w:val="auto"/>
          <w:strike w:val="1"/>
        </w:rPr>
        <w:t>(XZY#^): M[-^(\[AQ$^%[']"&lt;^M0]&amp;?";W;#:_2..N0_B6NS?B/.X&lt;1/A&gt;Q_0G/K4/1GP</w:t>
      </w:r>
    </w:p>
    <w:p>
      <w:pPr>
        <w:spacing w:after="0" w:line="230" w:lineRule="auto"/>
        <w:rPr>
          <w:sz w:val="20"/>
          <w:szCs w:val="20"/>
          <w:color w:val="auto"/>
        </w:rPr>
      </w:pPr>
      <w:r>
        <w:rPr>
          <w:rFonts w:ascii="Arial" w:cs="Arial" w:eastAsia="Arial" w:hAnsi="Arial"/>
          <w:sz w:val="22"/>
          <w:szCs w:val="22"/>
          <w:b w:val="1"/>
          <w:bCs w:val="1"/>
          <w:color w:val="auto"/>
          <w:strike w:val="1"/>
        </w:rPr>
        <w:t>MF]VPVOTCCKD/XEKLWXCSN'$3X7L?T)SZU#T9\)O=L-K](XZY#^):[-^(\[AQ M$^%[']"</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&lt;^M0]&amp;?";W;#:_2..N0_B6NS?B/.X&lt;1/A&gt;Q_0G/K4/1GPF]VPVOTC MCKD/XEKLWXCSN'$3X7L?T)SZU#T9\)O=L-K]</w:t>
      </w:r>
    </w:p>
    <w:p>
      <w:pPr>
        <w:spacing w:after="0" w:line="232" w:lineRule="auto"/>
        <w:rPr>
          <w:sz w:val="20"/>
          <w:szCs w:val="20"/>
          <w:color w:val="auto"/>
        </w:rPr>
      </w:pPr>
      <w:r>
        <w:rPr>
          <w:rFonts w:ascii="Arial" w:cs="Arial" w:eastAsia="Arial" w:hAnsi="Arial"/>
          <w:sz w:val="22"/>
          <w:szCs w:val="22"/>
          <w:b w:val="1"/>
          <w:bCs w:val="1"/>
          <w:color w:val="auto"/>
          <w:strike w:val="1"/>
        </w:rPr>
        <w:t>(XZY#^):[-^(\[AQ$^%[']"&lt; M^M0]&amp;?";W;#:_2..N0_B6NS?B/.X&lt;1/A&gt;Q_0G/K4/1GPF]VPVOTCCKD/XEKL</w:t>
      </w:r>
    </w:p>
    <w:p>
      <w:pPr>
        <w:spacing w:after="0" w:line="230" w:lineRule="auto"/>
        <w:rPr>
          <w:sz w:val="20"/>
          <w:szCs w:val="20"/>
          <w:color w:val="auto"/>
        </w:rPr>
      </w:pPr>
      <w:r>
        <w:rPr>
          <w:rFonts w:ascii="Arial" w:cs="Arial" w:eastAsia="Arial" w:hAnsi="Arial"/>
          <w:sz w:val="22"/>
          <w:szCs w:val="22"/>
          <w:b w:val="1"/>
          <w:bCs w:val="1"/>
          <w:color w:val="auto"/>
          <w:strike w:val="1"/>
        </w:rPr>
        <w:t>MWXCSN'$3X7L?T)SZU#T9\)O=L-K](XZY#^):[-^(\[AQ$^%[']"&lt;^M0]&amp;?"; MW;#:_2..N0_B6NS?B3&gt;T?</w:t>
      </w:r>
    </w:p>
    <w:p>
      <w:pPr>
        <w:spacing w:after="0" w:line="231" w:lineRule="auto"/>
        <w:rPr>
          <w:sz w:val="20"/>
          <w:szCs w:val="20"/>
          <w:color w:val="auto"/>
        </w:rPr>
      </w:pPr>
      <w:r>
        <w:rPr>
          <w:rFonts w:ascii="Arial" w:cs="Arial" w:eastAsia="Arial" w:hAnsi="Arial"/>
          <w:sz w:val="22"/>
          <w:szCs w:val="22"/>
          <w:b w:val="1"/>
          <w:bCs w:val="1"/>
          <w:color w:val="auto"/>
          <w:strike w:val="1"/>
        </w:rPr>
        <w:t>NJD\@=&gt;QNS=?*2JE8E7LHQ:&amp;F6'L8_RXB'RT&gt;\P</w:t>
      </w:r>
    </w:p>
    <w:p>
      <w:pPr>
        <w:spacing w:after="0"/>
        <w:rPr>
          <w:sz w:val="20"/>
          <w:szCs w:val="20"/>
          <w:color w:val="auto"/>
        </w:rPr>
      </w:pPr>
      <w:r>
        <w:rPr>
          <w:rFonts w:ascii="Arial" w:cs="Arial" w:eastAsia="Arial" w:hAnsi="Arial"/>
          <w:sz w:val="21"/>
          <w:szCs w:val="21"/>
          <w:b w:val="1"/>
          <w:bCs w:val="1"/>
          <w:color w:val="auto"/>
          <w:strike w:val="1"/>
        </w:rPr>
        <w:t>MJT[93J$\90/U&lt;]?/6QGPY_O'4,KY)O&gt;1+]:9/ON%7BS49/!+%&amp;DTFL]%R=&amp;D M[#&lt;+_=\I76SOEU;=C:-I.2H_5;3S=:-</w:t>
      </w:r>
    </w:p>
    <w:p>
      <w:pPr>
        <w:spacing w:after="0" w:line="232" w:lineRule="auto"/>
        <w:rPr>
          <w:sz w:val="20"/>
          <w:szCs w:val="20"/>
          <w:color w:val="auto"/>
        </w:rPr>
      </w:pPr>
      <w:r>
        <w:rPr>
          <w:rFonts w:ascii="Arial" w:cs="Arial" w:eastAsia="Arial" w:hAnsi="Arial"/>
          <w:sz w:val="22"/>
          <w:szCs w:val="22"/>
          <w:b w:val="1"/>
          <w:bCs w:val="1"/>
          <w:color w:val="auto"/>
          <w:strike w:val="1"/>
        </w:rPr>
        <w:t>NCYIS #YLK*,82+ MD9F3&lt;&gt;+1L0P&gt;2Q]CYF-IICU=[,]_HY MGOW-I?X5[O\ S;T&gt;(M_877W,B&amp;D[2!Q34</w:t>
      </w:r>
    </w:p>
    <w:p>
      <w:pPr>
        <w:spacing w:after="0"/>
        <w:rPr>
          <w:sz w:val="20"/>
          <w:szCs w:val="20"/>
          <w:color w:val="auto"/>
        </w:rPr>
      </w:pPr>
      <w:r>
        <w:rPr>
          <w:rFonts w:ascii="Arial" w:cs="Arial" w:eastAsia="Arial" w:hAnsi="Arial"/>
          <w:sz w:val="21"/>
          <w:szCs w:val="21"/>
          <w:b w:val="1"/>
          <w:bCs w:val="1"/>
          <w:color w:val="auto"/>
          <w:strike w:val="1"/>
        </w:rPr>
        <w:t>J1Z9GWL%$_?U5_P"7 MNT1Z7^RO^(;Y_9VGY]W.D\//W/=O[F'Y5LKO9GO\ 1S/?N;2_PKW?^;&gt;CQ%O["Z^YD0TG</w:t>
      </w:r>
    </w:p>
    <w:p>
      <w:pPr>
        <w:spacing w:after="0" w:line="232" w:lineRule="auto"/>
        <w:rPr>
          <w:sz w:val="20"/>
          <w:szCs w:val="20"/>
          <w:color w:val="auto"/>
        </w:rPr>
      </w:pPr>
      <w:r>
        <w:rPr>
          <w:rFonts w:ascii="Arial" w:cs="Arial" w:eastAsia="Arial" w:hAnsi="Arial"/>
          <w:sz w:val="22"/>
          <w:szCs w:val="22"/>
          <w:b w:val="1"/>
          <w:bCs w:val="1"/>
          <w:color w:val="auto"/>
          <w:strike w:val="1"/>
        </w:rPr>
        <w:t>M:0.*:@ &amp;LMO:W+MO7E@H6;E&gt;=&gt;N)?V/&lt;1UWUQ/K5NY5F8A95E-PTO$2*9 M%$U,I2&lt;:U,LU*&amp;]]1;PNNX-</w:t>
      </w:r>
    </w:p>
    <w:p>
      <w:pPr>
        <w:spacing w:after="0" w:line="230" w:lineRule="auto"/>
        <w:rPr>
          <w:sz w:val="20"/>
          <w:szCs w:val="20"/>
          <w:color w:val="auto"/>
        </w:rPr>
      </w:pPr>
      <w:r>
        <w:rPr>
          <w:rFonts w:ascii="Arial" w:cs="Arial" w:eastAsia="Arial" w:hAnsi="Arial"/>
          <w:sz w:val="22"/>
          <w:szCs w:val="22"/>
          <w:b w:val="1"/>
          <w:bCs w:val="1"/>
          <w:color w:val="auto"/>
          <w:strike w:val="1"/>
        </w:rPr>
        <w:t>K2Z$]!4@J1Z9GWL%$_?U5_Y&gt;[1'I?[*_P"(;Y_9VGY]W.D\ M//W/=O[F'Y5LG+S+C</w:t>
      </w:r>
    </w:p>
    <w:p>
      <w:pPr>
        <w:spacing w:after="0" w:line="231" w:lineRule="auto"/>
        <w:rPr>
          <w:sz w:val="20"/>
          <w:szCs w:val="20"/>
          <w:color w:val="auto"/>
        </w:rPr>
      </w:pPr>
      <w:r>
        <w:rPr>
          <w:rFonts w:ascii="Arial" w:cs="Arial" w:eastAsia="Arial" w:hAnsi="Arial"/>
          <w:sz w:val="22"/>
          <w:szCs w:val="22"/>
          <w:b w:val="1"/>
          <w:bCs w:val="1"/>
          <w:color w:val="auto"/>
          <w:strike w:val="1"/>
        </w:rPr>
        <w:t>M$DW0&gt;,&amp;T@A)62&amp;2:/C1ZO;JHHK.E&amp;R&gt;,&gt;,X2SA7"7GU[X&gt;8K_&gt;JFU%2?LUS5[E=^";5ULKWE/*EGDN%XI@C-</w:t>
      </w:r>
    </w:p>
    <w:p>
      <w:pPr>
        <w:spacing w:after="0" w:line="231" w:lineRule="auto"/>
        <w:rPr>
          <w:sz w:val="20"/>
          <w:szCs w:val="20"/>
          <w:color w:val="auto"/>
        </w:rPr>
      </w:pPr>
      <w:r>
        <w:rPr>
          <w:rFonts w:ascii="Arial" w:cs="Arial" w:eastAsia="Arial" w:hAnsi="Arial"/>
          <w:sz w:val="22"/>
          <w:szCs w:val="22"/>
          <w:b w:val="1"/>
          <w:bCs w:val="1"/>
          <w:color w:val="auto"/>
          <w:strike w:val="1"/>
        </w:rPr>
        <w:t>8GZR MJD\4[-)TJVDW2E7H=,=V#T"0,U62=9.D[.=%9(G(N7#JZY1R7E*^73)]K+*&amp;2U</w:t>
      </w:r>
    </w:p>
    <w:p>
      <w:pPr>
        <w:spacing w:after="0" w:line="230" w:lineRule="auto"/>
        <w:rPr>
          <w:sz w:val="20"/>
          <w:szCs w:val="20"/>
          <w:color w:val="auto"/>
        </w:rPr>
      </w:pPr>
      <w:r>
        <w:rPr>
          <w:rFonts w:ascii="Arial" w:cs="Arial" w:eastAsia="Arial" w:hAnsi="Arial"/>
          <w:sz w:val="22"/>
          <w:szCs w:val="22"/>
          <w:b w:val="1"/>
          <w:bCs w:val="1"/>
          <w:color w:val="auto"/>
          <w:strike w:val="1"/>
        </w:rPr>
        <w:t>M%SNLG24L4E'U)QC.JK5/U%)-9XJJ;SO/!2WN=^N=VM[W!72^MQC;I547&amp;+E2 M47*-&amp;TLWKT?)+,T2*8]$_JR4?-</w:t>
      </w:r>
    </w:p>
    <w:p>
      <w:pPr>
        <w:spacing w:after="0" w:line="231" w:lineRule="auto"/>
        <w:rPr>
          <w:sz w:val="20"/>
          <w:szCs w:val="20"/>
          <w:color w:val="auto"/>
        </w:rPr>
      </w:pPr>
      <w:r>
        <w:rPr>
          <w:rFonts w:ascii="Arial" w:cs="Arial" w:eastAsia="Arial" w:hAnsi="Arial"/>
          <w:sz w:val="22"/>
          <w:szCs w:val="22"/>
          <w:b w:val="1"/>
          <w:bCs w:val="1"/>
          <w:color w:val="auto"/>
          <w:strike w:val="1"/>
        </w:rPr>
        <w:t>(V-YS:^D)!^X1:,6+&amp;E5QX]&gt;NW)RI-VK1J</w:t>
      </w:r>
    </w:p>
    <w:p>
      <w:pPr>
        <w:spacing w:after="0" w:line="230" w:lineRule="auto"/>
        <w:rPr>
          <w:sz w:val="20"/>
          <w:szCs w:val="20"/>
          <w:color w:val="auto"/>
        </w:rPr>
      </w:pPr>
      <w:r>
        <w:rPr>
          <w:rFonts w:ascii="Arial" w:cs="Arial" w:eastAsia="Arial" w:hAnsi="Arial"/>
          <w:sz w:val="22"/>
          <w:szCs w:val="22"/>
          <w:b w:val="1"/>
          <w:bCs w:val="1"/>
          <w:color w:val="auto"/>
          <w:strike w:val="1"/>
        </w:rPr>
        <w:t>MANDQW#A14Y2D(0ICG,;&amp;"ESG(^%/]I&amp;4K.$K2TX'V]G9P3;;M;1))9VVW=,R M5*MMYEJ1]-</w:t>
      </w:r>
    </w:p>
    <w:p>
      <w:pPr>
        <w:spacing w:after="0" w:line="231" w:lineRule="auto"/>
        <w:rPr>
          <w:sz w:val="20"/>
          <w:szCs w:val="20"/>
          <w:color w:val="auto"/>
        </w:rPr>
      </w:pPr>
      <w:r>
        <w:rPr>
          <w:rFonts w:ascii="Arial" w:cs="Arial" w:eastAsia="Arial" w:hAnsi="Arial"/>
          <w:sz w:val="22"/>
          <w:szCs w:val="22"/>
          <w:b w:val="1"/>
          <w:bCs w:val="1"/>
          <w:color w:val="auto"/>
          <w:strike w:val="1"/>
        </w:rPr>
        <w:t>&lt;";K.2C#A!9N4LR2LXMMOD2_Y&amp;&gt;NHC-M7H];A4.3U)XP:ZO,=L MFQW"E,</w:t>
      </w:r>
    </w:p>
    <w:p>
      <w:pPr>
        <w:spacing w:after="0" w:line="231" w:lineRule="auto"/>
        <w:rPr>
          <w:sz w:val="20"/>
          <w:szCs w:val="20"/>
          <w:color w:val="auto"/>
        </w:rPr>
      </w:pPr>
      <w:r>
        <w:rPr>
          <w:rFonts w:ascii="Arial" w:cs="Arial" w:eastAsia="Arial" w:hAnsi="Arial"/>
          <w:sz w:val="22"/>
          <w:szCs w:val="22"/>
          <w:b w:val="1"/>
          <w:bCs w:val="1"/>
          <w:color w:val="auto"/>
          <w:strike w:val="1"/>
        </w:rPr>
        <w:t>[J[L4A!FID556:LC9F\AB?;MYN840:MHVO(.LJ8-E9?,N@W0:'5.CV M_P!_)W#&gt;ZWK@]&gt;^$-</w:t>
      </w:r>
    </w:p>
    <w:p>
      <w:pPr>
        <w:spacing w:after="0" w:line="230" w:lineRule="auto"/>
        <w:rPr>
          <w:sz w:val="20"/>
          <w:szCs w:val="20"/>
          <w:color w:val="auto"/>
        </w:rPr>
      </w:pPr>
      <w:r>
        <w:rPr>
          <w:rFonts w:ascii="Arial" w:cs="Arial" w:eastAsia="Arial" w:hAnsi="Arial"/>
          <w:sz w:val="22"/>
          <w:szCs w:val="22"/>
          <w:b w:val="1"/>
          <w:bCs w:val="1"/>
          <w:color w:val="auto"/>
          <w:strike w:val="1"/>
        </w:rPr>
        <w:t>^N[6SLE9QGY65HU&amp;S&lt;&lt;#&lt;+*KE*;C3V5AE)R23P M_(OG!BWL=- M;*OJ_E-JW8&gt;W:*@H:V:T2C/8M6(?)&amp;</w:t>
      </w:r>
    </w:p>
    <w:p>
      <w:pPr>
        <w:spacing w:after="0" w:line="231" w:lineRule="auto"/>
        <w:rPr>
          <w:sz w:val="20"/>
          <w:szCs w:val="20"/>
          <w:color w:val="auto"/>
        </w:rPr>
      </w:pPr>
      <w:r>
        <w:rPr>
          <w:rFonts w:ascii="Arial" w:cs="Arial" w:eastAsia="Arial" w:hAnsi="Arial"/>
          <w:sz w:val="22"/>
          <w:szCs w:val="22"/>
          <w:b w:val="1"/>
          <w:bCs w:val="1"/>
          <w:color w:val="auto"/>
          <w:strike w:val="1"/>
        </w:rPr>
        <w:t>[,T&gt;K+M;._615P[\+8RCB.;D19T*FI6+D8.4DH67:JL)6(?O(N M38KXP59E(1[E1H\:KXQG/@53^4#&gt;VV9K8ZYKK6=</w:t>
      </w:r>
    </w:p>
    <w:p>
      <w:pPr>
        <w:spacing w:after="0" w:line="231" w:lineRule="auto"/>
        <w:rPr>
          <w:sz w:val="20"/>
          <w:szCs w:val="20"/>
          <w:color w:val="auto"/>
        </w:rPr>
      </w:pPr>
      <w:r>
        <w:rPr>
          <w:rFonts w:ascii="Arial" w:cs="Arial" w:eastAsia="Arial" w:hAnsi="Arial"/>
          <w:sz w:val="22"/>
          <w:szCs w:val="22"/>
          <w:b w:val="1"/>
          <w:bCs w:val="1"/>
          <w:color w:val="auto"/>
          <w:strike w:val="1"/>
        </w:rPr>
        <w:t>M"2.&gt;V;#MQU"1+%5)GF2=-6B13IE1L@7C*\;:U5K M"ZW2[&gt;W:SSI.E719JT7K2CV=4;3I=A/?\ I ?O_3_N4UO_</w:t>
      </w:r>
    </w:p>
    <w:p>
      <w:pPr>
        <w:spacing w:after="0" w:line="230" w:lineRule="auto"/>
        <w:rPr>
          <w:sz w:val="20"/>
          <w:szCs w:val="20"/>
          <w:color w:val="auto"/>
        </w:rPr>
      </w:pPr>
      <w:r>
        <w:rPr>
          <w:rFonts w:ascii="Arial" w:cs="Arial" w:eastAsia="Arial" w:hAnsi="Arial"/>
          <w:sz w:val="22"/>
          <w:szCs w:val="22"/>
          <w:b w:val="1"/>
          <w:bCs w:val="1"/>
          <w:color w:val="auto"/>
          <w:strike w:val="1"/>
        </w:rPr>
        <w:t>!=H&amp;5C['S.+::8]7&gt;S/ M?Z.9[]S:7^%&gt;[_S;T&gt;(M_877W,B&amp;D[2!Q34 *OO.&lt;./_IV=*#_ .UF+_\ M]-%\"]]?</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CX$5&gt;I_AXF'W_I&amp;I&gt;TT2[UB+Z//I.&amp;TG8JE9(*.&lt;.^+S)%JW?3$, M]CVB[I5ML=11%N5PY3,BBW MCN29T?KOCEO?</w:t>
      </w:r>
    </w:p>
    <w:p>
      <w:pPr>
        <w:spacing w:after="0" w:line="232" w:lineRule="auto"/>
        <w:rPr>
          <w:sz w:val="20"/>
          <w:szCs w:val="20"/>
          <w:color w:val="auto"/>
        </w:rPr>
      </w:pPr>
      <w:r>
        <w:rPr>
          <w:rFonts w:ascii="Arial" w:cs="Arial" w:eastAsia="Arial" w:hAnsi="Arial"/>
          <w:sz w:val="22"/>
          <w:szCs w:val="22"/>
          <w:b w:val="1"/>
          <w:bCs w:val="1"/>
          <w:color w:val="auto"/>
          <w:strike w:val="1"/>
        </w:rPr>
        <w:t>C7R-U'?=,ZX+#$ONR=:S=;UM;*M4W\/7:JPBK+-HME4[@6#D MF"9HP[4_7;UQR\3=J%P=-):12E6,DTWR;</w:t>
      </w:r>
    </w:p>
    <w:p>
      <w:pPr>
        <w:spacing w:after="0"/>
        <w:rPr>
          <w:sz w:val="20"/>
          <w:szCs w:val="20"/>
          <w:color w:val="auto"/>
        </w:rPr>
      </w:pPr>
      <w:r>
        <w:rPr>
          <w:rFonts w:ascii="Arial" w:cs="Arial" w:eastAsia="Arial" w:hAnsi="Arial"/>
          <w:sz w:val="21"/>
          <w:szCs w:val="21"/>
          <w:b w:val="1"/>
          <w:bCs w:val="1"/>
          <w:color w:val="auto"/>
          <w:strike w:val="1"/>
        </w:rPr>
        <w:t>[]&amp;8P43]_57_E M[M$&gt;E_LK_B&amp;^?V=I^?=SI/#S]SW;^YA^5;',Z/?3R4 "?%HVER?Z2"Z:VUEF M K\G(U-2:4BRU6"=P,#</w:t>
      </w:r>
    </w:p>
    <w:p>
      <w:pPr>
        <w:spacing w:after="0" w:line="232" w:lineRule="auto"/>
        <w:rPr>
          <w:sz w:val="20"/>
          <w:szCs w:val="20"/>
          <w:color w:val="auto"/>
        </w:rPr>
      </w:pPr>
      <w:r>
        <w:rPr>
          <w:rFonts w:ascii="Arial" w:cs="Arial" w:eastAsia="Arial" w:hAnsi="Arial"/>
          <w:sz w:val="22"/>
          <w:szCs w:val="22"/>
          <w:b w:val="1"/>
          <w:bCs w:val="1"/>
          <w:color w:val="auto"/>
          <w:strike w:val="1"/>
        </w:rPr>
        <w:t>1D\:";2T];767CE)E#M4X9@5-7)2F+EP9N@19=RD MB;IMWR=P&gt;X"72_Y05M.RL[U@Q^4FISG*&amp;-</w:t>
      </w:r>
    </w:p>
    <w:p>
      <w:pPr>
        <w:spacing w:after="0" w:line="230" w:lineRule="auto"/>
        <w:rPr>
          <w:sz w:val="20"/>
          <w:szCs w:val="20"/>
          <w:color w:val="auto"/>
        </w:rPr>
      </w:pPr>
      <w:r>
        <w:rPr>
          <w:rFonts w:ascii="Arial" w:cs="Arial" w:eastAsia="Arial" w:hAnsi="Arial"/>
          <w:sz w:val="22"/>
          <w:szCs w:val="22"/>
          <w:b w:val="1"/>
          <w:bCs w:val="1"/>
          <w:color w:val="auto"/>
          <w:strike w:val="1"/>
        </w:rPr>
        <w:t>QA9JB;G)R=5T5E2,7)=HM;YECA M7;76Y^2A*5CBI@BXPBI8:RM'6248J*I7/5TC632)O=*Y&lt;*K2M+\?.+K*:8V"</w:t>
      </w:r>
    </w:p>
    <w:p>
      <w:pPr>
        <w:spacing w:after="0" w:line="231" w:lineRule="auto"/>
        <w:rPr>
          <w:sz w:val="20"/>
          <w:szCs w:val="20"/>
          <w:color w:val="auto"/>
        </w:rPr>
      </w:pPr>
      <w:r>
        <w:rPr>
          <w:rFonts w:ascii="Arial" w:cs="Arial" w:eastAsia="Arial" w:hAnsi="Arial"/>
          <w:sz w:val="22"/>
          <w:szCs w:val="22"/>
          <w:b w:val="1"/>
          <w:bCs w:val="1"/>
          <w:color w:val="auto"/>
          <w:strike w:val="1"/>
        </w:rPr>
        <w:t>MWTS%\K9F=U2[#PTM[&amp;PN&amp;3M1A9NSBWJQXFTM47H25=8]%9INO,%=E\O-CMTB4[2T-,MZXLY23,</w:t>
      </w:r>
    </w:p>
    <w:p>
      <w:pPr>
        <w:spacing w:after="0" w:line="231" w:lineRule="auto"/>
        <w:rPr>
          <w:sz w:val="20"/>
          <w:szCs w:val="20"/>
          <w:color w:val="auto"/>
        </w:rPr>
      </w:pPr>
      <w:r>
        <w:rPr>
          <w:rFonts w:ascii="Arial" w:cs="Arial" w:eastAsia="Arial" w:hAnsi="Arial"/>
          <w:sz w:val="22"/>
          <w:szCs w:val="22"/>
          <w:b w:val="1"/>
          <w:bCs w:val="1"/>
          <w:color w:val="auto"/>
          <w:strike w:val="1"/>
        </w:rPr>
        <w:t>MDG/,X0TU:I]##DQ$S.HZLF12;]8V"Y6L.5,&amp;34;D-CZ'[1LJ6\UD_@Q&lt;7_\ M*RM*+M*/[#FH6&lt;'2KI:6E7+-</w:t>
      </w:r>
    </w:p>
    <w:p>
      <w:pPr>
        <w:spacing w:after="0" w:line="230" w:lineRule="auto"/>
        <w:rPr>
          <w:sz w:val="20"/>
          <w:szCs w:val="20"/>
          <w:color w:val="auto"/>
        </w:rPr>
      </w:pPr>
      <w:r>
        <w:rPr>
          <w:rFonts w:ascii="Arial" w:cs="Arial" w:eastAsia="Arial" w:hAnsi="Arial"/>
          <w:sz w:val="22"/>
          <w:szCs w:val="22"/>
          <w:b w:val="1"/>
          <w:bCs w:val="1"/>
          <w:color w:val="auto"/>
          <w:strike w:val="1"/>
        </w:rPr>
        <w:t>HLZ:&amp;T4&lt;4Y M9_&lt;@Z+/2LWRJI"5OS+W="[]O_(NK6!K%7Z^%EHU=S(Q$39$8JM/WT:Y95^,0 MGF3A-HW:,H6':</w:t>
      </w:r>
    </w:p>
    <w:p>
      <w:pPr>
        <w:spacing w:after="0" w:line="231" w:lineRule="auto"/>
        <w:rPr>
          <w:sz w:val="20"/>
          <w:szCs w:val="20"/>
          <w:color w:val="auto"/>
        </w:rPr>
      </w:pPr>
      <w:r>
        <w:rPr>
          <w:rFonts w:ascii="Arial" w:cs="Arial" w:eastAsia="Arial" w:hAnsi="Arial"/>
          <w:sz w:val="22"/>
          <w:szCs w:val="22"/>
          <w:b w:val="1"/>
          <w:bCs w:val="1"/>
          <w:color w:val="auto"/>
          <w:strike w:val="1"/>
        </w:rPr>
        <w:t>(*$*54K9IE/K=557!NW2X+9(M4[UE6QM,-XO.*.&gt;*EALVTU%8DUZJB MDJ9Z)UKG+4^CNU%&gt;J</w:t>
      </w:r>
    </w:p>
    <w:p>
      <w:pPr>
        <w:spacing w:after="0" w:line="230" w:lineRule="auto"/>
        <w:rPr>
          <w:sz w:val="20"/>
          <w:szCs w:val="20"/>
          <w:color w:val="auto"/>
        </w:rPr>
      </w:pPr>
      <w:r>
        <w:rPr>
          <w:rFonts w:ascii="Arial" w:cs="Arial" w:eastAsia="Arial" w:hAnsi="Arial"/>
          <w:sz w:val="22"/>
          <w:szCs w:val="22"/>
          <w:b w:val="1"/>
          <w:bCs w:val="1"/>
          <w:color w:val="auto"/>
          <w:strike w:val="1"/>
        </w:rPr>
        <w:t>38_.&amp;WR*6R%]CZ_L#AKK_6+9W8=AR,G9[M&amp;V284DH! M5@S09S!WM&gt;</w:t>
      </w:r>
    </w:p>
    <w:p>
      <w:pPr>
        <w:spacing w:after="0" w:line="231" w:lineRule="auto"/>
        <w:rPr>
          <w:sz w:val="20"/>
          <w:szCs w:val="20"/>
          <w:color w:val="auto"/>
        </w:rPr>
      </w:pPr>
      <w:r>
        <w:rPr>
          <w:rFonts w:ascii="Arial" w:cs="Arial" w:eastAsia="Arial" w:hAnsi="Arial"/>
          <w:sz w:val="22"/>
          <w:szCs w:val="22"/>
          <w:b w:val="1"/>
          <w:bCs w:val="1"/>
          <w:color w:val="auto"/>
          <w:strike w:val="1"/>
        </w:rPr>
        <w:t>(9JV;N%R'1D%3Y.G@A2F\YX97RSDU9V*+&amp;=XL\FJRBK."Q3G*5WQPC!9L[M;5+.ZIMO/F1Z9D:XRO/ YW&gt;R</w:t>
      </w:r>
    </w:p>
    <w:p>
      <w:pPr>
        <w:spacing w:after="0" w:line="231" w:lineRule="auto"/>
        <w:rPr>
          <w:sz w:val="20"/>
          <w:szCs w:val="20"/>
          <w:color w:val="auto"/>
        </w:rPr>
      </w:pPr>
      <w:r>
        <w:rPr>
          <w:rFonts w:ascii="Arial" w:cs="Arial" w:eastAsia="Arial" w:hAnsi="Arial"/>
          <w:sz w:val="22"/>
          <w:szCs w:val="22"/>
          <w:b w:val="1"/>
          <w:bCs w:val="1"/>
          <w:color w:val="auto"/>
          <w:strike w:val="1"/>
        </w:rPr>
        <w:t>MM(V,[YY1N4LT4O+.,G)ZL$'^FDB]L;C%OCCSQ0MU@T+REK.WM SJ,B\V9 TV M+A"13M*P-</w:t>
      </w:r>
    </w:p>
    <w:p>
      <w:pPr>
        <w:spacing w:after="0" w:line="230" w:lineRule="auto"/>
        <w:rPr>
          <w:sz w:val="20"/>
          <w:szCs w:val="20"/>
          <w:color w:val="auto"/>
        </w:rPr>
      </w:pPr>
      <w:r>
        <w:rPr>
          <w:rFonts w:ascii="Arial" w:cs="Arial" w:eastAsia="Arial" w:hAnsi="Arial"/>
          <w:sz w:val="22"/>
          <w:szCs w:val="22"/>
          <w:b w:val="1"/>
          <w:bCs w:val="1"/>
          <w:color w:val="auto"/>
          <w:strike w:val="1"/>
        </w:rPr>
        <w:t>F5/L[^(E4I.83GV*23./;N3HNF2Z)&amp;QERMR'15SCL5PX0Y'RWPD MNUAEG@[:9+RU8N*N\[64\2P-</w:t>
      </w:r>
    </w:p>
    <w:p>
      <w:pPr>
        <w:spacing w:after="0" w:line="231" w:lineRule="auto"/>
        <w:rPr>
          <w:sz w:val="20"/>
          <w:szCs w:val="20"/>
          <w:color w:val="auto"/>
        </w:rPr>
      </w:pPr>
      <w:r>
        <w:rPr>
          <w:rFonts w:ascii="Arial" w:cs="Arial" w:eastAsia="Arial" w:hAnsi="Arial"/>
          <w:sz w:val="22"/>
          <w:szCs w:val="22"/>
          <w:b w:val="1"/>
          <w:bCs w:val="1"/>
          <w:color w:val="auto"/>
          <w:strike w:val="1"/>
        </w:rPr>
        <w:t>VMG&amp;47&amp;R&lt;).LI13C.+;PXFFCX]YR1E')&gt;1+&gt; MTR;EB-^R=:J3M8V&lt;8TDII6Q'J783W_I ?O\ T_[E-;_Q</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M=H&amp;5C['S.+::8]7&gt;S/?Z.9[]S:7^%&gt;[_ ,V]'B+?V%U]S(AI.T@&lt;4U "!V MD&gt;:[WD;N:;J6GM$7R?</w:t>
      </w:r>
    </w:p>
    <w:p>
      <w:pPr>
        <w:sectPr>
          <w:pgSz w:w="11900" w:h="16877" w:orient="portrait"/>
          <w:cols w:equalWidth="0" w:num="1">
            <w:col w:w="11420"/>
          </w:cols>
          <w:pgMar w:left="240" w:top="112" w:right="239" w:bottom="0" w:gutter="0" w:footer="0" w:header="0"/>
        </w:sectPr>
      </w:pPr>
    </w:p>
    <w:bookmarkStart w:id="144" w:name="page145"/>
    <w:bookmarkEnd w:id="144"/>
    <w:p>
      <w:pPr>
        <w:spacing w:after="0" w:line="38" w:lineRule="exact"/>
        <w:rPr>
          <w:sz w:val="20"/>
          <w:szCs w:val="20"/>
          <w:color w:val="auto"/>
        </w:rPr>
      </w:pPr>
    </w:p>
    <w:p>
      <w:pPr>
        <w:ind w:right="1720"/>
        <w:spacing w:after="0" w:line="253" w:lineRule="auto"/>
        <w:rPr>
          <w:sz w:val="20"/>
          <w:szCs w:val="20"/>
          <w:color w:val="auto"/>
        </w:rPr>
      </w:pPr>
      <w:r>
        <w:rPr>
          <w:rFonts w:ascii="Arial" w:cs="Arial" w:eastAsia="Arial" w:hAnsi="Arial"/>
          <w:sz w:val="21"/>
          <w:szCs w:val="21"/>
          <w:b w:val="1"/>
          <w:bCs w:val="1"/>
          <w:color w:val="auto"/>
          <w:strike w:val="1"/>
        </w:rPr>
        <w:t>T%592W5FPQ)UU+..%*LL[IFY?T),=VET@:NJN0=[T$MQ.Y1;*?4^J M5RZQMATW4ZK=O;95IU@R4=V*%K$A;XR1=P#&amp;P+O(9R[:I/"$E(XS4Y4SJH=H M4*I/$EONQ3-</w:t>
      </w:r>
    </w:p>
    <w:p>
      <w:pPr>
        <w:spacing w:after="0" w:line="232" w:lineRule="auto"/>
        <w:rPr>
          <w:sz w:val="20"/>
          <w:szCs w:val="20"/>
          <w:color w:val="auto"/>
        </w:rPr>
      </w:pPr>
      <w:r>
        <w:rPr>
          <w:rFonts w:ascii="Arial" w:cs="Arial" w:eastAsia="Arial" w:hAnsi="Arial"/>
          <w:sz w:val="22"/>
          <w:szCs w:val="22"/>
          <w:b w:val="1"/>
          <w:bCs w:val="1"/>
          <w:color w:val="auto"/>
          <w:strike w:val="1"/>
        </w:rPr>
        <w:t>4S_0O./7N^MHN]+):NY$:=VA!-05!4CTS/O8*)^ M_JK_ ,O=HCTO]E?\0WS^SM/S[N=)X&gt;?N&gt;[?W,/RK8YG1[Z&gt;2@</w:t>
      </w:r>
    </w:p>
    <w:p>
      <w:pPr>
        <w:spacing w:after="0"/>
        <w:rPr>
          <w:sz w:val="20"/>
          <w:szCs w:val="20"/>
          <w:color w:val="auto"/>
        </w:rPr>
      </w:pPr>
      <w:r>
        <w:rPr>
          <w:rFonts w:ascii="Arial" w:cs="Arial" w:eastAsia="Arial" w:hAnsi="Arial"/>
          <w:sz w:val="21"/>
          <w:szCs w:val="21"/>
          <w:b w:val="1"/>
          <w:bCs w:val="1"/>
          <w:color w:val="auto"/>
          <w:strike w:val="1"/>
        </w:rPr>
        <w:t>=3FGM!;'XK M\/FD=QWHD+;N1E\C865LTQ-O8&gt;*28S4VT,Z7=O5YUVV*^BH%HL9HP8=?!5'9 M_&amp;ED,ESW')MYR-</w:t>
      </w:r>
    </w:p>
    <w:p>
      <w:pPr>
        <w:spacing w:after="0" w:line="232" w:lineRule="auto"/>
        <w:rPr>
          <w:sz w:val="20"/>
          <w:szCs w:val="20"/>
          <w:color w:val="auto"/>
        </w:rPr>
      </w:pPr>
      <w:r>
        <w:rPr>
          <w:rFonts w:ascii="Arial" w:cs="Arial" w:eastAsia="Arial" w:hAnsi="Arial"/>
          <w:sz w:val="22"/>
          <w:szCs w:val="22"/>
          <w:b w:val="1"/>
          <w:bCs w:val="1"/>
          <w:color w:val="auto"/>
          <w:strike w:val="1"/>
        </w:rPr>
        <w:t>D.-GDRPC;93MXQ5YZ9Y%%7)OBSRG MU8V&lt;[DY#1/A/=;BG$O;,YN-83(NC$2BRJ:&gt;6,'(9*;LRH)$:D</w:t>
      </w:r>
    </w:p>
    <w:p>
      <w:pPr>
        <w:spacing w:after="0" w:line="230" w:lineRule="auto"/>
        <w:rPr>
          <w:sz w:val="20"/>
          <w:szCs w:val="20"/>
          <w:color w:val="auto"/>
        </w:rPr>
      </w:pPr>
      <w:r>
        <w:rPr>
          <w:rFonts w:ascii="Arial" w:cs="Arial" w:eastAsia="Arial" w:hAnsi="Arial"/>
          <w:sz w:val="22"/>
          <w:szCs w:val="22"/>
          <w:b w:val="1"/>
          <w:bCs w:val="1"/>
          <w:color w:val="auto"/>
          <w:strike w:val="1"/>
        </w:rPr>
        <w:t>M0)U,93)GV'('"+@[E&amp;4NB+I-88$29S.V MH^F)R;A/)BKJ.ME/U=BRI5C8+_:N?:NP4CSX-</w:t>
      </w:r>
    </w:p>
    <w:p>
      <w:pPr>
        <w:spacing w:after="0" w:line="231" w:lineRule="auto"/>
        <w:rPr>
          <w:sz w:val="20"/>
          <w:szCs w:val="20"/>
          <w:color w:val="auto"/>
        </w:rPr>
      </w:pPr>
      <w:r>
        <w:rPr>
          <w:rFonts w:ascii="Arial" w:cs="Arial" w:eastAsia="Arial" w:hAnsi="Arial"/>
          <w:sz w:val="22"/>
          <w:szCs w:val="22"/>
          <w:b w:val="1"/>
          <w:bCs w:val="1"/>
          <w:color w:val="auto"/>
          <w:strike w:val="1"/>
        </w:rPr>
        <w:t>^3A%'JXSG!"YSY_DR7GS]IM M[O$_6LLF.UPKD2N\581:Z/*2\IFSU=3M]]2R7P)L;&amp;*PSO&lt;8)ZZVS\K)/_"L</w:t>
      </w:r>
    </w:p>
    <w:p>
      <w:pPr>
        <w:spacing w:after="0" w:line="231" w:lineRule="auto"/>
        <w:rPr>
          <w:sz w:val="20"/>
          <w:szCs w:val="20"/>
          <w:color w:val="auto"/>
        </w:rPr>
      </w:pPr>
      <w:r>
        <w:rPr>
          <w:rFonts w:ascii="Arial" w:cs="Arial" w:eastAsia="Arial" w:hAnsi="Arial"/>
          <w:sz w:val="22"/>
          <w:szCs w:val="22"/>
          <w:b w:val="1"/>
          <w:bCs w:val="1"/>
          <w:color w:val="auto"/>
          <w:strike w:val="1"/>
        </w:rPr>
        <w:t>M7T(JWX2:JT]NS&gt;\3K#&lt;\I/P\):X6495EW7YAA"NE+LDJQ=Q+%=W(Q;M-5%S' MMY=!-</w:t>
      </w:r>
    </w:p>
    <w:p>
      <w:pPr>
        <w:spacing w:after="0" w:line="230" w:lineRule="auto"/>
        <w:rPr>
          <w:sz w:val="20"/>
          <w:szCs w:val="20"/>
          <w:color w:val="auto"/>
        </w:rPr>
      </w:pPr>
      <w:r>
        <w:rPr>
          <w:rFonts w:ascii="Arial" w:cs="Arial" w:eastAsia="Arial" w:hAnsi="Arial"/>
          <w:sz w:val="22"/>
          <w:szCs w:val="22"/>
          <w:b w:val="1"/>
          <w:bCs w:val="1"/>
          <w:color w:val="auto"/>
          <w:strike w:val="1"/>
        </w:rPr>
        <w:t>'!"'5=N&amp;Q2*&gt;'P)J&gt;B&lt;+LI93R3D:TRCDFSA:VUVG%VD;2#FO(M-2:49 M0=8R&lt;9-</w:t>
      </w:r>
    </w:p>
    <w:p>
      <w:pPr>
        <w:spacing w:after="0" w:line="231" w:lineRule="auto"/>
        <w:rPr>
          <w:sz w:val="20"/>
          <w:szCs w:val="20"/>
          <w:color w:val="auto"/>
        </w:rPr>
      </w:pPr>
      <w:r>
        <w:rPr>
          <w:rFonts w:ascii="Arial" w:cs="Arial" w:eastAsia="Arial" w:hAnsi="Arial"/>
          <w:sz w:val="22"/>
          <w:szCs w:val="22"/>
          <w:b w:val="1"/>
          <w:bCs w:val="1"/>
          <w:color w:val="auto"/>
          <w:strike w:val="1"/>
        </w:rPr>
        <w:t>UHHJ6;E73&gt;#USN&amp;4,HQNE_G*$+:,E##)1?E$TTJM/2L5%IKA707!\</w:t>
      </w:r>
    </w:p>
    <w:p>
      <w:pPr>
        <w:spacing w:after="0" w:line="230" w:lineRule="auto"/>
        <w:rPr>
          <w:sz w:val="20"/>
          <w:szCs w:val="20"/>
          <w:color w:val="auto"/>
        </w:rPr>
      </w:pPr>
      <w:r>
        <w:rPr>
          <w:rFonts w:ascii="Arial" w:cs="Arial" w:eastAsia="Arial" w:hAnsi="Arial"/>
          <w:sz w:val="22"/>
          <w:szCs w:val="22"/>
          <w:b w:val="1"/>
          <w:bCs w:val="1"/>
          <w:color w:val="auto"/>
          <w:strike w:val="1"/>
        </w:rPr>
        <w:t>M'^)NR^+'*#D+8["P7KF@&amp;=4M,54K1/66"4;341BXPD[59B3RU=DP1PRI\;+^ M/.7"#9-</w:t>
      </w:r>
    </w:p>
    <w:p>
      <w:pPr>
        <w:spacing w:after="0" w:line="231" w:lineRule="auto"/>
        <w:rPr>
          <w:sz w:val="20"/>
          <w:szCs w:val="20"/>
          <w:color w:val="auto"/>
        </w:rPr>
      </w:pPr>
      <w:r>
        <w:rPr>
          <w:rFonts w:ascii="Arial" w:cs="Arial" w:eastAsia="Arial" w:hAnsi="Arial"/>
          <w:sz w:val="22"/>
          <w:szCs w:val="22"/>
          <w:b w:val="1"/>
          <w:bCs w:val="1"/>
          <w:color w:val="auto"/>
          <w:strike w:val="1"/>
        </w:rPr>
        <w:t>LJZ5QDJ&gt;%,EQY=POX2Y/X1\'LAW&gt;PFK?+4K6SE:6&lt;+.=82\E.%I&amp;- M4\T[64&lt;$4Y.22SNE3O/!_(E\R/E?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*=K:+R63%":LY2G%XHXXR@WG^Q!24G)* MC;II97!7.,[OF]N#ESLC5]JKE5J-/O\ -7!L299R)SS4'=)R]RL4XC4(]ODK</w:t>
      </w:r>
    </w:p>
    <w:p>
      <w:pPr>
        <w:spacing w:after="0" w:line="232" w:lineRule="auto"/>
        <w:rPr>
          <w:sz w:val="20"/>
          <w:szCs w:val="20"/>
          <w:color w:val="auto"/>
        </w:rPr>
      </w:pPr>
      <w:r>
        <w:rPr>
          <w:rFonts w:ascii="Arial" w:cs="Arial" w:eastAsia="Arial" w:hAnsi="Arial"/>
          <w:sz w:val="22"/>
          <w:szCs w:val="22"/>
          <w:b w:val="1"/>
          <w:bCs w:val="1"/>
          <w:color w:val="auto"/>
          <w:strike w:val="1"/>
        </w:rPr>
        <w:t>M94[2LKJG34R4I,R*:939P0QAWRWR_'@EDO@S&lt;,HW&gt;TO-YO5C"R&gt;!QI"=E"QC M)2KI;0L+&amp;QM7-53&gt;*-</w:t>
      </w:r>
    </w:p>
    <w:p>
      <w:pPr>
        <w:spacing w:after="0" w:line="230" w:lineRule="auto"/>
        <w:rPr>
          <w:sz w:val="20"/>
          <w:szCs w:val="20"/>
          <w:color w:val="auto"/>
        </w:rPr>
      </w:pPr>
      <w:r>
        <w:rPr>
          <w:rFonts w:ascii="Arial" w:cs="Arial" w:eastAsia="Arial" w:hAnsi="Arial"/>
          <w:sz w:val="22"/>
          <w:szCs w:val="22"/>
          <w:b w:val="1"/>
          <w:bCs w:val="1"/>
          <w:color w:val="auto"/>
          <w:strike w:val="1"/>
        </w:rPr>
        <w:t>I*T::I1*JA7YK/33. M#B'(/&gt;0'1H[6X]45XS&lt;[.J36X0K&amp;MJ/FK%\\C[#/GO461EHKG@HPFU%5</w:t>
      </w:r>
    </w:p>
    <w:p>
      <w:pPr>
        <w:spacing w:after="0" w:line="231" w:lineRule="auto"/>
        <w:rPr>
          <w:sz w:val="20"/>
          <w:szCs w:val="20"/>
          <w:color w:val="auto"/>
        </w:rPr>
      </w:pPr>
      <w:r>
        <w:rPr>
          <w:rFonts w:ascii="Arial" w:cs="Arial" w:eastAsia="Arial" w:hAnsi="Arial"/>
          <w:sz w:val="22"/>
          <w:szCs w:val="22"/>
          <w:b w:val="1"/>
          <w:bCs w:val="1"/>
          <w:color w:val="auto"/>
          <w:strike w:val="1"/>
        </w:rPr>
        <w:t>M&lt;6FJL[#D*3REP3OF3+M).]V"M(*-4F\:J:;HCZ51@+!Q(Z,'&lt; M=6WJP:UFV[</w:t>
      </w:r>
    </w:p>
    <w:p>
      <w:pPr>
        <w:spacing w:after="0" w:line="231" w:lineRule="auto"/>
        <w:rPr>
          <w:sz w:val="20"/>
          <w:szCs w:val="20"/>
          <w:color w:val="auto"/>
        </w:rPr>
      </w:pPr>
      <w:r>
        <w:rPr>
          <w:rFonts w:ascii="Arial" w:cs="Arial" w:eastAsia="Arial" w:hAnsi="Arial"/>
          <w:sz w:val="22"/>
          <w:szCs w:val="22"/>
          <w:b w:val="1"/>
          <w:bCs w:val="1"/>
          <w:color w:val="auto"/>
          <w:strike w:val="1"/>
        </w:rPr>
        <w:t>/L2'J]0E'\&gt;_DCN+Y#QE4B4FZ#!TN0SQ)1)W*9*F;/BZ27;+=</w:t>
      </w:r>
    </w:p>
    <w:p>
      <w:pPr>
        <w:spacing w:after="0" w:line="230" w:lineRule="auto"/>
        <w:rPr>
          <w:sz w:val="20"/>
          <w:szCs w:val="20"/>
          <w:color w:val="auto"/>
        </w:rPr>
      </w:pPr>
      <w:r>
        <w:rPr>
          <w:rFonts w:ascii="Arial" w:cs="Arial" w:eastAsia="Arial" w:hAnsi="Arial"/>
          <w:sz w:val="22"/>
          <w:szCs w:val="22"/>
          <w:b w:val="1"/>
          <w:bCs w:val="1"/>
          <w:color w:val="auto"/>
          <w:strike w:val="1"/>
        </w:rPr>
        <w:t>MF8IL8SO5M8&lt;)OVA9*O.1YN\7:XJPE:6L5*,4K&amp;4K63;:69UC9Y_:;HM)&gt;QLK</w:t>
      </w:r>
    </w:p>
    <w:p>
      <w:pPr>
        <w:spacing w:after="0" w:line="231" w:lineRule="auto"/>
        <w:rPr>
          <w:sz w:val="20"/>
          <w:szCs w:val="20"/>
          <w:color w:val="auto"/>
        </w:rPr>
      </w:pPr>
      <w:r>
        <w:rPr>
          <w:rFonts w:ascii="Arial" w:cs="Arial" w:eastAsia="Arial" w:hAnsi="Arial"/>
          <w:sz w:val="22"/>
          <w:szCs w:val="22"/>
          <w:b w:val="1"/>
          <w:bCs w:val="1"/>
          <w:color w:val="auto"/>
          <w:strike w:val="1"/>
        </w:rPr>
        <w:t>M7(O!"_6.48JQMK=6T80;4G6U6"*5&amp;U73+,W19WRG/B/;#RT M .K3HI_&gt;9TGY47[[4OQ^&lt; MOVC_ ,4WK_KL?</w:t>
      </w:r>
    </w:p>
    <w:p>
      <w:pPr>
        <w:spacing w:after="0"/>
        <w:rPr>
          <w:sz w:val="20"/>
          <w:szCs w:val="20"/>
          <w:color w:val="auto"/>
        </w:rPr>
      </w:pPr>
      <w:r>
        <w:rPr>
          <w:rFonts w:ascii="Arial" w:cs="Arial" w:eastAsia="Arial" w:hAnsi="Arial"/>
          <w:sz w:val="21"/>
          <w:szCs w:val="21"/>
          <w:b w:val="1"/>
          <w:bCs w:val="1"/>
          <w:color w:val="auto"/>
          <w:strike w:val="1"/>
        </w:rPr>
        <w:t>RT&gt;T&lt;#OW!=/ZK7\R18X.B': # MJ_HOV1 M\@KA]GI$2M*ZR5I76&gt;&gt;!6/S:KW[#B?X!N.&gt;:P]B/4NPGO_2 _?\ I_W*:W_B</w:t>
      </w:r>
    </w:p>
    <w:p>
      <w:pPr>
        <w:spacing w:after="0" w:line="232" w:lineRule="auto"/>
        <w:rPr>
          <w:sz w:val="20"/>
          <w:szCs w:val="20"/>
          <w:color w:val="auto"/>
        </w:rPr>
      </w:pPr>
      <w:r>
        <w:rPr>
          <w:rFonts w:ascii="Arial" w:cs="Arial" w:eastAsia="Arial" w:hAnsi="Arial"/>
          <w:sz w:val="22"/>
          <w:szCs w:val="22"/>
          <w:b w:val="1"/>
          <w:bCs w:val="1"/>
          <w:color w:val="auto"/>
          <w:strike w:val="1"/>
        </w:rPr>
        <w:t>M[0,K'V/F&lt;6TTQZN]F&gt;_TFCZ MQ:FW'/C;J/;53E-U6.H3U+9[BNVVGM410I%30L+-</w:t>
      </w:r>
    </w:p>
    <w:p>
      <w:pPr>
        <w:spacing w:after="0" w:line="230" w:lineRule="auto"/>
        <w:rPr>
          <w:sz w:val="20"/>
          <w:szCs w:val="20"/>
          <w:color w:val="auto"/>
        </w:rPr>
      </w:pPr>
      <w:r>
        <w:rPr>
          <w:rFonts w:ascii="Arial" w:cs="Arial" w:eastAsia="Arial" w:hAnsi="Arial"/>
          <w:sz w:val="22"/>
          <w:szCs w:val="22"/>
          <w:b w:val="1"/>
          <w:bCs w:val="1"/>
          <w:color w:val="auto"/>
          <w:strike w:val="1"/>
        </w:rPr>
        <w:t>L[L%=R:S:ENQOO]Q(=]3KQFHK?@;&gt;Z&gt;XNI(23 M-</w:t>
      </w:r>
    </w:p>
    <w:p>
      <w:pPr>
        <w:spacing w:after="0" w:line="231" w:lineRule="auto"/>
        <w:rPr>
          <w:sz w:val="20"/>
          <w:szCs w:val="20"/>
          <w:color w:val="auto"/>
        </w:rPr>
      </w:pPr>
      <w:r>
        <w:rPr>
          <w:rFonts w:ascii="Arial" w:cs="Arial" w:eastAsia="Arial" w:hAnsi="Arial"/>
          <w:sz w:val="22"/>
          <w:szCs w:val="22"/>
          <w:b w:val="1"/>
          <w:bCs w:val="1"/>
          <w:color w:val="auto"/>
          <w:strike w:val="1"/>
        </w:rPr>
        <w:t>4D+:\Y!ZXFVE66LF&amp;OB:5B5AV3YVFQRMXT=JS57(EE-,QRQ58*:6VONH\Y&amp; MKHKW&gt;!/45!4CTS/O8*)^_JK_</w:t>
      </w:r>
    </w:p>
    <w:p>
      <w:pPr>
        <w:spacing w:after="0" w:line="231" w:lineRule="auto"/>
        <w:rPr>
          <w:sz w:val="20"/>
          <w:szCs w:val="20"/>
          <w:color w:val="auto"/>
        </w:rPr>
      </w:pPr>
      <w:r>
        <w:rPr>
          <w:rFonts w:ascii="Arial" w:cs="Arial" w:eastAsia="Arial" w:hAnsi="Arial"/>
          <w:sz w:val="22"/>
          <w:szCs w:val="22"/>
          <w:b w:val="1"/>
          <w:bCs w:val="1"/>
          <w:color w:val="auto"/>
          <w:strike w:val="1"/>
        </w:rPr>
        <w:t>,O=HCTO]E?\0WS^SM/S[N=)X&gt;?N&gt;[?W,/RK M8YG1[Z&gt;2@ ;Z\JGD_P#&amp;/WU]</w:t>
      </w:r>
    </w:p>
    <w:p>
      <w:pPr>
        <w:spacing w:after="0" w:line="230" w:lineRule="auto"/>
        <w:rPr>
          <w:sz w:val="20"/>
          <w:szCs w:val="20"/>
          <w:color w:val="auto"/>
        </w:rPr>
      </w:pPr>
      <w:r>
        <w:rPr>
          <w:rFonts w:ascii="Arial" w:cs="Arial" w:eastAsia="Arial" w:hAnsi="Arial"/>
          <w:sz w:val="22"/>
          <w:szCs w:val="22"/>
          <w:b w:val="1"/>
          <w:bCs w:val="1"/>
          <w:color w:val="auto"/>
          <w:strike w:val="1"/>
        </w:rPr>
        <w:t>&lt;&amp;POQ$/C&lt;7.#W,5S_P#U;#_Z'TO/.6.=;SM[ M7_[&amp;(W/=6Y-CQ:$'L/;6S+Y"M7Z4JUB+G?;3:(MO*(-</w:t>
      </w:r>
    </w:p>
    <w:p>
      <w:pPr>
        <w:spacing w:after="0" w:line="231" w:lineRule="auto"/>
        <w:rPr>
          <w:sz w:val="20"/>
          <w:szCs w:val="20"/>
          <w:color w:val="auto"/>
        </w:rPr>
      </w:pPr>
      <w:r>
        <w:rPr>
          <w:rFonts w:ascii="Arial" w:cs="Arial" w:eastAsia="Arial" w:hAnsi="Arial"/>
          <w:sz w:val="22"/>
          <w:szCs w:val="22"/>
          <w:b w:val="1"/>
          <w:bCs w:val="1"/>
          <w:color w:val="auto"/>
          <w:strike w:val="1"/>
        </w:rPr>
        <w:t>W31&amp;20CYN5721D"-' MSQ(JQ284*F\53P;!5#XSRKIDG)5PM';7')MWN5M*+BYV5C9V;9-</w:t>
      </w:r>
    </w:p>
    <w:p>
      <w:pPr>
        <w:spacing w:after="0" w:line="230" w:lineRule="auto"/>
        <w:rPr>
          <w:sz w:val="20"/>
          <w:szCs w:val="20"/>
          <w:color w:val="auto"/>
        </w:rPr>
      </w:pPr>
      <w:r>
        <w:rPr>
          <w:rFonts w:ascii="Arial" w:cs="Arial" w:eastAsia="Arial" w:hAnsi="Arial"/>
          <w:sz w:val="22"/>
          <w:szCs w:val="22"/>
          <w:b w:val="1"/>
          <w:bCs w:val="1"/>
          <w:color w:val="auto"/>
          <w:strike w:val="1"/>
        </w:rPr>
        <w:t>3M+.RLX3DI24I8IQBI2Q22;J\[2 M;SH6U]OMXLX6-O&gt;[6WL84:C.TG.*:32:BW14BVEFT-KH, *8Q#%,4V2')G!B</w:t>
      </w:r>
    </w:p>
    <w:p>
      <w:pPr>
        <w:spacing w:after="0" w:line="231" w:lineRule="auto"/>
        <w:rPr>
          <w:sz w:val="20"/>
          <w:szCs w:val="20"/>
          <w:color w:val="auto"/>
        </w:rPr>
      </w:pPr>
      <w:r>
        <w:rPr>
          <w:rFonts w:ascii="Arial" w:cs="Arial" w:eastAsia="Arial" w:hAnsi="Arial"/>
          <w:sz w:val="22"/>
          <w:szCs w:val="22"/>
          <w:b w:val="1"/>
          <w:bCs w:val="1"/>
          <w:color w:val="auto"/>
          <w:strike w:val="1"/>
        </w:rPr>
        <w:t>MF+G.#%-C.,E,4V,^$IL9QX&lt;9P.;^-3B)M.J-BS^X]NVN";U&gt;T;4V/9*RU(5-</w:t>
      </w:r>
    </w:p>
    <w:p>
      <w:pPr>
        <w:spacing w:after="0" w:line="231" w:lineRule="auto"/>
        <w:rPr>
          <w:sz w:val="20"/>
          <w:szCs w:val="20"/>
          <w:color w:val="auto"/>
        </w:rPr>
      </w:pPr>
      <w:r>
        <w:rPr>
          <w:rFonts w:ascii="Arial" w:cs="Arial" w:eastAsia="Arial" w:hAnsi="Arial"/>
          <w:sz w:val="22"/>
          <w:szCs w:val="22"/>
          <w:b w:val="1"/>
          <w:bCs w:val="1"/>
          <w:color w:val="auto"/>
          <w:strike w:val="1"/>
        </w:rPr>
        <w:t>MM7)^\6:8@FY"&amp;3.4B$1(R:C=$F#II9Q@J&gt;,8RF7./=Q@&lt;*QR7DN[6SO%VR?8 M6%XEIM(6-</w:t>
      </w:r>
    </w:p>
    <w:p>
      <w:pPr>
        <w:spacing w:after="0" w:line="230" w:lineRule="auto"/>
        <w:rPr>
          <w:sz w:val="20"/>
          <w:szCs w:val="20"/>
          <w:color w:val="auto"/>
        </w:rPr>
      </w:pPr>
      <w:r>
        <w:rPr>
          <w:rFonts w:ascii="Arial" w:cs="Arial" w:eastAsia="Arial" w:hAnsi="Arial"/>
          <w:sz w:val="22"/>
          <w:szCs w:val="22"/>
          <w:b w:val="1"/>
          <w:bCs w:val="1"/>
          <w:color w:val="auto"/>
          <w:strike w:val="1"/>
        </w:rPr>
        <w:t>G&amp;;Y,\HQ4M%&gt;7\&amp;]9/R??78ROMRL;W*[UP.ULH6C@W2K@YQ&gt;%O#%NE&amp;\*SYE2EA M?+W=E/\</w:t>
      </w:r>
    </w:p>
    <w:p>
      <w:pPr>
        <w:spacing w:after="0" w:line="231" w:lineRule="auto"/>
        <w:rPr>
          <w:sz w:val="20"/>
          <w:szCs w:val="20"/>
          <w:color w:val="auto"/>
        </w:rPr>
      </w:pPr>
      <w:r>
        <w:rPr>
          <w:rFonts w:ascii="Arial" w:cs="Arial" w:eastAsia="Arial" w:hAnsi="Arial"/>
          <w:sz w:val="22"/>
          <w:szCs w:val="22"/>
          <w:b w:val="1"/>
          <w:bCs w:val="1"/>
          <w:color w:val="auto"/>
          <w:strike w:val="1"/>
        </w:rPr>
        <w:t>XUZM+MY1+$H3E!22K2JBUBI5T3T5:2U_#KUFLE1E$)RIV"F%I&amp;,XO3]F2:?W#!L8\"96M[U&gt;;T\5YO,</w:t>
      </w:r>
    </w:p>
    <w:p>
      <w:pPr>
        <w:spacing w:after="0" w:line="231" w:lineRule="auto"/>
        <w:rPr>
          <w:sz w:val="20"/>
          <w:szCs w:val="20"/>
          <w:color w:val="auto"/>
        </w:rPr>
      </w:pPr>
      <w:r>
        <w:rPr>
          <w:rFonts w:ascii="Arial" w:cs="Arial" w:eastAsia="Arial" w:hAnsi="Arial"/>
          <w:sz w:val="22"/>
          <w:szCs w:val="22"/>
          <w:b w:val="1"/>
          <w:bCs w:val="1"/>
          <w:color w:val="auto"/>
          <w:strike w:val="1"/>
        </w:rPr>
        <w:t>[Q*.ASG*;2Z')M_Z2,0'( M., '5IT4 M_O,Z3\J+]]J7X_.7[1_XIO7_ %V/Y:/:.!W[@NG]5K^9(L&lt;'1#M M !@6U?</w:t>
      </w:r>
    </w:p>
    <w:p>
      <w:pPr>
        <w:spacing w:after="0"/>
        <w:rPr>
          <w:sz w:val="20"/>
          <w:szCs w:val="20"/>
          <w:color w:val="auto"/>
        </w:rPr>
      </w:pPr>
      <w:r>
        <w:rPr>
          <w:rFonts w:ascii="Arial" w:cs="Arial" w:eastAsia="Arial" w:hAnsi="Arial"/>
          <w:sz w:val="21"/>
          <w:szCs w:val="21"/>
          <w:b w:val="1"/>
          <w:bCs w:val="1"/>
          <w:color w:val="auto"/>
          <w:strike w:val="1"/>
        </w:rPr>
        <w:t>T7[(^05P^STB)6E=9*TKK// K'YM5[]AQ/\ W'/-8&gt;Q'J783W M_I ?O_3_ +E-;_Q=H&amp;5C['S.+::8]7&gt;S/?Z.9[]S:7^%&gt;[_S;T&gt;</w:t>
      </w:r>
    </w:p>
    <w:p>
      <w:pPr>
        <w:spacing w:after="0" w:line="232" w:lineRule="auto"/>
        <w:rPr>
          <w:sz w:val="20"/>
          <w:szCs w:val="20"/>
          <w:color w:val="auto"/>
        </w:rPr>
      </w:pPr>
      <w:r>
        <w:rPr>
          <w:rFonts w:ascii="Arial" w:cs="Arial" w:eastAsia="Arial" w:hAnsi="Arial"/>
          <w:sz w:val="22"/>
          <w:szCs w:val="22"/>
          <w:b w:val="1"/>
          <w:bCs w:val="1"/>
          <w:color w:val="auto"/>
          <w:strike w:val="1"/>
        </w:rPr>
        <w:t>(M_877W,B M&amp;D[2!Q34 J1Z9GWL%$_?U5_Y&gt;[1'I?[*_XAOG]G:?GW9TGY47[[4OQ^T&lt;#OW!=/ZK7\R18X.B': #</w:t>
      </w:r>
    </w:p>
    <w:p>
      <w:pPr>
        <w:spacing w:after="0" w:line="230" w:lineRule="auto"/>
        <w:rPr>
          <w:sz w:val="20"/>
          <w:szCs w:val="20"/>
          <w:color w:val="auto"/>
        </w:rPr>
      </w:pPr>
      <w:r>
        <w:rPr>
          <w:rFonts w:ascii="Arial" w:cs="Arial" w:eastAsia="Arial" w:hAnsi="Arial"/>
          <w:sz w:val="22"/>
          <w:szCs w:val="22"/>
          <w:b w:val="1"/>
          <w:bCs w:val="1"/>
          <w:color w:val="auto"/>
          <w:strike w:val="1"/>
        </w:rPr>
        <w:t>MJ_HOV1\@KA]GI$2M*ZR5I M76&gt;&gt;!6/S:KW[#B?X!N.&gt;:P]B/4NPZ_\ FQT/FH&gt;;VZ\[LNNUMDTV;S4H&amp;HYA</w:t>
      </w:r>
    </w:p>
    <w:p>
      <w:pPr>
        <w:spacing w:after="0" w:line="231" w:lineRule="auto"/>
        <w:rPr>
          <w:sz w:val="20"/>
          <w:szCs w:val="20"/>
          <w:color w:val="auto"/>
        </w:rPr>
      </w:pPr>
      <w:r>
        <w:rPr>
          <w:rFonts w:ascii="Arial" w:cs="Arial" w:eastAsia="Arial" w:hAnsi="Arial"/>
          <w:sz w:val="22"/>
          <w:szCs w:val="22"/>
          <w:b w:val="1"/>
          <w:bCs w:val="1"/>
          <w:color w:val="auto"/>
          <w:strike w:val="1"/>
        </w:rPr>
        <w:t>MZNTK#B+RT@%I%1!W@\K&amp;*K8&lt;']D5,'QU\EQV9?!C'A\ X&lt;+5Q5$JYS%I-9R* M_!/A-2^!O2M6+4%$N-</w:t>
      </w:r>
    </w:p>
    <w:p>
      <w:pPr>
        <w:spacing w:after="0" w:line="231" w:lineRule="auto"/>
        <w:rPr>
          <w:sz w:val="20"/>
          <w:szCs w:val="20"/>
          <w:color w:val="auto"/>
        </w:rPr>
      </w:pPr>
      <w:r>
        <w:rPr>
          <w:rFonts w:ascii="Arial" w:cs="Arial" w:eastAsia="Arial" w:hAnsi="Arial"/>
          <w:sz w:val="22"/>
          <w:szCs w:val="22"/>
          <w:b w:val="1"/>
          <w:bCs w:val="1"/>
          <w:color w:val="auto"/>
          <w:strike w:val="1"/>
        </w:rPr>
        <w:t>INT18^CVEMD.):VH1*$DWD9?DA4*PM'HDAVJ*6616M M.:*%,8N5.T=J&gt;'.2X)C%ISQV:;5*2[B*+%F5%0Z)1B2</w:t>
      </w:r>
    </w:p>
    <w:p>
      <w:pPr>
        <w:spacing w:after="0" w:line="230" w:lineRule="auto"/>
        <w:rPr>
          <w:sz w:val="20"/>
          <w:szCs w:val="20"/>
          <w:color w:val="auto"/>
        </w:rPr>
      </w:pPr>
      <w:r>
        <w:rPr>
          <w:rFonts w:ascii="Arial" w:cs="Arial" w:eastAsia="Arial" w:hAnsi="Arial"/>
          <w:sz w:val="22"/>
          <w:szCs w:val="22"/>
          <w:b w:val="1"/>
          <w:bCs w:val="1"/>
          <w:color w:val="auto"/>
          <w:strike w:val="1"/>
        </w:rPr>
        <w:t>8!L35VO M-M0K6N;,IT#&gt;(%C*HS;2)L&lt;&gt;E(L6TLV:/6"$BDBMC.".B,I)^F4^/=P1XH7_ M -61S+AE&amp;_9,MI7C)]ZG=+:</w:t>
      </w:r>
    </w:p>
    <w:p>
      <w:pPr>
        <w:spacing w:after="0" w:line="231" w:lineRule="auto"/>
        <w:rPr>
          <w:sz w:val="20"/>
          <w:szCs w:val="20"/>
          <w:color w:val="auto"/>
        </w:rPr>
      </w:pPr>
      <w:r>
        <w:rPr>
          <w:rFonts w:ascii="Arial" w:cs="Arial" w:eastAsia="Arial" w:hAnsi="Arial"/>
          <w:sz w:val="22"/>
          <w:szCs w:val="22"/>
          <w:b w:val="1"/>
          <w:bCs w:val="1"/>
          <w:color w:val="auto"/>
          <w:strike w:val="1"/>
        </w:rPr>
        <w:t>&lt;7!RLWA;BVFXMKD;BG36D&lt;&gt;\W2[7R"LKU81O% MG%J2C.*DE))I.CY:-JO2:&lt;\B?</w:t>
      </w:r>
    </w:p>
    <w:p>
      <w:pPr>
        <w:spacing w:after="0" w:line="230" w:lineRule="auto"/>
        <w:rPr>
          <w:sz w:val="20"/>
          <w:szCs w:val="20"/>
          <w:color w:val="auto"/>
        </w:rPr>
      </w:pPr>
      <w:r>
        <w:rPr>
          <w:rFonts w:ascii="Arial" w:cs="Arial" w:eastAsia="Arial" w:hAnsi="Arial"/>
          <w:sz w:val="22"/>
          <w:szCs w:val="22"/>
          <w:b w:val="1"/>
          <w:bCs w:val="1"/>
          <w:color w:val="auto"/>
          <w:strike w:val="1"/>
        </w:rPr>
        <w:t>B5\7O5OHNQ^Z/K&lt;;&gt;$W/=XVC.#YAR+S78;. M/@/(GXE?%[U;Z+L?NAQMX3&lt;]WC:,&gt;8]6^B['[H&lt;;&gt;$W</w:t>
      </w:r>
    </w:p>
    <w:p>
      <w:pPr>
        <w:spacing w:after="0" w:line="231" w:lineRule="auto"/>
        <w:rPr>
          <w:sz w:val="20"/>
          <w:szCs w:val="20"/>
          <w:color w:val="auto"/>
        </w:rPr>
      </w:pPr>
      <w:r>
        <w:rPr>
          <w:rFonts w:ascii="Arial" w:cs="Arial" w:eastAsia="Arial" w:hAnsi="Arial"/>
          <w:sz w:val="22"/>
          <w:szCs w:val="22"/>
          <w:b w:val="1"/>
          <w:bCs w:val="1"/>
          <w:color w:val="auto"/>
          <w:strike w:val="1"/>
        </w:rPr>
        <w:t>M/=XVC'F'(O-=ALX^ \B?B5\7O5OHNQ^Z'&amp;WA-SW&gt;-HQYAR+S78;./@/(GXE? M%[U;Z+L?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NAQMX3&lt;]WC:,&gt;8]6^B['[H&lt;;&gt;$W/=XVC'F' M(O-=ALX^ \B?B5\7O5OHNQ^Z'&amp;WA-SW&gt;-HQYAR+S78;./@/(GXE?%</w:t>
      </w:r>
    </w:p>
    <w:p>
      <w:pPr>
        <w:spacing w:after="0" w:line="232" w:lineRule="auto"/>
        <w:rPr>
          <w:sz w:val="20"/>
          <w:szCs w:val="20"/>
          <w:color w:val="auto"/>
        </w:rPr>
      </w:pPr>
      <w:r>
        <w:rPr>
          <w:rFonts w:ascii="Arial" w:cs="Arial" w:eastAsia="Arial" w:hAnsi="Arial"/>
          <w:sz w:val="22"/>
          <w:szCs w:val="22"/>
          <w:b w:val="1"/>
          <w:bCs w:val="1"/>
          <w:color w:val="auto"/>
          <w:strike w:val="1"/>
        </w:rPr>
        <w:t>[U;Z+L? MNAQMX3&lt;]WC:,&gt;8]6^B['[H&lt;;&gt;$W/=XVC'F'(O-=ALX^ M \B?B5\7O5OHNQ^Z'&amp;WA-SW&gt;-</w:t>
      </w:r>
    </w:p>
    <w:p>
      <w:pPr>
        <w:spacing w:after="0" w:line="230" w:lineRule="auto"/>
        <w:rPr>
          <w:sz w:val="20"/>
          <w:szCs w:val="20"/>
          <w:color w:val="auto"/>
        </w:rPr>
      </w:pPr>
      <w:r>
        <w:rPr>
          <w:rFonts w:ascii="Arial" w:cs="Arial" w:eastAsia="Arial" w:hAnsi="Arial"/>
          <w:sz w:val="22"/>
          <w:szCs w:val="22"/>
          <w:b w:val="1"/>
          <w:bCs w:val="1"/>
          <w:color w:val="auto"/>
          <w:strike w:val="1"/>
        </w:rPr>
        <w:t>HQYAR+S78;./@/(GXE?%[U;Z+L?NAQMX3&lt;] MWC:,&gt;8]6^B['[H&lt;;&gt;$W/=XVC'F'(O-=ALX^ \B?B5\7</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MO5OHNQ^Z'&amp;WA-SW&gt;-HQYAR+S78;./@/(GXE?%[U;Z+L?NAQMX3&lt;]WC:,&gt;8]6^B['[H&lt;;&gt;$W/=XVC'F'(O-=ALX^</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\B?B5\7O5OHNQ^Z M'&amp;WA-SW&gt;-HQYAR+S78;./@/(GXE?%[U;Z+L?NAQMX3&lt;]WC:,&gt;8]6^B['[H&lt;;&gt;$W/=XVC'F'(O-</w:t>
      </w:r>
    </w:p>
    <w:p>
      <w:pPr>
        <w:spacing w:after="0" w:line="232" w:lineRule="auto"/>
        <w:rPr>
          <w:sz w:val="20"/>
          <w:szCs w:val="20"/>
          <w:color w:val="auto"/>
        </w:rPr>
      </w:pPr>
      <w:r>
        <w:rPr>
          <w:rFonts w:ascii="Arial" w:cs="Arial" w:eastAsia="Arial" w:hAnsi="Arial"/>
          <w:sz w:val="22"/>
          <w:szCs w:val="22"/>
          <w:b w:val="1"/>
          <w:bCs w:val="1"/>
          <w:color w:val="auto"/>
          <w:strike w:val="1"/>
        </w:rPr>
        <w:t>=ALX^ \B?B5\7O5OHNQ^Z'&amp;WA-SW&gt; M-HQYAR+S78;./@/(GXE?%[U;Z+L?NAQMX3&lt;]WC:,&gt;8]</w:t>
      </w:r>
    </w:p>
    <w:p>
      <w:pPr>
        <w:spacing w:after="0" w:line="230" w:lineRule="auto"/>
        <w:rPr>
          <w:sz w:val="20"/>
          <w:szCs w:val="20"/>
          <w:color w:val="auto"/>
        </w:rPr>
      </w:pPr>
      <w:r>
        <w:rPr>
          <w:rFonts w:ascii="Arial" w:cs="Arial" w:eastAsia="Arial" w:hAnsi="Arial"/>
          <w:sz w:val="22"/>
          <w:szCs w:val="22"/>
          <w:b w:val="1"/>
          <w:bCs w:val="1"/>
          <w:color w:val="auto"/>
          <w:strike w:val="1"/>
        </w:rPr>
        <w:t>M6^B['[H&lt;;&gt;$W/=XVC'F'(O-=ALX^ \B?B5\7O5OHNQ^Z'&amp;WA-SW&gt;-HQYAR+S M78;./@/(GXE?%[U;Z+L?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NAQMX3&lt;]WC:,&gt;8]6^B['[H&lt; M;&gt;$W/=XVC'F'(O-=ALX^ \B?B5\7O5OHNQ^Z'&amp;WA-SW&gt;-HQYAR+S78;./@/( MGXE?</w:t>
      </w:r>
    </w:p>
    <w:p>
      <w:pPr>
        <w:spacing w:after="0" w:line="232" w:lineRule="auto"/>
        <w:rPr>
          <w:sz w:val="20"/>
          <w:szCs w:val="20"/>
          <w:color w:val="auto"/>
        </w:rPr>
      </w:pPr>
      <w:r>
        <w:rPr>
          <w:rFonts w:ascii="Arial" w:cs="Arial" w:eastAsia="Arial" w:hAnsi="Arial"/>
          <w:sz w:val="22"/>
          <w:szCs w:val="22"/>
          <w:b w:val="1"/>
          <w:bCs w:val="1"/>
          <w:color w:val="auto"/>
          <w:strike w:val="1"/>
        </w:rPr>
        <w:t>%[U;Z+L?NAQMX3&lt;]WC:,&gt;8]6^B['[H&lt;;&gt;$W/=XV MC'F'(O-=ALX^ \B?B5\7O5OHNQ^Z'&amp;WA-SW&gt;-</w:t>
      </w:r>
    </w:p>
    <w:p>
      <w:pPr>
        <w:spacing w:after="0" w:line="230" w:lineRule="auto"/>
        <w:rPr>
          <w:sz w:val="20"/>
          <w:szCs w:val="20"/>
          <w:color w:val="auto"/>
        </w:rPr>
      </w:pPr>
      <w:r>
        <w:rPr>
          <w:rFonts w:ascii="Arial" w:cs="Arial" w:eastAsia="Arial" w:hAnsi="Arial"/>
          <w:sz w:val="22"/>
          <w:szCs w:val="22"/>
          <w:b w:val="1"/>
          <w:bCs w:val="1"/>
          <w:color w:val="auto"/>
          <w:strike w:val="1"/>
        </w:rPr>
        <w:t>HQYAR+S78;./@/(GXE?%[U; MZ+L?NAQMX3&lt;]WC:,&gt;8]6^B['[H&lt;;&gt;$W/=XVC'F'(O-= MALX^ \B?</w:t>
      </w:r>
    </w:p>
    <w:p>
      <w:pPr>
        <w:spacing w:after="0" w:line="231" w:lineRule="auto"/>
        <w:rPr>
          <w:sz w:val="20"/>
          <w:szCs w:val="20"/>
          <w:color w:val="auto"/>
        </w:rPr>
      </w:pPr>
      <w:r>
        <w:rPr>
          <w:rFonts w:ascii="Arial" w:cs="Arial" w:eastAsia="Arial" w:hAnsi="Arial"/>
          <w:sz w:val="22"/>
          <w:szCs w:val="22"/>
          <w:b w:val="1"/>
          <w:bCs w:val="1"/>
          <w:color w:val="auto"/>
          <w:strike w:val="1"/>
        </w:rPr>
        <w:t>B5\7O5OHNQ^Z'&amp;WA-SW&gt;-HQYAR+S78;./@/(GXE?%[U;Z+L?NAQM MX3&lt;]WC:,&gt;8]6^B['[H&lt;;&gt;$W/=XVC'F'(O-</w:t>
      </w:r>
    </w:p>
    <w:p>
      <w:pPr>
        <w:spacing w:after="0" w:line="231" w:lineRule="auto"/>
        <w:rPr>
          <w:sz w:val="20"/>
          <w:szCs w:val="20"/>
          <w:color w:val="auto"/>
        </w:rPr>
      </w:pPr>
      <w:r>
        <w:rPr>
          <w:rFonts w:ascii="Arial" w:cs="Arial" w:eastAsia="Arial" w:hAnsi="Arial"/>
          <w:sz w:val="22"/>
          <w:szCs w:val="22"/>
          <w:b w:val="1"/>
          <w:bCs w:val="1"/>
          <w:color w:val="auto"/>
          <w:strike w:val="1"/>
        </w:rPr>
        <w:t>=ALX^ \B? MB5\7O5OHNQ^Z'&amp;WA-SW&gt;-HQYAR+S78;./@/(GXE?%[U;Z+L?NAQMX3&lt;]WC:,</w:t>
      </w:r>
    </w:p>
    <w:p>
      <w:pPr>
        <w:spacing w:after="0" w:line="230" w:lineRule="auto"/>
        <w:rPr>
          <w:sz w:val="20"/>
          <w:szCs w:val="20"/>
          <w:color w:val="auto"/>
        </w:rPr>
      </w:pPr>
      <w:r>
        <w:rPr>
          <w:rFonts w:ascii="Arial" w:cs="Arial" w:eastAsia="Arial" w:hAnsi="Arial"/>
          <w:sz w:val="22"/>
          <w:szCs w:val="22"/>
          <w:b w:val="1"/>
          <w:bCs w:val="1"/>
          <w:color w:val="auto"/>
          <w:strike w:val="1"/>
        </w:rPr>
        <w:t>M&gt;8]6^B['[H&lt;;&gt;$W/=XVC'F'(O-=ALX^ \B?B5\7O5OH MNQ^Z'&amp;WA-SW&gt;-HQYAR+S78;./@/(GXE?%[U;Z+L?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NAQMX3&lt;]WC:,&gt;8]6^B['[H&lt;;&gt;$W/=XVC'F'(O-=ALX^ \B?B5\7O5OHNQ^Z'&amp;WA M-SW&gt;-HQYAR+S78;./@/(GXE?%</w:t>
      </w:r>
    </w:p>
    <w:p>
      <w:pPr>
        <w:spacing w:after="0" w:line="232" w:lineRule="auto"/>
        <w:rPr>
          <w:sz w:val="20"/>
          <w:szCs w:val="20"/>
          <w:color w:val="auto"/>
        </w:rPr>
      </w:pPr>
      <w:r>
        <w:rPr>
          <w:rFonts w:ascii="Arial" w:cs="Arial" w:eastAsia="Arial" w:hAnsi="Arial"/>
          <w:sz w:val="22"/>
          <w:szCs w:val="22"/>
          <w:b w:val="1"/>
          <w:bCs w:val="1"/>
          <w:color w:val="auto"/>
          <w:strike w:val="1"/>
        </w:rPr>
        <w:t>[U;Z+L?NAQMX3&lt;]WC:,&gt;8]6^B['[H&lt;;&gt;$W/=XVC'F'(O-=ALX^ \B?B5\7O5OHNQ^Z'&amp;WA-SW&gt;-HQY</w:t>
      </w:r>
    </w:p>
    <w:p>
      <w:pPr>
        <w:spacing w:after="0"/>
        <w:rPr>
          <w:sz w:val="20"/>
          <w:szCs w:val="20"/>
          <w:color w:val="auto"/>
        </w:rPr>
      </w:pPr>
      <w:r>
        <w:rPr>
          <w:rFonts w:ascii="Arial" w:cs="Arial" w:eastAsia="Arial" w:hAnsi="Arial"/>
          <w:sz w:val="21"/>
          <w:szCs w:val="21"/>
          <w:b w:val="1"/>
          <w:bCs w:val="1"/>
          <w:color w:val="auto"/>
          <w:strike w:val="1"/>
        </w:rPr>
        <w:t>MAR+S78;./@;RHU!I6LZZUJ- K$/4*PS6=.&amp;D)!,DV$)I)SFZR:69*O0LQ]"[W&gt;PNMDK M&amp;[64;"RC5J,51*KJ\RUO.^DS</w:t>
      </w:r>
    </w:p>
    <w:p>
      <w:pPr>
        <w:spacing w:after="0" w:line="232" w:lineRule="auto"/>
        <w:rPr>
          <w:sz w:val="20"/>
          <w:szCs w:val="20"/>
          <w:color w:val="auto"/>
        </w:rPr>
      </w:pPr>
      <w:r>
        <w:rPr>
          <w:rFonts w:ascii="Arial" w:cs="Arial" w:eastAsia="Arial" w:hAnsi="Arial"/>
          <w:sz w:val="22"/>
          <w:szCs w:val="22"/>
          <w:b w:val="1"/>
          <w:bCs w:val="1"/>
          <w:color w:val="auto"/>
          <w:strike w:val="1"/>
        </w:rPr>
        <w:t>&lt;4V ,"VK^B_9'R"N'V&gt;D1 M*TKK)6E=9YX%8_-JO?L.)_@&amp;XYYK#V(]2[#T?!\\Q*K_ -=O_E7_ .K8:?RO</w:t>
      </w:r>
    </w:p>
    <w:p>
      <w:pPr>
        <w:spacing w:after="0" w:line="230" w:lineRule="auto"/>
        <w:rPr>
          <w:sz w:val="20"/>
          <w:szCs w:val="20"/>
          <w:color w:val="auto"/>
        </w:rPr>
      </w:pPr>
      <w:r>
        <w:rPr>
          <w:rFonts w:ascii="Arial" w:cs="Arial" w:eastAsia="Arial" w:hAnsi="Arial"/>
          <w:sz w:val="22"/>
          <w:szCs w:val="22"/>
          <w:b w:val="1"/>
          <w:bCs w:val="1"/>
          <w:color w:val="auto"/>
          <w:strike w:val="1"/>
        </w:rPr>
        <w:t>M\NXK]OY=Y:@,RP M &amp;!;5_ M1?LCY!7#[/2(E:5UDK2NL\\"L?FU7OV'$_P#&lt;&lt;\UA[$&gt;I=AZ/@^&gt;8E5_Z[?_ M "K_</w:t>
      </w:r>
    </w:p>
    <w:p>
      <w:pPr>
        <w:spacing w:after="0" w:line="231" w:lineRule="auto"/>
        <w:rPr>
          <w:sz w:val="20"/>
          <w:szCs w:val="20"/>
          <w:color w:val="auto"/>
        </w:rPr>
      </w:pPr>
      <w:r>
        <w:rPr>
          <w:rFonts w:ascii="Arial" w:cs="Arial" w:eastAsia="Arial" w:hAnsi="Arial"/>
          <w:sz w:val="22"/>
          <w:szCs w:val="22"/>
          <w:b w:val="1"/>
          <w:bCs w:val="1"/>
          <w:color w:val="auto"/>
          <w:strike w:val="1"/>
        </w:rPr>
        <w:t>/5L-/Y7^7&lt;5^W\N\M0&amp;98 KIZ3&amp;[W.AZ(JDQ1K;9Z7+N-N M0,8YE*I/RU4ER)[^]T_6E&gt;?</w:t>
      </w:r>
    </w:p>
    <w:p>
      <w:pPr>
        <w:spacing w:after="0" w:line="231" w:lineRule="auto"/>
        <w:rPr>
          <w:sz w:val="20"/>
          <w:szCs w:val="20"/>
          <w:color w:val="auto"/>
        </w:rPr>
      </w:pPr>
      <w:r>
        <w:rPr>
          <w:rFonts w:ascii="Arial" w:cs="Arial" w:eastAsia="Arial" w:hAnsi="Arial"/>
          <w:sz w:val="22"/>
          <w:szCs w:val="22"/>
          <w:b w:val="1"/>
          <w:bCs w:val="1"/>
          <w:color w:val="auto"/>
          <w:strike w:val="1"/>
        </w:rPr>
        <w:t>7HUHM1I1:AY27(GO[W3]:5Y]&gt;A1:A1:AY2</w:t>
      </w:r>
    </w:p>
    <w:p>
      <w:pPr>
        <w:spacing w:after="0" w:line="230" w:lineRule="auto"/>
        <w:rPr>
          <w:sz w:val="20"/>
          <w:szCs w:val="20"/>
          <w:color w:val="auto"/>
        </w:rPr>
      </w:pPr>
      <w:r>
        <w:rPr>
          <w:rFonts w:ascii="Arial" w:cs="Arial" w:eastAsia="Arial" w:hAnsi="Arial"/>
          <w:sz w:val="22"/>
          <w:szCs w:val="22"/>
          <w:b w:val="1"/>
          <w:bCs w:val="1"/>
          <w:color w:val="auto"/>
          <w:strike w:val="1"/>
        </w:rPr>
        <w:t>M7(GO[W3]:5Y]&gt;A1:A1:AY27(GO[W3]:5Y]&gt;A1:A1:AY27(GO[W3]:5Y]&gt;A1:</w:t>
      </w:r>
    </w:p>
    <w:p>
      <w:pPr>
        <w:spacing w:after="0" w:line="231" w:lineRule="auto"/>
        <w:rPr>
          <w:sz w:val="20"/>
          <w:szCs w:val="20"/>
          <w:color w:val="auto"/>
        </w:rPr>
      </w:pPr>
      <w:r>
        <w:rPr>
          <w:rFonts w:ascii="Arial" w:cs="Arial" w:eastAsia="Arial" w:hAnsi="Arial"/>
          <w:sz w:val="22"/>
          <w:szCs w:val="22"/>
          <w:b w:val="1"/>
          <w:bCs w:val="1"/>
          <w:color w:val="auto"/>
          <w:strike w:val="1"/>
        </w:rPr>
        <w:t>MA1:AY27(GO[W3]:5Y]&gt;A1:A1:AY27(GO[W3]:5Y]&gt;A1:A1:AY27(GO[W3]:5</w:t>
      </w:r>
    </w:p>
    <w:p>
      <w:pPr>
        <w:spacing w:after="0" w:line="230" w:lineRule="auto"/>
        <w:rPr>
          <w:sz w:val="20"/>
          <w:szCs w:val="20"/>
          <w:color w:val="auto"/>
        </w:rPr>
      </w:pPr>
      <w:r>
        <w:rPr>
          <w:rFonts w:ascii="Arial" w:cs="Arial" w:eastAsia="Arial" w:hAnsi="Arial"/>
          <w:sz w:val="22"/>
          <w:szCs w:val="22"/>
          <w:b w:val="1"/>
          <w:bCs w:val="1"/>
          <w:color w:val="auto"/>
          <w:strike w:val="1"/>
        </w:rPr>
        <w:t>MY]&gt;A1:A1:AY27(GO[W3]:5Y]&gt;A1:A1:AY27(GO[W3]:5Y]&gt;A1:A1:AY27(GO</w:t>
      </w:r>
    </w:p>
    <w:p>
      <w:pPr>
        <w:spacing w:after="0" w:line="231" w:lineRule="auto"/>
        <w:rPr>
          <w:sz w:val="20"/>
          <w:szCs w:val="20"/>
          <w:color w:val="auto"/>
        </w:rPr>
      </w:pPr>
      <w:r>
        <w:rPr>
          <w:rFonts w:ascii="Arial" w:cs="Arial" w:eastAsia="Arial" w:hAnsi="Arial"/>
          <w:sz w:val="22"/>
          <w:szCs w:val="22"/>
          <w:b w:val="1"/>
          <w:bCs w:val="1"/>
          <w:color w:val="auto"/>
          <w:strike w:val="1"/>
        </w:rPr>
        <w:t>M[W3]:5Y]&gt;A1:A1:AY27(GO[W3]:5Y]&gt;A1:A1:AY27(GO[W3]:5Y]&gt;A1:A1:A</w:t>
      </w:r>
    </w:p>
    <w:p>
      <w:pPr>
        <w:spacing w:after="0" w:line="231" w:lineRule="auto"/>
        <w:rPr>
          <w:sz w:val="20"/>
          <w:szCs w:val="20"/>
          <w:color w:val="auto"/>
        </w:rPr>
      </w:pPr>
      <w:r>
        <w:rPr>
          <w:rFonts w:ascii="Arial" w:cs="Arial" w:eastAsia="Arial" w:hAnsi="Arial"/>
          <w:sz w:val="22"/>
          <w:szCs w:val="22"/>
          <w:b w:val="1"/>
          <w:bCs w:val="1"/>
          <w:color w:val="auto"/>
          <w:strike w:val="1"/>
        </w:rPr>
        <w:t>MY27(GO[W3]:5Y]&gt;A1:A1:AY27(GO[W3]:5Y]&gt;A1:A1:AY27(GO[W3]:5Y]&gt;A</w:t>
      </w:r>
    </w:p>
    <w:p>
      <w:pPr>
        <w:spacing w:after="0" w:line="230" w:lineRule="auto"/>
        <w:rPr>
          <w:sz w:val="20"/>
          <w:szCs w:val="20"/>
          <w:color w:val="auto"/>
        </w:rPr>
      </w:pPr>
      <w:r>
        <w:rPr>
          <w:rFonts w:ascii="Arial" w:cs="Arial" w:eastAsia="Arial" w:hAnsi="Arial"/>
          <w:sz w:val="22"/>
          <w:szCs w:val="22"/>
          <w:b w:val="1"/>
          <w:bCs w:val="1"/>
          <w:color w:val="auto"/>
          <w:strike w:val="1"/>
        </w:rPr>
        <w:t>M1:A1:AY27(GO[W3]:5Y]&gt;A1:A1:AY27(GO[W3]:5Y]&gt;A1:A1:AY27(GO[W3]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M:5Y]&gt;A1:A1:AY27(GO[W3]:5Y]&gt;A1:A1:AY27(GO[W3]:5Y]&gt;A1:A1:AY27(</w:t>
      </w:r>
    </w:p>
    <w:p>
      <w:pPr>
        <w:sectPr>
          <w:pgSz w:w="11900" w:h="16877" w:orient="portrait"/>
          <w:cols w:equalWidth="0" w:num="1">
            <w:col w:w="11360"/>
          </w:cols>
          <w:pgMar w:left="240" w:top="111" w:right="299" w:bottom="0" w:gutter="0" w:footer="0" w:header="0"/>
        </w:sectPr>
      </w:pPr>
    </w:p>
    <w:bookmarkStart w:id="145" w:name="page146"/>
    <w:bookmarkEnd w:id="145"/>
    <w:p>
      <w:pPr>
        <w:spacing w:after="0" w:line="56" w:lineRule="exact"/>
        <w:rPr>
          <w:sz w:val="20"/>
          <w:szCs w:val="20"/>
          <w:color w:val="auto"/>
        </w:rPr>
      </w:pPr>
    </w:p>
    <w:p>
      <w:pPr>
        <w:ind w:right="4000"/>
        <w:spacing w:after="0" w:line="245" w:lineRule="auto"/>
        <w:rPr>
          <w:sz w:val="20"/>
          <w:szCs w:val="20"/>
          <w:color w:val="auto"/>
        </w:rPr>
      </w:pPr>
      <w:r>
        <w:rPr>
          <w:rFonts w:ascii="Arial" w:cs="Arial" w:eastAsia="Arial" w:hAnsi="Arial"/>
          <w:sz w:val="21"/>
          <w:szCs w:val="21"/>
          <w:b w:val="1"/>
          <w:bCs w:val="1"/>
          <w:color w:val="auto"/>
          <w:strike w:val="1"/>
        </w:rPr>
        <w:t>MGO[W3]:5Y]&gt;A1:A1:AY27(GO[W3]:5Y]&gt;A1:A1:AY27(GO[W3]:5Y]&gt;A1:A1 M:AY27(GO[W3]:5Y]&gt;A1:A1:AY27(GO[W3]:5Y]&gt;A1:A1:AY27(GO[W3]:5Y] M&gt;A1:A1:AY27(GO[W3]:5Y]&gt;A1:A1:AY27(GO[W3]:5Y]&gt;A1:A1:AY27(GO[W M3]:5Y]&gt;A1:A1:AY27(GO[W3]:5Y]&gt;A1:A1:AY27(GO[W3]:5Y]&gt;A1:A1:AY2 M7(GO[W3]:5Y]&gt;A1:A1:AY27(GO[W3]:5Y]&gt;A1:A1:AY27(GO[W3]:5Y]&gt;A1: MA1:AY27(GO[W3]:5Y]&gt;A1:A1:AY27(GO[W3]:5Y]&gt;A1:A1:AY27(GO[W3]:5</w:t>
      </w:r>
    </w:p>
    <w:p>
      <w:pPr>
        <w:spacing w:after="0" w:line="234" w:lineRule="auto"/>
        <w:rPr>
          <w:sz w:val="20"/>
          <w:szCs w:val="20"/>
          <w:color w:val="auto"/>
        </w:rPr>
      </w:pPr>
      <w:r>
        <w:rPr>
          <w:rFonts w:ascii="Arial" w:cs="Arial" w:eastAsia="Arial" w:hAnsi="Arial"/>
          <w:sz w:val="22"/>
          <w:szCs w:val="22"/>
          <w:b w:val="1"/>
          <w:bCs w:val="1"/>
          <w:color w:val="auto"/>
          <w:strike w:val="1"/>
        </w:rPr>
        <w:t>MY]&gt;A1:A1:AY27(GO[W3]:5Y]&gt;A1:A1:AY27(GO[W3]:5Y]&gt;A1:A1:AY27(GO</w:t>
      </w:r>
    </w:p>
    <w:p>
      <w:pPr>
        <w:spacing w:after="0" w:line="231" w:lineRule="auto"/>
        <w:rPr>
          <w:sz w:val="20"/>
          <w:szCs w:val="20"/>
          <w:color w:val="auto"/>
        </w:rPr>
      </w:pPr>
      <w:r>
        <w:rPr>
          <w:rFonts w:ascii="Arial" w:cs="Arial" w:eastAsia="Arial" w:hAnsi="Arial"/>
          <w:sz w:val="22"/>
          <w:szCs w:val="22"/>
          <w:b w:val="1"/>
          <w:bCs w:val="1"/>
          <w:color w:val="auto"/>
          <w:strike w:val="1"/>
        </w:rPr>
        <w:t>M[W3]:5Y]&gt;A1:A1:AY27(GO[W3]:5Y]&gt;A1:A1:AY27(GO[W3]:5Y]&gt;A1:A1:A</w:t>
      </w:r>
    </w:p>
    <w:p>
      <w:pPr>
        <w:spacing w:after="0" w:line="230" w:lineRule="auto"/>
        <w:rPr>
          <w:sz w:val="20"/>
          <w:szCs w:val="20"/>
          <w:color w:val="auto"/>
        </w:rPr>
      </w:pPr>
      <w:r>
        <w:rPr>
          <w:rFonts w:ascii="Arial" w:cs="Arial" w:eastAsia="Arial" w:hAnsi="Arial"/>
          <w:sz w:val="22"/>
          <w:szCs w:val="22"/>
          <w:b w:val="1"/>
          <w:bCs w:val="1"/>
          <w:color w:val="auto"/>
          <w:strike w:val="1"/>
        </w:rPr>
        <w:t>MY27(GO[W3]:5Y]&gt;A1:A1:AY27(GO[W3]:5Y]&gt;A1:A1:AY27(GO[W3]:5Y]&gt;A M1:A1:B3?#C&gt;&gt;[+3R9U)</w:t>
      </w:r>
    </w:p>
    <w:p>
      <w:pPr>
        <w:spacing w:after="0" w:line="231" w:lineRule="auto"/>
        <w:rPr>
          <w:sz w:val="20"/>
          <w:szCs w:val="20"/>
          <w:color w:val="auto"/>
        </w:rPr>
      </w:pPr>
      <w:r>
        <w:rPr>
          <w:rFonts w:ascii="Arial" w:cs="Arial" w:eastAsia="Arial" w:hAnsi="Arial"/>
          <w:sz w:val="22"/>
          <w:szCs w:val="22"/>
          <w:b w:val="1"/>
          <w:bCs w:val="1"/>
          <w:color w:val="auto"/>
          <w:strike w:val="1"/>
        </w:rPr>
        <w:t>V7&lt;.TK%!R,\^1D86)?HD@)=8B3R.D)=1%V MGA5-,V"G(8N#)X-GW&lt;8%9)8=!$DDGF_ Z1!D8@ &amp;!;5_1?LCY!7#</w:t>
      </w:r>
    </w:p>
    <w:p>
      <w:pPr>
        <w:spacing w:after="0" w:line="230" w:lineRule="auto"/>
        <w:rPr>
          <w:sz w:val="20"/>
          <w:szCs w:val="20"/>
          <w:color w:val="auto"/>
        </w:rPr>
      </w:pPr>
      <w:r>
        <w:rPr>
          <w:rFonts w:ascii="Arial" w:cs="Arial" w:eastAsia="Arial" w:hAnsi="Arial"/>
          <w:sz w:val="22"/>
          <w:szCs w:val="22"/>
          <w:b w:val="1"/>
          <w:bCs w:val="1"/>
          <w:color w:val="auto"/>
          <w:strike w:val="1"/>
        </w:rPr>
        <w:t>M[/2(E:5UDK2NL\\"L?FU7OV'$_P#&lt;&lt;\UA[$&gt;I=AZ/@^&gt;8E5_Z[?_ "K_ /5L M-/Y7^7&lt;5^W\N\M0&amp;98</w:t>
      </w:r>
    </w:p>
    <w:p>
      <w:pPr>
        <w:spacing w:after="0" w:line="231" w:lineRule="auto"/>
        <w:rPr>
          <w:sz w:val="20"/>
          <w:szCs w:val="20"/>
          <w:color w:val="auto"/>
        </w:rPr>
      </w:pPr>
      <w:r>
        <w:rPr>
          <w:rFonts w:ascii="Arial" w:cs="Arial" w:eastAsia="Arial" w:hAnsi="Arial"/>
          <w:sz w:val="22"/>
          <w:szCs w:val="22"/>
          <w:b w:val="1"/>
          <w:bCs w:val="1"/>
          <w:color w:val="auto"/>
          <w:strike w:val="1"/>
        </w:rPr>
        <w:t>UCM[8YM2:]G]B9H]XV&amp;WK7L&lt;[DJQKF'1L-Q6A MUI5DRF92'@3O$5)K,?</w:t>
      </w:r>
    </w:p>
    <w:p>
      <w:pPr>
        <w:spacing w:after="0" w:line="231" w:lineRule="auto"/>
        <w:rPr>
          <w:sz w:val="20"/>
          <w:szCs w:val="20"/>
          <w:color w:val="auto"/>
        </w:rPr>
      </w:pPr>
      <w:r>
        <w:rPr>
          <w:rFonts w:ascii="Arial" w:cs="Arial" w:eastAsia="Arial" w:hAnsi="Arial"/>
          <w:sz w:val="22"/>
          <w:szCs w:val="22"/>
          <w:b w:val="1"/>
          <w:bCs w:val="1"/>
          <w:color w:val="auto"/>
          <w:strike w:val="1"/>
        </w:rPr>
        <w:t>&amp;.73]5JVR=XX0C%$VB"S@R:1E*\N^_*"+/'7I$=$\H M]X7;1NJ8/;"TG2:I(7%&gt;</w:t>
      </w:r>
    </w:p>
    <w:p>
      <w:pPr>
        <w:spacing w:after="0" w:line="230" w:lineRule="auto"/>
        <w:rPr>
          <w:sz w:val="20"/>
          <w:szCs w:val="20"/>
          <w:color w:val="auto"/>
        </w:rPr>
      </w:pPr>
      <w:r>
        <w:rPr>
          <w:rFonts w:ascii="Arial" w:cs="Arial" w:eastAsia="Arial" w:hAnsi="Arial"/>
          <w:sz w:val="22"/>
          <w:szCs w:val="22"/>
          <w:b w:val="1"/>
          <w:bCs w:val="1"/>
          <w:color w:val="auto"/>
          <w:strike w:val="1"/>
        </w:rPr>
        <w:t>[VFBFJ5$G8N,F*Q!N$8(\W*I3.9/#^T,\=@^AF1R ME8.NTRF8B95I&lt;7%*4FJ/??/]Z)H3T$$%8G2P&gt;]VIG[Z:</w:t>
      </w:r>
    </w:p>
    <w:p>
      <w:pPr>
        <w:spacing w:after="0" w:line="231" w:lineRule="auto"/>
        <w:rPr>
          <w:sz w:val="20"/>
          <w:szCs w:val="20"/>
          <w:color w:val="auto"/>
        </w:rPr>
      </w:pPr>
      <w:r>
        <w:rPr>
          <w:rFonts w:ascii="Arial" w:cs="Arial" w:eastAsia="Arial" w:hAnsi="Arial"/>
          <w:sz w:val="22"/>
          <w:szCs w:val="22"/>
          <w:b w:val="1"/>
          <w:bCs w:val="1"/>
          <w:color w:val="auto"/>
          <w:strike w:val="1"/>
        </w:rPr>
        <w:t>[]AMC"\-)&gt;&amp;DY\AJ M:@ 9Q5-9[(OA%CT;7UWNB;7P^,FJ=4GK$5OU#_P P MO_\</w:t>
      </w:r>
    </w:p>
    <w:p>
      <w:pPr>
        <w:spacing w:after="0"/>
        <w:rPr>
          <w:sz w:val="20"/>
          <w:szCs w:val="20"/>
          <w:color w:val="auto"/>
        </w:rPr>
      </w:pPr>
      <w:r>
        <w:rPr>
          <w:rFonts w:ascii="Arial" w:cs="Arial" w:eastAsia="Arial" w:hAnsi="Arial"/>
          <w:sz w:val="21"/>
          <w:szCs w:val="21"/>
          <w:b w:val="1"/>
          <w:bCs w:val="1"/>
          <w:color w:val="auto"/>
          <w:strike w:val="1"/>
        </w:rPr>
        <w:t>+'A5IRT(;IRT,9E8B6@G[B+G(R1AY1H?J.HZ59.8]^V4\'AZCAF[3(HD M?W&lt;^'!BX DR]IJ;:CZ S;&amp;6L]@/*K@O6S9FM-</w:t>
      </w:r>
    </w:p>
    <w:p>
      <w:pPr>
        <w:spacing w:after="0" w:line="232" w:lineRule="auto"/>
        <w:rPr>
          <w:sz w:val="20"/>
          <w:szCs w:val="20"/>
          <w:color w:val="auto"/>
        </w:rPr>
      </w:pPr>
      <w:r>
        <w:rPr>
          <w:rFonts w:ascii="Arial" w:cs="Arial" w:eastAsia="Arial" w:hAnsi="Arial"/>
          <w:sz w:val="22"/>
          <w:szCs w:val="22"/>
          <w:b w:val="1"/>
          <w:bCs w:val="1"/>
          <w:color w:val="auto"/>
          <w:strike w:val="1"/>
        </w:rPr>
        <w:t>L3BOX+C!#9-F91CC-L8ZIR9 M]U3^X^ JM=&amp;15:*YS7P$F=5C6.R;M'/YBFZ]O%NB(E0R,I*5BJ3T]&amp;QBI$,.</w:t>
      </w:r>
    </w:p>
    <w:p>
      <w:pPr>
        <w:spacing w:after="0" w:line="230" w:lineRule="auto"/>
        <w:rPr>
          <w:sz w:val="20"/>
          <w:szCs w:val="20"/>
          <w:color w:val="auto"/>
        </w:rPr>
      </w:pPr>
      <w:r>
        <w:rPr>
          <w:rFonts w:ascii="Arial" w:cs="Arial" w:eastAsia="Arial" w:hAnsi="Arial"/>
          <w:sz w:val="22"/>
          <w:szCs w:val="22"/>
          <w:b w:val="1"/>
          <w:bCs w:val="1"/>
          <w:color w:val="auto"/>
          <w:strike w:val="1"/>
        </w:rPr>
        <w:t>ME$Y!Y%,%DF2F&amp;V2J&amp;*HNBSM5=EZZZ6)U&lt;&amp;R=)"79HF4+X#ESX&lt;%SCP&amp;!.NC/^(K708H M "5_!OWU^E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M_E&amp;_^SDT*S]EE9^RSJ9&amp;)B 8%M7]%^R/D%_8&lt;3_ -QSS6'L1ZEV'H^#YYB57_KM_\J__ %;#3^5_EW%?M_+O+4!F</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M6 ,.V!/NZG1+O:F*+==[6:E8[ T0=E6,U7=0T,\DFZ+G"*I#F;F6;$*? MJ'*;JFSU3%S[H)9TM9*SNAH7A3R0C^6?</w:t>
      </w:r>
    </w:p>
    <w:p>
      <w:pPr>
        <w:spacing w:after="0" w:line="234" w:lineRule="auto"/>
        <w:rPr>
          <w:sz w:val="20"/>
          <w:szCs w:val="20"/>
          <w:color w:val="auto"/>
        </w:rPr>
      </w:pPr>
      <w:r>
        <w:rPr>
          <w:rFonts w:ascii="Arial" w:cs="Arial" w:eastAsia="Arial" w:hAnsi="Arial"/>
          <w:sz w:val="22"/>
          <w:szCs w:val="22"/>
          <w:b w:val="1"/>
          <w:bCs w:val="1"/>
          <w:color w:val="auto"/>
          <w:strike w:val="1"/>
        </w:rPr>
        <w:t>&amp;/4F]$%($D[;*RT3O437'!E(VN[! MBR%87 :KOW+B+;IS"+A9JW=K*NBL7K51117M&lt;*J3.+C)K402K$ K$Z6#WN</w:t>
      </w:r>
    </w:p>
    <w:p>
      <w:pPr>
        <w:spacing w:after="0" w:line="230" w:lineRule="auto"/>
        <w:rPr>
          <w:sz w:val="20"/>
          <w:szCs w:val="20"/>
          <w:color w:val="auto"/>
        </w:rPr>
      </w:pPr>
      <w:r>
        <w:rPr>
          <w:rFonts w:ascii="Arial" w:cs="Arial" w:eastAsia="Arial" w:hAnsi="Arial"/>
          <w:sz w:val="22"/>
          <w:szCs w:val="22"/>
          <w:b w:val="1"/>
          <w:bCs w:val="1"/>
          <w:color w:val="auto"/>
          <w:strike w:val="1"/>
        </w:rPr>
        <w:t>MU,_?37?L-L87AI+PTG/D-34 "V?&gt;_.&amp;O5'7VIM&lt;&lt;.+;(UN+K3=VRLKKVHHL' MAV\8VADH%,F+#%*E&lt;*/'BDTX&gt;'3_</w:t>
      </w:r>
    </w:p>
    <w:p>
      <w:pPr>
        <w:spacing w:after="0" w:line="231" w:lineRule="auto"/>
        <w:rPr>
          <w:sz w:val="20"/>
          <w:szCs w:val="20"/>
          <w:color w:val="auto"/>
        </w:rPr>
      </w:pPr>
      <w:r>
        <w:rPr>
          <w:rFonts w:ascii="Arial" w:cs="Arial" w:eastAsia="Arial" w:hAnsi="Arial"/>
          <w:sz w:val="22"/>
          <w:szCs w:val="22"/>
          <w:b w:val="1"/>
          <w:bCs w:val="1"/>
          <w:color w:val="auto"/>
          <w:strike w:val="1"/>
        </w:rPr>
        <w:t>+115$O;'.58Q3TC%U;D9J&amp;G%GJ37W7J MZM[HE&gt;$SO9L-'$OLW96)K/%/([Q=63AXW5T_L6X0,B0J?</w:t>
      </w:r>
    </w:p>
    <w:p>
      <w:pPr>
        <w:spacing w:after="0" w:line="230" w:lineRule="auto"/>
        <w:rPr>
          <w:sz w:val="20"/>
          <w:szCs w:val="20"/>
          <w:color w:val="auto"/>
        </w:rPr>
      </w:pPr>
      <w:r>
        <w:rPr>
          <w:rFonts w:ascii="Arial" w:cs="Arial" w:eastAsia="Arial" w:hAnsi="Arial"/>
          <w:sz w:val="22"/>
          <w:szCs w:val="22"/>
          <w:b w:val="1"/>
          <w:bCs w:val="1"/>
          <w:color w:val="auto"/>
          <w:strike w:val="1"/>
        </w:rPr>
        <w:t>7]CTK%7F*&amp;&amp;BA^H MGF:6*4N,**Y%$Z8J+P(3:Q4T?JC6M^Y)[3K72!4O2T-,H,]9=I3ZRZJA(Z/P</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MR=IV.OH2"\@9;#7"Z#U%=\AA#J*E3(2/(3J=113!I26!OE)HG"O*5^=(!JAG M2^4DC$4V"*S1V+&amp;5RTQ4'%HE*DXE[</w:t>
      </w:r>
    </w:p>
    <w:p>
      <w:pPr>
        <w:spacing w:after="0" w:line="232" w:lineRule="auto"/>
        <w:rPr>
          <w:sz w:val="20"/>
          <w:szCs w:val="20"/>
          <w:color w:val="auto"/>
        </w:rPr>
      </w:pPr>
      <w:r>
        <w:rPr>
          <w:rFonts w:ascii="Arial" w:cs="Arial" w:eastAsia="Arial" w:hAnsi="Arial"/>
          <w:sz w:val="22"/>
          <w:szCs w:val="22"/>
          <w:b w:val="1"/>
          <w:bCs w:val="1"/>
          <w:color w:val="auto"/>
          <w:strike w:val="1"/>
        </w:rPr>
        <w:t>Y&gt;0CXLYV[M0I,% M3R0N+Q?J]1:#S9^0N)T13*KIK3MET'&amp;+(.+G1=;,+?LIPU,FJBI9MCL+6</w:t>
      </w:r>
    </w:p>
    <w:p>
      <w:pPr>
        <w:spacing w:after="0" w:line="230" w:lineRule="auto"/>
        <w:rPr>
          <w:sz w:val="20"/>
          <w:szCs w:val="20"/>
          <w:color w:val="auto"/>
        </w:rPr>
      </w:pPr>
      <w:r>
        <w:rPr>
          <w:rFonts w:ascii="Arial" w:cs="Arial" w:eastAsia="Arial" w:hAnsi="Arial"/>
          <w:sz w:val="22"/>
          <w:szCs w:val="22"/>
          <w:b w:val="1"/>
          <w:bCs w:val="1"/>
          <w:color w:val="auto"/>
          <w:strike w:val="1"/>
        </w:rPr>
        <w:t>M.:NV07JDBU,T9D)XUFS&amp;=Q7C*12&amp;,GA5)4QLY6R&gt;K]6:PD:)JA1.-30 M )7\&amp;_?7 MZ7^4;_[.30K/V65G[+.ID8F(</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!@6U?T7[(^05P^STB)6E=9*TKK/ M/ K'YM5[]AQ/\ W'/-8&gt;Q'J78&gt;CX/GF)5?\ KM_\J_\ U;#3^5_EW%?M_+O+ M4!F6</w:t>
      </w:r>
    </w:p>
    <w:p>
      <w:pPr>
        <w:spacing w:after="0" w:line="232" w:lineRule="auto"/>
        <w:rPr>
          <w:sz w:val="20"/>
          <w:szCs w:val="20"/>
          <w:color w:val="auto"/>
        </w:rPr>
      </w:pPr>
      <w:r>
        <w:rPr>
          <w:rFonts w:ascii="Arial" w:cs="Arial" w:eastAsia="Arial" w:hAnsi="Arial"/>
          <w:sz w:val="22"/>
          <w:szCs w:val="22"/>
          <w:b w:val="1"/>
          <w:bCs w:val="1"/>
          <w:color w:val="auto"/>
          <w:strike w:val="1"/>
        </w:rPr>
        <w:t>"H&gt;^]%9T1NJH,EFV?J+7&gt;N*XK(M(A.PWW?.T:A!J2TAVN6$6G+6#; M#9N&gt;07P@OV*.%.U4[+/5*;P9R-%.T&gt;9-</w:t>
      </w:r>
    </w:p>
    <w:p>
      <w:pPr>
        <w:spacing w:after="0" w:line="230" w:lineRule="auto"/>
        <w:rPr>
          <w:sz w:val="20"/>
          <w:szCs w:val="20"/>
          <w:color w:val="auto"/>
        </w:rPr>
      </w:pPr>
      <w:r>
        <w:rPr>
          <w:rFonts w:ascii="Arial" w:cs="Arial" w:eastAsia="Arial" w:hAnsi="Arial"/>
          <w:sz w:val="22"/>
          <w:szCs w:val="22"/>
          <w:b w:val="1"/>
          <w:bCs w:val="1"/>
          <w:color w:val="auto"/>
          <w:strike w:val="1"/>
        </w:rPr>
        <w:t>L):D98TZ&amp;_HQW[5L^8\;8EZR&gt;H(N MF;QIM;=#EJ[:N4BK-W+5PCLPQ'#=1 Y3D.3.2G*;!L9\ AVEI[V??H#2U:"0</w:t>
      </w:r>
    </w:p>
    <w:p>
      <w:pPr>
        <w:spacing w:after="0" w:line="231" w:lineRule="auto"/>
        <w:rPr>
          <w:sz w:val="20"/>
          <w:szCs w:val="20"/>
          <w:color w:val="auto"/>
        </w:rPr>
      </w:pPr>
      <w:r>
        <w:rPr>
          <w:rFonts w:ascii="Arial" w:cs="Arial" w:eastAsia="Arial" w:hAnsi="Arial"/>
          <w:sz w:val="22"/>
          <w:szCs w:val="22"/>
          <w:b w:val="1"/>
          <w:bCs w:val="1"/>
          <w:color w:val="auto"/>
          <w:strike w:val="1"/>
        </w:rPr>
        <w:t>M_'C@/Q+XH6R6N_'_ %+C7MFG*ZYJLM((7?9%@1&gt;P3R3B9=PS-&amp;6ZX/V9%%&amp;;DV\*(]V_EWN/=W)BA;$I-</w:t>
      </w:r>
    </w:p>
    <w:p>
      <w:pPr>
        <w:spacing w:after="0" w:line="231" w:lineRule="auto"/>
        <w:rPr>
          <w:sz w:val="20"/>
          <w:szCs w:val="20"/>
          <w:color w:val="auto"/>
        </w:rPr>
      </w:pPr>
      <w:r>
        <w:rPr>
          <w:rFonts w:ascii="Arial" w:cs="Arial" w:eastAsia="Arial" w:hAnsi="Arial"/>
          <w:sz w:val="22"/>
          <w:szCs w:val="22"/>
          <w:b w:val="1"/>
          <w:bCs w:val="1"/>
          <w:color w:val="auto"/>
          <w:strike w:val="1"/>
        </w:rPr>
        <w:t>6EIE:A3 M+ISK+5L*QDIUVK%)(J.; 1TSA4E%W\L_A&amp;;C,@N@0V$F[;&amp;$^JBV*86PI1:T</w:t>
      </w:r>
    </w:p>
    <w:p>
      <w:pPr>
        <w:spacing w:after="0" w:line="230" w:lineRule="auto"/>
        <w:rPr>
          <w:sz w:val="20"/>
          <w:szCs w:val="20"/>
          <w:color w:val="auto"/>
        </w:rPr>
      </w:pPr>
      <w:r>
        <w:rPr>
          <w:rFonts w:ascii="Arial" w:cs="Arial" w:eastAsia="Arial" w:hAnsi="Arial"/>
          <w:sz w:val="22"/>
          <w:szCs w:val="22"/>
          <w:b w:val="1"/>
          <w:bCs w:val="1"/>
          <w:color w:val="auto"/>
          <w:strike w:val="1"/>
        </w:rPr>
        <w:t>M5+**2TDY&amp;O)C2%WY*ZO6D^,M[K?)5W.5NH/W&gt;P$5(+VF1TOA,Q9,T3B3ZTT_</w:t>
      </w:r>
    </w:p>
    <w:p>
      <w:pPr>
        <w:spacing w:after="0" w:line="231" w:lineRule="auto"/>
        <w:rPr>
          <w:sz w:val="20"/>
          <w:szCs w:val="20"/>
          <w:color w:val="auto"/>
        </w:rPr>
      </w:pPr>
      <w:r>
        <w:rPr>
          <w:rFonts w:ascii="Arial" w:cs="Arial" w:eastAsia="Arial" w:hAnsi="Arial"/>
          <w:sz w:val="22"/>
          <w:szCs w:val="22"/>
          <w:b w:val="1"/>
          <w:bCs w:val="1"/>
          <w:color w:val="auto"/>
          <w:strike w:val="1"/>
        </w:rPr>
        <w:t>M2KTHJLT7&gt;Q#-1&lt;$.55)%PBDEE(Z_C+ M&gt;DY46;25E)KK,MYF\Q8G8&lt;6CHG2#5*OZ3K?BC!RX8-</w:t>
      </w:r>
    </w:p>
    <w:p>
      <w:pPr>
        <w:spacing w:after="0" w:line="230" w:lineRule="auto"/>
        <w:rPr>
          <w:sz w:val="20"/>
          <w:szCs w:val="20"/>
          <w:color w:val="auto"/>
        </w:rPr>
      </w:pPr>
      <w:r>
        <w:rPr>
          <w:rFonts w:ascii="Arial" w:cs="Arial" w:eastAsia="Arial" w:hAnsi="Arial"/>
          <w:sz w:val="22"/>
          <w:szCs w:val="22"/>
          <w:b w:val="1"/>
          <w:bCs w:val="1"/>
          <w:color w:val="auto"/>
          <w:strike w:val="1"/>
        </w:rPr>
        <w:t>L1J5OS"*IYCFK%B4I? M$J@W7;H*H)'*55TLBFX5*3":1 C&amp;F=Z&gt;P1C]IZ2ML7+@ M !*_@W[Z_2_RC?\</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V&gt;!6/S:KW[# MB?X!N.&gt;:P]B/4NP]'P?/,2J_]=O_ )5_^K8:?RO\NXK]OY=Y:@,RP 4N=( MIR,XD[3I7&amp;BLMM[\=-C01.1V?</w:t>
      </w:r>
    </w:p>
    <w:p>
      <w:pPr>
        <w:spacing w:after="0" w:line="232" w:lineRule="auto"/>
        <w:rPr>
          <w:sz w:val="20"/>
          <w:szCs w:val="20"/>
          <w:color w:val="auto"/>
        </w:rPr>
      </w:pPr>
      <w:r>
        <w:rPr>
          <w:rFonts w:ascii="Arial" w:cs="Arial" w:eastAsia="Arial" w:hAnsi="Arial"/>
          <w:sz w:val="22"/>
          <w:szCs w:val="22"/>
          <w:b w:val="1"/>
          <w:bCs w:val="1"/>
          <w:color w:val="auto"/>
          <w:strike w:val="1"/>
        </w:rPr>
        <w:t>K2WQ)-=M+WV=RD+A$ISCA'%*3B' M"V)-5ZGXB1LL;#LV$S9P-+--.69U:?(.1_+M1A[VV:PXHO%+/P-YQ&lt;7IO6A7</w:t>
      </w:r>
    </w:p>
    <w:p>
      <w:pPr>
        <w:spacing w:after="0" w:line="230" w:lineRule="auto"/>
        <w:rPr>
          <w:sz w:val="20"/>
          <w:szCs w:val="20"/>
          <w:color w:val="auto"/>
        </w:rPr>
      </w:pPr>
      <w:r>
        <w:rPr>
          <w:rFonts w:ascii="Arial" w:cs="Arial" w:eastAsia="Arial" w:hAnsi="Arial"/>
          <w:sz w:val="22"/>
          <w:szCs w:val="22"/>
          <w:b w:val="1"/>
          <w:bCs w:val="1"/>
          <w:color w:val="auto"/>
          <w:strike w:val="1"/>
        </w:rPr>
        <w:t>M"+N;X6;BY+Z]=:\6;%\;7D,:+V7)7%R^T[,K**F,E'./&amp;J^JZ&gt;G7&lt;%0100;! MGD_73ZZ=JY&gt;TG-</w:t>
      </w:r>
    </w:p>
    <w:p>
      <w:pPr>
        <w:spacing w:after="0" w:line="231" w:lineRule="auto"/>
        <w:rPr>
          <w:sz w:val="20"/>
          <w:szCs w:val="20"/>
          <w:color w:val="auto"/>
        </w:rPr>
      </w:pPr>
      <w:r>
        <w:rPr>
          <w:rFonts w:ascii="Arial" w:cs="Arial" w:eastAsia="Arial" w:hAnsi="Arial"/>
          <w:sz w:val="22"/>
          <w:szCs w:val="22"/>
          <w:b w:val="1"/>
          <w:bCs w:val="1"/>
          <w:color w:val="auto"/>
          <w:strike w:val="1"/>
        </w:rPr>
        <w:t>OOOR$Z&gt;'72"Z#YH(R\-091&gt;O;3J4&gt;D_O.I;$ZBU['"MBJ, M&amp;;R;@Y.%&gt;.(^ZTPLI(-D$Y:-&lt;*)&amp;\=:F=</w:t>
      </w:r>
    </w:p>
    <w:p>
      <w:pPr>
        <w:spacing w:after="0"/>
        <w:rPr>
          <w:sz w:val="20"/>
          <w:szCs w:val="20"/>
          <w:color w:val="auto"/>
        </w:rPr>
      </w:pPr>
      <w:r>
        <w:rPr>
          <w:rFonts w:ascii="Arial" w:cs="Arial" w:eastAsia="Arial" w:hAnsi="Arial"/>
          <w:sz w:val="21"/>
          <w:szCs w:val="21"/>
          <w:b w:val="1"/>
          <w:bCs w:val="1"/>
          <w:color w:val="auto"/>
          <w:strike w:val="1"/>
        </w:rPr>
        <w:t>(LSO&amp;R*E90&lt;::GRD:^@G4*@K$Z6 M#WNU,_?37?L-L87AI+PTG/D-34 "W5UTGM-DZ[%U*:XIP-@KD*A'(1D/8=AQ</w:t>
      </w:r>
    </w:p>
    <w:p>
      <w:pPr>
        <w:spacing w:after="0" w:line="232" w:lineRule="auto"/>
        <w:rPr>
          <w:sz w:val="20"/>
          <w:szCs w:val="20"/>
          <w:color w:val="auto"/>
        </w:rPr>
      </w:pPr>
      <w:r>
        <w:rPr>
          <w:rFonts w:ascii="Arial" w:cs="Arial" w:eastAsia="Arial" w:hAnsi="Arial"/>
          <w:sz w:val="22"/>
          <w:szCs w:val="22"/>
          <w:b w:val="1"/>
          <w:bCs w:val="1"/>
          <w:color w:val="auto"/>
          <w:strike w:val="1"/>
        </w:rPr>
        <w:t>M\VQ;8BF68]@L1K):K43PY3:&amp;.0JF"8-@JIL8_P!XPSP/3BW^\I@Y:YS1&gt;T&gt;; ME=LR5(D-2\&gt;J3I&amp;Z4:_1-</w:t>
      </w:r>
    </w:p>
    <w:p>
      <w:pPr>
        <w:spacing w:after="0"/>
        <w:rPr>
          <w:sz w:val="20"/>
          <w:szCs w:val="20"/>
          <w:color w:val="auto"/>
        </w:rPr>
      </w:pPr>
      <w:r>
        <w:rPr>
          <w:rFonts w:ascii="Arial" w:cs="Arial" w:eastAsia="Arial" w:hAnsi="Arial"/>
          <w:sz w:val="21"/>
          <w:szCs w:val="21"/>
          <w:b w:val="1"/>
          <w:bCs w:val="1"/>
          <w:color w:val="auto"/>
          <w:strike w:val="1"/>
        </w:rPr>
        <w:t>W8VV!=0,BL_0C8J=BUJX^:1]!BC+13KV92,N4S@ MQ#%9=3*63&amp;*HE90II=4\Q*CK=4;&amp;&lt;=)+&amp;N)I'81^,&gt;MC[F;,,1S?</w:t>
      </w:r>
    </w:p>
    <w:p>
      <w:pPr>
        <w:spacing w:after="0" w:line="232" w:lineRule="auto"/>
        <w:rPr>
          <w:sz w:val="20"/>
          <w:szCs w:val="20"/>
          <w:color w:val="auto"/>
        </w:rPr>
      </w:pPr>
      <w:r>
        <w:rPr>
          <w:rFonts w:ascii="Arial" w:cs="Arial" w:eastAsia="Arial" w:hAnsi="Arial"/>
          <w:sz w:val="22"/>
          <w:szCs w:val="22"/>
          <w:b w:val="1"/>
          <w:bCs w:val="1"/>
          <w:color w:val="auto"/>
          <w:strike w:val="1"/>
        </w:rPr>
        <w:t>8ZLNL'J]=OU/$O!X3]K_ &amp;&lt;2C6F&gt;E")1Q4SZ!Q;Y6^35#[8B&lt;4/VZ?UH1D!'=O[: M,USV#]@VMK;96[+VNO\</w:t>
      </w:r>
    </w:p>
    <w:p>
      <w:pPr>
        <w:spacing w:after="0" w:line="230" w:lineRule="auto"/>
        <w:rPr>
          <w:sz w:val="20"/>
          <w:szCs w:val="20"/>
          <w:color w:val="auto"/>
        </w:rPr>
      </w:pPr>
      <w:r>
        <w:rPr>
          <w:rFonts w:ascii="Arial" w:cs="Arial" w:eastAsia="Arial" w:hAnsi="Arial"/>
          <w:sz w:val="22"/>
          <w:szCs w:val="22"/>
          <w:b w:val="1"/>
          <w:bCs w:val="1"/>
          <w:color w:val="auto"/>
          <w:strike w:val="1"/>
        </w:rPr>
        <w:t>V3[7VS&gt;'J]=OU/$O!X3]K_9I1K3/2@E'%3/H-Q\&gt; M&gt;?D/HC3C#42^C6]U;X7L3B?</w:t>
      </w:r>
    </w:p>
    <w:p>
      <w:pPr>
        <w:spacing w:after="0" w:line="231" w:lineRule="auto"/>
        <w:rPr>
          <w:sz w:val="20"/>
          <w:szCs w:val="20"/>
          <w:color w:val="auto"/>
        </w:rPr>
      </w:pPr>
      <w:r>
        <w:rPr>
          <w:rFonts w:ascii="Arial" w:cs="Arial" w:eastAsia="Arial" w:hAnsi="Arial"/>
          <w:sz w:val="22"/>
          <w:szCs w:val="22"/>
          <w:b w:val="1"/>
          <w:bCs w:val="1"/>
          <w:color w:val="auto"/>
          <w:strike w:val="1"/>
        </w:rPr>
        <w:t>DWE^1C&amp;EBS8'SM19%Y!+T1Z0C;$0JT9G3.NL5 M8C/KFZI5&gt;R)5Q;=:T(&lt;:NM:'^[USGU!;J3&lt;:I&amp;\-M;U&gt;2L]5L-</w:t>
      </w:r>
    </w:p>
    <w:p>
      <w:pPr>
        <w:spacing w:after="0" w:line="231" w:lineRule="auto"/>
        <w:rPr>
          <w:sz w:val="20"/>
          <w:szCs w:val="20"/>
          <w:color w:val="auto"/>
        </w:rPr>
      </w:pPr>
      <w:r>
        <w:rPr>
          <w:rFonts w:ascii="Arial" w:cs="Arial" w:eastAsia="Arial" w:hAnsi="Arial"/>
          <w:sz w:val="22"/>
          <w:szCs w:val="22"/>
          <w:b w:val="1"/>
          <w:bCs w:val="1"/>
          <w:color w:val="auto"/>
          <w:strike w:val="1"/>
        </w:rPr>
        <w:t>&gt;C[,QEJPH^ MKKZ:B7&lt;:UG6::&amp;J6ZBCIHNY3&lt;)E(Y0/D[D1*TKK)6 ME=9YX%8_-JO?</w:t>
      </w:r>
    </w:p>
    <w:p>
      <w:pPr>
        <w:spacing w:after="0" w:line="230" w:lineRule="auto"/>
        <w:rPr>
          <w:sz w:val="20"/>
          <w:szCs w:val="20"/>
          <w:color w:val="auto"/>
        </w:rPr>
      </w:pPr>
      <w:r>
        <w:rPr>
          <w:rFonts w:ascii="Arial" w:cs="Arial" w:eastAsia="Arial" w:hAnsi="Arial"/>
          <w:sz w:val="22"/>
          <w:szCs w:val="22"/>
          <w:b w:val="1"/>
          <w:bCs w:val="1"/>
          <w:color w:val="auto"/>
          <w:strike w:val="1"/>
        </w:rPr>
        <w:t>L.)_@&amp;XYYK#V(]2[#T?!\\Q*K_UV_P#E7_ZMAI_*_P NXK]O MY=Y:@,RP 5\;&gt;Z,SB%LUKKUO :%T-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K(]*V[KS94NXJ&amp;A]9,EKM 4F9]E97 M6=ARR@VW;U*;0ZK6124RNBJAX&lt;*-E\?D"RM))OUF_F$DN32;?\A;A'\3GBO_</w:t>
      </w:r>
    </w:p>
    <w:p>
      <w:pPr>
        <w:spacing w:after="0" w:line="232" w:lineRule="auto"/>
        <w:rPr>
          <w:sz w:val="20"/>
          <w:szCs w:val="20"/>
          <w:color w:val="auto"/>
        </w:rPr>
      </w:pPr>
      <w:r>
        <w:rPr>
          <w:rFonts w:ascii="Arial" w:cs="Arial" w:eastAsia="Arial" w:hAnsi="Arial"/>
          <w:sz w:val="22"/>
          <w:szCs w:val="22"/>
          <w:b w:val="1"/>
          <w:bCs w:val="1"/>
          <w:color w:val="auto"/>
          <w:strike w:val="1"/>
        </w:rPr>
        <w:t>M .WO4GX1#'/WG][(HM1GFN.-W';3TX[LVH]":6U99'T4M O+!KG5='I$V\@W</w:t>
      </w:r>
    </w:p>
    <w:p>
      <w:pPr>
        <w:spacing w:after="0"/>
        <w:rPr>
          <w:sz w:val="20"/>
          <w:szCs w:val="20"/>
          <w:color w:val="auto"/>
        </w:rPr>
      </w:pPr>
      <w:r>
        <w:rPr>
          <w:rFonts w:ascii="Arial" w:cs="Arial" w:eastAsia="Arial" w:hAnsi="Arial"/>
          <w:sz w:val="21"/>
          <w:szCs w:val="21"/>
          <w:b w:val="1"/>
          <w:bCs w:val="1"/>
          <w:color w:val="auto"/>
          <w:strike w:val="1"/>
        </w:rPr>
        <w:t>M#QB_=0SJ5K,&amp;U77BE'\7&amp;+G;F4RB=:.05,3)T29+#E)YFV_F2;L$ K$Z6#WN MU,_?37?L-L87AI+PTG/D-34 M E?P;]]?</w:t>
      </w:r>
    </w:p>
    <w:p>
      <w:pPr>
        <w:spacing w:after="0" w:line="232" w:lineRule="auto"/>
        <w:rPr>
          <w:sz w:val="20"/>
          <w:szCs w:val="20"/>
          <w:color w:val="auto"/>
        </w:rPr>
      </w:pPr>
      <w:r>
        <w:rPr>
          <w:rFonts w:ascii="Arial" w:cs="Arial" w:eastAsia="Arial" w:hAnsi="Arial"/>
          <w:sz w:val="22"/>
          <w:szCs w:val="22"/>
          <w:b w:val="1"/>
          <w:bCs w:val="1"/>
          <w:color w:val="auto"/>
          <w:strike w:val="1"/>
        </w:rPr>
        <w:t>I?Y1O\ [.30K/V6 M5G[+.ID8F( !@6U?T7[(^05P^STB)6E=9*TKK// K'YM5[]AQ/\ M -</w:t>
      </w:r>
    </w:p>
    <w:p>
      <w:pPr>
        <w:spacing w:after="0" w:line="230" w:lineRule="auto"/>
        <w:rPr>
          <w:sz w:val="20"/>
          <w:szCs w:val="20"/>
          <w:color w:val="auto"/>
        </w:rPr>
      </w:pPr>
      <w:r>
        <w:rPr>
          <w:rFonts w:ascii="Arial" w:cs="Arial" w:eastAsia="Arial" w:hAnsi="Arial"/>
          <w:sz w:val="22"/>
          <w:szCs w:val="22"/>
          <w:b w:val="1"/>
          <w:bCs w:val="1"/>
          <w:color w:val="auto"/>
          <w:strike w:val="1"/>
        </w:rPr>
        <w:t>QSS6'L1ZEV'H^#YYB57_KM_P#*O_U;#3^5_EW%?M_+O+4!F6 M(@'JX-,)4;&gt;G??\</w:t>
      </w:r>
    </w:p>
    <w:p>
      <w:pPr>
        <w:spacing w:after="0" w:line="231" w:lineRule="auto"/>
        <w:rPr>
          <w:sz w:val="20"/>
          <w:szCs w:val="20"/>
          <w:color w:val="auto"/>
        </w:rPr>
      </w:pPr>
      <w:r>
        <w:rPr>
          <w:rFonts w:ascii="Arial" w:cs="Arial" w:eastAsia="Arial" w:hAnsi="Arial"/>
          <w:sz w:val="22"/>
          <w:szCs w:val="22"/>
          <w:b w:val="1"/>
          <w:bCs w:val="1"/>
          <w:color w:val="auto"/>
          <w:strike w:val="1"/>
        </w:rPr>
        <w:t>#K+1:3J5C&gt;::W=WB:K^DVW\+"_E.@OC72/-- M;N[Q-5_2;;^%@\IT#&amp;ND&gt;::W=WB:K^DVW\+!Y3H&amp;-=</w:t>
      </w:r>
    </w:p>
    <w:p>
      <w:pPr>
        <w:spacing w:after="0" w:line="231" w:lineRule="auto"/>
        <w:rPr>
          <w:sz w:val="20"/>
          <w:szCs w:val="20"/>
          <w:color w:val="auto"/>
        </w:rPr>
      </w:pPr>
      <w:r>
        <w:rPr>
          <w:rFonts w:ascii="Arial" w:cs="Arial" w:eastAsia="Arial" w:hAnsi="Arial"/>
          <w:sz w:val="22"/>
          <w:szCs w:val="22"/>
          <w:b w:val="1"/>
          <w:bCs w:val="1"/>
          <w:color w:val="auto"/>
          <w:strike w:val="1"/>
        </w:rPr>
        <w:t>(\TUN[O$U7])MOX6#R MG0,:Z1YIK=W&gt;)JOZ3;?PL'E.@8UTCS36[N\35?TFV_A8/*= QKI'FFMW=XFJ M_I-</w:t>
      </w:r>
    </w:p>
    <w:p>
      <w:pPr>
        <w:spacing w:after="0" w:line="230" w:lineRule="auto"/>
        <w:rPr>
          <w:sz w:val="20"/>
          <w:szCs w:val="20"/>
          <w:color w:val="auto"/>
        </w:rPr>
      </w:pPr>
      <w:r>
        <w:rPr>
          <w:rFonts w:ascii="Arial" w:cs="Arial" w:eastAsia="Arial" w:hAnsi="Arial"/>
          <w:sz w:val="22"/>
          <w:szCs w:val="22"/>
          <w:b w:val="1"/>
          <w:bCs w:val="1"/>
          <w:color w:val="auto"/>
          <w:strike w:val="1"/>
        </w:rPr>
        <w:t>M_"P&gt;4Z!C72/--;N[Q-5_2;;^%@\IT#&amp;ND&gt;::W=WB:K^DVW\+!Y3H&amp;-=(</w:t>
      </w:r>
    </w:p>
    <w:p>
      <w:pPr>
        <w:spacing w:after="0" w:line="231" w:lineRule="auto"/>
        <w:rPr>
          <w:sz w:val="20"/>
          <w:szCs w:val="20"/>
          <w:color w:val="auto"/>
        </w:rPr>
      </w:pPr>
      <w:r>
        <w:rPr>
          <w:rFonts w:ascii="Arial" w:cs="Arial" w:eastAsia="Arial" w:hAnsi="Arial"/>
          <w:sz w:val="22"/>
          <w:szCs w:val="22"/>
          <w:b w:val="1"/>
          <w:bCs w:val="1"/>
          <w:color w:val="auto"/>
          <w:strike w:val="1"/>
        </w:rPr>
        <w:t>M\TUN[O$U7])MOX6#RG0,:Z1YIK=W&gt;)JOZ3;?PL'E.@8UTCS36[N\35?TFV_A M8/*= QKI'FFMW=XFJ_I-</w:t>
      </w:r>
    </w:p>
    <w:p>
      <w:pPr>
        <w:spacing w:after="0" w:line="230" w:lineRule="auto"/>
        <w:rPr>
          <w:sz w:val="20"/>
          <w:szCs w:val="20"/>
          <w:color w:val="auto"/>
        </w:rPr>
      </w:pPr>
      <w:r>
        <w:rPr>
          <w:rFonts w:ascii="Arial" w:cs="Arial" w:eastAsia="Arial" w:hAnsi="Arial"/>
          <w:sz w:val="22"/>
          <w:szCs w:val="22"/>
          <w:b w:val="1"/>
          <w:bCs w:val="1"/>
          <w:color w:val="auto"/>
          <w:strike w:val="1"/>
        </w:rPr>
        <w:t>M_"P&gt;4Z!C72/--;N[Q-5_2;;^%@\IT#&amp;ND&gt;::W=W MB:K^DVW\+!Y3H&amp;-=</w:t>
      </w:r>
    </w:p>
    <w:p>
      <w:pPr>
        <w:spacing w:after="0" w:line="231" w:lineRule="auto"/>
        <w:rPr>
          <w:sz w:val="20"/>
          <w:szCs w:val="20"/>
          <w:color w:val="auto"/>
        </w:rPr>
      </w:pPr>
      <w:r>
        <w:rPr>
          <w:rFonts w:ascii="Arial" w:cs="Arial" w:eastAsia="Arial" w:hAnsi="Arial"/>
          <w:sz w:val="22"/>
          <w:szCs w:val="22"/>
          <w:b w:val="1"/>
          <w:bCs w:val="1"/>
          <w:color w:val="auto"/>
          <w:strike w:val="1"/>
        </w:rPr>
        <w:t>(\TUN[O$U7])MOX6#RG0,:Z1YIK=W&gt;)JOZ3;?PL'E.@8 MUTCS36[N\35?TFV_A8/*= QKI'FFMW=XFJ_I-</w:t>
      </w:r>
    </w:p>
    <w:p>
      <w:pPr>
        <w:spacing w:after="0" w:line="231" w:lineRule="auto"/>
        <w:rPr>
          <w:sz w:val="20"/>
          <w:szCs w:val="20"/>
          <w:color w:val="auto"/>
        </w:rPr>
      </w:pPr>
      <w:r>
        <w:rPr>
          <w:rFonts w:ascii="Arial" w:cs="Arial" w:eastAsia="Arial" w:hAnsi="Arial"/>
          <w:sz w:val="22"/>
          <w:szCs w:val="22"/>
          <w:b w:val="1"/>
          <w:bCs w:val="1"/>
          <w:color w:val="auto"/>
          <w:strike w:val="1"/>
        </w:rPr>
        <w:t>M_"P&gt;4Z!C72/--;N[Q-5_2; M;^%@\IT#&amp;ND&gt;::W=WB:K^DVW\+!Y3H&amp;-=(\TUN[O$U7])MOX6#RG0,:Z1YIK</w:t>
      </w:r>
    </w:p>
    <w:p>
      <w:pPr>
        <w:spacing w:after="0" w:line="230" w:lineRule="auto"/>
        <w:rPr>
          <w:sz w:val="20"/>
          <w:szCs w:val="20"/>
          <w:color w:val="auto"/>
        </w:rPr>
      </w:pPr>
      <w:r>
        <w:rPr>
          <w:rFonts w:ascii="Arial" w:cs="Arial" w:eastAsia="Arial" w:hAnsi="Arial"/>
          <w:sz w:val="22"/>
          <w:szCs w:val="22"/>
          <w:b w:val="1"/>
          <w:bCs w:val="1"/>
          <w:color w:val="auto"/>
          <w:strike w:val="1"/>
        </w:rPr>
        <w:t>M=W&gt;)JOZ3;?PL'E.@8UTCS36[N\35?TFV_A8/*= QKI'FFMW=XFJ_I-M_"P&gt;4 MZ!C72/--;N[Q-</w:t>
      </w:r>
    </w:p>
    <w:p>
      <w:pPr>
        <w:spacing w:after="0" w:line="1" w:lineRule="exact"/>
        <w:rPr>
          <w:sz w:val="20"/>
          <w:szCs w:val="20"/>
          <w:color w:val="auto"/>
        </w:rPr>
      </w:pPr>
    </w:p>
    <w:p>
      <w:pPr>
        <w:ind w:right="1740"/>
        <w:spacing w:after="0" w:line="241" w:lineRule="auto"/>
        <w:rPr>
          <w:sz w:val="20"/>
          <w:szCs w:val="20"/>
          <w:color w:val="auto"/>
        </w:rPr>
      </w:pPr>
      <w:r>
        <w:rPr>
          <w:rFonts w:ascii="Arial" w:cs="Arial" w:eastAsia="Arial" w:hAnsi="Arial"/>
          <w:sz w:val="21"/>
          <w:szCs w:val="21"/>
          <w:b w:val="1"/>
          <w:bCs w:val="1"/>
          <w:color w:val="auto"/>
          <w:strike w:val="1"/>
        </w:rPr>
        <w:t>5_2;;^%@\IT#&amp;ND&gt;::W=WB:K^DVW\+!Y3H&amp;-=(\TUN[O$U7 M])MOX6#RG0,:Z1YIK=W&gt;)JOZ3;? PL'E.@8UTCS36[N\35?TFV_A8/*= QKI' MFFMW=XFJ_I-M_"P&gt;4Z!C72/--;N[Q-</w:t>
      </w:r>
    </w:p>
    <w:p>
      <w:pPr>
        <w:spacing w:after="0" w:line="1" w:lineRule="exact"/>
        <w:rPr>
          <w:sz w:val="20"/>
          <w:szCs w:val="20"/>
          <w:color w:val="auto"/>
        </w:rPr>
      </w:pPr>
    </w:p>
    <w:p>
      <w:pPr>
        <w:ind w:right="620"/>
        <w:spacing w:after="0" w:line="244" w:lineRule="auto"/>
        <w:rPr>
          <w:sz w:val="20"/>
          <w:szCs w:val="20"/>
          <w:color w:val="auto"/>
        </w:rPr>
      </w:pPr>
      <w:r>
        <w:rPr>
          <w:rFonts w:ascii="Arial" w:cs="Arial" w:eastAsia="Arial" w:hAnsi="Arial"/>
          <w:sz w:val="21"/>
          <w:szCs w:val="21"/>
          <w:b w:val="1"/>
          <w:bCs w:val="1"/>
          <w:color w:val="auto"/>
          <w:strike w:val="1"/>
        </w:rPr>
        <w:t>5_2;;^%@\IT#&amp;ND&gt;::W=WB:K^DVW\+ M!Y3H&amp;-=(\TUN[O$U7])MOX6#RG0,:Z1YIK=W&gt;)JOZ3;? PL'E.@8UTCS36[N\ M35?TFV_A8/*= QKI'FFMW=XFJ_I-M_"P&gt;4Z!C72/--;N[Q-5_2;;^%@\IT#&amp; MND&gt;::W=WB:K^DVW\+!Y3H&amp;-=(\TUN[O$U7])MOX6#RG0,:Z1YIK=W&gt;)JOZ3; M?PL'E.@8UTCS36[N\35? TFV_A8/*= QKI'FFMW=XFJ_I-M_"P&gt;4Z!C72/--; MN[Q-5_2;;^%@\IT#&amp;ND&gt;::W=WB:K^DVW\+!Y3H&amp;-= (\TUN[O$U7])MOX6#RG M0,:Z3=''7HYMKZ&gt;W30=E3UUU[)1%3E7+]\QB'%D/(N4EHN0CRE:E=P"263X4 M=$-^6H7'5+G_ )B'/$FJ:2)2331&lt;@*&amp;8 !@6U?T7[(^05P^STB)6 ME=9*TKK// K'YM5[]AQ/\ W'/-8&gt;Q'J78&gt;CX/GF)5?\</w:t>
      </w:r>
    </w:p>
    <w:p>
      <w:pPr>
        <w:sectPr>
          <w:pgSz w:w="11900" w:h="16895" w:orient="portrait"/>
          <w:cols w:equalWidth="0" w:num="1">
            <w:col w:w="11380"/>
          </w:cols>
          <w:pgMar w:left="240" w:top="111" w:right="279" w:bottom="0" w:gutter="0" w:footer="0" w:header="0"/>
        </w:sectPr>
      </w:pPr>
    </w:p>
    <w:bookmarkStart w:id="146" w:name="page147"/>
    <w:bookmarkEnd w:id="146"/>
    <w:p>
      <w:pPr>
        <w:spacing w:after="0"/>
        <w:rPr>
          <w:sz w:val="20"/>
          <w:szCs w:val="20"/>
          <w:color w:val="auto"/>
        </w:rPr>
      </w:pPr>
      <w:r>
        <w:rPr>
          <w:rFonts w:ascii="Arial" w:cs="Arial" w:eastAsia="Arial" w:hAnsi="Arial"/>
          <w:sz w:val="22"/>
          <w:szCs w:val="22"/>
          <w:b w:val="1"/>
          <w:bCs w:val="1"/>
          <w:color w:val="auto"/>
          <w:strike w:val="1"/>
        </w:rPr>
        <w:t>KM_\J_\ U;#3^5_E MW%?M_+O+4!F6 M P+:OZ+ M]D?(*X?9Z1$K2NLE:5UGG@5C\VJ]^PXG^</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;CGFL/8CU+L/1\'SS$JO\ UV_^ M5?\ ZMAI_*_R[BOV_EWEJ S+ $&gt;N2/(&gt;N&lt;:*-%7RSP,W86,M;&amp;-</w:t>
      </w:r>
    </w:p>
    <w:p>
      <w:pPr>
        <w:spacing w:after="0" w:line="230" w:lineRule="auto"/>
        <w:rPr>
          <w:sz w:val="20"/>
          <w:szCs w:val="20"/>
          <w:color w:val="auto"/>
        </w:rPr>
      </w:pPr>
      <w:r>
        <w:rPr>
          <w:rFonts w:ascii="Arial" w:cs="Arial" w:eastAsia="Arial" w:hAnsi="Arial"/>
          <w:sz w:val="22"/>
          <w:szCs w:val="22"/>
          <w:b w:val="1"/>
          <w:bCs w:val="1"/>
          <w:color w:val="auto"/>
          <w:strike w:val="1"/>
        </w:rPr>
        <w:t>M219P1F!'B3M_$3LP1RH9^X2)EL5&amp; 7(;&amp;,Y/UED_R?!@V&lt;(K$VN5;[[HE*N9 M$)O.TZD[L-</w:t>
      </w:r>
    </w:p>
    <w:p>
      <w:pPr>
        <w:spacing w:after="0" w:line="231" w:lineRule="auto"/>
        <w:rPr>
          <w:sz w:val="20"/>
          <w:szCs w:val="20"/>
          <w:color w:val="auto"/>
        </w:rPr>
      </w:pPr>
      <w:r>
        <w:rPr>
          <w:rFonts w:ascii="Arial" w:cs="Arial" w:eastAsia="Arial" w:hAnsi="Arial"/>
          <w:sz w:val="22"/>
          <w:szCs w:val="22"/>
          <w:b w:val="1"/>
          <w:bCs w:val="1"/>
          <w:color w:val="auto"/>
          <w:strike w:val="1"/>
        </w:rPr>
        <w:t>C?/UGUJ+X&amp;6P,&gt;=IU)W8;&amp;^?K/K4,#&amp;!CSM.I.[#8WS]9]:A@8 MP,&gt;=IU)W8;&amp;^?K/K4,#&amp;!CSM.I.</w:t>
      </w:r>
    </w:p>
    <w:p>
      <w:pPr>
        <w:spacing w:after="0"/>
        <w:rPr>
          <w:sz w:val="20"/>
          <w:szCs w:val="20"/>
          <w:color w:val="auto"/>
        </w:rPr>
      </w:pPr>
      <w:r>
        <w:rPr>
          <w:rFonts w:ascii="Arial" w:cs="Arial" w:eastAsia="Arial" w:hAnsi="Arial"/>
          <w:sz w:val="21"/>
          <w:szCs w:val="21"/>
          <w:b w:val="1"/>
          <w:bCs w:val="1"/>
          <w:color w:val="auto"/>
          <w:strike w:val="1"/>
        </w:rPr>
        <w:t>[#8WS]9]:A@8P,&gt;=IU)W8;&amp;^?K/K4,#&amp;! MCSM.I.[#8WS]9]:A@8P,&gt;=IU)W8;&amp;^?K/K4,#&amp;!CSM.I.[#8WS]9]:A@8P,&gt;</w:t>
      </w:r>
    </w:p>
    <w:p>
      <w:pPr>
        <w:spacing w:after="0" w:line="232" w:lineRule="auto"/>
        <w:rPr>
          <w:sz w:val="20"/>
          <w:szCs w:val="20"/>
          <w:color w:val="auto"/>
        </w:rPr>
      </w:pPr>
      <w:r>
        <w:rPr>
          <w:rFonts w:ascii="Arial" w:cs="Arial" w:eastAsia="Arial" w:hAnsi="Arial"/>
          <w:sz w:val="22"/>
          <w:szCs w:val="22"/>
          <w:b w:val="1"/>
          <w:bCs w:val="1"/>
          <w:color w:val="auto"/>
          <w:strike w:val="1"/>
        </w:rPr>
        <w:t>M=IU)W8;&amp;^?K/K4,#&amp;!CSM.I.[#8WS]9]:A@8P,&gt;=IU)W8;&amp;^?K/K4,#&amp;!CSM M.I.[#8WS]9]:A@8P,&gt;=IU)W8;&amp;^?</w:t>
      </w:r>
    </w:p>
    <w:p>
      <w:pPr>
        <w:spacing w:after="0" w:line="230" w:lineRule="auto"/>
        <w:rPr>
          <w:sz w:val="20"/>
          <w:szCs w:val="20"/>
          <w:color w:val="auto"/>
        </w:rPr>
      </w:pPr>
      <w:r>
        <w:rPr>
          <w:rFonts w:ascii="Arial" w:cs="Arial" w:eastAsia="Arial" w:hAnsi="Arial"/>
          <w:sz w:val="22"/>
          <w:szCs w:val="22"/>
          <w:b w:val="1"/>
          <w:bCs w:val="1"/>
          <w:color w:val="auto"/>
          <w:strike w:val="1"/>
        </w:rPr>
        <w:t>K/K4,#&amp;!CSM.I.[#8WS]9]:A@8P,&gt;=IU M)W8;&amp;^?K/K4,#&amp;!CSM.I.[#8WS]9]:A@8P,&gt;=IU)W8;&amp;^?K/K4,#&amp;!CSM.I.</w:t>
      </w:r>
    </w:p>
    <w:p>
      <w:pPr>
        <w:spacing w:after="0" w:line="231" w:lineRule="auto"/>
        <w:rPr>
          <w:sz w:val="20"/>
          <w:szCs w:val="20"/>
          <w:color w:val="auto"/>
        </w:rPr>
      </w:pPr>
      <w:r>
        <w:rPr>
          <w:rFonts w:ascii="Arial" w:cs="Arial" w:eastAsia="Arial" w:hAnsi="Arial"/>
          <w:sz w:val="22"/>
          <w:szCs w:val="22"/>
          <w:b w:val="1"/>
          <w:bCs w:val="1"/>
          <w:color w:val="auto"/>
          <w:strike w:val="1"/>
        </w:rPr>
        <w:t>M[#8WS]9]:A@8P,&gt;=IU)W8;&amp;^?K/K4,#&amp;!CSM.I.[#8WS]9]:A@8P,&gt;=IU)W8 M;&amp;^?K/K4,#&amp;!CSM.I.</w:t>
      </w:r>
    </w:p>
    <w:p>
      <w:pPr>
        <w:spacing w:after="0" w:line="231" w:lineRule="auto"/>
        <w:rPr>
          <w:sz w:val="20"/>
          <w:szCs w:val="20"/>
          <w:color w:val="auto"/>
        </w:rPr>
      </w:pPr>
      <w:r>
        <w:rPr>
          <w:rFonts w:ascii="Arial" w:cs="Arial" w:eastAsia="Arial" w:hAnsi="Arial"/>
          <w:sz w:val="22"/>
          <w:szCs w:val="22"/>
          <w:b w:val="1"/>
          <w:bCs w:val="1"/>
          <w:color w:val="auto"/>
          <w:strike w:val="1"/>
        </w:rPr>
        <w:t>[#8WS]9]:A@8P,&gt;=IU)W8;&amp;^?K/K4,#&amp;!CSM.I.[#8 MWS]9]:A@8P,&gt;=IU)W8;&amp;^?K/K4,#&amp;!CSM.I.</w:t>
      </w:r>
    </w:p>
    <w:p>
      <w:pPr>
        <w:spacing w:after="0" w:line="230" w:lineRule="auto"/>
        <w:rPr>
          <w:sz w:val="20"/>
          <w:szCs w:val="20"/>
          <w:color w:val="auto"/>
        </w:rPr>
      </w:pPr>
      <w:r>
        <w:rPr>
          <w:rFonts w:ascii="Arial" w:cs="Arial" w:eastAsia="Arial" w:hAnsi="Arial"/>
          <w:sz w:val="22"/>
          <w:szCs w:val="22"/>
          <w:b w:val="1"/>
          <w:bCs w:val="1"/>
          <w:color w:val="auto"/>
          <w:strike w:val="1"/>
        </w:rPr>
        <w:t>[#8WS]9]:A@8P,&gt;=IU)W8;&amp;^ M?K/K4,#&amp;!CSM.I.[#8WS]9]:A@8P,&gt;=IU)W8;&amp;^?K/K4,#&amp;!CSM.I.[#8WS]</w:t>
      </w:r>
    </w:p>
    <w:p>
      <w:pPr>
        <w:spacing w:after="0" w:line="231" w:lineRule="auto"/>
        <w:rPr>
          <w:sz w:val="20"/>
          <w:szCs w:val="20"/>
          <w:color w:val="auto"/>
        </w:rPr>
      </w:pPr>
      <w:r>
        <w:rPr>
          <w:rFonts w:ascii="Arial" w:cs="Arial" w:eastAsia="Arial" w:hAnsi="Arial"/>
          <w:sz w:val="22"/>
          <w:szCs w:val="22"/>
          <w:b w:val="1"/>
          <w:bCs w:val="1"/>
          <w:color w:val="auto"/>
          <w:strike w:val="1"/>
        </w:rPr>
        <w:t>M9]:A@8P,&gt;=IU)W8;&amp;^?K/K4,#&amp;!CSM.I.[#8WS]9]:A@8P,&gt;=IU)W8;&amp;^?K/ MK4,#&amp;!CSM.I.</w:t>
      </w:r>
    </w:p>
    <w:p>
      <w:pPr>
        <w:spacing w:after="0" w:line="230" w:lineRule="auto"/>
        <w:rPr>
          <w:sz w:val="20"/>
          <w:szCs w:val="20"/>
          <w:color w:val="auto"/>
        </w:rPr>
      </w:pPr>
      <w:r>
        <w:rPr>
          <w:rFonts w:ascii="Arial" w:cs="Arial" w:eastAsia="Arial" w:hAnsi="Arial"/>
          <w:sz w:val="22"/>
          <w:szCs w:val="22"/>
          <w:b w:val="1"/>
          <w:bCs w:val="1"/>
          <w:color w:val="auto"/>
          <w:strike w:val="1"/>
        </w:rPr>
        <w:t>[#8WS]9]:A@8P,&gt;=IU)W8;&amp;^?K/K4,#&amp;!CSM.I.[#8WS]9]: MA@8P,&gt;=IU)W8;&amp;^?K/K4,#&amp;!CSM.I.</w:t>
      </w:r>
    </w:p>
    <w:p>
      <w:pPr>
        <w:spacing w:after="0" w:line="231" w:lineRule="auto"/>
        <w:rPr>
          <w:sz w:val="20"/>
          <w:szCs w:val="20"/>
          <w:color w:val="auto"/>
        </w:rPr>
      </w:pPr>
      <w:r>
        <w:rPr>
          <w:rFonts w:ascii="Arial" w:cs="Arial" w:eastAsia="Arial" w:hAnsi="Arial"/>
          <w:sz w:val="22"/>
          <w:szCs w:val="22"/>
          <w:b w:val="1"/>
          <w:bCs w:val="1"/>
          <w:color w:val="auto"/>
          <w:strike w:val="1"/>
        </w:rPr>
        <w:t>[#8WS]9]:A@8P,&gt;=IU)W8;&amp;^?K/K4, M#&amp;!CSM.I.[#8WS]9]:A@8P,&gt;=IU)W8;&amp;^?K/K4,#&amp;!CSM.I.[#8WS]9]:A@8</w:t>
      </w:r>
    </w:p>
    <w:p>
      <w:pPr>
        <w:spacing w:after="0" w:line="231" w:lineRule="auto"/>
        <w:rPr>
          <w:sz w:val="20"/>
          <w:szCs w:val="20"/>
          <w:color w:val="auto"/>
        </w:rPr>
      </w:pPr>
      <w:r>
        <w:rPr>
          <w:rFonts w:ascii="Arial" w:cs="Arial" w:eastAsia="Arial" w:hAnsi="Arial"/>
          <w:sz w:val="22"/>
          <w:szCs w:val="22"/>
          <w:b w:val="1"/>
          <w:bCs w:val="1"/>
          <w:color w:val="auto"/>
          <w:strike w:val="1"/>
        </w:rPr>
        <w:t>MP,&gt;=IU)W8;&amp;^?K/K4,#&amp;!CSM.I.[#8WS]9]:A@8P,&gt;=IU)W8;&amp;^?K/K4,#&amp;! MCSM.I.[#8WS]9]:A@8P,&gt;=IU)W8;&amp;^?</w:t>
      </w:r>
    </w:p>
    <w:p>
      <w:pPr>
        <w:spacing w:after="0" w:line="230" w:lineRule="auto"/>
        <w:rPr>
          <w:sz w:val="20"/>
          <w:szCs w:val="20"/>
          <w:color w:val="auto"/>
        </w:rPr>
      </w:pPr>
      <w:r>
        <w:rPr>
          <w:rFonts w:ascii="Arial" w:cs="Arial" w:eastAsia="Arial" w:hAnsi="Arial"/>
          <w:sz w:val="22"/>
          <w:szCs w:val="22"/>
          <w:b w:val="1"/>
          <w:bCs w:val="1"/>
          <w:color w:val="auto"/>
          <w:strike w:val="1"/>
        </w:rPr>
        <w:t>K/K4,#&amp;!CSM.I.[#8WS]9]:A@8P,&gt; M=IU)W8;&amp;^?K/K4,#&amp;!EBVI=D1NW=&lt;5/9,.P?1D;;HS,FS8266V7S8F'2[7LG</w:t>
      </w:r>
    </w:p>
    <w:p>
      <w:pPr>
        <w:spacing w:after="0" w:line="231" w:lineRule="auto"/>
        <w:rPr>
          <w:sz w:val="20"/>
          <w:szCs w:val="20"/>
          <w:color w:val="auto"/>
        </w:rPr>
      </w:pPr>
      <w:r>
        <w:rPr>
          <w:rFonts w:ascii="Arial" w:cs="Arial" w:eastAsia="Arial" w:hAnsi="Arial"/>
          <w:sz w:val="22"/>
          <w:szCs w:val="22"/>
          <w:b w:val="1"/>
          <w:bCs w:val="1"/>
          <w:color w:val="auto"/>
          <w:strike w:val="1"/>
        </w:rPr>
        <w:t>M.6RAT\J==L;W2F-CP9%&amp;J-K45:IF9L@" P+:OZ+]D?(*X?9Z1$K2NLE:5 MUGG@5C\VJ]^PXG^</w:t>
      </w:r>
    </w:p>
    <w:p>
      <w:pPr>
        <w:spacing w:after="0" w:line="231" w:lineRule="auto"/>
        <w:rPr>
          <w:sz w:val="20"/>
          <w:szCs w:val="20"/>
          <w:color w:val="auto"/>
        </w:rPr>
      </w:pPr>
      <w:r>
        <w:rPr>
          <w:rFonts w:ascii="Arial" w:cs="Arial" w:eastAsia="Arial" w:hAnsi="Arial"/>
          <w:sz w:val="22"/>
          <w:szCs w:val="22"/>
          <w:b w:val="1"/>
          <w:bCs w:val="1"/>
          <w:color w:val="auto"/>
          <w:strike w:val="1"/>
        </w:rPr>
        <w:t>;CGFL/8CU+L/1\'SS$JO_7;_ .5?_JV&amp;G\K_ "[BOV_E MWEJ S+ %8G2P&gt;]VIG[Z:[]AMC"\-)&gt;&amp;DY\AJ:@ M M</w:t>
      </w:r>
    </w:p>
    <w:p>
      <w:pPr>
        <w:spacing w:after="0"/>
        <w:rPr>
          <w:sz w:val="20"/>
          <w:szCs w:val="20"/>
          <w:color w:val="auto"/>
        </w:rPr>
      </w:pPr>
      <w:r>
        <w:rPr>
          <w:rFonts w:ascii="Arial" w:cs="Arial" w:eastAsia="Arial" w:hAnsi="Arial"/>
          <w:sz w:val="21"/>
          <w:szCs w:val="21"/>
          <w:b w:val="1"/>
          <w:bCs w:val="1"/>
          <w:color w:val="auto"/>
          <w:strike w:val="1"/>
        </w:rPr>
        <w:t>=47";WJNE/DF;_N\F,9^TS&amp;?M,E,*E0 P+:OZ+]D?(*X?9Z1$K M2NLE:5UGG@5C\VJ]^PXG^ ;CGFL/8CU+L/1\'SS$JO\</w:t>
      </w:r>
    </w:p>
    <w:p>
      <w:pPr>
        <w:spacing w:after="0" w:line="232" w:lineRule="auto"/>
        <w:rPr>
          <w:sz w:val="20"/>
          <w:szCs w:val="20"/>
          <w:color w:val="auto"/>
        </w:rPr>
      </w:pPr>
      <w:r>
        <w:rPr>
          <w:rFonts w:ascii="Arial" w:cs="Arial" w:eastAsia="Arial" w:hAnsi="Arial"/>
          <w:sz w:val="22"/>
          <w:szCs w:val="22"/>
          <w:b w:val="1"/>
          <w:bCs w:val="1"/>
          <w:color w:val="auto"/>
          <w:strike w:val="1"/>
        </w:rPr>
        <w:t>UV_^5?\ ZMAI_*_R M[BOV_EWEJ S+ &amp;J-U4)ELO6=IJ+Z^7'6"+MNUDT=A4.R^U*T4Y]7)%I8</w:t>
      </w:r>
    </w:p>
    <w:p>
      <w:pPr>
        <w:spacing w:after="0" w:line="230" w:lineRule="auto"/>
        <w:rPr>
          <w:sz w:val="20"/>
          <w:szCs w:val="20"/>
          <w:color w:val="auto"/>
        </w:rPr>
      </w:pPr>
      <w:r>
        <w:rPr>
          <w:rFonts w:ascii="Arial" w:cs="Arial" w:eastAsia="Arial" w:hAnsi="Arial"/>
          <w:sz w:val="22"/>
          <w:szCs w:val="22"/>
          <w:b w:val="1"/>
          <w:bCs w:val="1"/>
          <w:color w:val="auto"/>
          <w:strike w:val="1"/>
        </w:rPr>
        <w:t>M8^P,9LY3()HMGL6@HY0&gt;)JLG39-9L]15;*J$R3HU58M]]T21/XM\:MNT?:T_ MR#N?.W8O*6F;/H&amp;4JU4'S-</w:t>
      </w:r>
    </w:p>
    <w:p>
      <w:pPr>
        <w:spacing w:after="0" w:line="231" w:lineRule="auto"/>
        <w:rPr>
          <w:sz w:val="20"/>
          <w:szCs w:val="20"/>
          <w:color w:val="auto"/>
        </w:rPr>
      </w:pPr>
      <w:r>
        <w:rPr>
          <w:rFonts w:ascii="Arial" w:cs="Arial" w:eastAsia="Arial" w:hAnsi="Arial"/>
          <w:sz w:val="22"/>
          <w:szCs w:val="22"/>
          <w:b w:val="1"/>
          <w:bCs w:val="1"/>
          <w:color w:val="auto"/>
          <w:strike w:val="1"/>
        </w:rPr>
        <w:t>E%ZL:IV!]4K!!WZEQM6M[FOI]&gt;#A3IH*Q&lt;8V;K MH61==LJDFL=-&gt;TI)JBBHM;YQ5%@XJ05B=+![W:F?</w:t>
      </w:r>
    </w:p>
    <w:p>
      <w:pPr>
        <w:spacing w:after="0" w:line="231" w:lineRule="auto"/>
        <w:rPr>
          <w:sz w:val="20"/>
          <w:szCs w:val="20"/>
          <w:color w:val="auto"/>
        </w:rPr>
      </w:pPr>
      <w:r>
        <w:rPr>
          <w:rFonts w:ascii="Arial" w:cs="Arial" w:eastAsia="Arial" w:hAnsi="Arial"/>
          <w:sz w:val="22"/>
          <w:szCs w:val="22"/>
          <w:b w:val="1"/>
          <w:bCs w:val="1"/>
          <w:color w:val="auto"/>
          <w:strike w:val="1"/>
        </w:rPr>
        <w:t>OIKOV&amp;V,+PTEX:3GR&amp;IJ M !9U$&lt;.=!:VUWK6WVFK=&gt;LP--CFID(?#M%B\RK,R*\')^-(-6,K M%F?</w:t>
      </w:r>
    </w:p>
    <w:p>
      <w:pPr>
        <w:spacing w:after="0" w:line="230" w:lineRule="auto"/>
        <w:rPr>
          <w:sz w:val="20"/>
          <w:szCs w:val="20"/>
          <w:color w:val="auto"/>
        </w:rPr>
      </w:pPr>
      <w:r>
        <w:rPr>
          <w:rFonts w:ascii="Arial" w:cs="Arial" w:eastAsia="Arial" w:hAnsi="Arial"/>
          <w:sz w:val="22"/>
          <w:szCs w:val="22"/>
          <w:b w:val="1"/>
          <w:bCs w:val="1"/>
          <w:color w:val="auto"/>
          <w:strike w:val="1"/>
        </w:rPr>
        <w:t>&amp;PFU(DH\PFDHO@G:&amp;IB;?JK04Q-U45H-(\J.(-BX][$JE2KSJ4V!%[#27 MS1SLX9QFPOY-HY:M7U=-</w:t>
      </w:r>
    </w:p>
    <w:p>
      <w:pPr>
        <w:spacing w:after="0" w:line="231" w:lineRule="auto"/>
        <w:rPr>
          <w:sz w:val="20"/>
          <w:szCs w:val="20"/>
          <w:color w:val="auto"/>
        </w:rPr>
      </w:pPr>
      <w:r>
        <w:rPr>
          <w:rFonts w:ascii="Arial" w:cs="Arial" w:eastAsia="Arial" w:hAnsi="Arial"/>
          <w:sz w:val="22"/>
          <w:szCs w:val="22"/>
          <w:b w:val="1"/>
          <w:bCs w:val="1"/>
          <w:color w:val="auto"/>
          <w:strike w:val="1"/>
        </w:rPr>
        <w:t>%1^%O'Y9)20C,DRVQGMRR"6&gt;Q3,;J8F,L2ZB8RJJ MZC&lt;&gt;N&gt;</w:t>
      </w:r>
    </w:p>
    <w:p>
      <w:pPr>
        <w:spacing w:after="0" w:line="230" w:lineRule="auto"/>
        <w:rPr>
          <w:sz w:val="20"/>
          <w:szCs w:val="20"/>
          <w:color w:val="auto"/>
        </w:rPr>
      </w:pPr>
      <w:r>
        <w:rPr>
          <w:rFonts w:ascii="Arial" w:cs="Arial" w:eastAsia="Arial" w:hAnsi="Arial"/>
          <w:sz w:val="22"/>
          <w:szCs w:val="22"/>
          <w:b w:val="1"/>
          <w:bCs w:val="1"/>
          <w:color w:val="auto"/>
          <w:strike w:val="1"/>
        </w:rPr>
        <w:t>C]3CUN+;NZ65WHMCJE.M=FH%827BXIPZ]J]6EI@SFWQ$I".7*+-&gt;2 M;-$DT"JLG/9(+FSU&lt;*</w:t>
      </w:r>
    </w:p>
    <w:p>
      <w:pPr>
        <w:spacing w:after="0" w:line="231" w:lineRule="auto"/>
        <w:rPr>
          <w:sz w:val="20"/>
          <w:szCs w:val="20"/>
          <w:color w:val="auto"/>
        </w:rPr>
      </w:pPr>
      <w:r>
        <w:rPr>
          <w:rFonts w:ascii="Arial" w:cs="Arial" w:eastAsia="Arial" w:hAnsi="Arial"/>
          <w:sz w:val="22"/>
          <w:szCs w:val="22"/>
          <w:b w:val="1"/>
          <w:bCs w:val="1"/>
          <w:color w:val="auto"/>
          <w:strike w:val="1"/>
        </w:rPr>
        <w:t>(JXAS]9):'WD.6=)9ZD+M&amp;:&gt;L&amp;^-GUO6=&lt;&lt;(,7DZJX M4&gt;2SPAUFD/$1[55])RBZ1#%ROV;5</w:t>
      </w:r>
    </w:p>
    <w:p>
      <w:pPr>
        <w:spacing w:after="0" w:line="231" w:lineRule="auto"/>
        <w:rPr>
          <w:sz w:val="20"/>
          <w:szCs w:val="20"/>
          <w:color w:val="auto"/>
        </w:rPr>
      </w:pPr>
      <w:r>
        <w:rPr>
          <w:rFonts w:ascii="Arial" w:cs="Arial" w:eastAsia="Arial" w:hAnsi="Arial"/>
          <w:sz w:val="22"/>
          <w:szCs w:val="22"/>
          <w:b w:val="1"/>
          <w:bCs w:val="1"/>
          <w:color w:val="auto"/>
          <w:strike w:val="1"/>
        </w:rPr>
        <w:t>V$TL&amp;)E991)'!R94PN]Y79QN_7T89[8$IF)CUJKEEK,RI6 M0BW:K)XAG.&lt;8]TCE!4N?&lt;_\</w:t>
      </w:r>
    </w:p>
    <w:p>
      <w:pPr>
        <w:spacing w:after="0" w:line="230" w:lineRule="auto"/>
        <w:rPr>
          <w:sz w:val="20"/>
          <w:szCs w:val="20"/>
          <w:color w:val="auto"/>
        </w:rPr>
      </w:pPr>
      <w:r>
        <w:rPr>
          <w:rFonts w:ascii="Arial" w:cs="Arial" w:eastAsia="Arial" w:hAnsi="Arial"/>
          <w:sz w:val="22"/>
          <w:szCs w:val="22"/>
          <w:b w:val="1"/>
          <w:bCs w:val="1"/>
          <w:color w:val="auto"/>
          <w:strike w:val="1"/>
        </w:rPr>
        <w:t>2-.POI)V\=^'U*NVG9_D/O/8,I0M4PKITW12 MKS</w:t>
      </w:r>
    </w:p>
    <w:p>
      <w:pPr>
        <w:spacing w:after="0" w:line="231" w:lineRule="auto"/>
        <w:rPr>
          <w:sz w:val="20"/>
          <w:szCs w:val="20"/>
          <w:color w:val="auto"/>
        </w:rPr>
      </w:pPr>
      <w:r>
        <w:rPr>
          <w:rFonts w:ascii="Arial" w:cs="Arial" w:eastAsia="Arial" w:hAnsi="Arial"/>
          <w:sz w:val="22"/>
          <w:szCs w:val="22"/>
          <w:b w:val="1"/>
          <w:bCs w:val="1"/>
          <w:color w:val="auto"/>
          <w:strike w:val="1"/>
        </w:rPr>
        <w:t>B\Y)H1[U&amp;.&gt;/BNW3%T1N0\NN1@U129NU7#G!\&amp;PE@B9%JRE1I)5;*.5'1 M*K,BV-</w:t>
      </w:r>
    </w:p>
    <w:p>
      <w:pPr>
        <w:spacing w:after="0" w:line="231" w:lineRule="auto"/>
        <w:rPr>
          <w:sz w:val="20"/>
          <w:szCs w:val="20"/>
          <w:color w:val="auto"/>
        </w:rPr>
      </w:pPr>
      <w:r>
        <w:rPr>
          <w:rFonts w:ascii="Arial" w:cs="Arial" w:eastAsia="Arial" w:hAnsi="Arial"/>
          <w:sz w:val="22"/>
          <w:szCs w:val="22"/>
          <w:b w:val="1"/>
          <w:bCs w:val="1"/>
          <w:color w:val="auto"/>
          <w:strike w:val="1"/>
        </w:rPr>
        <w:t>PXU'.Z(G^07&amp;39MEN58J)WF;%7[G&amp;H)S"2$5AJI.%3=LH=AEH_:-72 M+PR*S+*:S-;*Q'6.JGA]5TI\DS?]WDQC</w:t>
      </w:r>
    </w:p>
    <w:p>
      <w:pPr>
        <w:spacing w:after="0" w:line="230" w:lineRule="auto"/>
        <w:rPr>
          <w:sz w:val="20"/>
          <w:szCs w:val="20"/>
          <w:color w:val="auto"/>
        </w:rPr>
      </w:pPr>
      <w:r>
        <w:rPr>
          <w:rFonts w:ascii="Arial" w:cs="Arial" w:eastAsia="Arial" w:hAnsi="Arial"/>
          <w:sz w:val="22"/>
          <w:szCs w:val="22"/>
          <w:b w:val="1"/>
          <w:bCs w:val="1"/>
          <w:color w:val="auto"/>
          <w:strike w:val="1"/>
        </w:rPr>
        <w:t>M/VF8S]IDIA4J &amp;!;5_1?LCY!7#[/2(E:5UDK2NL\\"L?FU7OV'$_P#&lt;&lt;\U MA[$&gt;I=AZ/@^&gt;8E5_Z[?_ "K_</w:t>
      </w:r>
    </w:p>
    <w:p>
      <w:pPr>
        <w:spacing w:after="0" w:line="231" w:lineRule="auto"/>
        <w:rPr>
          <w:sz w:val="20"/>
          <w:szCs w:val="20"/>
          <w:color w:val="auto"/>
        </w:rPr>
      </w:pPr>
      <w:r>
        <w:rPr>
          <w:rFonts w:ascii="Arial" w:cs="Arial" w:eastAsia="Arial" w:hAnsi="Arial"/>
          <w:sz w:val="22"/>
          <w:szCs w:val="22"/>
          <w:b w:val="1"/>
          <w:bCs w:val="1"/>
          <w:color w:val="auto"/>
          <w:strike w:val="1"/>
        </w:rPr>
        <w:t>/5L-/Y7^7&lt;5^W\N\M0&amp;98 *OO*GZ2[_Z4</w:t>
      </w:r>
    </w:p>
    <w:p>
      <w:pPr>
        <w:spacing w:after="0" w:line="231" w:lineRule="auto"/>
        <w:rPr>
          <w:sz w:val="20"/>
          <w:szCs w:val="20"/>
          <w:color w:val="auto"/>
        </w:rPr>
      </w:pPr>
      <w:r>
        <w:rPr>
          <w:rFonts w:ascii="Arial" w:cs="Arial" w:eastAsia="Arial" w:hAnsi="Arial"/>
          <w:sz w:val="22"/>
          <w:szCs w:val="22"/>
          <w:b w:val="1"/>
          <w:bCs w:val="1"/>
          <w:color w:val="auto"/>
          <w:strike w:val="1"/>
        </w:rPr>
        <w:t>M[#_WX:2_!0O2'OO[OU(SZOQ_0QBZ\A.DNN%.ME2\UFPC\6FLSU=Q(&gt;7/I)WX MC[-Q;J-\&lt;\4]J*7C79&gt;-=?</w:t>
      </w:r>
    </w:p>
    <w:p>
      <w:pPr>
        <w:spacing w:after="0" w:line="230" w:lineRule="auto"/>
        <w:rPr>
          <w:sz w:val="20"/>
          <w:szCs w:val="20"/>
          <w:color w:val="auto"/>
        </w:rPr>
      </w:pPr>
      <w:r>
        <w:rPr>
          <w:rFonts w:ascii="Arial" w:cs="Arial" w:eastAsia="Arial" w:hAnsi="Arial"/>
          <w:sz w:val="22"/>
          <w:szCs w:val="22"/>
          <w:b w:val="1"/>
          <w:bCs w:val="1"/>
          <w:color w:val="auto"/>
          <w:strike w:val="1"/>
        </w:rPr>
        <w:t>L^T3Z_4ZO:$\/6P2A6N/0]7ZDITHZ:#]W1&gt;L.; MNK-3U+CCRHX[,J-</w:t>
      </w:r>
    </w:p>
    <w:p>
      <w:pPr>
        <w:spacing w:after="0" w:line="231" w:lineRule="auto"/>
        <w:rPr>
          <w:sz w:val="20"/>
          <w:szCs w:val="20"/>
          <w:color w:val="auto"/>
        </w:rPr>
      </w:pPr>
      <w:r>
        <w:rPr>
          <w:rFonts w:ascii="Arial" w:cs="Arial" w:eastAsia="Arial" w:hAnsi="Arial"/>
          <w:sz w:val="22"/>
          <w:szCs w:val="22"/>
          <w:b w:val="1"/>
          <w:bCs w:val="1"/>
          <w:color w:val="auto"/>
          <w:strike w:val="1"/>
        </w:rPr>
        <w:t>7M5TMY'TS&lt;3#;E!MF9YHPFHQ"M4&gt;4I5:FI!TQD&amp;\)(RG9</w:t>
      </w:r>
    </w:p>
    <w:p>
      <w:pPr>
        <w:spacing w:after="0" w:line="230" w:lineRule="auto"/>
        <w:rPr>
          <w:sz w:val="20"/>
          <w:szCs w:val="20"/>
          <w:color w:val="auto"/>
        </w:rPr>
      </w:pPr>
      <w:r>
        <w:rPr>
          <w:rFonts w:ascii="Arial" w:cs="Arial" w:eastAsia="Arial" w:hAnsi="Arial"/>
          <w:sz w:val="22"/>
          <w:szCs w:val="22"/>
          <w:b w:val="1"/>
          <w:bCs w:val="1"/>
          <w:color w:val="auto"/>
          <w:strike w:val="1"/>
        </w:rPr>
        <w:t>MR1'!67BM&lt;1;';).#E466F!MN#SOH')OOO\BUH4!6)TL'O=J9^^FN_8;8PO#2 M7AI.?(:FH $QM.I-&gt;3-</w:t>
      </w:r>
    </w:p>
    <w:p>
      <w:pPr>
        <w:spacing w:after="0" w:line="231" w:lineRule="auto"/>
        <w:rPr>
          <w:sz w:val="20"/>
          <w:szCs w:val="20"/>
          <w:color w:val="auto"/>
        </w:rPr>
      </w:pPr>
      <w:r>
        <w:rPr>
          <w:rFonts w:ascii="Arial" w:cs="Arial" w:eastAsia="Arial" w:hAnsi="Arial"/>
          <w:sz w:val="22"/>
          <w:szCs w:val="22"/>
          <w:b w:val="1"/>
          <w:bCs w:val="1"/>
          <w:color w:val="auto"/>
          <w:strike w:val="1"/>
        </w:rPr>
        <w:t>MBX/D;R0=U6L4I!JK7?;S)YDD7^).1BV4E7(1[,3S M9.M&amp;79,&amp;N5'."K)IE9)943\!"YQ5^JO552KS:%4EUTFEHVY</w:t>
      </w:r>
    </w:p>
    <w:p>
      <w:pPr>
        <w:spacing w:after="0" w:line="231" w:lineRule="auto"/>
        <w:rPr>
          <w:sz w:val="20"/>
          <w:szCs w:val="20"/>
          <w:color w:val="auto"/>
        </w:rPr>
      </w:pPr>
      <w:r>
        <w:rPr>
          <w:rFonts w:ascii="Arial" w:cs="Arial" w:eastAsia="Arial" w:hAnsi="Arial"/>
          <w:sz w:val="22"/>
          <w:szCs w:val="22"/>
          <w:b w:val="1"/>
          <w:bCs w:val="1"/>
          <w:color w:val="auto"/>
          <w:strike w:val="1"/>
        </w:rPr>
        <w:t>[7U%2.AA+_P *VJ?2K&amp;\HA.2?IM$EB1S76"*[=MU63 M9(G9D5&gt;.38SU&gt;M_;&gt;Z85:I-</w:t>
      </w:r>
    </w:p>
    <w:p>
      <w:pPr>
        <w:spacing w:after="0" w:line="230" w:lineRule="auto"/>
        <w:rPr>
          <w:sz w:val="20"/>
          <w:szCs w:val="20"/>
          <w:color w:val="auto"/>
        </w:rPr>
      </w:pPr>
      <w:r>
        <w:rPr>
          <w:rFonts w:ascii="Arial" w:cs="Arial" w:eastAsia="Arial" w:hAnsi="Arial"/>
          <w:sz w:val="22"/>
          <w:szCs w:val="22"/>
          <w:b w:val="1"/>
          <w:bCs w:val="1"/>
          <w:color w:val="auto"/>
          <w:strike w:val="1"/>
        </w:rPr>
        <w:t>9J:"&amp;DI1H1/Z*!@W7WS&gt;7RI,'&lt;,=42:;;K%)D</w:t>
      </w:r>
    </w:p>
    <w:p>
      <w:pPr>
        <w:spacing w:after="0" w:line="231" w:lineRule="auto"/>
        <w:rPr>
          <w:sz w:val="20"/>
          <w:szCs w:val="20"/>
          <w:color w:val="auto"/>
        </w:rPr>
      </w:pPr>
      <w:r>
        <w:rPr>
          <w:rFonts w:ascii="Arial" w:cs="Arial" w:eastAsia="Arial" w:hAnsi="Arial"/>
          <w:sz w:val="22"/>
          <w:szCs w:val="22"/>
          <w:b w:val="1"/>
          <w:bCs w:val="1"/>
          <w:color w:val="auto"/>
          <w:strike w:val="1"/>
        </w:rPr>
        <w:t>MJ67EMJ&amp;%54\Y)G)%NR0R3!BYQ^0LH7/AZV?!:TT(M/02'SQ2T_LS&lt;&gt;^FM$Y*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MWN&amp;Y"GLURM$\QJ^'D5"5J*L=J6DVT$^SB.16L"#99U$-WAFKF(Q-)57J_H4MW:'GZ[)#8V[^$&amp;P=,;'1C4T M .J+A-</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[U7 M2GR3-_W&gt;3&amp;,_:9C/VF2F%2H 8%M7]%^R/D% M_8&lt;3_ -QSS6'L1ZEV'H^#YYB57_KM_\ *O\ ]6PT_E?Y=Q7[?</w:t>
      </w:r>
    </w:p>
    <w:p>
      <w:pPr>
        <w:spacing w:after="0" w:line="232" w:lineRule="auto"/>
        <w:rPr>
          <w:sz w:val="20"/>
          <w:szCs w:val="20"/>
          <w:color w:val="auto"/>
        </w:rPr>
      </w:pPr>
      <w:r>
        <w:rPr>
          <w:rFonts w:ascii="Arial" w:cs="Arial" w:eastAsia="Arial" w:hAnsi="Arial"/>
          <w:sz w:val="22"/>
          <w:szCs w:val="22"/>
          <w:b w:val="1"/>
          <w:bCs w:val="1"/>
          <w:color w:val="auto"/>
          <w:strike w:val="1"/>
        </w:rPr>
        <w:t>R[RU 9E@ MKBXU\KN0/+#9GMUUIJ"FU7A$PF+C6V&gt;U+]/S9-K[:=UGV:B$;1K*GQS+#6+J</w:t>
      </w:r>
    </w:p>
    <w:p>
      <w:pPr>
        <w:spacing w:after="0" w:line="230" w:lineRule="auto"/>
        <w:rPr>
          <w:sz w:val="20"/>
          <w:szCs w:val="20"/>
          <w:color w:val="auto"/>
        </w:rPr>
      </w:pPr>
      <w:r>
        <w:rPr>
          <w:rFonts w:ascii="Arial" w:cs="Arial" w:eastAsia="Arial" w:hAnsi="Arial"/>
          <w:sz w:val="22"/>
          <w:szCs w:val="22"/>
          <w:b w:val="1"/>
          <w:bCs w:val="1"/>
          <w:color w:val="auto"/>
          <w:strike w:val="1"/>
        </w:rPr>
        <w:t>M1[&lt;@Q;FS+&amp;\)VL:_.FXP]\#%O:45%9WZ^KDWWT$Z-]^TGO;Y&amp;PQ%4M,O4:XG MJHK)M,.NW434(0Q M,T6?</w:t>
      </w:r>
    </w:p>
    <w:p>
      <w:pPr>
        <w:spacing w:after="0" w:line="231" w:lineRule="auto"/>
        <w:rPr>
          <w:sz w:val="20"/>
          <w:szCs w:val="20"/>
          <w:color w:val="auto"/>
        </w:rPr>
      </w:pPr>
      <w:r>
        <w:rPr>
          <w:rFonts w:ascii="Arial" w:cs="Arial" w:eastAsia="Arial" w:hAnsi="Arial"/>
          <w:sz w:val="22"/>
          <w:szCs w:val="22"/>
          <w:b w:val="1"/>
          <w:bCs w:val="1"/>
          <w:color w:val="auto"/>
          <w:strike w:val="1"/>
        </w:rPr>
        <w:t>3F^6^^&lt;@B/QBYAR.[KW?=);;TG;N-W(/744TM4KK"US,9;F%AH,C)+0C M.]42]P;5%G;:[B:;J-</w:t>
      </w:r>
    </w:p>
    <w:p>
      <w:pPr>
        <w:spacing w:after="0" w:line="231" w:lineRule="auto"/>
        <w:rPr>
          <w:sz w:val="20"/>
          <w:szCs w:val="20"/>
          <w:color w:val="auto"/>
        </w:rPr>
      </w:pPr>
      <w:r>
        <w:rPr>
          <w:rFonts w:ascii="Arial" w:cs="Arial" w:eastAsia="Arial" w:hAnsi="Arial"/>
          <w:sz w:val="22"/>
          <w:szCs w:val="22"/>
          <w:b w:val="1"/>
          <w:bCs w:val="1"/>
          <w:color w:val="auto"/>
          <w:strike w:val="1"/>
        </w:rPr>
        <w:t>'"R*1$TUU4B)J+X,H9.\HT2DGB3WSH$WA4%8G2P&gt;]V MIG[Z:[]AMC"\-)&gt;&amp;DY\AJ:@ 7"WCB+JCDGK/6-</w:t>
      </w:r>
    </w:p>
    <w:p>
      <w:pPr>
        <w:spacing w:after="0" w:line="230" w:lineRule="auto"/>
        <w:rPr>
          <w:sz w:val="20"/>
          <w:szCs w:val="20"/>
          <w:color w:val="auto"/>
        </w:rPr>
      </w:pPr>
      <w:r>
        <w:rPr>
          <w:rFonts w:ascii="Arial" w:cs="Arial" w:eastAsia="Arial" w:hAnsi="Arial"/>
          <w:sz w:val="22"/>
          <w:szCs w:val="22"/>
          <w:b w:val="1"/>
          <w:bCs w:val="1"/>
          <w:color w:val="auto"/>
          <w:strike w:val="1"/>
        </w:rPr>
        <w:t>YXDXUS4),C5POLF"?VR&lt;.M M'FDVL7DR$JF[&lt;22T6YBI!G(%[,Y$?&amp;$)'MBG6+A#M,U)Q;4LZW_3J,U)IM2S</w:t>
      </w:r>
    </w:p>
    <w:p>
      <w:pPr>
        <w:spacing w:after="0" w:line="231" w:lineRule="auto"/>
        <w:rPr>
          <w:sz w:val="20"/>
          <w:szCs w:val="20"/>
          <w:color w:val="auto"/>
        </w:rPr>
      </w:pPr>
      <w:r>
        <w:rPr>
          <w:rFonts w:ascii="Arial" w:cs="Arial" w:eastAsia="Arial" w:hAnsi="Arial"/>
          <w:sz w:val="22"/>
          <w:szCs w:val="22"/>
          <w:b w:val="1"/>
          <w:bCs w:val="1"/>
          <w:color w:val="auto"/>
          <w:strike w:val="1"/>
        </w:rPr>
        <w:t>MH^;TAFTJ0CJ32W'JOVF!NUFI&amp;:](6N7@W:4DE&amp;J5&gt;GKU5LU7&gt;H+'*BZ?*RCU</w:t>
      </w:r>
    </w:p>
    <w:p>
      <w:pPr>
        <w:spacing w:after="0" w:line="230" w:lineRule="auto"/>
        <w:rPr>
          <w:sz w:val="20"/>
          <w:szCs w:val="20"/>
          <w:color w:val="auto"/>
        </w:rPr>
      </w:pPr>
      <w:r>
        <w:rPr>
          <w:rFonts w:ascii="Arial" w:cs="Arial" w:eastAsia="Arial" w:hAnsi="Arial"/>
          <w:sz w:val="22"/>
          <w:szCs w:val="22"/>
          <w:b w:val="1"/>
          <w:bCs w:val="1"/>
          <w:color w:val="auto"/>
          <w:strike w:val="1"/>
        </w:rPr>
        <w:t>MPHV,;*Q"L43K=3KIX.@G5O/1B.=N1L?B%_PX&gt;2'[)WW_ "J8"'[?S0E[CZW)7--</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\@&amp;SNWR+:'K5UKL]4WV(LYJN_1G M&gt;T=OLV&gt;S0=I&lt;)X(=N5)=PA[!*-R)MEG*CD[E/*)&lt;_E$QFWB2@JXD4;JE%+.B</w:t>
      </w:r>
    </w:p>
    <w:p>
      <w:pPr>
        <w:spacing w:after="0" w:line="232" w:lineRule="auto"/>
        <w:rPr>
          <w:sz w:val="20"/>
          <w:szCs w:val="20"/>
          <w:color w:val="auto"/>
        </w:rPr>
      </w:pPr>
      <w:r>
        <w:rPr>
          <w:rFonts w:ascii="Arial" w:cs="Arial" w:eastAsia="Arial" w:hAnsi="Arial"/>
          <w:sz w:val="22"/>
          <w:szCs w:val="22"/>
          <w:b w:val="1"/>
          <w:bCs w:val="1"/>
          <w:color w:val="auto"/>
          <w:strike w:val="1"/>
        </w:rPr>
        <w:t>MOG4FBX/FM=^46TY"S2U-0@[":Z1&lt;+90J"J;95))8B#"/0/(G=G13;D&lt; M8(FD=10Z':PJSDFEF'M232S%'PU- M</w:t>
      </w:r>
    </w:p>
    <w:p>
      <w:pPr>
        <w:spacing w:after="0" w:line="230" w:lineRule="auto"/>
        <w:rPr>
          <w:sz w:val="20"/>
          <w:szCs w:val="20"/>
          <w:color w:val="auto"/>
        </w:rPr>
      </w:pPr>
      <w:r>
        <w:rPr>
          <w:rFonts w:ascii="Arial" w:cs="Arial" w:eastAsia="Arial" w:hAnsi="Arial"/>
          <w:sz w:val="22"/>
          <w:szCs w:val="22"/>
          <w:b w:val="1"/>
          <w:bCs w:val="1"/>
          <w:color w:val="auto"/>
          <w:strike w:val="1"/>
        </w:rPr>
        <w:t>#JBX3&gt;]5TI\DS?]WDQC/VF8S]ID MIA4J &amp;!;5_1?LCY!7#[/2(E:5UDK2NL\\"L?FU7OV'$_P#&lt;&lt;\UA[$&gt;I=AZ</w:t>
      </w:r>
    </w:p>
    <w:p>
      <w:pPr>
        <w:spacing w:after="0" w:line="231" w:lineRule="auto"/>
        <w:rPr>
          <w:sz w:val="20"/>
          <w:szCs w:val="20"/>
          <w:color w:val="auto"/>
        </w:rPr>
      </w:pPr>
      <w:r>
        <w:rPr>
          <w:rFonts w:ascii="Arial" w:cs="Arial" w:eastAsia="Arial" w:hAnsi="Arial"/>
          <w:sz w:val="22"/>
          <w:szCs w:val="22"/>
          <w:b w:val="1"/>
          <w:bCs w:val="1"/>
          <w:color w:val="auto"/>
          <w:strike w:val="1"/>
        </w:rPr>
        <w:t>M/@^&gt;8E5_Z[?_ "K_ /5L-/Y7^7&lt;5^W\N\M0&amp;98 *4./.ZMP\ =:QG%#:?# M3E7MF+U1*6&amp;$U;MSC1K9GMNJ;%H$E:</w:t>
      </w:r>
    </w:p>
    <w:p>
      <w:pPr>
        <w:spacing w:after="0" w:line="231" w:lineRule="auto"/>
        <w:rPr>
          <w:sz w:val="20"/>
          <w:szCs w:val="20"/>
          <w:color w:val="auto"/>
        </w:rPr>
      </w:pPr>
      <w:r>
        <w:rPr>
          <w:rFonts w:ascii="Arial" w:cs="Arial" w:eastAsia="Arial" w:hAnsi="Arial"/>
          <w:sz w:val="22"/>
          <w:szCs w:val="22"/>
          <w:b w:val="1"/>
          <w:bCs w:val="1"/>
          <w:color w:val="auto"/>
          <w:strike w:val="1"/>
        </w:rPr>
        <w:t>[!,5V6GV[:R-E*%8",GK=%PR=G5R7* M7:K*(=O,330?!U1&gt;&gt;97'W8^YN7FSN(&gt;Q;Y1^8MG@IR9U)IPT</w:t>
      </w:r>
    </w:p>
    <w:p>
      <w:pPr>
        <w:spacing w:after="0" w:line="230" w:lineRule="auto"/>
        <w:rPr>
          <w:sz w:val="20"/>
          <w:szCs w:val="20"/>
          <w:color w:val="auto"/>
        </w:rPr>
      </w:pPr>
      <w:r>
        <w:rPr>
          <w:rFonts w:ascii="Arial" w:cs="Arial" w:eastAsia="Arial" w:hAnsi="Arial"/>
          <w:sz w:val="22"/>
          <w:szCs w:val="22"/>
          <w:b w:val="1"/>
          <w:bCs w:val="1"/>
          <w:color w:val="auto"/>
          <w:strike w:val="1"/>
        </w:rPr>
        <w:t>M1;M^Z"8ZPK;6CZT3M%*578I6I68HK9$[U-DYR&gt;-&gt;1!2O3-EW.$%8:C)*"E[* MY:T?S&amp;:F;??</w:t>
      </w:r>
    </w:p>
    <w:p>
      <w:pPr>
        <w:spacing w:after="0" w:line="231" w:lineRule="auto"/>
        <w:rPr>
          <w:sz w:val="20"/>
          <w:szCs w:val="20"/>
          <w:color w:val="auto"/>
        </w:rPr>
      </w:pPr>
      <w:r>
        <w:rPr>
          <w:rFonts w:ascii="Arial" w:cs="Arial" w:eastAsia="Arial" w:hAnsi="Arial"/>
          <w:sz w:val="22"/>
          <w:szCs w:val="22"/>
          <w:b w:val="1"/>
          <w:bCs w:val="1"/>
          <w:color w:val="auto"/>
          <w:strike w:val="1"/>
        </w:rPr>
        <w:t>&gt;I(3C"EN_D#RZL7,C9&amp;B+9QOH$'QY6X\:TI6SG#5/:=P+.;*B MMD3EUL==9IXS3F*.(&amp;,9),7)CK95&lt;*J)JK$R;*</w:t>
      </w:r>
    </w:p>
    <w:p>
      <w:pPr>
        <w:spacing w:after="0"/>
        <w:rPr>
          <w:sz w:val="20"/>
          <w:szCs w:val="20"/>
          <w:color w:val="auto"/>
        </w:rPr>
      </w:pPr>
      <w:r>
        <w:rPr>
          <w:rFonts w:ascii="Arial" w:cs="Arial" w:eastAsia="Arial" w:hAnsi="Arial"/>
          <w:sz w:val="21"/>
          <w:szCs w:val="21"/>
          <w:b w:val="1"/>
          <w:bCs w:val="1"/>
          <w:color w:val="auto"/>
          <w:strike w:val="1"/>
        </w:rPr>
        <w:t>&lt;2I&amp;*BI8JNK[ ^3H[_ /6^ M8M)%""L3I8/&gt;[4S]]-=^PVQA&gt;&amp;DO#2&lt;^0U-0 M .J+ MA-[U72GR3-_W&gt;3&amp;,_:9C/VF2F%2H</w:t>
      </w:r>
    </w:p>
    <w:p>
      <w:pPr>
        <w:spacing w:after="0" w:line="232" w:lineRule="auto"/>
        <w:rPr>
          <w:sz w:val="20"/>
          <w:szCs w:val="20"/>
          <w:color w:val="auto"/>
        </w:rPr>
      </w:pPr>
      <w:r>
        <w:rPr>
          <w:rFonts w:ascii="Arial" w:cs="Arial" w:eastAsia="Arial" w:hAnsi="Arial"/>
          <w:sz w:val="22"/>
          <w:szCs w:val="22"/>
          <w:b w:val="1"/>
          <w:bCs w:val="1"/>
          <w:color w:val="auto"/>
          <w:strike w:val="1"/>
        </w:rPr>
        <w:t>8%M7]%^R/D%_8&lt;3_ -QSS6'L1ZEV'H^#YYB57_ *[?_*O_ -6PT_E?Y=Q7[?R[RU 9 ME@ "L3I8/&gt;[4S]]-</w:t>
      </w:r>
    </w:p>
    <w:p>
      <w:pPr>
        <w:spacing w:after="0" w:line="230" w:lineRule="auto"/>
        <w:rPr>
          <w:sz w:val="20"/>
          <w:szCs w:val="20"/>
          <w:color w:val="auto"/>
        </w:rPr>
      </w:pPr>
      <w:r>
        <w:rPr>
          <w:rFonts w:ascii="Arial" w:cs="Arial" w:eastAsia="Arial" w:hAnsi="Arial"/>
          <w:sz w:val="22"/>
          <w:szCs w:val="22"/>
          <w:b w:val="1"/>
          <w:bCs w:val="1"/>
          <w:color w:val="auto"/>
          <w:strike w:val="1"/>
        </w:rPr>
        <w:t>=^PVQA&gt;&amp;DO#2&lt;^0U-0 M M .J+A-[U72GR3-_P!WDQC/VF8S]IDIA4J &amp;!;5_1?LCY!7#[/2(E:5UD :K2NL\\"L?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FU7OV'$_P W'/-8&gt;Q'J78?_]D! end</w:t>
      </w:r>
    </w:p>
    <w:p>
      <w:pPr>
        <w:sectPr>
          <w:pgSz w:w="11900" w:h="16838" w:orient="portrait"/>
          <w:cols w:equalWidth="0" w:num="1">
            <w:col w:w="11420"/>
          </w:cols>
          <w:pgMar w:left="240" w:top="111" w:right="23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lowerLetter"/>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lowerLetter"/>
      <w:start w:val="1"/>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1"/>
      <w:numFmt w:val="decimal"/>
      <w:start w:val="13"/>
    </w:lvl>
  </w:abstractNum>
  <w:abstractNum w:abstractNumId="18">
    <w:nsid w:val="4F4EF005"/>
    <w:multiLevelType w:val="hybridMultilevel"/>
    <w:lvl w:ilvl="0">
      <w:lvlJc w:val="left"/>
      <w:lvlText w:val="%1"/>
      <w:numFmt w:val="decimal"/>
      <w:start w:val="10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5"/>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decimal"/>
      <w:start w:val="2"/>
    </w:lvl>
  </w:abstractNum>
  <w:abstractNum w:abstractNumId="24">
    <w:nsid w:val="180115BE"/>
    <w:multiLevelType w:val="hybridMultilevel"/>
    <w:lvl w:ilvl="0">
      <w:lvlJc w:val="left"/>
      <w:lvlText w:val="(%1)"/>
      <w:numFmt w:val="lowerRoman"/>
      <w:start w:val="1"/>
    </w:lvl>
  </w:abstractNum>
  <w:abstractNum w:abstractNumId="25">
    <w:nsid w:val="235BA861"/>
    <w:multiLevelType w:val="hybridMultilevel"/>
    <w:lvl w:ilvl="0">
      <w:lvlJc w:val="left"/>
      <w:lvlText w:val="%1."/>
      <w:numFmt w:val="decimal"/>
      <w:start w:val="3"/>
    </w:lvl>
    <w:lvl w:ilvl="1">
      <w:lvlJc w:val="left"/>
      <w:lvlText w:val="(%2)"/>
      <w:numFmt w:val="lowerLetter"/>
      <w:start w:val="1"/>
    </w:lvl>
  </w:abstractNum>
  <w:abstractNum w:abstractNumId="26">
    <w:nsid w:val="47398C89"/>
    <w:multiLevelType w:val="hybridMultilevel"/>
    <w:lvl w:ilvl="0">
      <w:lvlJc w:val="left"/>
      <w:lvlText w:val="%1"/>
      <w:numFmt w:val="decimal"/>
      <w:start w:val="1"/>
    </w:lvl>
    <w:lvl w:ilvl="1">
      <w:lvlJc w:val="left"/>
      <w:lvlText w:val="(%2)"/>
      <w:numFmt w:val="lowerLetter"/>
      <w:start w:val="2"/>
    </w:lvl>
  </w:abstractNum>
  <w:abstractNum w:abstractNumId="27">
    <w:nsid w:val="354FE9F9"/>
    <w:multiLevelType w:val="hybridMultilevel"/>
    <w:lvl w:ilvl="0">
      <w:lvlJc w:val="left"/>
      <w:lvlText w:val="%1."/>
      <w:numFmt w:val="decimal"/>
      <w:start w:val="4"/>
    </w:lvl>
    <w:lvl w:ilvl="1">
      <w:lvlJc w:val="left"/>
      <w:lvlText w:val="(%2)"/>
      <w:numFmt w:val="lowerLetter"/>
      <w:start w:val="1"/>
    </w:lvl>
  </w:abstractNum>
  <w:abstractNum w:abstractNumId="28">
    <w:nsid w:val="15B5AF5C"/>
    <w:multiLevelType w:val="hybridMultilevel"/>
    <w:lvl w:ilvl="0">
      <w:lvlJc w:val="left"/>
      <w:lvlText w:val="%1."/>
      <w:numFmt w:val="decimal"/>
      <w:start w:val="5"/>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1."/>
      <w:numFmt w:val="decimal"/>
      <w:start w:val="6"/>
    </w:lvl>
  </w:abstractNum>
  <w:abstractNum w:abstractNumId="31">
    <w:nsid w:val="10233C99"/>
    <w:multiLevelType w:val="hybridMultilevel"/>
    <w:lvl w:ilvl="0">
      <w:lvlJc w:val="left"/>
      <w:lvlText w:val="•"/>
      <w:numFmt w:val="bullet"/>
      <w:start w:val="1"/>
    </w:lvl>
    <w:lvl w:ilvl="1">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5FF87E05"/>
    <w:multiLevelType w:val="hybridMultilevel"/>
    <w:lvl w:ilvl="0">
      <w:lvlJc w:val="left"/>
      <w:lvlText w:val="(%1)"/>
      <w:numFmt w:val="lowerRoman"/>
      <w:start w:val="2"/>
    </w:lvl>
  </w:abstractNum>
  <w:abstractNum w:abstractNumId="39">
    <w:nsid w:val="2F305DEF"/>
    <w:multiLevelType w:val="hybridMultilevel"/>
    <w:lvl w:ilvl="0">
      <w:lvlJc w:val="left"/>
      <w:lvlText w:val="(%1)"/>
      <w:numFmt w:val="lowerLetter"/>
      <w:start w:val="4"/>
    </w:lvl>
    <w:lvl w:ilvl="1">
      <w:lvlJc w:val="left"/>
      <w:lvlText w:val="(%2)"/>
      <w:numFmt w:val="lowerRoman"/>
      <w:start w:val="1"/>
    </w:lvl>
  </w:abstractNum>
  <w:abstractNum w:abstractNumId="40">
    <w:nsid w:val="25A70BF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1">
    <w:nsid w:val="1DBABF0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
    <w:nsid w:val="4AD084E9"/>
    <w:multiLevelType w:val="hybridMultilevel"/>
    <w:lvl w:ilvl="0">
      <w:lvlJc w:val="left"/>
      <w:lvlText w:val="(%1)"/>
      <w:numFmt w:val="lowerLetter"/>
      <w:start w:val="2"/>
    </w:lvl>
    <w:lvl w:ilvl="1">
      <w:lvlJc w:val="left"/>
      <w:lvlText w:val="(%2)"/>
      <w:numFmt w:val="lowerRoman"/>
      <w:start w:val="1"/>
    </w:lvl>
  </w:abstractNum>
  <w:abstractNum w:abstractNumId="43">
    <w:nsid w:val="1F48EAA1"/>
    <w:multiLevelType w:val="hybridMultilevel"/>
    <w:lvl w:ilvl="0">
      <w:lvlJc w:val="left"/>
      <w:lvlText w:val="%1"/>
      <w:numFmt w:val="lowerLetter"/>
      <w:start w:val="1"/>
    </w:lvl>
    <w:lvl w:ilvl="1">
      <w:lvlJc w:val="left"/>
      <w:lvlText w:val="(%2)"/>
      <w:numFmt w:val="lowerLetter"/>
      <w:start w:val="22"/>
    </w:lvl>
  </w:abstractNum>
  <w:abstractNum w:abstractNumId="44">
    <w:nsid w:val="1381823A"/>
    <w:multiLevelType w:val="hybridMultilevel"/>
    <w:lvl w:ilvl="0">
      <w:lvlJc w:val="left"/>
      <w:lvlText w:val="(%1)"/>
      <w:numFmt w:val="lowerLetter"/>
      <w:start w:val="4"/>
    </w:lvl>
    <w:lvl w:ilvl="1">
      <w:lvlJc w:val="left"/>
      <w:lvlText w:val="(%2)"/>
      <w:numFmt w:val="lowerLetter"/>
      <w:start w:val="9"/>
    </w:lvl>
  </w:abstractNum>
  <w:abstractNum w:abstractNumId="45">
    <w:nsid w:val="5DB70AE5"/>
    <w:multiLevelType w:val="hybridMultilevel"/>
    <w:lvl w:ilvl="0">
      <w:lvlJc w:val="left"/>
      <w:lvlText w:val="(%1)"/>
      <w:numFmt w:val="lowerRoman"/>
      <w:start w:val="2"/>
    </w:lvl>
  </w:abstractNum>
  <w:abstractNum w:abstractNumId="46">
    <w:nsid w:val="100F8FCA"/>
    <w:multiLevelType w:val="hybridMultilevel"/>
    <w:lvl w:ilvl="0">
      <w:lvlJc w:val="left"/>
      <w:lvlText w:val="%1"/>
      <w:numFmt w:val="lowerLetter"/>
      <w:start w:val="1"/>
    </w:lvl>
    <w:lvl w:ilvl="1">
      <w:lvlJc w:val="left"/>
      <w:lvlText w:val="(%2)"/>
      <w:numFmt w:val="lowerLetter"/>
      <w:start w:val="22"/>
    </w:lvl>
  </w:abstractNum>
  <w:abstractNum w:abstractNumId="47">
    <w:nsid w:val="6590700B"/>
    <w:multiLevelType w:val="hybridMultilevel"/>
    <w:lvl w:ilvl="0">
      <w:lvlJc w:val="left"/>
      <w:lvlText w:val="(%1)"/>
      <w:numFmt w:val="lowerLetter"/>
      <w:start w:val="5"/>
    </w:lvl>
    <w:lvl w:ilvl="1">
      <w:lvlJc w:val="left"/>
      <w:lvlText w:val="%2"/>
      <w:numFmt w:val="lowerLetter"/>
      <w:start w:val="1"/>
    </w:lvl>
  </w:abstractNum>
  <w:abstractNum w:abstractNumId="48">
    <w:nsid w:val="15014ACB"/>
    <w:multiLevelType w:val="hybridMultilevel"/>
    <w:lvl w:ilvl="0">
      <w:lvlJc w:val="left"/>
      <w:lvlText w:val="%1"/>
      <w:numFmt w:val="decimal"/>
      <w:start w:val="1"/>
    </w:lvl>
    <w:lvl w:ilvl="1">
      <w:lvlJc w:val="left"/>
      <w:lvlText w:val="(%2)"/>
      <w:numFmt w:val="lowerLetter"/>
      <w:start w:val="7"/>
    </w:lvl>
  </w:abstractNum>
  <w:abstractNum w:abstractNumId="49">
    <w:nsid w:val="5F5E7FD0"/>
    <w:multiLevelType w:val="hybridMultilevel"/>
    <w:lvl w:ilvl="0">
      <w:lvlJc w:val="left"/>
      <w:lvlText w:val="%1."/>
      <w:numFmt w:val="decimal"/>
      <w:start w:val="3"/>
    </w:lvl>
    <w:lvl w:ilvl="1">
      <w:lvlJc w:val="left"/>
      <w:lvlText w:val="(%2)"/>
      <w:numFmt w:val="lowerLetter"/>
      <w:start w:val="1"/>
    </w:lvl>
  </w:abstractNum>
  <w:abstractNum w:abstractNumId="50">
    <w:nsid w:val="98A3148"/>
    <w:multiLevelType w:val="hybridMultilevel"/>
    <w:lvl w:ilvl="0">
      <w:lvlJc w:val="left"/>
      <w:lvlText w:val="%1."/>
      <w:numFmt w:val="decimal"/>
      <w:start w:val="5"/>
    </w:lvl>
    <w:lvl w:ilvl="1">
      <w:lvlJc w:val="left"/>
      <w:lvlText w:val="(%2)"/>
      <w:numFmt w:val="lowerLetter"/>
      <w:start w:val="1"/>
    </w:lvl>
  </w:abstractNum>
  <w:abstractNum w:abstractNumId="51">
    <w:nsid w:val="799D0247"/>
    <w:multiLevelType w:val="hybridMultilevel"/>
    <w:lvl w:ilvl="0">
      <w:lvlJc w:val="left"/>
      <w:lvlText w:val="%1."/>
      <w:numFmt w:val="decimal"/>
      <w:start w:val="9"/>
    </w:lvl>
  </w:abstractNum>
  <w:abstractNum w:abstractNumId="52">
    <w:nsid w:val="6B94764"/>
    <w:multiLevelType w:val="hybridMultilevel"/>
    <w:lvl w:ilvl="0">
      <w:lvlJc w:val="left"/>
      <w:lvlText w:val="%1"/>
      <w:numFmt w:val="decimal"/>
      <w:start w:val="1"/>
    </w:lvl>
    <w:lvl w:ilvl="1">
      <w:lvlJc w:val="left"/>
      <w:lvlText w:val="(%2)"/>
      <w:numFmt w:val="lowerLetter"/>
      <w:start w:val="1"/>
    </w:lvl>
  </w:abstractNum>
  <w:abstractNum w:abstractNumId="53">
    <w:nsid w:val="42C296BD"/>
    <w:multiLevelType w:val="hybridMultilevel"/>
    <w:lvl w:ilvl="0">
      <w:lvlJc w:val="left"/>
      <w:lvlText w:val="%1."/>
      <w:numFmt w:val="decimal"/>
      <w:start w:val="19"/>
    </w:lvl>
    <w:lvl w:ilvl="1">
      <w:lvlJc w:val="left"/>
      <w:lvlText w:val="%2"/>
      <w:numFmt w:val="lowerLetter"/>
      <w:start w:val="1"/>
    </w:lvl>
  </w:abstractNum>
  <w:abstractNum w:abstractNumId="54">
    <w:nsid w:val="168E121F"/>
    <w:multiLevelType w:val="hybridMultilevel"/>
    <w:lvl w:ilvl="0">
      <w:lvlJc w:val="left"/>
      <w:lvlText w:val="%1"/>
      <w:numFmt w:val="decimal"/>
      <w:start w:val="14"/>
    </w:lvl>
  </w:abstractNum>
  <w:abstractNum w:abstractNumId="55">
    <w:nsid w:val="1EBA5D23"/>
    <w:multiLevelType w:val="hybridMultilevel"/>
    <w:lvl w:ilvl="0">
      <w:lvlJc w:val="left"/>
      <w:lvlText w:val="%1"/>
      <w:numFmt w:val="decimal"/>
      <w:start w:val="42"/>
    </w:lvl>
  </w:abstractNum>
  <w:abstractNum w:abstractNumId="56">
    <w:nsid w:val="661E3F1E"/>
    <w:multiLevelType w:val="hybridMultilevel"/>
    <w:lvl w:ilvl="0">
      <w:lvlJc w:val="left"/>
      <w:lvlText w:val="%1"/>
      <w:numFmt w:val="decimal"/>
      <w:start w:val="45"/>
    </w:lvl>
  </w:abstractNum>
  <w:abstractNum w:abstractNumId="57">
    <w:nsid w:val="5DC79EA8"/>
    <w:multiLevelType w:val="hybridMultilevel"/>
    <w:lvl w:ilvl="0">
      <w:lvlJc w:val="left"/>
      <w:lvlText w:val="%1"/>
      <w:numFmt w:val="decimal"/>
      <w:start w:val="45"/>
    </w:lvl>
  </w:abstractNum>
  <w:abstractNum w:abstractNumId="58">
    <w:nsid w:val="540A471C"/>
    <w:multiLevelType w:val="hybridMultilevel"/>
    <w:lvl w:ilvl="0">
      <w:lvlJc w:val="left"/>
      <w:lvlText w:val="%1"/>
      <w:numFmt w:val="decimal"/>
      <w:start w:val="83"/>
    </w:lvl>
  </w:abstractNum>
  <w:abstractNum w:abstractNumId="59">
    <w:nsid w:val="7BD3EE7B"/>
    <w:multiLevelType w:val="hybridMultilevel"/>
    <w:lvl w:ilvl="0">
      <w:lvlJc w:val="left"/>
      <w:lvlText w:val="%1"/>
      <w:numFmt w:val="decimal"/>
      <w:start w:val="83"/>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3"/>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lowerLetter"/>
      <w:start w:val="2"/>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2019-12-29T12:49:15Z</dcterms:created>
  <dcterms:modified xsi:type="dcterms:W3CDTF">2019-12-29T12:49:15Z</dcterms:modified>
</cp:coreProperties>
</file>