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July 21, 2015</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MANPOWERGROUP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Wisconsin</w:t>
            </w:r>
          </w:p>
        </w:tc>
        <w:tc>
          <w:tcPr>
            <w:tcW w:w="2960" w:type="dxa"/>
            <w:vAlign w:val="bottom"/>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660" w:type="dxa"/>
            <w:vAlign w:val="bottom"/>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c>
          <w:tcPr>
            <w:tcW w:w="29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748"/>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w w:val="99"/>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4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ectPr>
          <w:pgSz w:w="11900" w:h="16838" w:orient="portrait"/>
          <w:cols w:equalWidth="0" w:num="1">
            <w:col w:w="11440"/>
          </w:cols>
          <w:pgMar w:left="240" w:top="1002"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5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6"/>
          <w:szCs w:val="16"/>
          <w:color w:val="auto"/>
        </w:rPr>
        <w:t>On July 21, 2015, we issued a press release announcing our results of operations for the three month and six month periods ended June 30, 2015. A copy of the press release is attached hereto as Exhibit 99.1 and is incorporated herein by reference.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Exhibits</w:t>
            </w:r>
            <w:r>
              <w:rPr>
                <w:rFonts w:ascii="Times New Roman" w:cs="Times New Roman" w:eastAsia="Times New Roman" w:hAnsi="Times New Roman"/>
                <w:sz w:val="16"/>
                <w:szCs w:val="16"/>
                <w:color w:val="auto"/>
              </w:rPr>
              <w:t>.</w:t>
            </w:r>
          </w:p>
        </w:tc>
      </w:tr>
      <w:tr>
        <w:trPr>
          <w:trHeight w:val="531"/>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60" w:type="dxa"/>
            <w:vAlign w:val="bottom"/>
          </w:tcPr>
          <w:p>
            <w:pPr>
              <w:ind w:left="23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1026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Press Release dated July 21, 2015</w:t>
            </w:r>
          </w:p>
        </w:tc>
      </w:tr>
      <w:tr>
        <w:trPr>
          <w:trHeight w:val="241"/>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1026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Presentation materials for July 21, 2015 conference call</w:t>
            </w:r>
          </w:p>
        </w:tc>
      </w:tr>
    </w:tbl>
    <w:p>
      <w:pPr>
        <w:sectPr>
          <w:pgSz w:w="11900" w:h="16838" w:orient="portrait"/>
          <w:cols w:equalWidth="0" w:num="1">
            <w:col w:w="11440"/>
          </w:cols>
          <w:pgMar w:left="240" w:top="724" w:right="2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ind w:firstLine="579"/>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Times New Roman" w:cs="Times New Roman" w:eastAsia="Times New Roman" w:hAnsi="Times New Roman"/>
          <w:sz w:val="16"/>
          <w:szCs w:val="16"/>
          <w:color w:val="auto"/>
        </w:rPr>
        <w:t>Dated: July 21, 2015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31750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Michael J. Van Handel</w:t>
      </w:r>
    </w:p>
    <w:p>
      <w:pPr>
        <w:spacing w:after="0" w:line="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300"/>
          </w:cols>
          <w:pgMar w:left="240" w:top="91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1"/>
        </w:trPr>
        <w:tc>
          <w:tcPr>
            <w:tcW w:w="2180" w:type="dxa"/>
            <w:vAlign w:val="bottom"/>
          </w:tcPr>
          <w:p>
            <w:pPr>
              <w:spacing w:after="0"/>
              <w:rPr>
                <w:sz w:val="18"/>
                <w:szCs w:val="18"/>
                <w:color w:val="auto"/>
              </w:rPr>
            </w:pPr>
          </w:p>
        </w:tc>
        <w:tc>
          <w:tcPr>
            <w:tcW w:w="9260" w:type="dxa"/>
            <w:vAlign w:val="bottom"/>
          </w:tcPr>
          <w:p>
            <w:pPr>
              <w:ind w:left="292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531"/>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26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2180" w:type="dxa"/>
            <w:vAlign w:val="bottom"/>
            <w:tcBorders>
              <w:bottom w:val="single" w:sz="8" w:color="auto"/>
            </w:tcBorders>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926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Press Release dated July 21, 2015</w:t>
            </w:r>
          </w:p>
        </w:tc>
      </w:tr>
      <w:tr>
        <w:trPr>
          <w:trHeight w:val="241"/>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926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Presentation materials for July 21, 2015 conference call</w:t>
            </w:r>
          </w:p>
        </w:tc>
      </w:tr>
    </w:tbl>
    <w:p>
      <w:pPr>
        <w:sectPr>
          <w:pgSz w:w="11900" w:h="16838" w:orient="portrait"/>
          <w:cols w:equalWidth="0" w:num="1">
            <w:col w:w="11440"/>
          </w:cols>
          <w:pgMar w:left="240" w:top="917" w:right="2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057275"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7275"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83"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Mike Van Handel</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+1.414.906.6305</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michael.vanhandel@manpowergroup.com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Reports 2</w:t>
      </w:r>
      <w:r>
        <w:rPr>
          <w:rFonts w:ascii="Arial" w:cs="Arial" w:eastAsia="Arial" w:hAnsi="Arial"/>
          <w:sz w:val="22"/>
          <w:szCs w:val="22"/>
          <w:b w:val="1"/>
          <w:bCs w:val="1"/>
          <w:color w:val="auto"/>
          <w:vertAlign w:val="superscript"/>
        </w:rPr>
        <w:t>nd</w:t>
      </w:r>
      <w:r>
        <w:rPr>
          <w:rFonts w:ascii="Arial" w:cs="Arial" w:eastAsia="Arial" w:hAnsi="Arial"/>
          <w:sz w:val="18"/>
          <w:szCs w:val="18"/>
          <w:b w:val="1"/>
          <w:bCs w:val="1"/>
          <w:color w:val="auto"/>
        </w:rPr>
        <w:t xml:space="preserve"> Quarter and First Half 2015 Results</w:t>
      </w:r>
    </w:p>
    <w:p>
      <w:pPr>
        <w:spacing w:after="0" w:line="210" w:lineRule="exact"/>
        <w:rPr>
          <w:sz w:val="20"/>
          <w:szCs w:val="20"/>
          <w:color w:val="auto"/>
        </w:rPr>
      </w:pPr>
    </w:p>
    <w:p>
      <w:pPr>
        <w:ind w:right="360"/>
        <w:spacing w:after="0" w:line="362" w:lineRule="auto"/>
        <w:rPr>
          <w:sz w:val="20"/>
          <w:szCs w:val="20"/>
          <w:color w:val="auto"/>
        </w:rPr>
      </w:pPr>
      <w:r>
        <w:rPr>
          <w:rFonts w:ascii="Arial" w:cs="Arial" w:eastAsia="Arial" w:hAnsi="Arial"/>
          <w:sz w:val="16"/>
          <w:szCs w:val="16"/>
          <w:b w:val="1"/>
          <w:bCs w:val="1"/>
          <w:color w:val="auto"/>
        </w:rPr>
        <w:t xml:space="preserve">MILWAUKEE, July 21, 2015 -- </w:t>
      </w:r>
      <w:r>
        <w:rPr>
          <w:rFonts w:ascii="Arial" w:cs="Arial" w:eastAsia="Arial" w:hAnsi="Arial"/>
          <w:sz w:val="16"/>
          <w:szCs w:val="16"/>
          <w:color w:val="auto"/>
        </w:rPr>
        <w:t>ManpowerGroup (NYSE: MAN) today reported that net earnings per diluted share for the three months ended June 30, 2015</w:t>
      </w:r>
      <w:r>
        <w:rPr>
          <w:rFonts w:ascii="Arial" w:cs="Arial" w:eastAsia="Arial" w:hAnsi="Arial"/>
          <w:sz w:val="16"/>
          <w:szCs w:val="16"/>
          <w:b w:val="1"/>
          <w:bCs w:val="1"/>
          <w:color w:val="auto"/>
        </w:rPr>
        <w:t xml:space="preserve"> </w:t>
      </w:r>
      <w:r>
        <w:rPr>
          <w:rFonts w:ascii="Arial" w:cs="Arial" w:eastAsia="Arial" w:hAnsi="Arial"/>
          <w:sz w:val="16"/>
          <w:szCs w:val="16"/>
          <w:color w:val="auto"/>
        </w:rPr>
        <w:t>were $1.33 compared to $1.35 in the prior year period. Net earnings in the second quarter were $105.7 million compared to $109.8 million a year earlier. Revenues for the second quarter were $4.9 billion, a decrease of 9 percent from the prior year period.</w:t>
      </w:r>
    </w:p>
    <w:p>
      <w:pPr>
        <w:spacing w:after="0" w:line="2" w:lineRule="exact"/>
        <w:rPr>
          <w:sz w:val="20"/>
          <w:szCs w:val="20"/>
          <w:color w:val="auto"/>
        </w:rPr>
      </w:pPr>
    </w:p>
    <w:p>
      <w:pPr>
        <w:ind w:right="280" w:firstLine="579"/>
        <w:spacing w:after="0" w:line="361" w:lineRule="auto"/>
        <w:rPr>
          <w:sz w:val="20"/>
          <w:szCs w:val="20"/>
          <w:color w:val="auto"/>
        </w:rPr>
      </w:pPr>
      <w:r>
        <w:rPr>
          <w:rFonts w:ascii="Arial" w:cs="Arial" w:eastAsia="Arial" w:hAnsi="Arial"/>
          <w:sz w:val="16"/>
          <w:szCs w:val="16"/>
          <w:color w:val="auto"/>
        </w:rPr>
        <w:t>Financial results in the quarter were significantly impacted by the stronger U.S. dollar relative to several foreign currencies compared to the prior year period. On a constant currency basis, revenues increased 7% and earnings per share increased 16%. Earnings per share in the quarter were negatively impacted 23 cents by changes in the foreign currencies compared to the prior year.</w:t>
      </w:r>
    </w:p>
    <w:p>
      <w:pPr>
        <w:spacing w:after="0" w:line="2" w:lineRule="exact"/>
        <w:rPr>
          <w:sz w:val="20"/>
          <w:szCs w:val="20"/>
          <w:color w:val="auto"/>
        </w:rPr>
      </w:pPr>
    </w:p>
    <w:p>
      <w:pPr>
        <w:ind w:right="520" w:firstLine="579"/>
        <w:spacing w:after="0" w:line="361" w:lineRule="auto"/>
        <w:rPr>
          <w:sz w:val="20"/>
          <w:szCs w:val="20"/>
          <w:color w:val="auto"/>
        </w:rPr>
      </w:pPr>
      <w:r>
        <w:rPr>
          <w:rFonts w:ascii="Arial" w:cs="Arial" w:eastAsia="Arial" w:hAnsi="Arial"/>
          <w:sz w:val="16"/>
          <w:szCs w:val="16"/>
          <w:color w:val="auto"/>
        </w:rPr>
        <w:t>ManpowerGroup CEO Jonas Prising, said, “We are pleased with our strong second quarter results, capping off a good first half of 2015. The labor markets continue to improve across the globe, although at a slow and uneven pace in some countries.</w:t>
      </w:r>
    </w:p>
    <w:p>
      <w:pPr>
        <w:spacing w:after="0" w:line="1" w:lineRule="exact"/>
        <w:rPr>
          <w:sz w:val="20"/>
          <w:szCs w:val="20"/>
          <w:color w:val="auto"/>
        </w:rPr>
      </w:pPr>
    </w:p>
    <w:p>
      <w:pPr>
        <w:ind w:right="140" w:firstLine="555"/>
        <w:spacing w:after="0" w:line="361" w:lineRule="auto"/>
        <w:rPr>
          <w:sz w:val="20"/>
          <w:szCs w:val="20"/>
          <w:color w:val="auto"/>
        </w:rPr>
      </w:pPr>
      <w:r>
        <w:rPr>
          <w:rFonts w:ascii="Arial" w:cs="Arial" w:eastAsia="Arial" w:hAnsi="Arial"/>
          <w:sz w:val="16"/>
          <w:szCs w:val="16"/>
          <w:color w:val="auto"/>
        </w:rPr>
        <w:t>“It is rewarding for our team to experience solid growth in a number of our geographies, with very strong growth in Italy, Mexico, Spain and the UK. With our market leading brands and solutions we are well placed to take advantage of profitable growth opportunities also in the second half of the year.</w:t>
      </w:r>
    </w:p>
    <w:p>
      <w:pPr>
        <w:spacing w:after="0" w:line="1" w:lineRule="exact"/>
        <w:rPr>
          <w:sz w:val="20"/>
          <w:szCs w:val="20"/>
          <w:color w:val="auto"/>
        </w:rPr>
      </w:pPr>
    </w:p>
    <w:p>
      <w:pPr>
        <w:ind w:right="240" w:firstLine="579"/>
        <w:spacing w:after="0" w:line="361" w:lineRule="auto"/>
        <w:rPr>
          <w:sz w:val="20"/>
          <w:szCs w:val="20"/>
          <w:color w:val="auto"/>
        </w:rPr>
      </w:pPr>
      <w:r>
        <w:rPr>
          <w:rFonts w:ascii="Arial" w:cs="Arial" w:eastAsia="Arial" w:hAnsi="Arial"/>
          <w:sz w:val="16"/>
          <w:szCs w:val="16"/>
          <w:color w:val="auto"/>
        </w:rPr>
        <w:t>“We are anticipating the third quarter of 2015 diluted earnings per share to be in the range of $1.50 to $1.58, which includes an estimated unfavorable currency impact of 24 cents,” Prising stated.</w:t>
      </w:r>
    </w:p>
    <w:p>
      <w:pPr>
        <w:spacing w:after="0" w:line="1" w:lineRule="exact"/>
        <w:rPr>
          <w:sz w:val="20"/>
          <w:szCs w:val="20"/>
          <w:color w:val="auto"/>
        </w:rPr>
      </w:pPr>
    </w:p>
    <w:p>
      <w:pPr>
        <w:ind w:right="120" w:firstLine="579"/>
        <w:spacing w:after="0" w:line="361" w:lineRule="auto"/>
        <w:rPr>
          <w:sz w:val="20"/>
          <w:szCs w:val="20"/>
          <w:color w:val="auto"/>
        </w:rPr>
      </w:pPr>
      <w:r>
        <w:rPr>
          <w:rFonts w:ascii="Arial" w:cs="Arial" w:eastAsia="Arial" w:hAnsi="Arial"/>
          <w:sz w:val="16"/>
          <w:szCs w:val="16"/>
          <w:color w:val="auto"/>
        </w:rPr>
        <w:t>Net earnings per diluted share for the six months ended June 30, 2015 were $2.16 compared to $2.21 in 2014. Net earnings for the period were $171.4 million compared to $179.9 million in the prior year. Revenues for the six-month period were $9.4 billion, a decrease of 8 percent from the prior year or an increase of 7 percent in constant currency. Foreign currency exchange rates had an unfavorable impact of 39 cents for the six-month period.</w:t>
      </w:r>
    </w:p>
    <w:p>
      <w:pPr>
        <w:spacing w:after="0" w:line="2" w:lineRule="exact"/>
        <w:rPr>
          <w:sz w:val="20"/>
          <w:szCs w:val="20"/>
          <w:color w:val="auto"/>
        </w:rPr>
      </w:pPr>
    </w:p>
    <w:p>
      <w:pPr>
        <w:ind w:right="80" w:firstLine="579"/>
        <w:spacing w:after="0" w:line="361" w:lineRule="auto"/>
        <w:rPr>
          <w:sz w:val="20"/>
          <w:szCs w:val="20"/>
          <w:color w:val="auto"/>
        </w:rPr>
      </w:pPr>
      <w:r>
        <w:rPr>
          <w:rFonts w:ascii="Arial" w:cs="Arial" w:eastAsia="Arial" w:hAnsi="Arial"/>
          <w:sz w:val="16"/>
          <w:szCs w:val="16"/>
          <w:color w:val="auto"/>
        </w:rPr>
        <w:t xml:space="preserve">In conjunction with its second quarter earnings release, ManpowerGroup will broadcast its conference call live over the Internet on July 21, 2015 at 7:30 a.m. CDT (8:30 a.m. EDT). Interested parties are invited to listen to the webcast and view the presentation by logging on to </w:t>
      </w:r>
      <w:r>
        <w:rPr>
          <w:rFonts w:ascii="Arial" w:cs="Arial" w:eastAsia="Arial" w:hAnsi="Arial"/>
          <w:sz w:val="16"/>
          <w:szCs w:val="16"/>
          <w:u w:val="single" w:color="auto"/>
          <w:color w:val="0000FF"/>
        </w:rPr>
        <w:t>http://www.manpowergroup.com</w:t>
      </w:r>
      <w:r>
        <w:rPr>
          <w:rFonts w:ascii="Arial" w:cs="Arial" w:eastAsia="Arial" w:hAnsi="Arial"/>
          <w:sz w:val="16"/>
          <w:szCs w:val="16"/>
          <w:color w:val="auto"/>
        </w:rPr>
        <w:t xml:space="preserve"> in the section titled “Investor Relations.”</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0000FF"/>
        </w:rPr>
        <w:t>http://www.manpowergroup.com</w:t>
      </w:r>
      <w:r>
        <w:rPr>
          <w:rFonts w:ascii="Arial" w:cs="Arial" w:eastAsia="Arial" w:hAnsi="Arial"/>
          <w:sz w:val="16"/>
          <w:szCs w:val="16"/>
          <w:color w:val="auto"/>
        </w:rPr>
        <w:t>.</w:t>
      </w:r>
    </w:p>
    <w:p>
      <w:pPr>
        <w:sectPr>
          <w:pgSz w:w="11900" w:h="16838" w:orient="portrait"/>
          <w:cols w:equalWidth="0" w:num="1">
            <w:col w:w="11440"/>
          </w:cols>
          <w:pgMar w:left="240" w:top="531"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more than 65 years. As workforce experts, we connect more than 600,000 people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0000FF"/>
        </w:rPr>
        <w:t>www.manpowergroup.com</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4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2014, which information is incorporated herein by reference.</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20"/>
          </w:cols>
          <w:pgMar w:left="240" w:top="575"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7"/>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right"/>
              <w:ind w:right="1400"/>
              <w:spacing w:after="0"/>
              <w:rPr>
                <w:sz w:val="20"/>
                <w:szCs w:val="20"/>
                <w:color w:val="auto"/>
              </w:rPr>
            </w:pPr>
            <w:r>
              <w:rPr>
                <w:rFonts w:ascii="Times New Roman" w:cs="Times New Roman" w:eastAsia="Times New Roman" w:hAnsi="Times New Roman"/>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4,861.3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5,321.7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-8.7 %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4,030.7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4,424.4</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-8.9 %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897.3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651.9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709.9</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-8.2 %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187.4</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-9.2 %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179.5</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69.7</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-5.8 %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109.8</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1.37</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-1.5 %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79.9</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-1.9 %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81.4</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-2.5 %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1" w:lineRule="exact"/>
        <w:rPr>
          <w:sz w:val="20"/>
          <w:szCs w:val="20"/>
          <w:color w:val="auto"/>
        </w:rPr>
      </w:pPr>
    </w:p>
    <w:p>
      <w:pPr>
        <w:ind w:left="20" w:right="60" w:firstLine="2"/>
        <w:spacing w:after="0" w:line="268" w:lineRule="auto"/>
        <w:tabs>
          <w:tab w:leader="none" w:pos="23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$6.0 million and $6.4 million for the three months ended June 30, 2015 and 2014, respectively. These fees are primarily based on revenues generated by the franchise offices, which were $276.3 million and $286.6 million for the three months ended June 30, 2015 and 2014, respectively.</w:t>
      </w:r>
    </w:p>
    <w:p>
      <w:pPr>
        <w:sectPr>
          <w:pgSz w:w="11900" w:h="16838" w:orient="portrait"/>
          <w:cols w:equalWidth="0" w:num="1">
            <w:col w:w="11260"/>
          </w:cols>
          <w:pgMar w:left="420" w:top="673" w:right="2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380"/>
              <w:spacing w:after="0"/>
              <w:rPr>
                <w:sz w:val="20"/>
                <w:szCs w:val="20"/>
                <w:color w:val="auto"/>
              </w:rPr>
            </w:pPr>
            <w:r>
              <w:rPr>
                <w:rFonts w:ascii="Times New Roman" w:cs="Times New Roman" w:eastAsia="Times New Roman" w:hAnsi="Times New Roman"/>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775.9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375.2</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-1.9 %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1,151.1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07"/>
        </w:trPr>
        <w:tc>
          <w:tcPr>
            <w:tcW w:w="5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1,412.1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-14.8 %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7"/>
        </w:trPr>
        <w:tc>
          <w:tcPr>
            <w:tcW w:w="5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313.9</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1.7 %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1,766.2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1,969.0</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-10.3 %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1,527.8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-12.6 %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594.0</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-6.3 %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4,861.3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5,321.7</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-8.7 %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40.3 %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14.0</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3.3 %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28.5 %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r>
      <w:tr>
        <w:trPr>
          <w:trHeight w:val="207"/>
        </w:trPr>
        <w:tc>
          <w:tcPr>
            <w:tcW w:w="5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r>
      <w:tr>
        <w:trPr>
          <w:trHeight w:val="217"/>
        </w:trPr>
        <w:tc>
          <w:tcPr>
            <w:tcW w:w="5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18.3</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8.0 %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95.9</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-3.1 %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-22.5 %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-11.4 %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0" w:right="200" w:hanging="9"/>
        <w:spacing w:after="0" w:line="268" w:lineRule="auto"/>
        <w:tabs>
          <w:tab w:leader="none" w:pos="23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$3.9 million for both the three months ended June 30, 2015 and 2014. These fees are primarily based on revenues generated by the franchise offices, which were $184.6 million and $190.3 million for the three months ended June 30, 2015 and 2014, respectively.</w:t>
      </w:r>
    </w:p>
    <w:p>
      <w:pPr>
        <w:spacing w:after="0" w:line="131" w:lineRule="exact"/>
        <w:rPr>
          <w:rFonts w:ascii="Times New Roman" w:cs="Times New Roman" w:eastAsia="Times New Roman" w:hAnsi="Times New Roman"/>
          <w:sz w:val="16"/>
          <w:szCs w:val="16"/>
          <w:color w:val="auto"/>
        </w:rPr>
      </w:pPr>
    </w:p>
    <w:p>
      <w:pPr>
        <w:ind w:left="240" w:hanging="229"/>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were: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Borders>
              <w:bottom w:val="single" w:sz="8" w:color="CCEEFF"/>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gain</w:t>
            </w: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Miscellaneous (income) expense, net</w:t>
            </w:r>
          </w:p>
        </w:tc>
        <w:tc>
          <w:tcPr>
            <w:tcW w:w="9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0.6</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3"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900" w:type="dxa"/>
            <w:vAlign w:val="bottom"/>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400"/>
              <w:spacing w:after="0"/>
              <w:rPr>
                <w:sz w:val="20"/>
                <w:szCs w:val="20"/>
                <w:color w:val="auto"/>
              </w:rPr>
            </w:pPr>
            <w:r>
              <w:rPr>
                <w:rFonts w:ascii="Times New Roman" w:cs="Times New Roman" w:eastAsia="Times New Roman" w:hAnsi="Times New Roman"/>
                <w:sz w:val="16"/>
                <w:szCs w:val="16"/>
                <w:color w:val="auto"/>
              </w:rPr>
              <w:t>(Unaudited)</w:t>
            </w:r>
          </w:p>
        </w:tc>
        <w:tc>
          <w:tcPr>
            <w:tcW w:w="104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9,403.5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10,225.7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-8.0 %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7,810.9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8,511.9</w:t>
            </w:r>
          </w:p>
        </w:tc>
        <w:tc>
          <w:tcPr>
            <w:tcW w:w="200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-8.2 %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1,592.6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1,713.8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1,291.1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1,399.5</w:t>
            </w:r>
          </w:p>
        </w:tc>
        <w:tc>
          <w:tcPr>
            <w:tcW w:w="200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-7.7 %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314.3</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17.1</w:t>
            </w:r>
          </w:p>
        </w:tc>
        <w:tc>
          <w:tcPr>
            <w:tcW w:w="200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4.4 %</w:t>
            </w:r>
          </w:p>
        </w:tc>
        <w:tc>
          <w:tcPr>
            <w:tcW w:w="104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283.7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297.2</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117.3</w:t>
            </w:r>
          </w:p>
        </w:tc>
        <w:tc>
          <w:tcPr>
            <w:tcW w:w="200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-4.4 %</w:t>
            </w:r>
          </w:p>
        </w:tc>
        <w:tc>
          <w:tcPr>
            <w:tcW w:w="104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179.9</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200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-3.1 %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79.9</w:t>
            </w:r>
          </w:p>
        </w:tc>
        <w:tc>
          <w:tcPr>
            <w:tcW w:w="200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-1.7 %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81.4</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-2.3 %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1" w:lineRule="exact"/>
        <w:rPr>
          <w:sz w:val="20"/>
          <w:szCs w:val="20"/>
          <w:color w:val="auto"/>
        </w:rPr>
      </w:pPr>
    </w:p>
    <w:p>
      <w:pPr>
        <w:ind w:left="20" w:right="40" w:hanging="9"/>
        <w:spacing w:after="0" w:line="268" w:lineRule="auto"/>
        <w:tabs>
          <w:tab w:leader="none" w:pos="23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$11.5 million and $11.9 million for the six months ended June 30, 2015 and 2014, respectively. These fees are primarily based on revenues generated by the franchise offices, which were $526.2 million and $543.2 million for the six months ended June 30, 2015 and 2014, respectively.</w:t>
      </w:r>
    </w:p>
    <w:p>
      <w:pPr>
        <w:sectPr>
          <w:pgSz w:w="11900" w:h="16838" w:orient="portrait"/>
          <w:cols w:equalWidth="0" w:num="1">
            <w:col w:w="11240"/>
          </w:cols>
          <w:pgMar w:left="340" w:top="673"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4"/>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8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8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41"/>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8"/>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jc w:val="center"/>
              <w:ind w:left="680"/>
              <w:spacing w:after="0"/>
              <w:rPr>
                <w:sz w:val="20"/>
                <w:szCs w:val="20"/>
                <w:color w:val="auto"/>
              </w:rPr>
            </w:pPr>
            <w:r>
              <w:rPr>
                <w:rFonts w:ascii="Times New Roman" w:cs="Times New Roman" w:eastAsia="Times New Roman" w:hAnsi="Times New Roman"/>
                <w:sz w:val="16"/>
                <w:szCs w:val="16"/>
                <w:color w:val="auto"/>
              </w:rPr>
              <w:t>(Unaudited)</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17"/>
        </w:trPr>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Americas: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United States (a)</w:t>
            </w:r>
          </w:p>
        </w:tc>
        <w:tc>
          <w:tcPr>
            <w:tcW w:w="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45"/>
        </w:trPr>
        <w:tc>
          <w:tcPr>
            <w:tcW w:w="5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Americas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727.4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725.8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6"/>
                <w:szCs w:val="16"/>
                <w:color w:val="auto"/>
              </w:rPr>
              <w:t>0.2 %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255"/>
        </w:trPr>
        <w:tc>
          <w:tcPr>
            <w:tcW w:w="5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-0.3 %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07"/>
        </w:trPr>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Southern Europe: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France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2,629.4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-14.7 %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7"/>
        </w:trPr>
        <w:tc>
          <w:tcPr>
            <w:tcW w:w="5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Italy</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0.1 %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Southern Europe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45"/>
        </w:trPr>
        <w:tc>
          <w:tcPr>
            <w:tcW w:w="5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3,303.3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3,691.0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6"/>
                <w:szCs w:val="16"/>
                <w:color w:val="auto"/>
              </w:rPr>
              <w:t>-10.5 %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21"/>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Northern Europe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2,658.9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2,991.7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-11.1 %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7"/>
        </w:trPr>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APME</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-6.7 %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 Management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-10.8 %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75"/>
        </w:trPr>
        <w:tc>
          <w:tcPr>
            <w:tcW w:w="52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9,403.5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10,225.7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6"/>
                <w:szCs w:val="16"/>
                <w:color w:val="auto"/>
              </w:rPr>
              <w:t>-8.0 %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Unit Profit: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17"/>
        </w:trPr>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Americas: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37.1 %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37.1 %</w:t>
            </w:r>
          </w:p>
        </w:tc>
      </w:tr>
      <w:tr>
        <w:trPr>
          <w:trHeight w:val="245"/>
        </w:trPr>
        <w:tc>
          <w:tcPr>
            <w:tcW w:w="5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Americas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6"/>
                <w:szCs w:val="16"/>
                <w:color w:val="auto"/>
              </w:rPr>
              <w:t>2.5 %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17.5 %</w:t>
            </w:r>
          </w:p>
        </w:tc>
      </w:tr>
      <w:tr>
        <w:trPr>
          <w:trHeight w:val="255"/>
        </w:trPr>
        <w:tc>
          <w:tcPr>
            <w:tcW w:w="5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23.9 %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r>
      <w:tr>
        <w:trPr>
          <w:trHeight w:val="207"/>
        </w:trPr>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Southern Europe: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France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-4.8 %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r>
      <w:tr>
        <w:trPr>
          <w:trHeight w:val="217"/>
        </w:trPr>
        <w:tc>
          <w:tcPr>
            <w:tcW w:w="5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Italy</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9.3 %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Southern Europe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7.1 %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27.1 %</w:t>
            </w:r>
          </w:p>
        </w:tc>
      </w:tr>
      <w:tr>
        <w:trPr>
          <w:trHeight w:val="245"/>
        </w:trPr>
        <w:tc>
          <w:tcPr>
            <w:tcW w:w="5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6"/>
                <w:szCs w:val="16"/>
                <w:color w:val="auto"/>
              </w:rPr>
              <w:t>-1.4 %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21.4 %</w:t>
            </w:r>
          </w:p>
        </w:tc>
      </w:tr>
      <w:tr>
        <w:trPr>
          <w:trHeight w:val="221"/>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Northern Europe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-18.4 %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7"/>
        </w:trPr>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APME</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-9.4 %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 Management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-17.6 %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45"/>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r>
      <w:tr>
        <w:trPr>
          <w:trHeight w:val="221"/>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profit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-4.1 %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45"/>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expenses (b)</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r>
      <w:tr>
        <w:trPr>
          <w:trHeight w:val="235"/>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1" w:lineRule="exact"/>
        <w:rPr>
          <w:sz w:val="20"/>
          <w:szCs w:val="20"/>
          <w:color w:val="auto"/>
        </w:rPr>
      </w:pPr>
    </w:p>
    <w:p>
      <w:pPr>
        <w:ind w:left="20" w:right="140" w:firstLine="1"/>
        <w:spacing w:after="0" w:line="268" w:lineRule="auto"/>
        <w:tabs>
          <w:tab w:leader="none" w:pos="23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$7.3 million for both the six months ended June 30, 2015 and 2014. These fees are primarily based on revenues generated by the franchise offices, which were $353.3 million and $359.4 million for the six months ended June 30, 2015 and 2014, respectively.</w:t>
      </w:r>
    </w:p>
    <w:p>
      <w:pPr>
        <w:spacing w:after="0" w:line="131" w:lineRule="exact"/>
        <w:rPr>
          <w:rFonts w:ascii="Times New Roman" w:cs="Times New Roman" w:eastAsia="Times New Roman" w:hAnsi="Times New Roman"/>
          <w:sz w:val="16"/>
          <w:szCs w:val="16"/>
          <w:color w:val="auto"/>
        </w:rPr>
      </w:pPr>
    </w:p>
    <w:p>
      <w:pPr>
        <w:ind w:left="240" w:hanging="219"/>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were: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2014</w:t>
            </w:r>
          </w:p>
        </w:tc>
        <w:tc>
          <w:tcPr>
            <w:tcW w:w="3100" w:type="dxa"/>
            <w:vAlign w:val="bottom"/>
          </w:tcPr>
          <w:p>
            <w:pPr>
              <w:spacing w:after="0"/>
              <w:rPr>
                <w:sz w:val="18"/>
                <w:szCs w:val="18"/>
                <w:color w:val="auto"/>
              </w:rPr>
            </w:pPr>
          </w:p>
        </w:tc>
      </w:tr>
      <w:tr>
        <w:trPr>
          <w:trHeight w:val="28"/>
        </w:trPr>
        <w:tc>
          <w:tcPr>
            <w:tcW w:w="5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3100" w:type="dxa"/>
            <w:vAlign w:val="bottom"/>
            <w:tcBorders>
              <w:bottom w:val="single" w:sz="8" w:color="CCEEFF"/>
            </w:tcBorders>
            <w:shd w:val="clear" w:color="auto" w:fill="CCEEFF"/>
          </w:tcPr>
          <w:p>
            <w:pPr>
              <w:spacing w:after="0"/>
              <w:rPr>
                <w:sz w:val="19"/>
                <w:szCs w:val="19"/>
                <w:color w:val="auto"/>
              </w:rPr>
            </w:pPr>
          </w:p>
        </w:tc>
      </w:tr>
      <w:tr>
        <w:trPr>
          <w:trHeight w:val="217"/>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10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loss (gain)</w:t>
            </w: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100" w:type="dxa"/>
            <w:vAlign w:val="bottom"/>
            <w:tcBorders>
              <w:bottom w:val="single" w:sz="8" w:color="CCEEFF"/>
            </w:tcBorders>
            <w:shd w:val="clear" w:color="auto" w:fill="CCEEFF"/>
          </w:tcPr>
          <w:p>
            <w:pPr>
              <w:spacing w:after="0"/>
              <w:rPr>
                <w:sz w:val="19"/>
                <w:szCs w:val="19"/>
                <w:color w:val="auto"/>
              </w:rPr>
            </w:pPr>
          </w:p>
        </w:tc>
      </w:tr>
      <w:tr>
        <w:trPr>
          <w:trHeight w:val="245"/>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Miscellaneous expenses, net</w:t>
            </w: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3100" w:type="dxa"/>
            <w:vAlign w:val="bottom"/>
            <w:tcBorders>
              <w:bottom w:val="single" w:sz="8" w:color="CCEEFF"/>
            </w:tcBorders>
          </w:tcPr>
          <w:p>
            <w:pPr>
              <w:spacing w:after="0"/>
              <w:rPr>
                <w:sz w:val="21"/>
                <w:szCs w:val="21"/>
                <w:color w:val="auto"/>
              </w:rPr>
            </w:pPr>
          </w:p>
        </w:tc>
      </w:tr>
      <w:tr>
        <w:trPr>
          <w:trHeight w:val="246"/>
        </w:trPr>
        <w:tc>
          <w:tcPr>
            <w:tcW w:w="5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w:t>
            </w:r>
          </w:p>
        </w:tc>
        <w:tc>
          <w:tcPr>
            <w:tcW w:w="3100" w:type="dxa"/>
            <w:vAlign w:val="bottom"/>
            <w:tcBorders>
              <w:bottom w:val="single" w:sz="8" w:color="CCEEFF"/>
            </w:tcBorders>
            <w:shd w:val="clear" w:color="auto" w:fill="CCEEFF"/>
          </w:tcPr>
          <w:p>
            <w:pPr>
              <w:spacing w:after="0"/>
              <w:rPr>
                <w:sz w:val="20"/>
                <w:szCs w:val="20"/>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320"/>
          </w:cols>
          <w:pgMar w:left="300" w:top="673" w:right="27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0" w:type="dxa"/>
            <w:vAlign w:val="bottom"/>
          </w:tcPr>
          <w:p>
            <w:pPr>
              <w:spacing w:after="0"/>
              <w:rPr>
                <w:sz w:val="1"/>
                <w:szCs w:val="1"/>
                <w:color w:val="auto"/>
              </w:rPr>
            </w:pP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699.2</w:t>
            </w:r>
          </w:p>
        </w:tc>
        <w:tc>
          <w:tcPr>
            <w:tcW w:w="0" w:type="dxa"/>
            <w:vAlign w:val="bottom"/>
          </w:tcPr>
          <w:p>
            <w:pPr>
              <w:spacing w:after="0"/>
              <w:rPr>
                <w:sz w:val="1"/>
                <w:szCs w:val="1"/>
                <w:color w:val="auto"/>
              </w:rPr>
            </w:pPr>
          </w:p>
        </w:tc>
      </w:tr>
      <w:tr>
        <w:trPr>
          <w:trHeight w:val="217"/>
        </w:trPr>
        <w:tc>
          <w:tcPr>
            <w:tcW w:w="8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4,134.5</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Future income tax benefits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4,992.8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5,033.7</w:t>
            </w:r>
          </w:p>
        </w:tc>
        <w:tc>
          <w:tcPr>
            <w:tcW w:w="0" w:type="dxa"/>
            <w:vAlign w:val="bottom"/>
          </w:tcPr>
          <w:p>
            <w:pPr>
              <w:spacing w:after="0"/>
              <w:rPr>
                <w:sz w:val="1"/>
                <w:szCs w:val="1"/>
                <w:color w:val="auto"/>
              </w:rPr>
            </w:pP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1,075.2</w:t>
            </w: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637.7</w:t>
            </w:r>
          </w:p>
        </w:tc>
        <w:tc>
          <w:tcPr>
            <w:tcW w:w="0" w:type="dxa"/>
            <w:vAlign w:val="bottom"/>
          </w:tcPr>
          <w:p>
            <w:pPr>
              <w:spacing w:after="0"/>
              <w:rPr>
                <w:sz w:val="1"/>
                <w:szCs w:val="1"/>
                <w:color w:val="auto"/>
              </w:rPr>
            </w:pPr>
          </w:p>
        </w:tc>
      </w:tr>
      <w:tr>
        <w:trPr>
          <w:trHeight w:val="217"/>
        </w:trPr>
        <w:tc>
          <w:tcPr>
            <w:tcW w:w="8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1,940.3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1,999.7</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633.5</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484.4</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149.1</w:t>
            </w:r>
          </w:p>
        </w:tc>
        <w:tc>
          <w:tcPr>
            <w:tcW w:w="0" w:type="dxa"/>
            <w:vAlign w:val="bottom"/>
          </w:tcPr>
          <w:p>
            <w:pPr>
              <w:spacing w:after="0"/>
              <w:rPr>
                <w:sz w:val="1"/>
                <w:szCs w:val="1"/>
                <w:color w:val="auto"/>
              </w:rPr>
            </w:pPr>
          </w:p>
        </w:tc>
      </w:tr>
      <w:tr>
        <w:trPr>
          <w:trHeight w:val="235"/>
        </w:trPr>
        <w:tc>
          <w:tcPr>
            <w:tcW w:w="8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7,072.7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7,182.5</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1,623.4</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1,542.7</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17"/>
        </w:trPr>
        <w:tc>
          <w:tcPr>
            <w:tcW w:w="8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493.3</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583.1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622.4</w:t>
            </w:r>
          </w:p>
        </w:tc>
        <w:tc>
          <w:tcPr>
            <w:tcW w:w="0" w:type="dxa"/>
            <w:vAlign w:val="bottom"/>
          </w:tcPr>
          <w:p>
            <w:pPr>
              <w:spacing w:after="0"/>
              <w:rPr>
                <w:sz w:val="1"/>
                <w:szCs w:val="1"/>
                <w:color w:val="auto"/>
              </w:rPr>
            </w:pPr>
          </w:p>
        </w:tc>
      </w:tr>
      <w:tr>
        <w:trPr>
          <w:trHeight w:val="217"/>
        </w:trPr>
        <w:tc>
          <w:tcPr>
            <w:tcW w:w="8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466.3</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7"/>
        </w:trPr>
        <w:tc>
          <w:tcPr>
            <w:tcW w:w="8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3,374.4</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423.9</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441.2</w:t>
            </w:r>
          </w:p>
        </w:tc>
        <w:tc>
          <w:tcPr>
            <w:tcW w:w="0" w:type="dxa"/>
            <w:vAlign w:val="bottom"/>
          </w:tcPr>
          <w:p>
            <w:pPr>
              <w:spacing w:after="0"/>
              <w:rPr>
                <w:sz w:val="1"/>
                <w:szCs w:val="1"/>
                <w:color w:val="auto"/>
              </w:rPr>
            </w:pPr>
          </w:p>
        </w:tc>
      </w:tr>
      <w:tr>
        <w:trPr>
          <w:trHeight w:val="217"/>
        </w:trPr>
        <w:tc>
          <w:tcPr>
            <w:tcW w:w="8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liabilities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865.1</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3,128.3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3,084.2</w:t>
            </w: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1,777.1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1,667.8</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Treasury stock, at cost</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(1,654.9)</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2,943.0</w:t>
            </w:r>
          </w:p>
        </w:tc>
        <w:tc>
          <w:tcPr>
            <w:tcW w:w="0" w:type="dxa"/>
            <w:vAlign w:val="bottom"/>
          </w:tcPr>
          <w:p>
            <w:pPr>
              <w:spacing w:after="0"/>
              <w:rPr>
                <w:sz w:val="1"/>
                <w:szCs w:val="1"/>
                <w:color w:val="auto"/>
              </w:rPr>
            </w:pPr>
          </w:p>
        </w:tc>
      </w:tr>
      <w:tr>
        <w:trPr>
          <w:trHeight w:val="235"/>
        </w:trPr>
        <w:tc>
          <w:tcPr>
            <w:tcW w:w="8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7,072.7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7,182.5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40" w:top="67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4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left="500"/>
              <w:spacing w:after="0"/>
              <w:rPr>
                <w:sz w:val="20"/>
                <w:szCs w:val="20"/>
                <w:color w:val="auto"/>
              </w:rPr>
            </w:pPr>
            <w:r>
              <w:rPr>
                <w:rFonts w:ascii="Times New Roman" w:cs="Times New Roman" w:eastAsia="Times New Roman" w:hAnsi="Times New Roman"/>
                <w:sz w:val="16"/>
                <w:szCs w:val="16"/>
                <w:color w:val="auto"/>
              </w:rPr>
              <w:t>(Unaudited)</w:t>
            </w: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earnings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179.9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(used in)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23.9</w:t>
            </w: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Excess tax benefit on exercise of share-based awards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135.4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47.3</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 provided by (used in)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7"/>
        </w:trPr>
        <w:tc>
          <w:tcPr>
            <w:tcW w:w="8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w:t>
            </w: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share-based award transactions,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45"/>
        </w:trPr>
        <w:tc>
          <w:tcPr>
            <w:tcW w:w="8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45"/>
        </w:trPr>
        <w:tc>
          <w:tcPr>
            <w:tcW w:w="8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4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4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699.2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737.6</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465.9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638.5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3"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2019-12-06T05:53:51Z</dcterms:created>
  <dcterms:modified xsi:type="dcterms:W3CDTF">2019-12-06T05:53:51Z</dcterms:modified>
</cp:coreProperties>
</file>