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64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6442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JOERRES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51"/>
        <w:spacing w:after="0"/>
        <w:rPr>
          <w:sz w:val="20"/>
          <w:szCs w:val="20"/>
          <w:color w:val="auto"/>
        </w:rPr>
      </w:pPr>
      <w:r>
        <w:rPr>
          <w:rFonts w:ascii="Arial" w:cs="Arial" w:eastAsia="Arial" w:hAnsi="Arial"/>
          <w:sz w:val="17"/>
          <w:szCs w:val="17"/>
          <w:color w:val="0000FF"/>
        </w:rPr>
        <w:t>Executive Chairman</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53212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40" w:type="dxa"/>
            <w:vAlign w:val="bottom"/>
            <w:gridSpan w:val="2"/>
          </w:tcPr>
          <w:p>
            <w:pPr>
              <w:jc w:val="center"/>
              <w:ind w:left="44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4"/>
              <w:spacing w:after="0"/>
              <w:rPr>
                <w:sz w:val="20"/>
                <w:szCs w:val="20"/>
                <w:color w:val="auto"/>
              </w:rPr>
            </w:pPr>
            <w:r>
              <w:rPr>
                <w:rFonts w:ascii="Arial" w:cs="Arial" w:eastAsia="Arial" w:hAnsi="Arial"/>
                <w:sz w:val="17"/>
                <w:szCs w:val="17"/>
                <w:color w:val="0000FF"/>
                <w:w w:val="91"/>
              </w:rPr>
              <w:t>07/28/2015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146,072</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2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56.64</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233,040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07/28/2015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146,072</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89.0922</w:t>
            </w:r>
            <w:r>
              <w:rPr>
                <w:rFonts w:ascii="Arial" w:cs="Arial" w:eastAsia="Arial" w:hAnsi="Arial"/>
                <w:sz w:val="22"/>
                <w:szCs w:val="22"/>
                <w:color w:val="008000"/>
                <w:w w:val="87"/>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86,968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07/28/2015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82,178</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89.0855</w:t>
            </w:r>
            <w:r>
              <w:rPr>
                <w:rFonts w:ascii="Arial" w:cs="Arial" w:eastAsia="Arial" w:hAnsi="Arial"/>
                <w:sz w:val="22"/>
                <w:szCs w:val="22"/>
                <w:color w:val="008000"/>
                <w:w w:val="87"/>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4,790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4,790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88.6737</w:t>
            </w:r>
            <w:r>
              <w:rPr>
                <w:rFonts w:ascii="Arial" w:cs="Arial" w:eastAsia="Arial" w:hAnsi="Arial"/>
                <w:sz w:val="22"/>
                <w:szCs w:val="22"/>
                <w:color w:val="008000"/>
                <w:w w:val="87"/>
                <w:vertAlign w:val="superscript"/>
              </w:rPr>
              <w:t>(3)</w:t>
            </w:r>
          </w:p>
        </w:tc>
        <w:tc>
          <w:tcPr>
            <w:tcW w:w="64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33,928</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2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56.64</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33,928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50,000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2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30.96</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83,928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40" w:type="dxa"/>
            <w:vAlign w:val="bottom"/>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91,072</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left="2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53.01</w:t>
            </w:r>
          </w:p>
        </w:tc>
        <w:tc>
          <w:tcPr>
            <w:tcW w:w="1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175,000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30,496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88.9668</w:t>
            </w:r>
            <w:r>
              <w:rPr>
                <w:rFonts w:ascii="Arial" w:cs="Arial" w:eastAsia="Arial" w:hAnsi="Arial"/>
                <w:sz w:val="22"/>
                <w:szCs w:val="22"/>
                <w:color w:val="008000"/>
                <w:w w:val="87"/>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144,504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143,396</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90.0369</w:t>
            </w:r>
            <w:r>
              <w:rPr>
                <w:rFonts w:ascii="Arial" w:cs="Arial" w:eastAsia="Arial" w:hAnsi="Arial"/>
                <w:sz w:val="22"/>
                <w:szCs w:val="22"/>
                <w:color w:val="008000"/>
                <w:w w:val="87"/>
                <w:vertAlign w:val="superscript"/>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444"/>
              <w:spacing w:after="0"/>
              <w:rPr>
                <w:sz w:val="20"/>
                <w:szCs w:val="20"/>
                <w:color w:val="auto"/>
              </w:rPr>
            </w:pPr>
            <w:r>
              <w:rPr>
                <w:rFonts w:ascii="Arial" w:cs="Arial" w:eastAsia="Arial" w:hAnsi="Arial"/>
                <w:sz w:val="17"/>
                <w:szCs w:val="17"/>
                <w:color w:val="0000FF"/>
                <w:w w:val="91"/>
              </w:rPr>
              <w:t>07/29/2015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1,108</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90.5274</w:t>
            </w:r>
            <w:r>
              <w:rPr>
                <w:rFonts w:ascii="Arial" w:cs="Arial" w:eastAsia="Arial" w:hAnsi="Arial"/>
                <w:sz w:val="22"/>
                <w:szCs w:val="22"/>
                <w:color w:val="008000"/>
                <w:w w:val="87"/>
                <w:vertAlign w:val="superscript"/>
              </w:rPr>
              <w:t>(6)</w:t>
            </w:r>
          </w:p>
        </w:tc>
        <w:tc>
          <w:tcPr>
            <w:tcW w:w="64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84"/>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in wife's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name</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500" w:type="dxa"/>
            <w:vAlign w:val="bottom"/>
            <w:tcBorders>
              <w:bottom w:val="single" w:sz="8" w:color="2C2C2C"/>
            </w:tcBorders>
            <w:gridSpan w:val="10"/>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0"/>
          </w:tcPr>
          <w:p>
            <w:pPr>
              <w:jc w:val="right"/>
              <w:ind w:right="18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right"/>
              <w:ind w:right="67"/>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jc w:val="right"/>
              <w:ind w:right="167"/>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jc w:val="right"/>
              <w:ind w:right="187"/>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07/28/2015</w:t>
            </w:r>
          </w:p>
        </w:tc>
        <w:tc>
          <w:tcPr>
            <w:tcW w:w="11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center"/>
              <w:ind w:left="298"/>
              <w:spacing w:after="0"/>
              <w:rPr>
                <w:sz w:val="20"/>
                <w:szCs w:val="20"/>
                <w:color w:val="auto"/>
              </w:rPr>
            </w:pPr>
            <w:r>
              <w:rPr>
                <w:rFonts w:ascii="Arial" w:cs="Arial" w:eastAsia="Arial" w:hAnsi="Arial"/>
                <w:sz w:val="13"/>
                <w:szCs w:val="13"/>
                <w:color w:val="0000FF"/>
                <w:w w:val="89"/>
              </w:rPr>
              <w:t>146,072</w:t>
            </w:r>
          </w:p>
        </w:tc>
        <w:tc>
          <w:tcPr>
            <w:tcW w:w="820" w:type="dxa"/>
            <w:vAlign w:val="bottom"/>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02/20/2018</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146,072</w:t>
            </w:r>
          </w:p>
        </w:tc>
        <w:tc>
          <w:tcPr>
            <w:tcW w:w="14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56.64</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33,928</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jc w:val="center"/>
              <w:spacing w:after="0" w:line="84" w:lineRule="exact"/>
              <w:rPr>
                <w:sz w:val="20"/>
                <w:szCs w:val="20"/>
                <w:color w:val="auto"/>
              </w:rPr>
            </w:pPr>
            <w:r>
              <w:rPr>
                <w:rFonts w:ascii="Arial" w:cs="Arial" w:eastAsia="Arial" w:hAnsi="Arial"/>
                <w:sz w:val="9"/>
                <w:szCs w:val="9"/>
                <w:color w:val="0000FF"/>
              </w:rPr>
              <w:t>Stock</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07/29/2015</w:t>
            </w:r>
          </w:p>
        </w:tc>
        <w:tc>
          <w:tcPr>
            <w:tcW w:w="112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vMerge w:val="restart"/>
          </w:tcPr>
          <w:p>
            <w:pPr>
              <w:jc w:val="center"/>
              <w:ind w:left="298"/>
              <w:spacing w:after="0"/>
              <w:rPr>
                <w:sz w:val="20"/>
                <w:szCs w:val="20"/>
                <w:color w:val="auto"/>
              </w:rPr>
            </w:pPr>
            <w:r>
              <w:rPr>
                <w:rFonts w:ascii="Arial" w:cs="Arial" w:eastAsia="Arial" w:hAnsi="Arial"/>
                <w:sz w:val="13"/>
                <w:szCs w:val="13"/>
                <w:color w:val="0000FF"/>
                <w:w w:val="95"/>
              </w:rPr>
              <w:t>33,928</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02/20/2018</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33,928</w:t>
            </w:r>
          </w:p>
        </w:tc>
        <w:tc>
          <w:tcPr>
            <w:tcW w:w="140" w:type="dxa"/>
            <w:vAlign w:val="bottom"/>
          </w:tcPr>
          <w:p>
            <w:pPr>
              <w:spacing w:after="0"/>
              <w:rPr>
                <w:sz w:val="12"/>
                <w:szCs w:val="12"/>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56.64</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30.96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07/29/2015</w:t>
            </w:r>
          </w:p>
        </w:tc>
        <w:tc>
          <w:tcPr>
            <w:tcW w:w="112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vMerge w:val="restart"/>
          </w:tcPr>
          <w:p>
            <w:pPr>
              <w:jc w:val="center"/>
              <w:ind w:left="298"/>
              <w:spacing w:after="0"/>
              <w:rPr>
                <w:sz w:val="20"/>
                <w:szCs w:val="20"/>
                <w:color w:val="auto"/>
              </w:rPr>
            </w:pPr>
            <w:r>
              <w:rPr>
                <w:rFonts w:ascii="Arial" w:cs="Arial" w:eastAsia="Arial" w:hAnsi="Arial"/>
                <w:sz w:val="13"/>
                <w:szCs w:val="13"/>
                <w:color w:val="0000FF"/>
                <w:w w:val="95"/>
              </w:rPr>
              <w:t>50,000</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2"/>
              </w:rPr>
              <w:t>02/17/2019</w:t>
            </w:r>
          </w:p>
        </w:tc>
        <w:tc>
          <w:tcPr>
            <w:tcW w:w="60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50,000</w:t>
            </w:r>
          </w:p>
        </w:tc>
        <w:tc>
          <w:tcPr>
            <w:tcW w:w="140" w:type="dxa"/>
            <w:vAlign w:val="bottom"/>
          </w:tcPr>
          <w:p>
            <w:pPr>
              <w:spacing w:after="0"/>
              <w:rPr>
                <w:sz w:val="12"/>
                <w:szCs w:val="12"/>
                <w:color w:val="auto"/>
              </w:rPr>
            </w:pPr>
          </w:p>
        </w:tc>
        <w:tc>
          <w:tcPr>
            <w:tcW w:w="640" w:type="dxa"/>
            <w:vAlign w:val="bottom"/>
            <w:vMerge w:val="restart"/>
          </w:tcPr>
          <w:p>
            <w:pPr>
              <w:jc w:val="right"/>
              <w:ind w:right="167"/>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30.96</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Stock</w:t>
            </w:r>
          </w:p>
        </w:tc>
        <w:tc>
          <w:tcPr>
            <w:tcW w:w="7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53.01</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07/29/2015</w:t>
            </w:r>
          </w:p>
        </w:tc>
        <w:tc>
          <w:tcPr>
            <w:tcW w:w="112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60" w:type="dxa"/>
            <w:vAlign w:val="bottom"/>
          </w:tcPr>
          <w:p>
            <w:pPr>
              <w:jc w:val="center"/>
              <w:ind w:left="298"/>
              <w:spacing w:after="0"/>
              <w:rPr>
                <w:sz w:val="20"/>
                <w:szCs w:val="20"/>
                <w:color w:val="auto"/>
              </w:rPr>
            </w:pPr>
            <w:r>
              <w:rPr>
                <w:rFonts w:ascii="Arial" w:cs="Arial" w:eastAsia="Arial" w:hAnsi="Arial"/>
                <w:sz w:val="13"/>
                <w:szCs w:val="13"/>
                <w:color w:val="0000FF"/>
                <w:w w:val="95"/>
              </w:rPr>
              <w:t>91,072</w:t>
            </w:r>
          </w:p>
        </w:tc>
        <w:tc>
          <w:tcPr>
            <w:tcW w:w="820" w:type="dxa"/>
            <w:vAlign w:val="bottom"/>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jc w:val="center"/>
              <w:spacing w:after="0"/>
              <w:rPr>
                <w:sz w:val="20"/>
                <w:szCs w:val="20"/>
                <w:color w:val="auto"/>
              </w:rPr>
            </w:pPr>
            <w:r>
              <w:rPr>
                <w:rFonts w:ascii="Arial" w:cs="Arial" w:eastAsia="Arial" w:hAnsi="Arial"/>
                <w:sz w:val="13"/>
                <w:szCs w:val="13"/>
                <w:color w:val="0000FF"/>
                <w:w w:val="92"/>
              </w:rPr>
              <w:t>02/18/2020</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91"/>
              </w:rPr>
              <w:t>158,000</w:t>
            </w:r>
          </w:p>
        </w:tc>
        <w:tc>
          <w:tcPr>
            <w:tcW w:w="140" w:type="dxa"/>
            <w:vAlign w:val="bottom"/>
          </w:tcPr>
          <w:p>
            <w:pPr>
              <w:spacing w:after="0"/>
              <w:rPr>
                <w:sz w:val="18"/>
                <w:szCs w:val="18"/>
                <w:color w:val="auto"/>
              </w:rPr>
            </w:pPr>
          </w:p>
        </w:tc>
        <w:tc>
          <w:tcPr>
            <w:tcW w:w="640" w:type="dxa"/>
            <w:vAlign w:val="bottom"/>
          </w:tcPr>
          <w:p>
            <w:pPr>
              <w:jc w:val="right"/>
              <w:ind w:right="167"/>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53.01</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5"/>
              </w:rPr>
              <w:t>66,928</w:t>
            </w:r>
          </w:p>
        </w:tc>
        <w:tc>
          <w:tcPr>
            <w:tcW w:w="28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4" w:lineRule="exact"/>
              <w:rPr>
                <w:sz w:val="20"/>
                <w:szCs w:val="20"/>
                <w:color w:val="auto"/>
              </w:rPr>
            </w:pPr>
            <w:r>
              <w:rPr>
                <w:rFonts w:ascii="Arial" w:cs="Arial" w:eastAsia="Arial" w:hAnsi="Arial"/>
                <w:sz w:val="10"/>
                <w:szCs w:val="10"/>
                <w:color w:val="0000FF"/>
              </w:rPr>
              <w:t>Stock</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$88.88 to $89.52. Upon request, the reporting person will provide to the SEC staff, the issuer, or any security holder of the issuer, full information regarding the number of shares sold at each separate price within this range.</w:t>
      </w:r>
    </w:p>
    <w:p>
      <w:pPr>
        <w:spacing w:after="0" w:line="21"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$88.88 to $89.395. Upon request, the reporting person will provide to the SEC staff, the issuer, or any security holder of the issuer, full information regarding the number of shares sold at each separate price within this range.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price is the weighted average price. The prices received actually ranged from $88.62 to $88.85. Upon request, the reporting person will provide to the SEC staff, the issuer, or any security holder of the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issuer, full information regarding the number of shares sold at each separate price within this range.</w:t>
      </w:r>
    </w:p>
    <w:p>
      <w:pPr>
        <w:spacing w:after="0" w:line="49" w:lineRule="exact"/>
        <w:rPr>
          <w:sz w:val="20"/>
          <w:szCs w:val="20"/>
          <w:color w:val="auto"/>
        </w:rPr>
      </w:pPr>
    </w:p>
    <w:p>
      <w:pPr>
        <w:ind w:right="12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$88.50 to $89.50. Upon request, the reporting person will provide to the SEC staff, the issuer, or any security holder of the issuer, full information regarding the number of shares sold at each separate price within this range.</w:t>
      </w:r>
    </w:p>
    <w:p>
      <w:pPr>
        <w:spacing w:after="0" w:line="21" w:lineRule="exact"/>
        <w:rPr>
          <w:rFonts w:ascii="Arial" w:cs="Arial" w:eastAsia="Arial" w:hAnsi="Arial"/>
          <w:sz w:val="13"/>
          <w:szCs w:val="13"/>
          <w:color w:val="008000"/>
        </w:rPr>
      </w:pPr>
    </w:p>
    <w:p>
      <w:pPr>
        <w:ind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$89.5079 to $90.50. Upon request, the reporting person will provide to the SEC staff, the issuer, or any security holder of the issuer, full information regarding the number of shares sold at each separate price within this range.</w:t>
      </w:r>
    </w:p>
    <w:p>
      <w:pPr>
        <w:spacing w:after="0" w:line="21" w:lineRule="exact"/>
        <w:rPr>
          <w:rFonts w:ascii="Arial" w:cs="Arial" w:eastAsia="Arial" w:hAnsi="Arial"/>
          <w:sz w:val="13"/>
          <w:szCs w:val="13"/>
          <w:color w:val="008000"/>
        </w:rPr>
      </w:pPr>
    </w:p>
    <w:p>
      <w:pPr>
        <w:ind w:right="120" w:firstLine="6"/>
        <w:spacing w:after="0" w:line="259" w:lineRule="auto"/>
        <w:tabs>
          <w:tab w:leader="none" w:pos="13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$90.52 to $90.54. Upon request, the reporting person will provide to the SEC staff, the issuer, or any security holder of the issuer, full information regarding the number of shares sold at each separate price within this range.</w:t>
      </w:r>
    </w:p>
    <w:p>
      <w:pPr>
        <w:spacing w:after="0" w:line="21"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2/20/2009, 2/20/2010, 2/20/2011, and 2/20/2012</w:t>
      </w:r>
    </w:p>
    <w:p>
      <w:pPr>
        <w:spacing w:after="0" w:line="48"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2/17/2010, 2/17/2011, 2/17/2012, and 2/17/2013</w:t>
      </w:r>
    </w:p>
    <w:p>
      <w:pPr>
        <w:spacing w:after="0" w:line="48" w:lineRule="exact"/>
        <w:rPr>
          <w:rFonts w:ascii="Arial" w:cs="Arial" w:eastAsia="Arial" w:hAnsi="Arial"/>
          <w:sz w:val="13"/>
          <w:szCs w:val="13"/>
          <w:color w:val="008000"/>
        </w:rPr>
      </w:pPr>
    </w:p>
    <w:p>
      <w:pPr>
        <w:ind w:left="140" w:hanging="134"/>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2/18/2011, 2/18/2012, 2/18/2013, and 2/18/2014</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-8890</wp:posOffset>
            </wp:positionV>
            <wp:extent cx="138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to Power of Attorney previously 07/30/2015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4329430</wp:posOffset>
            </wp:positionH>
            <wp:positionV relativeFrom="paragraph">
              <wp:posOffset>-12700</wp:posOffset>
            </wp:positionV>
            <wp:extent cx="236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0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480" w:firstLine="6"/>
        <w:spacing w:after="0" w:line="316" w:lineRule="auto"/>
        <w:tabs>
          <w:tab w:leader="none" w:pos="14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20"/>
      </w:cols>
      <w:pgMar w:left="28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253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2019-12-23T15:25:31Z</dcterms:created>
  <dcterms:modified xsi:type="dcterms:W3CDTF">2019-12-23T15:25:31Z</dcterms:modified>
</cp:coreProperties>
</file>