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081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081395"/>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3"/>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VAN HANDEL MICHAEL J</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ManpowerGroup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MAN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6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01/01/2026</w:t>
            </w:r>
          </w:p>
        </w:tc>
        <w:tc>
          <w:tcPr>
            <w:tcW w:w="19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MANPOWERGROUP INC.</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1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100 MANPOWER PLACE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53212</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01/01/2026</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2,357</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20,865</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vMerge w:val="restart"/>
          </w:tcPr>
          <w:p>
            <w:pPr>
              <w:jc w:val="center"/>
              <w:ind w:right="263"/>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(3)</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79</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(4)</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01/01/2026</w:t>
            </w:r>
          </w:p>
        </w:tc>
        <w:tc>
          <w:tcPr>
            <w:tcW w:w="1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80" w:type="dxa"/>
            <w:vAlign w:val="bottom"/>
            <w:vMerge w:val="restart"/>
          </w:tcPr>
          <w:p>
            <w:pPr>
              <w:jc w:val="center"/>
              <w:ind w:left="21"/>
              <w:spacing w:after="0" w:line="141" w:lineRule="exact"/>
              <w:rPr>
                <w:sz w:val="20"/>
                <w:szCs w:val="20"/>
                <w:color w:val="auto"/>
              </w:rPr>
            </w:pPr>
            <w:r>
              <w:rPr>
                <w:rFonts w:ascii="Times New Roman" w:cs="Times New Roman" w:eastAsia="Times New Roman" w:hAnsi="Times New Roman"/>
                <w:sz w:val="13"/>
                <w:szCs w:val="13"/>
                <w:color w:val="0000FF"/>
                <w:w w:val="91"/>
              </w:rPr>
              <w:t>79</w:t>
            </w:r>
          </w:p>
        </w:tc>
        <w:tc>
          <w:tcPr>
            <w:tcW w:w="4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restart"/>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5"/>
              </w:rPr>
              <w:t>2,357</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vMerge w:val="restart"/>
          </w:tcPr>
          <w:p>
            <w:pPr>
              <w:jc w:val="center"/>
              <w:ind w:right="263"/>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(3)</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82</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(4)</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01/01/2026</w:t>
            </w:r>
          </w:p>
        </w:tc>
        <w:tc>
          <w:tcPr>
            <w:tcW w:w="1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80" w:type="dxa"/>
            <w:vAlign w:val="bottom"/>
            <w:vMerge w:val="restart"/>
          </w:tcPr>
          <w:p>
            <w:pPr>
              <w:jc w:val="center"/>
              <w:ind w:left="21"/>
              <w:spacing w:after="0" w:line="141" w:lineRule="exact"/>
              <w:rPr>
                <w:sz w:val="20"/>
                <w:szCs w:val="20"/>
                <w:color w:val="auto"/>
              </w:rPr>
            </w:pPr>
            <w:r>
              <w:rPr>
                <w:rFonts w:ascii="Times New Roman" w:cs="Times New Roman" w:eastAsia="Times New Roman" w:hAnsi="Times New Roman"/>
                <w:sz w:val="13"/>
                <w:szCs w:val="13"/>
                <w:color w:val="0000FF"/>
                <w:w w:val="91"/>
              </w:rPr>
              <w:t>82</w:t>
            </w:r>
          </w:p>
        </w:tc>
        <w:tc>
          <w:tcPr>
            <w:tcW w:w="4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restart"/>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5"/>
              </w:rPr>
              <w:t>2,447</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vMerge w:val="restart"/>
          </w:tcPr>
          <w:p>
            <w:pPr>
              <w:jc w:val="center"/>
              <w:ind w:right="263"/>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(3)</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108</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41.48</w:t>
            </w:r>
            <w:r>
              <w:rPr>
                <w:rFonts w:ascii="Times New Roman" w:cs="Times New Roman" w:eastAsia="Times New Roman" w:hAnsi="Times New Roman"/>
                <w:sz w:val="21"/>
                <w:szCs w:val="21"/>
                <w:color w:val="008000"/>
                <w:w w:val="95"/>
                <w:vertAlign w:val="superscript"/>
              </w:rPr>
              <w:t>(4)</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01/01/2026</w:t>
            </w:r>
          </w:p>
        </w:tc>
        <w:tc>
          <w:tcPr>
            <w:tcW w:w="1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80" w:type="dxa"/>
            <w:vAlign w:val="bottom"/>
            <w:vMerge w:val="restart"/>
          </w:tcPr>
          <w:p>
            <w:pPr>
              <w:jc w:val="center"/>
              <w:ind w:left="21"/>
              <w:spacing w:after="0" w:line="141" w:lineRule="exact"/>
              <w:rPr>
                <w:sz w:val="20"/>
                <w:szCs w:val="20"/>
                <w:color w:val="auto"/>
              </w:rPr>
            </w:pPr>
            <w:r>
              <w:rPr>
                <w:rFonts w:ascii="Times New Roman" w:cs="Times New Roman" w:eastAsia="Times New Roman" w:hAnsi="Times New Roman"/>
                <w:sz w:val="13"/>
                <w:szCs w:val="13"/>
                <w:color w:val="0000FF"/>
              </w:rPr>
              <w:t>108</w:t>
            </w:r>
          </w:p>
        </w:tc>
        <w:tc>
          <w:tcPr>
            <w:tcW w:w="4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restart"/>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5"/>
              </w:rPr>
              <w:t>3,227</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vMerge w:val="restart"/>
          </w:tcPr>
          <w:p>
            <w:pPr>
              <w:jc w:val="center"/>
              <w:ind w:right="263"/>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(8)</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6,054</w:t>
            </w:r>
          </w:p>
        </w:tc>
        <w:tc>
          <w:tcPr>
            <w:tcW w:w="760" w:type="dxa"/>
            <w:vAlign w:val="bottom"/>
            <w:gridSpan w:val="2"/>
            <w:vMerge w:val="restart"/>
          </w:tcPr>
          <w:p>
            <w:pPr>
              <w:jc w:val="center"/>
              <w:spacing w:after="0"/>
              <w:rPr>
                <w:sz w:val="20"/>
                <w:szCs w:val="20"/>
                <w:color w:val="auto"/>
              </w:rPr>
            </w:pPr>
            <w:r>
              <w:rPr>
                <w:rFonts w:ascii="Arial" w:cs="Arial" w:eastAsia="Arial" w:hAnsi="Arial"/>
                <w:sz w:val="12"/>
                <w:szCs w:val="12"/>
                <w:color w:val="auto"/>
                <w:w w:val="95"/>
              </w:rPr>
              <w:t>$</w:t>
            </w:r>
            <w:r>
              <w:rPr>
                <w:rFonts w:ascii="Times New Roman" w:cs="Times New Roman" w:eastAsia="Times New Roman" w:hAnsi="Times New Roman"/>
                <w:sz w:val="12"/>
                <w:szCs w:val="12"/>
                <w:color w:val="0000FF"/>
                <w:w w:val="95"/>
              </w:rPr>
              <w:t>29.73</w:t>
            </w:r>
            <w:r>
              <w:rPr>
                <w:rFonts w:ascii="Times New Roman" w:cs="Times New Roman" w:eastAsia="Times New Roman" w:hAnsi="Times New Roman"/>
                <w:sz w:val="21"/>
                <w:szCs w:val="21"/>
                <w:color w:val="008000"/>
                <w:w w:val="95"/>
                <w:vertAlign w:val="superscript"/>
              </w:rPr>
              <w:t>(9)</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01/01/2026</w:t>
            </w:r>
          </w:p>
        </w:tc>
        <w:tc>
          <w:tcPr>
            <w:tcW w:w="1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80" w:type="dxa"/>
            <w:vAlign w:val="bottom"/>
            <w:vMerge w:val="restart"/>
          </w:tcPr>
          <w:p>
            <w:pPr>
              <w:jc w:val="center"/>
              <w:ind w:left="21"/>
              <w:spacing w:after="0" w:line="141" w:lineRule="exact"/>
              <w:rPr>
                <w:sz w:val="20"/>
                <w:szCs w:val="20"/>
                <w:color w:val="auto"/>
              </w:rPr>
            </w:pPr>
            <w:r>
              <w:rPr>
                <w:rFonts w:ascii="Times New Roman" w:cs="Times New Roman" w:eastAsia="Times New Roman" w:hAnsi="Times New Roman"/>
                <w:sz w:val="13"/>
                <w:szCs w:val="13"/>
                <w:color w:val="0000FF"/>
                <w:w w:val="95"/>
              </w:rPr>
              <w:t>6,054</w:t>
            </w:r>
          </w:p>
        </w:tc>
        <w:tc>
          <w:tcPr>
            <w:tcW w:w="4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restart"/>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w w:val="95"/>
              </w:rPr>
              <w:t>6,054</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2,357</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01/01/2026</w:t>
            </w:r>
          </w:p>
        </w:tc>
        <w:tc>
          <w:tcPr>
            <w:tcW w:w="1120" w:type="dxa"/>
            <w:vAlign w:val="bottom"/>
          </w:tcPr>
          <w:p>
            <w:pPr>
              <w:spacing w:after="0"/>
              <w:rPr>
                <w:sz w:val="5"/>
                <w:szCs w:val="5"/>
                <w:color w:val="auto"/>
              </w:rPr>
            </w:pPr>
          </w:p>
        </w:tc>
        <w:tc>
          <w:tcPr>
            <w:tcW w:w="740" w:type="dxa"/>
            <w:vAlign w:val="bottom"/>
            <w:vMerge w:val="restart"/>
          </w:tcPr>
          <w:p>
            <w:pPr>
              <w:jc w:val="center"/>
              <w:ind w:right="283"/>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5"/>
                <w:szCs w:val="5"/>
                <w:color w:val="auto"/>
              </w:rPr>
            </w:pPr>
          </w:p>
        </w:tc>
        <w:tc>
          <w:tcPr>
            <w:tcW w:w="4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2,357</w:t>
            </w:r>
          </w:p>
        </w:tc>
        <w:tc>
          <w:tcPr>
            <w:tcW w:w="820" w:type="dxa"/>
            <w:vAlign w:val="bottom"/>
            <w:gridSpan w:val="2"/>
            <w:vMerge w:val="restart"/>
          </w:tcPr>
          <w:p>
            <w:pPr>
              <w:jc w:val="center"/>
              <w:ind w:right="21"/>
              <w:spacing w:after="0" w:line="141" w:lineRule="exact"/>
              <w:rPr>
                <w:sz w:val="20"/>
                <w:szCs w:val="20"/>
                <w:color w:val="auto"/>
              </w:rPr>
            </w:pPr>
            <w:r>
              <w:rPr>
                <w:rFonts w:ascii="Times New Roman" w:cs="Times New Roman" w:eastAsia="Times New Roman" w:hAnsi="Times New Roman"/>
                <w:sz w:val="13"/>
                <w:szCs w:val="13"/>
                <w:color w:val="0000FF"/>
                <w:w w:val="97"/>
              </w:rPr>
              <w:t>01/01/2026</w:t>
            </w:r>
          </w:p>
        </w:tc>
        <w:tc>
          <w:tcPr>
            <w:tcW w:w="680" w:type="dxa"/>
            <w:vAlign w:val="bottom"/>
            <w:vMerge w:val="restart"/>
          </w:tcPr>
          <w:p>
            <w:pPr>
              <w:jc w:val="center"/>
              <w:ind w:right="41"/>
              <w:spacing w:after="0" w:line="141" w:lineRule="exact"/>
              <w:rPr>
                <w:sz w:val="20"/>
                <w:szCs w:val="20"/>
                <w:color w:val="auto"/>
              </w:rPr>
            </w:pPr>
            <w:r>
              <w:rPr>
                <w:rFonts w:ascii="Times New Roman" w:cs="Times New Roman" w:eastAsia="Times New Roman" w:hAnsi="Times New Roman"/>
                <w:sz w:val="13"/>
                <w:szCs w:val="13"/>
                <w:color w:val="0000FF"/>
                <w:w w:val="97"/>
              </w:rPr>
              <w:t>01/01/2026</w:t>
            </w: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vMerge w:val="restart"/>
          </w:tcPr>
          <w:p>
            <w:pPr>
              <w:jc w:val="center"/>
              <w:ind w:left="180"/>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-3239770</wp:posOffset>
            </wp:positionV>
            <wp:extent cx="29210" cy="3244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2448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Settlement of shares of deferred stock in shares of ManpowerGroup common stock on a 1 for 1 basis.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were settled in shares of ManpowerGroup common stock on a 1 for 1 basis on January 1, 2026.</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deferred stock under the Plan and the Terms and Conditions in lieu of dividends.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Average Trading Price (as defined in the Terms and Conditions).</w:t>
      </w:r>
    </w:p>
    <w:p>
      <w:pPr>
        <w:spacing w:after="0" w:line="43" w:lineRule="exact"/>
        <w:rPr>
          <w:rFonts w:ascii="Times New Roman" w:cs="Times New Roman" w:eastAsia="Times New Roman" w:hAnsi="Times New Roman"/>
          <w:sz w:val="13"/>
          <w:szCs w:val="13"/>
          <w:color w:val="008000"/>
        </w:rPr>
      </w:pPr>
    </w:p>
    <w:p>
      <w:pPr>
        <w:ind w:left="40" w:right="32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2027 or within 30 days after the reporting person's termination of service as a director, except as otherwise provided in the Terms and Conditions.</w:t>
      </w:r>
    </w:p>
    <w:p>
      <w:pPr>
        <w:spacing w:after="0" w:line="18" w:lineRule="exact"/>
        <w:rPr>
          <w:rFonts w:ascii="Times New Roman" w:cs="Times New Roman" w:eastAsia="Times New Roman" w:hAnsi="Times New Roman"/>
          <w:sz w:val="13"/>
          <w:szCs w:val="13"/>
          <w:color w:val="008000"/>
        </w:rPr>
      </w:pPr>
    </w:p>
    <w:p>
      <w:pPr>
        <w:ind w:left="40" w:right="32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2028 or within 30 days after the reporting person's termination of service as a director, except as otherwise provided in the Terms and Conditions.</w:t>
      </w:r>
    </w:p>
    <w:p>
      <w:pPr>
        <w:spacing w:after="0" w:line="18" w:lineRule="exact"/>
        <w:rPr>
          <w:rFonts w:ascii="Times New Roman" w:cs="Times New Roman" w:eastAsia="Times New Roman" w:hAnsi="Times New Roman"/>
          <w:sz w:val="13"/>
          <w:szCs w:val="13"/>
          <w:color w:val="008000"/>
        </w:rPr>
      </w:pPr>
    </w:p>
    <w:p>
      <w:pPr>
        <w:ind w:left="40" w:right="18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vest in quarterly installments on the last day of each calendar quarter during 2026 and will be settled in shares of ManpowerGroup common stock on a 1 for 1 basis on the earlier of January 1, 2029 or within 30 days after the reporting person's termination of service as a director, except as otherwise provided in the Terms and Conditions (as defined below).</w:t>
      </w:r>
    </w:p>
    <w:p>
      <w:pPr>
        <w:spacing w:after="0" w:line="18" w:lineRule="exact"/>
        <w:rPr>
          <w:rFonts w:ascii="Times New Roman" w:cs="Times New Roman" w:eastAsia="Times New Roman" w:hAnsi="Times New Roman"/>
          <w:sz w:val="13"/>
          <w:szCs w:val="13"/>
          <w:color w:val="008000"/>
        </w:rPr>
      </w:pPr>
    </w:p>
    <w:p>
      <w:pPr>
        <w:ind w:left="40" w:right="22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grant of deferred stock under the 2011 Equity Incentive Plan of the Company (the "Plan") and the Terms and Conditions Regarding the Grant of Awards to Non-Employee Directors under the Plan (the "Terms and Conditions").</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Market Price (as defined in the Plan) on the last trading day of 2025.</w:t>
      </w:r>
    </w:p>
    <w:p>
      <w:pPr>
        <w:spacing w:after="0" w:line="6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Michelle Nettles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256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to Power of Attorney</w:t>
      </w:r>
      <w:r>
        <w:rPr>
          <w:sz w:val="20"/>
          <w:szCs w:val="20"/>
          <w:color w:val="auto"/>
        </w:rPr>
        <w:tab/>
      </w:r>
      <w:r>
        <w:rPr>
          <w:rFonts w:ascii="Times New Roman" w:cs="Times New Roman" w:eastAsia="Times New Roman" w:hAnsi="Times New Roman"/>
          <w:sz w:val="16"/>
          <w:szCs w:val="16"/>
          <w:color w:val="0000FF"/>
        </w:rPr>
        <w:t>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89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9725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-16510</wp:posOffset>
            </wp:positionV>
            <wp:extent cx="482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702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8" w:right="1440" w:bottom="1440" w:gutter="0" w:footer="0" w:header="0"/>
        </w:sectPr>
      </w:pPr>
    </w:p>
    <w:bookmarkStart w:id="2" w:name="page3"/>
    <w:bookmarkEnd w:id="2"/>
    <w:p>
      <w:pPr>
        <w:ind w:left="9900"/>
        <w:spacing w:after="0"/>
        <w:rPr>
          <w:sz w:val="20"/>
          <w:szCs w:val="20"/>
          <w:color w:val="auto"/>
        </w:rPr>
      </w:pPr>
      <w:r>
        <w:rPr>
          <w:rFonts w:ascii="Times New Roman" w:cs="Times New Roman" w:eastAsia="Times New Roman" w:hAnsi="Times New Roman"/>
          <w:sz w:val="21"/>
          <w:szCs w:val="21"/>
          <w:color w:val="auto"/>
        </w:rPr>
        <w:t>Exhibit 24.1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Executing Forms 3, 4 and 5 and 144</w:t>
      </w:r>
    </w:p>
    <w:p>
      <w:pPr>
        <w:spacing w:after="0" w:line="207" w:lineRule="exact"/>
        <w:rPr>
          <w:sz w:val="20"/>
          <w:szCs w:val="20"/>
          <w:color w:val="auto"/>
        </w:rPr>
      </w:pPr>
    </w:p>
    <w:p>
      <w:pPr>
        <w:ind w:right="240" w:firstLine="616"/>
        <w:spacing w:after="0" w:line="254" w:lineRule="auto"/>
        <w:rPr>
          <w:sz w:val="20"/>
          <w:szCs w:val="20"/>
          <w:color w:val="auto"/>
        </w:rPr>
      </w:pPr>
      <w:r>
        <w:rPr>
          <w:rFonts w:ascii="Times New Roman" w:cs="Times New Roman" w:eastAsia="Times New Roman" w:hAnsi="Times New Roman"/>
          <w:sz w:val="21"/>
          <w:szCs w:val="21"/>
          <w:color w:val="auto"/>
        </w:rPr>
        <w:t>Know all by these present, that the undersigned constitutes and appoints each of Jonas Prising, John T. McGinnis, Michelle Nettles, and Shannon Kobylarczyk, signing singly, his true and lawful attorney-in-fact to:</w:t>
      </w:r>
    </w:p>
    <w:p>
      <w:pPr>
        <w:spacing w:after="0" w:line="182" w:lineRule="exact"/>
        <w:rPr>
          <w:sz w:val="20"/>
          <w:szCs w:val="20"/>
          <w:color w:val="auto"/>
        </w:rPr>
      </w:pPr>
    </w:p>
    <w:p>
      <w:pPr>
        <w:ind w:left="1540" w:right="200" w:hanging="675"/>
        <w:spacing w:after="0" w:line="254" w:lineRule="auto"/>
        <w:tabs>
          <w:tab w:leader="none" w:pos="15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Forms 3, 4 and 5 in accordance with Section 16(a) of the Securities Exchange Act of 1934 and the rules thereunder;</w:t>
      </w:r>
    </w:p>
    <w:p>
      <w:pPr>
        <w:spacing w:after="0" w:line="181" w:lineRule="exact"/>
        <w:rPr>
          <w:rFonts w:ascii="Times New Roman" w:cs="Times New Roman" w:eastAsia="Times New Roman" w:hAnsi="Times New Roman"/>
          <w:sz w:val="21"/>
          <w:szCs w:val="21"/>
          <w:color w:val="auto"/>
        </w:rPr>
      </w:pPr>
    </w:p>
    <w:p>
      <w:pPr>
        <w:ind w:left="1540" w:right="820" w:hanging="675"/>
        <w:spacing w:after="0" w:line="254" w:lineRule="auto"/>
        <w:tabs>
          <w:tab w:leader="none" w:pos="15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notices on Form 144 in accordance with Rule 144 under the Securities Act of 1933;</w:t>
      </w:r>
    </w:p>
    <w:p>
      <w:pPr>
        <w:spacing w:after="0" w:line="181" w:lineRule="exact"/>
        <w:rPr>
          <w:rFonts w:ascii="Times New Roman" w:cs="Times New Roman" w:eastAsia="Times New Roman" w:hAnsi="Times New Roman"/>
          <w:sz w:val="21"/>
          <w:szCs w:val="21"/>
          <w:color w:val="auto"/>
        </w:rPr>
      </w:pPr>
    </w:p>
    <w:p>
      <w:pPr>
        <w:jc w:val="both"/>
        <w:ind w:left="1540" w:right="540" w:hanging="675"/>
        <w:spacing w:after="0" w:line="242" w:lineRule="auto"/>
        <w:tabs>
          <w:tab w:leader="none" w:pos="15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3" w:lineRule="exact"/>
        <w:rPr>
          <w:rFonts w:ascii="Times New Roman" w:cs="Times New Roman" w:eastAsia="Times New Roman" w:hAnsi="Times New Roman"/>
          <w:sz w:val="21"/>
          <w:szCs w:val="21"/>
          <w:color w:val="auto"/>
        </w:rPr>
      </w:pPr>
    </w:p>
    <w:p>
      <w:pPr>
        <w:ind w:left="1540" w:right="120" w:hanging="675"/>
        <w:spacing w:after="0" w:line="236" w:lineRule="auto"/>
        <w:tabs>
          <w:tab w:leader="none" w:pos="15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p>
      <w:pPr>
        <w:spacing w:after="0" w:line="199" w:lineRule="exact"/>
        <w:rPr>
          <w:sz w:val="20"/>
          <w:szCs w:val="20"/>
          <w:color w:val="auto"/>
        </w:rPr>
      </w:pPr>
    </w:p>
    <w:p>
      <w:pPr>
        <w:ind w:firstLine="616"/>
        <w:spacing w:after="0" w:line="246"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02" w:lineRule="exact"/>
        <w:rPr>
          <w:sz w:val="20"/>
          <w:szCs w:val="20"/>
          <w:color w:val="auto"/>
        </w:rPr>
      </w:pPr>
    </w:p>
    <w:p>
      <w:pPr>
        <w:ind w:right="160" w:firstLine="616"/>
        <w:spacing w:after="0" w:line="205"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the 22</w:t>
      </w:r>
      <w:r>
        <w:rPr>
          <w:rFonts w:ascii="Times New Roman" w:cs="Times New Roman" w:eastAsia="Times New Roman" w:hAnsi="Times New Roman"/>
          <w:sz w:val="34"/>
          <w:szCs w:val="34"/>
          <w:color w:val="auto"/>
          <w:vertAlign w:val="superscript"/>
        </w:rPr>
        <w:t>nd</w:t>
      </w:r>
      <w:r>
        <w:rPr>
          <w:rFonts w:ascii="Times New Roman" w:cs="Times New Roman" w:eastAsia="Times New Roman" w:hAnsi="Times New Roman"/>
          <w:sz w:val="21"/>
          <w:szCs w:val="21"/>
          <w:color w:val="auto"/>
        </w:rPr>
        <w:t xml:space="preserve"> day of January 2025.</w:t>
      </w:r>
    </w:p>
    <w:p>
      <w:pPr>
        <w:spacing w:after="0" w:line="200" w:lineRule="exact"/>
        <w:rPr>
          <w:sz w:val="20"/>
          <w:szCs w:val="20"/>
          <w:color w:val="auto"/>
        </w:rPr>
      </w:pPr>
    </w:p>
    <w:p>
      <w:pPr>
        <w:spacing w:after="0" w:line="22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u w:val="single" w:color="auto"/>
          <w:color w:val="auto"/>
        </w:rPr>
        <w:t>/s/ Michael J. Van Handel</w:t>
      </w:r>
    </w:p>
    <w:p>
      <w:pPr>
        <w:spacing w:after="0" w:line="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Michael J. Van Handel</w:t>
      </w:r>
    </w:p>
    <w:sectPr>
      <w:pgSz w:w="11900" w:h="16838" w:orient="portrait"/>
      <w:cols w:equalWidth="0" w:num="1">
        <w:col w:w="10980"/>
      </w:cols>
      <w:pgMar w:left="460" w:top="71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26090" TargetMode="External"/><Relationship Id="rId14"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2026-01-05T17:11:15Z</dcterms:created>
  <dcterms:modified xsi:type="dcterms:W3CDTF">2026-01-05T17:11:15Z</dcterms:modified>
</cp:coreProperties>
</file>