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8663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8663940"/>
                    </a:xfrm>
                    <a:prstGeom prst="rect">
                      <a:avLst/>
                    </a:prstGeom>
                    <a:noFill/>
                  </pic:spPr>
                </pic:pic>
              </a:graphicData>
            </a:graphic>
          </wp:anchor>
        </w:drawing>
      </w:r>
    </w:p>
    <w:p>
      <w:pPr>
        <w:spacing w:after="0" w:line="1194" w:lineRule="exact"/>
        <w:rPr>
          <w:sz w:val="24"/>
          <w:szCs w:val="24"/>
          <w:color w:val="auto"/>
        </w:rPr>
      </w:pPr>
    </w:p>
    <w:p>
      <w:pPr>
        <w:sectPr>
          <w:pgSz w:w="11900" w:h="16902"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Gipson William P</w:t>
              </w:r>
            </w:hyperlink>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ManpowerGroup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01/01/2026</w:t>
            </w:r>
          </w:p>
        </w:tc>
        <w:tc>
          <w:tcPr>
            <w:tcW w:w="1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MANPOWERGROUP INC.</w:t>
            </w:r>
          </w:p>
        </w:tc>
        <w:tc>
          <w:tcPr>
            <w:tcW w:w="142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19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 MANPOWER PLACE</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00" w:type="dxa"/>
            <w:vAlign w:val="bottom"/>
            <w:gridSpan w:val="3"/>
            <w:vMerge w:val="continue"/>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902" w:orient="portrait"/>
          <w:cols w:equalWidth="0" w:num="1">
            <w:col w:w="11080"/>
          </w:cols>
          <w:pgMar w:left="460" w:top="216" w:right="359" w:bottom="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53212</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902"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4</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114</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77</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77</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2,303</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70</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2,083</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79</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79</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2,357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82</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82</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2,447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108</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108</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3,227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42</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42</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1,257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54</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54</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1,619</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53</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53</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1,580</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60</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155</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(6)</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(7)</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2,893</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2,893</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2,893</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(8)</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(9)</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6,054</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29.73</w:t>
            </w:r>
            <w:r>
              <w:rPr>
                <w:rFonts w:ascii="Times New Roman" w:cs="Times New Roman" w:eastAsia="Times New Roman" w:hAnsi="Times New Roman"/>
                <w:sz w:val="21"/>
                <w:szCs w:val="21"/>
                <w:color w:val="008000"/>
                <w:w w:val="94"/>
                <w:vertAlign w:val="superscript"/>
              </w:rPr>
              <w:t>(10)</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6,054</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6,054</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902"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firstLine="3"/>
        <w:spacing w:after="0" w:line="259"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ManpowerGroup common stock on a 1 for 1 basis on the earlier of January 1, 2030 or within 30 days after the reporting person's termination of service as a director, except as otherwise provided in the Terms and Conditions.</w:t>
      </w:r>
    </w:p>
    <w:p>
      <w:pPr>
        <w:spacing w:after="0" w:line="1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Receipt of deferred stock under the Plan and the Terms and Conditions in lieu of dividends.</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Average Trading Price (as defined in the Terms and Conditions).</w:t>
      </w:r>
    </w:p>
    <w:p>
      <w:pPr>
        <w:spacing w:after="0" w:line="45" w:lineRule="exact"/>
        <w:rPr>
          <w:rFonts w:ascii="Times New Roman" w:cs="Times New Roman" w:eastAsia="Times New Roman" w:hAnsi="Times New Roman"/>
          <w:sz w:val="13"/>
          <w:szCs w:val="13"/>
          <w:color w:val="008000"/>
        </w:rPr>
      </w:pPr>
    </w:p>
    <w:p>
      <w:pPr>
        <w:ind w:firstLine="3"/>
        <w:spacing w:after="0" w:line="259"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ManpowerGroup common stock on a 1 for 1 basis on the earlier of January 1, 2032 or within 30 days after the reporting person's termination of service as a director, except as otherwise provided in the Terms and Conditions.</w:t>
      </w:r>
    </w:p>
    <w:p>
      <w:pPr>
        <w:spacing w:after="0" w:line="15" w:lineRule="exact"/>
        <w:rPr>
          <w:rFonts w:ascii="Times New Roman" w:cs="Times New Roman" w:eastAsia="Times New Roman" w:hAnsi="Times New Roman"/>
          <w:sz w:val="13"/>
          <w:szCs w:val="13"/>
          <w:color w:val="008000"/>
        </w:rPr>
      </w:pPr>
    </w:p>
    <w:p>
      <w:pPr>
        <w:ind w:firstLine="3"/>
        <w:spacing w:after="0" w:line="259"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ManpowerGroup common stock on a 1 for 1 basis on the earlier of January 1, 2028 or within 30 days after the reporting person's termination of service as a director, except as otherwise provided in the Terms and Conditions.</w:t>
      </w:r>
    </w:p>
    <w:p>
      <w:pPr>
        <w:spacing w:after="0" w:line="15" w:lineRule="exact"/>
        <w:rPr>
          <w:rFonts w:ascii="Times New Roman" w:cs="Times New Roman" w:eastAsia="Times New Roman" w:hAnsi="Times New Roman"/>
          <w:sz w:val="13"/>
          <w:szCs w:val="13"/>
          <w:color w:val="008000"/>
        </w:rPr>
      </w:pPr>
    </w:p>
    <w:p>
      <w:pPr>
        <w:ind w:firstLine="3"/>
        <w:spacing w:after="0" w:line="259"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ManpowerGroup common stock on a 1 for 1 basis on the earlier of January 1, 2029 or within 30 days after the reporting person's termination of service as a director, except as otherwise provided in the Terms and Conditions.</w:t>
      </w:r>
    </w:p>
    <w:p>
      <w:pPr>
        <w:spacing w:after="0" w:line="1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Receipt of deferred stock under the Plan and the Terms and Conditions in lieu of 100% of the Retainer (as defined in the Terms and Conditions) for 2025.</w:t>
      </w:r>
    </w:p>
    <w:p>
      <w:pPr>
        <w:spacing w:after="0" w:line="45" w:lineRule="exact"/>
        <w:rPr>
          <w:rFonts w:ascii="Times New Roman" w:cs="Times New Roman" w:eastAsia="Times New Roman" w:hAnsi="Times New Roman"/>
          <w:sz w:val="13"/>
          <w:szCs w:val="13"/>
          <w:color w:val="008000"/>
        </w:rPr>
      </w:pPr>
    </w:p>
    <w:p>
      <w:pPr>
        <w:ind w:firstLine="3"/>
        <w:spacing w:after="0" w:line="259"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vest in quarterly installments on the last day of each calendar quarter during 2026 and will be settled in shares of ManpowerGroup common stock on a 1 for 1 basis on the earlier of January 1, 2029 or within 30 days after the reporting person's termination of service as a director, except as otherwise provided in the Terms and Conditions (as defined below).</w:t>
      </w:r>
    </w:p>
    <w:p>
      <w:pPr>
        <w:spacing w:after="0" w:line="15" w:lineRule="exact"/>
        <w:rPr>
          <w:rFonts w:ascii="Times New Roman" w:cs="Times New Roman" w:eastAsia="Times New Roman" w:hAnsi="Times New Roman"/>
          <w:sz w:val="13"/>
          <w:szCs w:val="13"/>
          <w:color w:val="008000"/>
        </w:rPr>
      </w:pPr>
    </w:p>
    <w:p>
      <w:pPr>
        <w:ind w:right="140" w:firstLine="3"/>
        <w:spacing w:after="0" w:line="259"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grant of deferred stock under the 2011 Equity Incentive Plan of the Company (the "Plan") and the Terms and Conditions Regarding the Grant of Awards to Non-Employee Directors under the Plan (the "Terms and Conditions").</w:t>
      </w:r>
    </w:p>
    <w:p>
      <w:pPr>
        <w:spacing w:after="0" w:line="15"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Market Price (as defined in the Plan) on the last trading day of 2025.</w:t>
      </w:r>
    </w:p>
    <w:p>
      <w:pPr>
        <w:spacing w:after="0" w:line="7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Michael Nettles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-8255</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3"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Power of Attorney previously</w:t>
      </w:r>
      <w:r>
        <w:rPr>
          <w:sz w:val="20"/>
          <w:szCs w:val="20"/>
          <w:color w:val="auto"/>
        </w:rPr>
        <w:tab/>
      </w:r>
      <w:r>
        <w:rPr>
          <w:rFonts w:ascii="Times New Roman" w:cs="Times New Roman" w:eastAsia="Times New Roman" w:hAnsi="Times New Roman"/>
          <w:sz w:val="16"/>
          <w:szCs w:val="16"/>
          <w:color w:val="0000FF"/>
        </w:rPr>
        <w:t>01/05/2026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232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3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60" w:firstLine="3"/>
        <w:spacing w:after="0" w:line="339"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00" w:top="166" w:right="539" w:bottom="1440" w:gutter="0" w:footer="0" w:header="0"/>
        </w:sectPr>
      </w:pPr>
    </w:p>
    <w:bookmarkStart w:id="2" w:name="page3"/>
    <w:bookmarkEnd w:id="2"/>
    <w:p>
      <w:pPr>
        <w:ind w:left="9880"/>
        <w:spacing w:after="0"/>
        <w:rPr>
          <w:sz w:val="20"/>
          <w:szCs w:val="20"/>
          <w:color w:val="auto"/>
        </w:rPr>
      </w:pPr>
      <w:r>
        <w:rPr>
          <w:rFonts w:ascii="Times New Roman" w:cs="Times New Roman" w:eastAsia="Times New Roman" w:hAnsi="Times New Roman"/>
          <w:sz w:val="21"/>
          <w:szCs w:val="21"/>
          <w:color w:val="auto"/>
        </w:rPr>
        <w:t>Exhibit 24.1</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 Executing Forms 3, 4 and 5 and 144</w:t>
      </w:r>
    </w:p>
    <w:p>
      <w:pPr>
        <w:spacing w:after="0" w:line="212" w:lineRule="exact"/>
        <w:rPr>
          <w:sz w:val="20"/>
          <w:szCs w:val="20"/>
          <w:color w:val="auto"/>
        </w:rPr>
      </w:pPr>
    </w:p>
    <w:p>
      <w:pPr>
        <w:ind w:right="80" w:firstLine="624"/>
        <w:spacing w:after="0" w:line="262" w:lineRule="auto"/>
        <w:rPr>
          <w:sz w:val="20"/>
          <w:szCs w:val="20"/>
          <w:color w:val="auto"/>
        </w:rPr>
      </w:pPr>
      <w:r>
        <w:rPr>
          <w:rFonts w:ascii="Times New Roman" w:cs="Times New Roman" w:eastAsia="Times New Roman" w:hAnsi="Times New Roman"/>
          <w:sz w:val="21"/>
          <w:szCs w:val="21"/>
          <w:color w:val="auto"/>
        </w:rPr>
        <w:t>Know all by these present, that the undersigned constitutes and appoints each of Jonas Prising, John T. McGinnis, Michelle Nettles, and Shannon Kobylarczyk, signing singly, his true and lawful attorney-in-fact to:</w:t>
      </w:r>
    </w:p>
    <w:p>
      <w:pPr>
        <w:spacing w:after="0" w:line="175" w:lineRule="exact"/>
        <w:rPr>
          <w:sz w:val="20"/>
          <w:szCs w:val="20"/>
          <w:color w:val="auto"/>
        </w:rPr>
      </w:pPr>
    </w:p>
    <w:p>
      <w:pPr>
        <w:ind w:left="1520" w:right="940" w:hanging="643"/>
        <w:spacing w:after="0" w:line="262" w:lineRule="auto"/>
        <w:tabs>
          <w:tab w:leader="none" w:pos="15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Forms 3, 4 and 5 in accordance with Section 16(a) of the Securities Exchange Act of 1934 and the rules thereunder;</w:t>
      </w:r>
    </w:p>
    <w:p>
      <w:pPr>
        <w:spacing w:after="0" w:line="174" w:lineRule="exact"/>
        <w:rPr>
          <w:rFonts w:ascii="Times New Roman" w:cs="Times New Roman" w:eastAsia="Times New Roman" w:hAnsi="Times New Roman"/>
          <w:sz w:val="21"/>
          <w:szCs w:val="21"/>
          <w:color w:val="auto"/>
        </w:rPr>
      </w:pPr>
    </w:p>
    <w:p>
      <w:pPr>
        <w:ind w:left="1520" w:right="680" w:hanging="643"/>
        <w:spacing w:after="0" w:line="262" w:lineRule="auto"/>
        <w:tabs>
          <w:tab w:leader="none" w:pos="15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notices on Form 144 in accordance with Rule 144 under the Securities Act of 1933;</w:t>
      </w:r>
    </w:p>
    <w:p>
      <w:pPr>
        <w:spacing w:after="0" w:line="174" w:lineRule="exact"/>
        <w:rPr>
          <w:rFonts w:ascii="Times New Roman" w:cs="Times New Roman" w:eastAsia="Times New Roman" w:hAnsi="Times New Roman"/>
          <w:sz w:val="21"/>
          <w:szCs w:val="21"/>
          <w:color w:val="auto"/>
        </w:rPr>
      </w:pPr>
    </w:p>
    <w:p>
      <w:pPr>
        <w:jc w:val="both"/>
        <w:ind w:left="1520" w:right="400" w:hanging="643"/>
        <w:spacing w:after="0" w:line="247" w:lineRule="auto"/>
        <w:tabs>
          <w:tab w:leader="none" w:pos="15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0" w:lineRule="exact"/>
        <w:rPr>
          <w:rFonts w:ascii="Times New Roman" w:cs="Times New Roman" w:eastAsia="Times New Roman" w:hAnsi="Times New Roman"/>
          <w:sz w:val="21"/>
          <w:szCs w:val="21"/>
          <w:color w:val="auto"/>
        </w:rPr>
      </w:pPr>
    </w:p>
    <w:p>
      <w:pPr>
        <w:ind w:left="1520" w:right="340" w:hanging="643"/>
        <w:spacing w:after="0" w:line="239" w:lineRule="auto"/>
        <w:tabs>
          <w:tab w:leader="none" w:pos="15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or her discretion.</w:t>
      </w:r>
    </w:p>
    <w:p>
      <w:pPr>
        <w:spacing w:after="0" w:line="202" w:lineRule="exact"/>
        <w:rPr>
          <w:sz w:val="20"/>
          <w:szCs w:val="20"/>
          <w:color w:val="auto"/>
        </w:rPr>
      </w:pPr>
    </w:p>
    <w:p>
      <w:pPr>
        <w:ind w:right="20" w:firstLine="624"/>
        <w:spacing w:after="0" w:line="236"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12" w:lineRule="exact"/>
        <w:rPr>
          <w:sz w:val="20"/>
          <w:szCs w:val="20"/>
          <w:color w:val="auto"/>
        </w:rPr>
      </w:pPr>
    </w:p>
    <w:p>
      <w:pPr>
        <w:ind w:firstLine="624"/>
        <w:spacing w:after="0" w:line="208"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effective as of the 22</w:t>
      </w:r>
      <w:r>
        <w:rPr>
          <w:rFonts w:ascii="Times New Roman" w:cs="Times New Roman" w:eastAsia="Times New Roman" w:hAnsi="Times New Roman"/>
          <w:sz w:val="34"/>
          <w:szCs w:val="34"/>
          <w:color w:val="auto"/>
          <w:vertAlign w:val="superscript"/>
        </w:rPr>
        <w:t>nd</w:t>
      </w:r>
      <w:r>
        <w:rPr>
          <w:rFonts w:ascii="Times New Roman" w:cs="Times New Roman" w:eastAsia="Times New Roman" w:hAnsi="Times New Roman"/>
          <w:sz w:val="21"/>
          <w:szCs w:val="21"/>
          <w:color w:val="auto"/>
        </w:rPr>
        <w:t xml:space="preserve"> day of January 2025.</w:t>
      </w:r>
    </w:p>
    <w:p>
      <w:pPr>
        <w:spacing w:after="0" w:line="200" w:lineRule="exact"/>
        <w:rPr>
          <w:sz w:val="20"/>
          <w:szCs w:val="20"/>
          <w:color w:val="auto"/>
        </w:rPr>
      </w:pPr>
    </w:p>
    <w:p>
      <w:pPr>
        <w:spacing w:after="0" w:line="2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u w:val="single" w:color="auto"/>
          <w:color w:val="auto"/>
        </w:rPr>
        <w:t>/s/ William P. Gipson</w:t>
      </w:r>
    </w:p>
    <w:p>
      <w:pPr>
        <w:spacing w:after="0" w:line="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William P. Gipson</w:t>
      </w:r>
    </w:p>
    <w:sectPr>
      <w:pgSz w:w="11900" w:h="16838" w:orient="portrait"/>
      <w:cols w:equalWidth="0" w:num="1">
        <w:col w:w="10960"/>
      </w:cols>
      <w:pgMar w:left="460" w:top="72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6765" TargetMode="External"/><Relationship Id="rId14"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2026-01-05T17:11:05Z</dcterms:created>
  <dcterms:modified xsi:type="dcterms:W3CDTF">2026-01-05T17:11:05Z</dcterms:modified>
</cp:coreProperties>
</file>