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52"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color w:val="auto"/>
        </w:rPr>
        <w:t>June 30, 2011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5"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MANPOWER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(d/b/a ManpowerGroup)</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20" w:right="239" w:bottom="1440" w:gutter="0" w:footer="0" w:header="0"/>
        </w:sectPr>
      </w:pPr>
    </w:p>
    <w:p>
      <w:pPr>
        <w:spacing w:after="0" w:line="234"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2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220" w:right="239" w:bottom="1440" w:gutter="0" w:footer="0" w:header="0"/>
          <w:type w:val="continuous"/>
        </w:sectPr>
      </w:pPr>
    </w:p>
    <w:p>
      <w:pPr>
        <w:spacing w:after="0" w:line="18"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222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22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4220"/>
          </w:cols>
          <w:pgMar w:left="240" w:top="220"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6" w:lineRule="exact"/>
        <w:rPr>
          <w:sz w:val="24"/>
          <w:szCs w:val="24"/>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xNo </w:t>
      </w:r>
      <w:r>
        <w:rPr>
          <w:rFonts w:ascii="MS PGothic" w:cs="MS PGothic" w:eastAsia="MS PGothic" w:hAnsi="MS PGothic"/>
          <w:sz w:val="18"/>
          <w:szCs w:val="18"/>
          <w:color w:val="auto"/>
        </w:rPr>
        <w:t>☐</w:t>
      </w:r>
    </w:p>
    <w:p>
      <w:pPr>
        <w:spacing w:after="0" w:line="211" w:lineRule="exact"/>
        <w:rPr>
          <w:sz w:val="24"/>
          <w:szCs w:val="24"/>
          <w:color w:val="auto"/>
        </w:rPr>
      </w:pPr>
    </w:p>
    <w:p>
      <w:pPr>
        <w:ind w:right="3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20"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3">
            <w:col w:w="4920" w:space="720"/>
            <w:col w:w="1960" w:space="100"/>
            <w:col w:w="3720"/>
          </w:cols>
          <w:pgMar w:left="240" w:top="220"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220" w:right="239" w:bottom="1440" w:gutter="0" w:footer="0" w:header="0"/>
          <w:type w:val="continuous"/>
        </w:sectPr>
      </w:pPr>
    </w:p>
    <w:p>
      <w:pPr>
        <w:spacing w:after="0" w:line="20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Arial" w:cs="Arial" w:eastAsia="Arial" w:hAnsi="Arial"/>
                <w:sz w:val="18"/>
                <w:szCs w:val="18"/>
                <w:b w:val="1"/>
                <w:bCs w:val="1"/>
                <w:color w:val="auto"/>
                <w:w w:val="88"/>
              </w:rPr>
              <w:t>Shares Outstanding</w:t>
            </w:r>
          </w:p>
        </w:tc>
      </w:tr>
      <w:tr>
        <w:trPr>
          <w:trHeight w:val="241"/>
        </w:trPr>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Class</w:t>
            </w:r>
          </w:p>
        </w:tc>
        <w:tc>
          <w:tcPr>
            <w:tcW w:w="18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at August 3, 2011</w:t>
            </w: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Common Stock, $.01 par value</w:t>
            </w:r>
          </w:p>
        </w:tc>
        <w:tc>
          <w:tcPr>
            <w:tcW w:w="446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8"/>
                <w:szCs w:val="18"/>
                <w:color w:val="auto"/>
                <w:w w:val="88"/>
              </w:rPr>
              <w:t>81,930,202</w:t>
            </w:r>
          </w:p>
        </w:tc>
      </w:tr>
      <w:tr>
        <w:trPr>
          <w:trHeight w:val="593"/>
        </w:trPr>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60" w:type="dxa"/>
            <w:vAlign w:val="bottom"/>
          </w:tcPr>
          <w:p>
            <w:pPr>
              <w:jc w:val="right"/>
              <w:ind w:right="2570"/>
              <w:spacing w:after="0"/>
              <w:rPr>
                <w:sz w:val="20"/>
                <w:szCs w:val="20"/>
                <w:color w:val="auto"/>
              </w:rPr>
            </w:pPr>
            <w:r>
              <w:rPr>
                <w:rFonts w:ascii="Arial" w:cs="Arial" w:eastAsia="Arial" w:hAnsi="Arial"/>
                <w:sz w:val="18"/>
                <w:szCs w:val="18"/>
                <w:color w:val="auto"/>
              </w:rPr>
              <w:t>1</w:t>
            </w:r>
          </w:p>
        </w:tc>
        <w:tc>
          <w:tcPr>
            <w:tcW w:w="3000" w:type="dxa"/>
            <w:vAlign w:val="bottom"/>
          </w:tcPr>
          <w:p>
            <w:pPr>
              <w:spacing w:after="0"/>
              <w:rPr>
                <w:sz w:val="24"/>
                <w:szCs w:val="24"/>
                <w:color w:val="auto"/>
              </w:rPr>
            </w:pPr>
          </w:p>
        </w:tc>
      </w:tr>
      <w:tr>
        <w:trPr>
          <w:trHeight w:val="118"/>
        </w:trPr>
        <w:tc>
          <w:tcPr>
            <w:tcW w:w="2080" w:type="dxa"/>
            <w:vAlign w:val="bottom"/>
            <w:tcBorders>
              <w:bottom w:val="single" w:sz="8" w:color="808080"/>
            </w:tcBorders>
          </w:tcPr>
          <w:p>
            <w:pPr>
              <w:spacing w:after="0"/>
              <w:rPr>
                <w:sz w:val="10"/>
                <w:szCs w:val="10"/>
                <w:color w:val="auto"/>
              </w:rPr>
            </w:pPr>
          </w:p>
        </w:tc>
        <w:tc>
          <w:tcPr>
            <w:tcW w:w="1880" w:type="dxa"/>
            <w:vAlign w:val="bottom"/>
            <w:tcBorders>
              <w:bottom w:val="single" w:sz="8" w:color="808080"/>
            </w:tcBorders>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3000" w:type="dxa"/>
            <w:vAlign w:val="bottom"/>
            <w:tcBorders>
              <w:bottom w:val="single" w:sz="8" w:color="808080"/>
            </w:tcBorders>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700" w:type="dxa"/>
            <w:vAlign w:val="bottom"/>
            <w:gridSpan w:val="2"/>
          </w:tcPr>
          <w:p>
            <w:pPr>
              <w:jc w:val="center"/>
              <w:ind w:right="3360"/>
              <w:spacing w:after="0"/>
              <w:rPr>
                <w:sz w:val="20"/>
                <w:szCs w:val="20"/>
                <w:color w:val="auto"/>
              </w:rPr>
            </w:pPr>
            <w:r>
              <w:rPr>
                <w:rFonts w:ascii="Arial" w:cs="Arial" w:eastAsia="Arial" w:hAnsi="Arial"/>
                <w:sz w:val="18"/>
                <w:szCs w:val="18"/>
                <w:b w:val="1"/>
                <w:bCs w:val="1"/>
                <w:color w:val="auto"/>
                <w:w w:val="93"/>
              </w:rPr>
              <w:t>ManpowerGroup</w:t>
            </w: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INDEX</w:t>
            </w:r>
          </w:p>
        </w:tc>
        <w:tc>
          <w:tcPr>
            <w:tcW w:w="3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00" w:type="dxa"/>
            <w:vAlign w:val="bottom"/>
            <w:gridSpan w:val="2"/>
          </w:tcPr>
          <w:p>
            <w:pPr>
              <w:ind w:left="30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FINANCIAL INFORMATION</w:t>
            </w: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Item 1</w:t>
            </w: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Financial Statements (unaudited)</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Consolidated Balance Sheets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Consolidated Statements of Operations</w:t>
            </w: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Consolidated Statements of Cash Flows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Notes to Consolidated Financial Statements</w:t>
            </w:r>
          </w:p>
        </w:tc>
        <w:tc>
          <w:tcPr>
            <w:tcW w:w="1680" w:type="dxa"/>
            <w:vAlign w:val="bottom"/>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Item 3</w:t>
            </w: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6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OTHER INFORMATION</w:t>
            </w:r>
          </w:p>
        </w:tc>
        <w:tc>
          <w:tcPr>
            <w:tcW w:w="16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Item 2</w:t>
            </w: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68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8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Information</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Item 6</w:t>
            </w:r>
          </w:p>
        </w:tc>
        <w:tc>
          <w:tcPr>
            <w:tcW w:w="8120" w:type="dxa"/>
            <w:vAlign w:val="bottom"/>
            <w:gridSpan w:val="3"/>
          </w:tcPr>
          <w:p>
            <w:pPr>
              <w:ind w:left="200"/>
              <w:spacing w:after="0"/>
              <w:rPr>
                <w:sz w:val="20"/>
                <w:szCs w:val="20"/>
                <w:color w:val="auto"/>
              </w:rPr>
            </w:pPr>
            <w:r>
              <w:rPr>
                <w:rFonts w:ascii="Arial" w:cs="Arial" w:eastAsia="Arial" w:hAnsi="Arial"/>
                <w:sz w:val="18"/>
                <w:szCs w:val="18"/>
                <w:color w:val="auto"/>
              </w:rPr>
              <w:t>Exhibits</w:t>
            </w:r>
          </w:p>
        </w:tc>
        <w:tc>
          <w:tcPr>
            <w:tcW w:w="16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3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b w:val="1"/>
                <w:bCs w:val="1"/>
                <w:color w:val="auto"/>
              </w:rPr>
              <w:t>EXHIBIT INDEX</w:t>
            </w:r>
          </w:p>
        </w:tc>
        <w:tc>
          <w:tcPr>
            <w:tcW w:w="3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8820" w:type="dxa"/>
            <w:vAlign w:val="bottom"/>
            <w:gridSpan w:val="5"/>
          </w:tcPr>
          <w:p>
            <w:pPr>
              <w:spacing w:after="0"/>
              <w:rPr>
                <w:sz w:val="20"/>
                <w:szCs w:val="20"/>
                <w:color w:val="auto"/>
              </w:rPr>
            </w:pPr>
            <w:r>
              <w:rPr>
                <w:rFonts w:ascii="Arial" w:cs="Arial" w:eastAsia="Arial" w:hAnsi="Arial"/>
                <w:sz w:val="18"/>
                <w:szCs w:val="18"/>
                <w:color w:val="auto"/>
              </w:rPr>
              <w:t>Item 1 – Financial Statements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302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3"/>
              </w:rPr>
              <w:t>ManpowerGroup</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8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3"/>
              </w:rPr>
              <w:t>(In millions)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6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1"/>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$119.7 and $111.6, respectively</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4"/>
          </w:tcPr>
          <w:p>
            <w:pPr>
              <w:ind w:left="5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5,288.6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$158.2 and $138.1, respectively</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560"/>
              <w:spacing w:after="0"/>
              <w:rPr>
                <w:sz w:val="20"/>
                <w:szCs w:val="20"/>
                <w:color w:val="auto"/>
              </w:rPr>
            </w:pPr>
            <w:r>
              <w:rPr>
                <w:rFonts w:ascii="Arial" w:cs="Arial" w:eastAsia="Arial" w:hAnsi="Arial"/>
                <w:sz w:val="18"/>
                <w:szCs w:val="18"/>
                <w:color w:val="auto"/>
              </w:rPr>
              <w:t>Total other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property and equipment</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4"/>
          </w:tcPr>
          <w:p>
            <w:pPr>
              <w:ind w:left="52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7,276.6</w:t>
            </w:r>
          </w:p>
        </w:tc>
        <w:tc>
          <w:tcPr>
            <w:tcW w:w="10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6,729.7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Accounts payable</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1,541.0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Accrued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543.8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4,024.3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3,290.1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other liabilities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 par value, authorized 125,000,000 shares, issued 108,775,274 and 108,294,605 shares,</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2,815.1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26,854,791 and 26,535,104 shares, respectively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540"/>
              <w:spacing w:after="0"/>
              <w:rPr>
                <w:sz w:val="20"/>
                <w:szCs w:val="20"/>
                <w:color w:val="auto"/>
              </w:rPr>
            </w:pPr>
            <w:r>
              <w:rPr>
                <w:rFonts w:ascii="Arial" w:cs="Arial" w:eastAsia="Arial" w:hAnsi="Arial"/>
                <w:sz w:val="18"/>
                <w:szCs w:val="18"/>
                <w:color w:val="auto"/>
              </w:rPr>
              <w:t>Total shareholders’ equity</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2,555.7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2,397.2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7,276.6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5,667.3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10,739.7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services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8,919.9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7,186.4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1,386.8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profit</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Earnings before income taxes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ManpowerGroup</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240" w:type="dxa"/>
            <w:vAlign w:val="bottom"/>
          </w:tcPr>
          <w:p>
            <w:pPr>
              <w:jc w:val="center"/>
              <w:ind w:left="307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4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(In millions)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vMerge w:val="restart"/>
          </w:tcPr>
          <w:p>
            <w:pPr>
              <w:jc w:val="right"/>
              <w:ind w:right="66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earnings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108.4</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Excess tax benefit on exercise of stock options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operating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Capital expenditures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businesses, net of cash acquired</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Proceeds from the sale of property and equipment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investing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Net change in short-term borrowings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debt</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Repayments of long-term debt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share-based awards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Excess tax benefit on exercise of stock options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Dividends paid</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used in financing activities</w:t>
            </w: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543.5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taxes paid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activity:</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Common stock issued for acquisition</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ManpowerGroup</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Three Months and Six Months Ended June 30, 2011 and 2010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81"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2010 Annual Report to Shareholders.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July 2011, we made an offer to acquire all the shares and voting rights of Proservia SA, a provider of information technology and systems engineering solutions in France, for 14.39 Euro per share in cash. The acquisition is expected to close in late September.</w:t>
      </w:r>
    </w:p>
    <w:p>
      <w:pPr>
        <w:spacing w:after="0" w:line="19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have evaluated other events and transactions occurring after the balance sheet date through our filing date and noted no events that are subject to recognition or disclosure.</w:t>
      </w:r>
    </w:p>
    <w:p>
      <w:pPr>
        <w:spacing w:after="0" w:line="38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December 2010, the FASB issued new accounting guidance on business combinations. The new guidance clarifies the acquisition date that should be used for reporting the pro forma financial information disclosures when comparative financial statements are presented. The guidance also expands the supplemental pro forma disclosures. We adopted the guidance prospectively as of January 2011, for our business combinations with an acquisition date on or after January 1, 2011. There was no impact of this adoption on our Consolidated Financial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May 2011, the FASB issued new accounting guidance on fair value measurement. The new guidance clarifies some existing concepts, eliminates wording differences between U.S. Generally Accepted Accounting Principles (“GAAP”) and International Financial Reporting Standards (“IFRS”), and in some limited cases, changes some principles to achieve convergence between U.S. GAAP and IFRS. The new guidance results in a consistent definition of fair value and common requirements for measurement of and disclosure about fair value between U.S. GAAP and IFRS. It also expands the disclosures for fair value measurements that are estimated using significant unobservable (Level 3) inputs. The guidance is effective for us in 2012 and must be applied prospectively. We do not expect the adoption of this guidance to have a material impact on our Consolidated Financial Statements.</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2011, the FASB issued new accounting guidance on presentation of comprehensive income. The new guidance requires an entity to present the total of comprehensive income, the components of net income, and the components of other comprehensive income either in a single continuous statement of comprehensive income, or in two separate but consecutive statements. It eliminates the option to present components of other comprehensive income as part of the statement of shareholders’ equity. The guidance is effective for us in 2012 and must be applied retrospectively. We do not expect the adoption of this guidance to have an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7" w:name="page8"/>
    <w:bookmarkEnd w:id="7"/>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three months ended June 30, 2011 and 2010, we recognized share-based compensation expense of approximately $8.3 and $6.0, respectively, and $16.5 and $11.5 for the six months ended June 30, 2011 and 2010, respectively. The expense relates to grants of stock options, deferred stock units, restricted stock units and performance share units. Consideration received from stock-based awards was $20.0 and $15.6 for the six months ended June 30, 2011 and 2010, respectively. We recognize share-based compensation expense related to grants of share-based awards in Selling and Administrative Expenses on a straight-line basis over the service period of each award.</w:t>
      </w:r>
    </w:p>
    <w:p>
      <w:pPr>
        <w:spacing w:after="0" w:line="200" w:lineRule="exact"/>
        <w:rPr>
          <w:sz w:val="20"/>
          <w:szCs w:val="20"/>
          <w:color w:val="auto"/>
        </w:rPr>
      </w:pPr>
    </w:p>
    <w:p>
      <w:pPr>
        <w:spacing w:after="0" w:line="25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net of cash acquired, for the six months ended June 30 was $15.2 and $258.5 for 2011 and 2010, respectively.</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consolidated amortization expense related to intangible assets for the remainder of 2011 is expected to be $19.9 and in each of the next five years is expected to be as follows: 2012- $34.6, 2013 - $29.8, 2014 - $24.6, 2015 - $21.3 and 2016 - $18.1.</w:t>
      </w:r>
    </w:p>
    <w:p>
      <w:pPr>
        <w:spacing w:after="0" w:line="200" w:lineRule="exact"/>
        <w:rPr>
          <w:sz w:val="20"/>
          <w:szCs w:val="20"/>
          <w:color w:val="auto"/>
        </w:rPr>
      </w:pPr>
    </w:p>
    <w:p>
      <w:pPr>
        <w:spacing w:after="0" w:line="241"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Reorganization Costs</w:t>
      </w:r>
    </w:p>
    <w:p>
      <w:pPr>
        <w:spacing w:after="0" w:line="25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recorded net reorganization costs of $1.6 and $2.5 in the first half of 2011 and 2010, respectively, in Selling and Administrative Expenses, related to severances and office closures and consolidations in several countries. These expenses are net of reversals resulting mainly from larger-than-estimated cost savings from subleasing and lease buyouts as well as lower-than-expected severance costs. During the first half of 2011, we also made payments of $16.1 out of our reorganization reserve. We expect a majority of the remaining $19.7 reserve will be paid in 2011.</w:t>
      </w:r>
    </w:p>
    <w:p>
      <w:pPr>
        <w:spacing w:after="0" w:line="19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Changes in the reorganization reserve by reportable segment and Corporate are shown below. This presentation reflects the realignment of our segments. See Note 14 for further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Southern</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Northern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Right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20"/>
              <w:spacing w:after="0" w:line="234" w:lineRule="exact"/>
              <w:rPr>
                <w:sz w:val="20"/>
                <w:szCs w:val="20"/>
                <w:color w:val="auto"/>
              </w:rPr>
            </w:pPr>
            <w:r>
              <w:rPr>
                <w:rFonts w:ascii="Arial" w:cs="Arial" w:eastAsia="Arial" w:hAnsi="Arial"/>
                <w:sz w:val="18"/>
                <w:szCs w:val="18"/>
                <w:b w:val="1"/>
                <w:bCs w:val="1"/>
                <w:color w:val="auto"/>
                <w:w w:val="98"/>
              </w:rPr>
              <w:t>Americas</w:t>
            </w:r>
            <w:r>
              <w:rPr>
                <w:rFonts w:ascii="Arial" w:cs="Arial" w:eastAsia="Arial" w:hAnsi="Arial"/>
                <w:sz w:val="25"/>
                <w:szCs w:val="25"/>
                <w:b w:val="1"/>
                <w:bCs w:val="1"/>
                <w:color w:val="auto"/>
                <w:w w:val="98"/>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b w:val="1"/>
                <w:bCs w:val="1"/>
                <w:color w:val="auto"/>
                <w:w w:val="92"/>
                <w:vertAlign w:val="superscript"/>
              </w:rPr>
              <w:t>(2)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Management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Corporate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Balance, January 1,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Severance costs, net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Office closure costs,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Costs paid or utilized</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Balances were related to the United States.</w:t>
      </w:r>
    </w:p>
    <w:p>
      <w:pPr>
        <w:spacing w:after="0" w:line="23" w:lineRule="exact"/>
        <w:rPr>
          <w:rFonts w:ascii="Arial" w:cs="Arial" w:eastAsia="Arial" w:hAnsi="Arial"/>
          <w:sz w:val="18"/>
          <w:szCs w:val="18"/>
          <w:color w:val="auto"/>
        </w:rPr>
      </w:pPr>
    </w:p>
    <w:p>
      <w:pPr>
        <w:ind w:right="180" w:firstLine="8"/>
        <w:spacing w:after="0" w:line="255" w:lineRule="auto"/>
        <w:tabs>
          <w:tab w:leader="none" w:pos="39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Balance related to France was $5.6 as of January 1, 2011. During the first six months of 2011, France recorded office closure costs of $0.1 and paid/utilized $1.8, leaving a $3.9 liability as of June 30, 2011. Italy had no liability as of January 1, 2011 but recorded severance costs of $0.9 in the first six months of 2011 and paid out $0.4, leaving a $0.5 liability as of June 30, 2011.</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 w:name="page9"/>
    <w:bookmarkEnd w:id="8"/>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recorded income tax expense, at an effective rate of 47.7%, for the three months ended June 30, 2011, as compared to an income tax expense, at an effective rate of 51.5%, for the three months ended June 30, 2010. The 2011 rate was favorably impacted by the overall mix of earnings, primarily an increase to non-U.S. income, while 2010 was unfavorably impacted by an increase in valuation allowances related to losses in certain non-U.S. entities. The 47.7% rate was higher than the U.S. Federal statutory rate of 35%, and we currently expect an annual effective tax rate of approximately 46%, due primarily to the impact of the mix of U.S. and non-U.S. earnings, valuation allowances, other permanent items, repatriations from non-U.S. entities and the French Business Tax. Excluding the impact of the French Business Tax, our tax rate for the three months ended June 30, 2011 would have been approximately 37%.</w:t>
      </w:r>
    </w:p>
    <w:p>
      <w:pPr>
        <w:spacing w:after="0" w:line="19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We recorded an income tax expense, at an effective rate of 49.2%, for the first half of 2011, as compared to an income tax expense, at an effective rate of 59.2%, for the first half of 2010. The 2011 rate was favorably impacted by the overall mix of earnings, primarily an increase to non-U.S. income. Excluding the impact of the French Business Tax, our tax rate for the first half of 2011 would have been approximately 37%.</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2011, we had gross unrecognized tax benefits of $27.1 recorded in accordance with the current accounting guidance on uncertain tax positions. Our uncertain tax position accrual was related to various tax jurisdictions, including $1.5 of interest and penalties, and related tax benefits of $4.3. As of December 31, 2010, we had gross unrecognized tax benefits of $26.4, including $1.4 of interest and penalties, and related tax benefits of $4.3. The net amount of $22.8 as of June 30, 2011 would favorably affect the effective tax rate if recognized. We do not expect our unrecognized tax benefits to change significantly over the next 12 months.</w:t>
      </w:r>
    </w:p>
    <w:p>
      <w:pPr>
        <w:spacing w:after="0" w:line="21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conduct business globally and, as a result, we are routinely audited by the various tax jurisdictions in which we operate. Generally, the tax years that remain subject to tax examination are 2007 through 2011 for our major operations in the U.S., France, the United Kingdom, Germany, Japan, and Italy. As of June 30, 2011, we are under audit in France, Belgium, Denmark, Italy, Norway, Spain, and the U.S., and we believe that the resolution of these audits will not have a material impact on earnings. There was no significant change in the total unrecognized tax benefits due to the settlement of audits, the expiration of statute of limitations, or for other items during the three months ended June 30, 2011.</w:t>
      </w:r>
    </w:p>
    <w:p>
      <w:pPr>
        <w:spacing w:after="0" w:line="200" w:lineRule="exact"/>
        <w:rPr>
          <w:sz w:val="20"/>
          <w:szCs w:val="20"/>
          <w:color w:val="auto"/>
        </w:rPr>
      </w:pPr>
    </w:p>
    <w:p>
      <w:pPr>
        <w:spacing w:after="0" w:line="24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38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ind w:left="38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0.89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0.44</w:t>
            </w: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Net earnings available to common shareholders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72.7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Weighted-average common shares outstanding</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w:t>
            </w:r>
          </w:p>
        </w:tc>
      </w:tr>
      <w:tr>
        <w:trPr>
          <w:trHeight w:val="216"/>
        </w:trPr>
        <w:tc>
          <w:tcPr>
            <w:tcW w:w="20" w:type="dxa"/>
            <w:vAlign w:val="bottom"/>
          </w:tcPr>
          <w:p>
            <w:pPr>
              <w:spacing w:after="0"/>
              <w:rPr>
                <w:sz w:val="18"/>
                <w:szCs w:val="18"/>
                <w:color w:val="auto"/>
              </w:rPr>
            </w:pPr>
          </w:p>
        </w:tc>
        <w:tc>
          <w:tcPr>
            <w:tcW w:w="4900" w:type="dxa"/>
            <w:vAlign w:val="bottom"/>
          </w:tcPr>
          <w:p>
            <w:pPr>
              <w:ind w:left="320"/>
              <w:spacing w:after="0"/>
              <w:rPr>
                <w:sz w:val="20"/>
                <w:szCs w:val="20"/>
                <w:color w:val="auto"/>
              </w:rPr>
            </w:pPr>
            <w:r>
              <w:rPr>
                <w:rFonts w:ascii="Arial" w:cs="Arial" w:eastAsia="Arial" w:hAnsi="Arial"/>
                <w:sz w:val="18"/>
                <w:szCs w:val="18"/>
                <w:color w:val="auto"/>
              </w:rPr>
              <w:t>Effect of dilutive securities – stock options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other stock-based awards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20" w:type="dxa"/>
            <w:vAlign w:val="bottom"/>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r>
      <w:tr>
        <w:trPr>
          <w:trHeight w:val="27"/>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There were 1.7 million and 3.2 million stock-based awards excluded from the calculation of Net Earnings Per Share – Diluted for the three months ended June 30, 2011 and 2010, respectively, and 1.7 million and 2.6 million stock-based awards excluded from the calculation of Net Earnings Per Share – Diluted for the six months ended June 30, 2011 and 2010, respectively, as the exercise price for these awards was greater than the average market price of the common shares during the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amortizable intangible assets and intangible assets that do not require amortization,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2011</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1"/>
              </w:rPr>
              <w:t>December 31, 2010</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280"/>
              <w:spacing w:after="0" w:line="198" w:lineRule="exact"/>
              <w:rPr>
                <w:sz w:val="20"/>
                <w:szCs w:val="20"/>
                <w:color w:val="auto"/>
              </w:rPr>
            </w:pPr>
            <w:r>
              <w:rPr>
                <w:rFonts w:ascii="Arial" w:cs="Arial" w:eastAsia="Arial" w:hAnsi="Arial"/>
                <w:sz w:val="18"/>
                <w:szCs w:val="18"/>
                <w:b w:val="1"/>
                <w:bCs w:val="1"/>
                <w:color w:val="auto"/>
                <w:w w:val="93"/>
              </w:rPr>
              <w:t>Accumulated</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Gross</w:t>
            </w:r>
          </w:p>
        </w:tc>
        <w:tc>
          <w:tcPr>
            <w:tcW w:w="20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Amortization</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985.4</w:t>
            </w: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Amortizable: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5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Franchise Agreements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112.3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309.4</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361.0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138.1</w:t>
            </w: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Non-Amortizable:</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60"/>
              <w:spacing w:after="0" w:line="216" w:lineRule="exact"/>
              <w:rPr>
                <w:sz w:val="20"/>
                <w:szCs w:val="20"/>
                <w:color w:val="auto"/>
              </w:rPr>
            </w:pPr>
            <w:r>
              <w:rPr>
                <w:rFonts w:ascii="Arial" w:cs="Arial" w:eastAsia="Arial" w:hAnsi="Arial"/>
                <w:sz w:val="18"/>
                <w:szCs w:val="18"/>
                <w:color w:val="auto"/>
              </w:rPr>
              <w:t>Tradenames</w:t>
            </w:r>
            <w:r>
              <w:rPr>
                <w:rFonts w:ascii="Arial" w:cs="Arial" w:eastAsia="Arial" w:hAnsi="Arial"/>
                <w:sz w:val="25"/>
                <w:szCs w:val="25"/>
                <w:color w:val="auto"/>
                <w:vertAlign w:val="superscript"/>
              </w:rPr>
              <w:t>(1)</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Reacquired Franchise Rights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523.3</w:t>
            </w:r>
          </w:p>
        </w:tc>
        <w:tc>
          <w:tcPr>
            <w:tcW w:w="1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w:t>
            </w:r>
          </w:p>
        </w:tc>
        <w:tc>
          <w:tcPr>
            <w:tcW w:w="620" w:type="dxa"/>
            <w:vAlign w:val="bottom"/>
            <w:tcBorders>
              <w:left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Balances were net of accumulated impairment loss of $139.5 as of both June 30, 2011 and December 31, 2010.</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carrying value of goodwill by reportable segment and Corporate were as follows. This presentation reflects the realignment of our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14 for further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Southern</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Northern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Right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line="234" w:lineRule="exact"/>
              <w:rPr>
                <w:sz w:val="20"/>
                <w:szCs w:val="20"/>
                <w:color w:val="auto"/>
              </w:rPr>
            </w:pPr>
            <w:r>
              <w:rPr>
                <w:rFonts w:ascii="Arial" w:cs="Arial" w:eastAsia="Arial" w:hAnsi="Arial"/>
                <w:sz w:val="18"/>
                <w:szCs w:val="18"/>
                <w:b w:val="1"/>
                <w:bCs w:val="1"/>
                <w:color w:val="auto"/>
                <w:w w:val="86"/>
              </w:rPr>
              <w:t>Americas</w:t>
            </w:r>
            <w:r>
              <w:rPr>
                <w:rFonts w:ascii="Arial" w:cs="Arial" w:eastAsia="Arial" w:hAnsi="Arial"/>
                <w:sz w:val="25"/>
                <w:szCs w:val="25"/>
                <w:b w:val="1"/>
                <w:bCs w:val="1"/>
                <w:color w:val="auto"/>
                <w:w w:val="86"/>
                <w:vertAlign w:val="superscript"/>
              </w:rPr>
              <w:t>(1)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line="234" w:lineRule="exact"/>
              <w:rPr>
                <w:sz w:val="20"/>
                <w:szCs w:val="20"/>
                <w:color w:val="auto"/>
              </w:rPr>
            </w:pPr>
            <w:r>
              <w:rPr>
                <w:rFonts w:ascii="Arial" w:cs="Arial" w:eastAsia="Arial" w:hAnsi="Arial"/>
                <w:sz w:val="18"/>
                <w:szCs w:val="18"/>
                <w:b w:val="1"/>
                <w:bCs w:val="1"/>
                <w:color w:val="auto"/>
                <w:w w:val="92"/>
              </w:rPr>
              <w:t>Europe</w:t>
            </w:r>
            <w:r>
              <w:rPr>
                <w:rFonts w:ascii="Arial" w:cs="Arial" w:eastAsia="Arial" w:hAnsi="Arial"/>
                <w:sz w:val="25"/>
                <w:szCs w:val="25"/>
                <w:b w:val="1"/>
                <w:bCs w:val="1"/>
                <w:color w:val="auto"/>
                <w:w w:val="92"/>
                <w:vertAlign w:val="superscript"/>
              </w:rPr>
              <w:t>(2)</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Europe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APME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Management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ind w:left="40"/>
              <w:spacing w:after="0" w:line="234" w:lineRule="exact"/>
              <w:rPr>
                <w:sz w:val="20"/>
                <w:szCs w:val="20"/>
                <w:color w:val="auto"/>
              </w:rPr>
            </w:pPr>
            <w:r>
              <w:rPr>
                <w:rFonts w:ascii="Arial" w:cs="Arial" w:eastAsia="Arial" w:hAnsi="Arial"/>
                <w:sz w:val="18"/>
                <w:szCs w:val="18"/>
                <w:b w:val="1"/>
                <w:bCs w:val="1"/>
                <w:color w:val="auto"/>
                <w:w w:val="99"/>
              </w:rPr>
              <w:t>Corporate</w:t>
            </w:r>
            <w:r>
              <w:rPr>
                <w:rFonts w:ascii="Arial" w:cs="Arial" w:eastAsia="Arial" w:hAnsi="Arial"/>
                <w:sz w:val="25"/>
                <w:szCs w:val="25"/>
                <w:b w:val="1"/>
                <w:bCs w:val="1"/>
                <w:color w:val="auto"/>
                <w:w w:val="99"/>
                <w:vertAlign w:val="superscript"/>
              </w:rPr>
              <w:t>(3)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line="234"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5"/>
                <w:szCs w:val="25"/>
                <w:b w:val="1"/>
                <w:bCs w:val="1"/>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w w:val="94"/>
              </w:rPr>
              <w:t>Balance, January 1, 2011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Goodwill acquired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Balance, June 30, 2011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462.6</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64.9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the United States were $451.7 and $448.3 as of January 1, 2011 and June 30, 2011, respectively.</w:t>
      </w:r>
    </w:p>
    <w:p>
      <w:pPr>
        <w:spacing w:after="0" w:line="23" w:lineRule="exact"/>
        <w:rPr>
          <w:rFonts w:ascii="Arial" w:cs="Arial" w:eastAsia="Arial" w:hAnsi="Arial"/>
          <w:sz w:val="18"/>
          <w:szCs w:val="18"/>
          <w:color w:val="auto"/>
        </w:rPr>
      </w:pPr>
    </w:p>
    <w:p>
      <w:pPr>
        <w:ind w:right="100" w:firstLine="8"/>
        <w:spacing w:after="0" w:line="250" w:lineRule="auto"/>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related to France were $15.8 and $17.1 as of January 1, 2011 and June 30, 2011, respectively. Balances related to Italy were $4.6 and $5.0 as of January 1, 2011 and June 30, 2011, respectively.</w:t>
      </w:r>
    </w:p>
    <w:p>
      <w:pPr>
        <w:ind w:right="160" w:firstLine="8"/>
        <w:spacing w:after="0" w:line="250" w:lineRule="auto"/>
        <w:tabs>
          <w:tab w:leader="none" w:pos="29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from our acquisition of Jefferson Wells ($55.5) which is now part of the United States reporting unit. For purposes of monitoring our total assets by segment, we do not allocate the Corporate balance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1" w:lineRule="exact"/>
        <w:rPr>
          <w:rFonts w:ascii="Arial" w:cs="Arial" w:eastAsia="Arial" w:hAnsi="Arial"/>
          <w:sz w:val="18"/>
          <w:szCs w:val="18"/>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$513.4 as of both January 1, 2011 and June 30, 2011.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8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1,</w:t>
            </w:r>
          </w:p>
        </w:tc>
      </w:tr>
      <w:tr>
        <w:trPr>
          <w:trHeight w:val="241"/>
        </w:trPr>
        <w:tc>
          <w:tcPr>
            <w:tcW w:w="8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Elan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Netherlands (Vitae)</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Right Management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23"/>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reporting units</w:t>
            </w: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980"/>
              <w:spacing w:after="0"/>
              <w:rPr>
                <w:sz w:val="20"/>
                <w:szCs w:val="20"/>
                <w:color w:val="auto"/>
              </w:rPr>
            </w:pPr>
            <w:r>
              <w:rPr>
                <w:rFonts w:ascii="Arial" w:cs="Arial" w:eastAsia="Arial" w:hAnsi="Arial"/>
                <w:sz w:val="18"/>
                <w:szCs w:val="18"/>
                <w:color w:val="auto"/>
              </w:rPr>
              <w:t>Total goodwill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985.4</w:t>
            </w: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954.1</w:t>
            </w:r>
          </w:p>
        </w:tc>
      </w:tr>
      <w:tr>
        <w:trPr>
          <w:trHeight w:val="21"/>
        </w:trPr>
        <w:tc>
          <w:tcPr>
            <w:tcW w:w="8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did not perform an interim impairment test of our goodwill and indefinite-lived intangible assets in the second quarter of 2011 as we noted no significant indicators of impairment as of June 30, 2011.</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4"/>
          </w:tcPr>
          <w:p>
            <w:pPr>
              <w:spacing w:after="0"/>
              <w:rPr>
                <w:sz w:val="20"/>
                <w:szCs w:val="20"/>
                <w:color w:val="auto"/>
              </w:rPr>
            </w:pPr>
            <w:r>
              <w:rPr>
                <w:rFonts w:ascii="Arial" w:cs="Arial" w:eastAsia="Arial" w:hAnsi="Arial"/>
                <w:sz w:val="18"/>
                <w:szCs w:val="18"/>
                <w:color w:val="auto"/>
              </w:rPr>
              <w:t>(9) Retirement Plans</w:t>
            </w: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6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940" w:type="dxa"/>
            <w:vAlign w:val="bottom"/>
            <w:gridSpan w:val="4"/>
          </w:tcPr>
          <w:p>
            <w:pPr>
              <w:spacing w:after="0"/>
              <w:rPr>
                <w:sz w:val="20"/>
                <w:szCs w:val="20"/>
                <w:color w:val="auto"/>
              </w:rPr>
            </w:pPr>
            <w:r>
              <w:rPr>
                <w:rFonts w:ascii="Arial" w:cs="Arial" w:eastAsia="Arial" w:hAnsi="Arial"/>
                <w:sz w:val="18"/>
                <w:szCs w:val="18"/>
                <w:color w:val="auto"/>
                <w:w w:val="95"/>
              </w:rPr>
              <w:t>The components of the net periodic benefit cost for our plans were as follows:</w:t>
            </w: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8"/>
                <w:szCs w:val="18"/>
                <w:b w:val="1"/>
                <w:bCs w:val="1"/>
                <w:color w:val="auto"/>
                <w:w w:val="93"/>
              </w:rPr>
              <w:t>Defined Benefit Pension Plans</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260" w:type="dxa"/>
            <w:vAlign w:val="bottom"/>
            <w:gridSpan w:val="4"/>
          </w:tcPr>
          <w:p>
            <w:pPr>
              <w:jc w:val="right"/>
              <w:ind w:right="264"/>
              <w:spacing w:after="0" w:line="198" w:lineRule="exact"/>
              <w:rPr>
                <w:sz w:val="20"/>
                <w:szCs w:val="20"/>
                <w:color w:val="auto"/>
              </w:rPr>
            </w:pPr>
            <w:r>
              <w:rPr>
                <w:rFonts w:ascii="Arial" w:cs="Arial" w:eastAsia="Arial" w:hAnsi="Arial"/>
                <w:sz w:val="18"/>
                <w:szCs w:val="18"/>
                <w:b w:val="1"/>
                <w:bCs w:val="1"/>
                <w:color w:val="auto"/>
              </w:rPr>
              <w:t>3 Months Ended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4"/>
          </w:tcPr>
          <w:p>
            <w:pPr>
              <w:jc w:val="center"/>
              <w:ind w:right="250"/>
              <w:spacing w:after="0" w:line="198" w:lineRule="exact"/>
              <w:rPr>
                <w:sz w:val="20"/>
                <w:szCs w:val="20"/>
                <w:color w:val="auto"/>
              </w:rPr>
            </w:pPr>
            <w:r>
              <w:rPr>
                <w:rFonts w:ascii="Arial" w:cs="Arial" w:eastAsia="Arial" w:hAnsi="Arial"/>
                <w:sz w:val="18"/>
                <w:szCs w:val="18"/>
                <w:b w:val="1"/>
                <w:bCs w:val="1"/>
                <w:color w:val="auto"/>
                <w:w w:val="90"/>
              </w:rPr>
              <w:t>6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64"/>
              <w:spacing w:after="0"/>
              <w:rPr>
                <w:sz w:val="20"/>
                <w:szCs w:val="20"/>
                <w:color w:val="auto"/>
              </w:rPr>
            </w:pPr>
            <w:r>
              <w:rPr>
                <w:rFonts w:ascii="Arial" w:cs="Arial" w:eastAsia="Arial" w:hAnsi="Arial"/>
                <w:sz w:val="18"/>
                <w:szCs w:val="18"/>
                <w:b w:val="1"/>
                <w:bCs w:val="1"/>
                <w:color w:val="auto"/>
                <w:w w:val="99"/>
              </w:rPr>
              <w:t>June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jc w:val="right"/>
              <w:ind w:right="74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44"/>
              <w:spacing w:after="0"/>
              <w:rPr>
                <w:sz w:val="20"/>
                <w:szCs w:val="20"/>
                <w:color w:val="auto"/>
              </w:rPr>
            </w:pPr>
            <w:r>
              <w:rPr>
                <w:rFonts w:ascii="Arial" w:cs="Arial" w:eastAsia="Arial" w:hAnsi="Arial"/>
                <w:sz w:val="10"/>
                <w:szCs w:val="10"/>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9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88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w:t>
            </w: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20" w:type="dxa"/>
            <w:vAlign w:val="bottom"/>
          </w:tcPr>
          <w:p>
            <w:pPr>
              <w:spacing w:after="0"/>
              <w:rPr>
                <w:sz w:val="19"/>
                <w:szCs w:val="19"/>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57"/>
        </w:trPr>
        <w:tc>
          <w:tcPr>
            <w:tcW w:w="20" w:type="dxa"/>
            <w:vAlign w:val="bottom"/>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680" w:type="dxa"/>
            <w:vAlign w:val="bottom"/>
            <w:tcBorders>
              <w:bottom w:val="single" w:sz="8" w:color="CCEEFF"/>
              <w:righ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benefit cost</w:t>
            </w:r>
          </w:p>
        </w:tc>
        <w:tc>
          <w:tcPr>
            <w:tcW w:w="88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8"/>
                <w:szCs w:val="18"/>
                <w:b w:val="1"/>
                <w:bCs w:val="1"/>
                <w:color w:val="auto"/>
              </w:rPr>
              <w:t>Retiree Health Care Plan</w:t>
            </w: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260" w:type="dxa"/>
            <w:vAlign w:val="bottom"/>
            <w:gridSpan w:val="4"/>
          </w:tcPr>
          <w:p>
            <w:pPr>
              <w:jc w:val="right"/>
              <w:ind w:right="224"/>
              <w:spacing w:after="0" w:line="198" w:lineRule="exact"/>
              <w:rPr>
                <w:sz w:val="20"/>
                <w:szCs w:val="20"/>
                <w:color w:val="auto"/>
              </w:rPr>
            </w:pPr>
            <w:r>
              <w:rPr>
                <w:rFonts w:ascii="Arial" w:cs="Arial" w:eastAsia="Arial" w:hAnsi="Arial"/>
                <w:sz w:val="18"/>
                <w:szCs w:val="18"/>
                <w:b w:val="1"/>
                <w:bCs w:val="1"/>
                <w:color w:val="auto"/>
              </w:rPr>
              <w:t>3 Months Ended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4"/>
          </w:tcPr>
          <w:p>
            <w:pPr>
              <w:jc w:val="center"/>
              <w:ind w:right="230"/>
              <w:spacing w:after="0" w:line="198" w:lineRule="exact"/>
              <w:rPr>
                <w:sz w:val="20"/>
                <w:szCs w:val="20"/>
                <w:color w:val="auto"/>
              </w:rPr>
            </w:pPr>
            <w:r>
              <w:rPr>
                <w:rFonts w:ascii="Arial" w:cs="Arial" w:eastAsia="Arial" w:hAnsi="Arial"/>
                <w:sz w:val="18"/>
                <w:szCs w:val="18"/>
                <w:b w:val="1"/>
                <w:bCs w:val="1"/>
                <w:color w:val="auto"/>
                <w:w w:val="92"/>
              </w:rPr>
              <w:t>6 Months Ended</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8"/>
                <w:szCs w:val="18"/>
                <w:b w:val="1"/>
                <w:bCs w:val="1"/>
                <w:color w:val="auto"/>
              </w:rPr>
              <w:t>June 30,</w:t>
            </w:r>
          </w:p>
        </w:tc>
        <w:tc>
          <w:tcPr>
            <w:tcW w:w="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2011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4"/>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20" w:type="dxa"/>
            <w:vAlign w:val="bottom"/>
          </w:tcPr>
          <w:p>
            <w:pPr>
              <w:spacing w:after="0"/>
              <w:rPr>
                <w:sz w:val="18"/>
                <w:szCs w:val="18"/>
                <w:color w:val="auto"/>
              </w:rPr>
            </w:pPr>
          </w:p>
        </w:tc>
        <w:tc>
          <w:tcPr>
            <w:tcW w:w="59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4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80" w:type="dxa"/>
            <w:vAlign w:val="bottom"/>
            <w:gridSpan w:val="2"/>
          </w:tcPr>
          <w:p>
            <w:pPr>
              <w:ind w:left="240"/>
              <w:spacing w:after="0"/>
              <w:rPr>
                <w:sz w:val="20"/>
                <w:szCs w:val="20"/>
                <w:color w:val="auto"/>
              </w:rPr>
            </w:pPr>
            <w:r>
              <w:rPr>
                <w:rFonts w:ascii="Arial" w:cs="Arial" w:eastAsia="Arial" w:hAnsi="Arial"/>
                <w:sz w:val="18"/>
                <w:szCs w:val="18"/>
                <w:color w:val="auto"/>
              </w:rPr>
              <w:t>Total benefit cost</w:t>
            </w: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3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the three and six months ended June 30, 2011, contributions made to our pension plans were $4.7 and $9.7, respectively, and contributions made to our retiree health care plan were $0.4 and $0.9, respectively. During 2011, we expect to make total contributions of $20.0 to our pension plans and to fund our retiree health care payments as incurred.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880" w:type="dxa"/>
            <w:vAlign w:val="bottom"/>
            <w:gridSpan w:val="4"/>
          </w:tcPr>
          <w:p>
            <w:pPr>
              <w:spacing w:after="0"/>
              <w:rPr>
                <w:sz w:val="20"/>
                <w:szCs w:val="20"/>
                <w:color w:val="auto"/>
              </w:rPr>
            </w:pPr>
            <w:r>
              <w:rPr>
                <w:rFonts w:ascii="Arial" w:cs="Arial" w:eastAsia="Arial" w:hAnsi="Arial"/>
                <w:sz w:val="18"/>
                <w:szCs w:val="18"/>
                <w:color w:val="auto"/>
              </w:rPr>
              <w:t>(10) Shareholders’ Equity</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5880" w:type="dxa"/>
            <w:vAlign w:val="bottom"/>
            <w:gridSpan w:val="4"/>
          </w:tcPr>
          <w:p>
            <w:pPr>
              <w:spacing w:after="0"/>
              <w:rPr>
                <w:sz w:val="20"/>
                <w:szCs w:val="20"/>
                <w:color w:val="auto"/>
              </w:rPr>
            </w:pPr>
            <w:r>
              <w:rPr>
                <w:rFonts w:ascii="Arial" w:cs="Arial" w:eastAsia="Arial" w:hAnsi="Arial"/>
                <w:sz w:val="18"/>
                <w:szCs w:val="18"/>
                <w:color w:val="auto"/>
                <w:w w:val="93"/>
              </w:rPr>
              <w:t>The components of Comprehensive Income (Loss), net of tax, were as follows:</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3 Months Ended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72.7</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108.4</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w:t>
            </w: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Foreign currency translation gain (loss)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19.7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(62.6)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w:t>
            </w:r>
          </w:p>
        </w:tc>
      </w:tr>
      <w:tr>
        <w:trPr>
          <w:trHeight w:val="216"/>
        </w:trPr>
        <w:tc>
          <w:tcPr>
            <w:tcW w:w="20" w:type="dxa"/>
            <w:vAlign w:val="bottom"/>
          </w:tcPr>
          <w:p>
            <w:pPr>
              <w:spacing w:after="0"/>
              <w:rPr>
                <w:sz w:val="18"/>
                <w:szCs w:val="18"/>
                <w:color w:val="auto"/>
              </w:rPr>
            </w:pPr>
          </w:p>
        </w:tc>
        <w:tc>
          <w:tcPr>
            <w:tcW w:w="5860" w:type="dxa"/>
            <w:vAlign w:val="bottom"/>
            <w:gridSpan w:val="3"/>
          </w:tcPr>
          <w:p>
            <w:pPr>
              <w:ind w:left="320"/>
              <w:spacing w:after="0"/>
              <w:rPr>
                <w:sz w:val="20"/>
                <w:szCs w:val="20"/>
                <w:color w:val="auto"/>
              </w:rPr>
            </w:pPr>
            <w:r>
              <w:rPr>
                <w:rFonts w:ascii="Arial" w:cs="Arial" w:eastAsia="Arial" w:hAnsi="Arial"/>
                <w:sz w:val="18"/>
                <w:szCs w:val="18"/>
                <w:color w:val="auto"/>
              </w:rPr>
              <w:t>Unrealized (loss) gain on investments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Defined benefit pension plans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5860" w:type="dxa"/>
            <w:vAlign w:val="bottom"/>
            <w:gridSpan w:val="3"/>
          </w:tcPr>
          <w:p>
            <w:pPr>
              <w:ind w:left="320"/>
              <w:spacing w:after="0"/>
              <w:rPr>
                <w:sz w:val="20"/>
                <w:szCs w:val="20"/>
                <w:color w:val="auto"/>
              </w:rPr>
            </w:pPr>
            <w:r>
              <w:rPr>
                <w:rFonts w:ascii="Arial" w:cs="Arial" w:eastAsia="Arial" w:hAnsi="Arial"/>
                <w:sz w:val="18"/>
                <w:szCs w:val="18"/>
                <w:color w:val="auto"/>
              </w:rPr>
              <w:t>Retiree health care plan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5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Comprehensive income (loss)</w:t>
            </w:r>
          </w:p>
        </w:tc>
        <w:tc>
          <w:tcPr>
            <w:tcW w:w="10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92.4</w:t>
            </w:r>
          </w:p>
        </w:tc>
        <w:tc>
          <w:tcPr>
            <w:tcW w:w="84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178.9</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53"/>
        </w:trPr>
        <w:tc>
          <w:tcPr>
            <w:tcW w:w="6880" w:type="dxa"/>
            <w:vAlign w:val="bottom"/>
            <w:gridSpan w:val="6"/>
          </w:tcPr>
          <w:p>
            <w:pPr>
              <w:spacing w:after="0"/>
              <w:rPr>
                <w:sz w:val="20"/>
                <w:szCs w:val="20"/>
                <w:color w:val="auto"/>
              </w:rPr>
            </w:pPr>
            <w:r>
              <w:rPr>
                <w:rFonts w:ascii="Arial" w:cs="Arial" w:eastAsia="Arial" w:hAnsi="Arial"/>
                <w:sz w:val="18"/>
                <w:szCs w:val="18"/>
                <w:color w:val="auto"/>
                <w:w w:val="93"/>
              </w:rPr>
              <w:t>The components of Accumulated Other Comprehensive Income, net of tax, were as follows: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w:t>
            </w: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Unrealized gain on investments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5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Defined benefit pension plans</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Arial" w:cs="Arial" w:eastAsia="Arial" w:hAnsi="Arial"/>
                <w:sz w:val="18"/>
                <w:szCs w:val="18"/>
                <w:color w:val="auto"/>
              </w:rPr>
              <w:t>Retiree health care plan</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7"/>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4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was in addition to the 2007 authorization to repurchase 5.0 million shares of our common stock, not to exceed a total purchase price of $400.0. The authorizations permit share repurchases from time to time through a variety of methods, including open market purchases, block transactions, privately negotiated transactions, accelerated share repurchase programs, forward repurchase agreements or similar facilities. During the first half of 2011, we repurchased a total of 305,600 shares, composed of 236,790 shares under the 2007 authorization and 68,810 shares under the 2010 authorization. As of the second quarter of 2011, there were no shares remaining under the 2007 authorization. Under the 2010 authorization, there were 2.9 million shares remaining authorized for repurchase as of June 30, 2011.</w:t>
      </w:r>
    </w:p>
    <w:p>
      <w:pPr>
        <w:spacing w:after="0" w:line="21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May 3, 2011, the Board of Directors declared a cash dividend of $0.40 per share, which was paid on June 15, 2011 to shareholders of record on June 1, 2011.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4"/>
          </w:tcPr>
          <w:p>
            <w:pPr>
              <w:spacing w:after="0"/>
              <w:rPr>
                <w:sz w:val="20"/>
                <w:szCs w:val="20"/>
                <w:color w:val="auto"/>
              </w:rPr>
            </w:pPr>
            <w:r>
              <w:rPr>
                <w:rFonts w:ascii="Arial" w:cs="Arial" w:eastAsia="Arial" w:hAnsi="Arial"/>
                <w:sz w:val="18"/>
                <w:szCs w:val="18"/>
                <w:color w:val="auto"/>
              </w:rPr>
              <w:t>(11) Interest and Other Expenses</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40" w:type="dxa"/>
            <w:vAlign w:val="bottom"/>
            <w:gridSpan w:val="2"/>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4820" w:type="dxa"/>
            <w:vAlign w:val="bottom"/>
            <w:gridSpan w:val="4"/>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1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12.5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w:t>
            </w:r>
          </w:p>
        </w:tc>
        <w:tc>
          <w:tcPr>
            <w:tcW w:w="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4800" w:type="dxa"/>
            <w:vAlign w:val="bottom"/>
            <w:gridSpan w:val="3"/>
          </w:tcPr>
          <w:p>
            <w:pPr>
              <w:spacing w:after="0"/>
              <w:rPr>
                <w:sz w:val="20"/>
                <w:szCs w:val="20"/>
                <w:color w:val="auto"/>
              </w:rPr>
            </w:pPr>
            <w:r>
              <w:rPr>
                <w:rFonts w:ascii="Arial" w:cs="Arial" w:eastAsia="Arial" w:hAnsi="Arial"/>
                <w:sz w:val="18"/>
                <w:szCs w:val="18"/>
                <w:color w:val="auto"/>
              </w:rPr>
              <w:t>Miscellaneous expense (income), net</w:t>
            </w:r>
          </w:p>
        </w:tc>
        <w:tc>
          <w:tcPr>
            <w:tcW w:w="1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and other expenses</w:t>
            </w:r>
          </w:p>
        </w:tc>
        <w:tc>
          <w:tcPr>
            <w:tcW w:w="14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r>
      <w:tr>
        <w:trPr>
          <w:trHeight w:val="844"/>
        </w:trPr>
        <w:tc>
          <w:tcPr>
            <w:tcW w:w="20" w:type="dxa"/>
            <w:vAlign w:val="bottom"/>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040" w:type="dxa"/>
            <w:vAlign w:val="bottom"/>
            <w:tcBorders>
              <w:top w:val="single" w:sz="8" w:color="CCEEFF"/>
            </w:tcBorders>
          </w:tcPr>
          <w:p>
            <w:pPr>
              <w:spacing w:after="0"/>
              <w:rPr>
                <w:sz w:val="24"/>
                <w:szCs w:val="24"/>
                <w:color w:val="auto"/>
              </w:rPr>
            </w:pPr>
          </w:p>
        </w:tc>
        <w:tc>
          <w:tcPr>
            <w:tcW w:w="244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jc w:val="right"/>
              <w:ind w:right="390"/>
              <w:spacing w:after="0"/>
              <w:rPr>
                <w:sz w:val="20"/>
                <w:szCs w:val="20"/>
                <w:color w:val="auto"/>
              </w:rPr>
            </w:pPr>
            <w:r>
              <w:rPr>
                <w:rFonts w:ascii="Arial" w:cs="Arial" w:eastAsia="Arial" w:hAnsi="Arial"/>
                <w:sz w:val="18"/>
                <w:szCs w:val="18"/>
                <w:color w:val="auto"/>
              </w:rPr>
              <w:t>12</w:t>
            </w:r>
          </w:p>
        </w:tc>
        <w:tc>
          <w:tcPr>
            <w:tcW w:w="8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57" w:right="239" w:bottom="1440" w:gutter="0" w:footer="0" w:header="0"/>
        </w:sectPr>
      </w:pPr>
    </w:p>
    <w:bookmarkStart w:id="12" w:name="page13"/>
    <w:bookmarkEnd w:id="12"/>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Among these risks are foreign currency exchange rate risk and interest rate risk, which are managed through the use of derivative instruments.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derivative instruments as either an asset or liability measured at their fair value.</w:t>
      </w:r>
    </w:p>
    <w:p>
      <w:pPr>
        <w:spacing w:after="0" w:line="19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€300.0 ($434.8) Notes and the €200.0 ($289.6) Notes were designated as economic hedges of our net investment in our foreign subsidiaries with a Euro functional currency as of June 30, 2011. For derivatives designated as an economic hedge of the foreign currency exposure of a net investment in a foreign operation, the gain or loss associated with foreign currency translation is recorded as a component of Accumulated Other Comprehensive Income, net of taxes. As of June 30, 2011, we had a $90.3 unrealized loss included in Accumulated Other Comprehensive Income, net of taxes, as the net investment hedge was deemed effective.</w:t>
      </w:r>
    </w:p>
    <w:p>
      <w:pPr>
        <w:spacing w:after="0" w:line="2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an insignificant gain associated with our forward contracts in Interest and Other Expenses for the quarter ended June 30, 2011, which offset the losses recorded for the items noted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measurements of those items recorded in our Consolidated Balance Sheets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 Active</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2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Deferred compensation plan assets</w:t>
            </w:r>
          </w:p>
        </w:tc>
        <w:tc>
          <w:tcPr>
            <w:tcW w:w="2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060" w:type="dxa"/>
            <w:vAlign w:val="bottom"/>
            <w:shd w:val="clear" w:color="auto" w:fill="CCEEFF"/>
          </w:tcPr>
          <w:p>
            <w:pPr>
              <w:spacing w:after="0"/>
              <w:rPr>
                <w:sz w:val="22"/>
                <w:szCs w:val="22"/>
                <w:color w:val="auto"/>
              </w:rPr>
            </w:pPr>
          </w:p>
        </w:tc>
        <w:tc>
          <w:tcPr>
            <w:tcW w:w="2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14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844"/>
        </w:trPr>
        <w:tc>
          <w:tcPr>
            <w:tcW w:w="20" w:type="dxa"/>
            <w:vAlign w:val="bottom"/>
          </w:tcPr>
          <w:p>
            <w:pPr>
              <w:spacing w:after="0"/>
              <w:rPr>
                <w:sz w:val="24"/>
                <w:szCs w:val="24"/>
                <w:color w:val="auto"/>
              </w:rPr>
            </w:pPr>
          </w:p>
        </w:tc>
        <w:tc>
          <w:tcPr>
            <w:tcW w:w="4060" w:type="dxa"/>
            <w:vAlign w:val="bottom"/>
            <w:tcBorders>
              <w:top w:val="single" w:sz="8" w:color="CCEEFF"/>
            </w:tcBorders>
          </w:tcPr>
          <w:p>
            <w:pPr>
              <w:spacing w:after="0"/>
              <w:rPr>
                <w:sz w:val="24"/>
                <w:szCs w:val="24"/>
                <w:color w:val="auto"/>
              </w:rPr>
            </w:pPr>
          </w:p>
        </w:tc>
        <w:tc>
          <w:tcPr>
            <w:tcW w:w="200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ind w:right="220"/>
        <w:spacing w:after="0" w:line="342" w:lineRule="auto"/>
        <w:rPr>
          <w:sz w:val="20"/>
          <w:szCs w:val="20"/>
          <w:color w:val="auto"/>
        </w:rPr>
      </w:pPr>
      <w:r>
        <w:rPr>
          <w:rFonts w:ascii="Arial" w:cs="Arial" w:eastAsia="Arial" w:hAnsi="Arial"/>
          <w:sz w:val="16"/>
          <w:szCs w:val="16"/>
          <w:color w:val="auto"/>
        </w:rPr>
        <w:t>The carrying value of Long-Term Debt approximates fair value, except for the Euro-denominated notes. The fair value of the Euro-denominated notes was $740.9 and $686.3 as of June 30, 2011 and December 31, 2010, respectively, compared to a carrying value of $724.4 and $668.3, respectively.</w:t>
      </w:r>
    </w:p>
    <w:p>
      <w:pPr>
        <w:spacing w:after="0" w:line="39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2009, the French Competition Council rendered its decision and levied a fine of €42.0 ($55.9)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appealed the Competition Council’s decision to the Cour de Cassation. In March 2011, the Cour de Cassation, France’s highest court of appeal, confirmed the decision.</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14" w:name="page15"/>
    <w:bookmarkEnd w:id="14"/>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the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changed the name of our Asia Pacific reportable segment to Asia Pacific Middle East (“APME”); the results of this reportable segment have not been restated as only the name has changed.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3 Months Ended</w:t>
            </w:r>
          </w:p>
        </w:tc>
        <w:tc>
          <w:tcPr>
            <w:tcW w:w="240" w:type="dxa"/>
            <w:vAlign w:val="bottom"/>
          </w:tcPr>
          <w:p>
            <w:pPr>
              <w:spacing w:after="0"/>
              <w:rPr>
                <w:sz w:val="18"/>
                <w:szCs w:val="18"/>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United States (a)</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791.6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1,542.5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500"/>
              <w:spacing w:after="0"/>
              <w:rPr>
                <w:sz w:val="20"/>
                <w:szCs w:val="20"/>
                <w:color w:val="auto"/>
              </w:rPr>
            </w:pPr>
            <w:r>
              <w:rPr>
                <w:rFonts w:ascii="Arial" w:cs="Arial" w:eastAsia="Arial" w:hAnsi="Arial"/>
                <w:sz w:val="18"/>
                <w:szCs w:val="18"/>
                <w:color w:val="auto"/>
              </w:rPr>
              <w:t>Other 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1,032.7</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Italy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629.5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Southern Europe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2,182.6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1,683.2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4,001.0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1,265.2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Consolidated (b)</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5,667.3</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10,739.7</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2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Unit Profit: (c)</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60"/>
              <w:spacing w:after="0"/>
              <w:rPr>
                <w:sz w:val="20"/>
                <w:szCs w:val="20"/>
                <w:color w:val="auto"/>
              </w:rPr>
            </w:pPr>
            <w:r>
              <w:rPr>
                <w:rFonts w:ascii="Arial" w:cs="Arial" w:eastAsia="Arial" w:hAnsi="Arial"/>
                <w:sz w:val="18"/>
                <w:szCs w:val="18"/>
                <w:color w:val="auto"/>
              </w:rPr>
              <w:t>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Other Americas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top w:val="single" w:sz="8" w:color="CCEEFF"/>
            </w:tcBorders>
          </w:tcPr>
          <w:p>
            <w:pPr>
              <w:ind w:left="80"/>
              <w:spacing w:after="0"/>
              <w:rPr>
                <w:sz w:val="20"/>
                <w:szCs w:val="20"/>
                <w:color w:val="auto"/>
              </w:rPr>
            </w:pPr>
            <w:r>
              <w:rPr>
                <w:rFonts w:ascii="Arial" w:cs="Arial" w:eastAsia="Arial" w:hAnsi="Arial"/>
                <w:sz w:val="18"/>
                <w:szCs w:val="18"/>
                <w:color w:val="auto"/>
              </w:rPr>
              <w:t>Southern Europe:</w:t>
            </w:r>
          </w:p>
        </w:tc>
        <w:tc>
          <w:tcPr>
            <w:tcW w:w="17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France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Italy</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Southern Europe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77.0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Northern Europe</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APME</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Right Management</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Corporate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amortization expense (c)</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Reclassification of French business tax (d)</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1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Earnings before income taxes</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ind w:left="512" w:hanging="512"/>
        <w:spacing w:after="0" w:line="279" w:lineRule="auto"/>
        <w:tabs>
          <w:tab w:leader="none" w:pos="5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United States, where a majority of our franchises operate, Revenues from Services included fees received from the related franchise offices of $3.2 and $3.4 for the three months ended June 30, 2011 and 2010, respectively, and $5.9 for the six months ended June 30, 2011 and 2010. These fees are primarily based on revenues generated by the franchise offices, which were $163.2 and $155.8 for the three months ended June 30, 2011 and 2010, respectively, and $311.7 and $288.0 for the six months ended June 30, 2011 and 2010, respectively.</w:t>
      </w:r>
    </w:p>
    <w:p>
      <w:pPr>
        <w:spacing w:after="0" w:line="171" w:lineRule="exact"/>
        <w:rPr>
          <w:rFonts w:ascii="Arial" w:cs="Arial" w:eastAsia="Arial" w:hAnsi="Arial"/>
          <w:sz w:val="17"/>
          <w:szCs w:val="17"/>
          <w:color w:val="auto"/>
        </w:rPr>
      </w:pPr>
    </w:p>
    <w:p>
      <w:pPr>
        <w:ind w:left="512" w:right="120" w:hanging="512"/>
        <w:spacing w:after="0" w:line="259" w:lineRule="auto"/>
        <w:tabs>
          <w:tab w:leader="none" w:pos="5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$5.7 and $5.8 for the three months ended June 30, 2011 and 2010, respectively, and $11.6 and $10.4 for six months ending June 30, 2011 and 2010, respectively. These fees are primarily based on revenues generated by the franchise offices, which were $249.6 and $237.3 for the three months ended June 30, 2011 and 2010, respectively and $524.1 and $431.2 for the six months ended June 30, 2011 and 2010, respectively.</w:t>
      </w:r>
    </w:p>
    <w:p>
      <w:pPr>
        <w:spacing w:after="0" w:line="213" w:lineRule="exact"/>
        <w:rPr>
          <w:rFonts w:ascii="Arial" w:cs="Arial" w:eastAsia="Arial" w:hAnsi="Arial"/>
          <w:sz w:val="18"/>
          <w:szCs w:val="18"/>
          <w:color w:val="auto"/>
        </w:rPr>
      </w:pPr>
    </w:p>
    <w:p>
      <w:pPr>
        <w:ind w:left="512" w:right="180" w:hanging="512"/>
        <w:spacing w:after="0" w:line="273" w:lineRule="auto"/>
        <w:tabs>
          <w:tab w:leader="none" w:pos="512"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interest and other income and expense amounts or income taxes. During the third quarter of 2010, we redefined Operating Unit Profit to also exclude intangible asset amortization related to acquisitions. Therefore, these costs are no longer included as operating costs within the reportable segments and Corporate Expenses, and all intangible asset amortization expense is now shown separately. All previously reported results have been restated to conform to the current year presentation.</w:t>
      </w:r>
    </w:p>
    <w:p>
      <w:pPr>
        <w:spacing w:after="0" w:line="205" w:lineRule="exact"/>
        <w:rPr>
          <w:rFonts w:ascii="Arial" w:cs="Arial" w:eastAsia="Arial" w:hAnsi="Arial"/>
          <w:sz w:val="17"/>
          <w:szCs w:val="17"/>
          <w:color w:val="auto"/>
        </w:rPr>
      </w:pPr>
    </w:p>
    <w:p>
      <w:pPr>
        <w:ind w:left="512" w:right="140" w:hanging="512"/>
        <w:spacing w:after="0" w:line="302" w:lineRule="auto"/>
        <w:tabs>
          <w:tab w:leader="none" w:pos="51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French Business Tax, as disclosed in Note 6 to the Consolidated Financial Statements, was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OUP of our France reportable segment. Therefore, we have shown the amount of the French Business Tax separately to be able to reconcile to our Earnings before Income Taxes.</w:t>
      </w:r>
    </w:p>
    <w:p>
      <w:pPr>
        <w:spacing w:after="0" w:line="200" w:lineRule="exact"/>
        <w:rPr>
          <w:sz w:val="20"/>
          <w:szCs w:val="20"/>
          <w:color w:val="auto"/>
        </w:rPr>
      </w:pPr>
    </w:p>
    <w:p>
      <w:pPr>
        <w:spacing w:after="0" w:line="37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274"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23 through 25 for further information on constant currency and organic constant currency.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June 30, 2011 and 2010</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second quarter of 2011, we continued to see strong growth in most of our markets, which allowed us to improve our operating leverage and our operating results for the quarter. The improved operating leverage resulted from our being able to utilize excess capacity in the network to support the revenue growth without a similar increase in our expenses. This leverage was possible as we made strategic cost reductions during the economic downturn, which reduced the adverse impact of the economy during the period, yet preserved capacity within our network to handle the increased demand that we experienced during the current period. As expected, we also experienced a decline in our operating cash flows as our working capital needs increased with our revenue growth.</w:t>
      </w:r>
    </w:p>
    <w:p>
      <w:pPr>
        <w:spacing w:after="0" w:line="2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Client demand for workforce solutions and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and workforce solutions businesses. During periods of increasing demand, we are generally able to improve operating profitability and operating leverage as our current cost base can support some increase in business without a similar increase in selling and administrative expense. During these periods, we also see an increase in our working capital needs, resulting from an increase in our accounts receivable balance in-line with the revenue growth, which may result in a decline in operating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2011 as compared to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5,667.3</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4,585.6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4,705.1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3,788.6</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24.2</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797.0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9.8</w:t>
            </w:r>
          </w:p>
        </w:tc>
      </w:tr>
      <w:tr>
        <w:trPr>
          <w:trHeight w:val="210"/>
        </w:trPr>
        <w:tc>
          <w:tcPr>
            <w:tcW w:w="20" w:type="dxa"/>
            <w:vAlign w:val="bottom"/>
          </w:tcPr>
          <w:p>
            <w:pPr>
              <w:spacing w:after="0"/>
              <w:rPr>
                <w:sz w:val="18"/>
                <w:szCs w:val="18"/>
                <w:color w:val="auto"/>
              </w:rPr>
            </w:pPr>
          </w:p>
        </w:tc>
        <w:tc>
          <w:tcPr>
            <w:tcW w:w="5900" w:type="dxa"/>
            <w:vAlign w:val="bottom"/>
          </w:tcPr>
          <w:p>
            <w:pPr>
              <w:ind w:left="260"/>
              <w:spacing w:after="0"/>
              <w:rPr>
                <w:sz w:val="20"/>
                <w:szCs w:val="20"/>
                <w:color w:val="auto"/>
              </w:rPr>
            </w:pPr>
            <w:r>
              <w:rPr>
                <w:rFonts w:ascii="Arial" w:cs="Arial" w:eastAsia="Arial" w:hAnsi="Arial"/>
                <w:sz w:val="16"/>
                <w:szCs w:val="16"/>
                <w:i w:val="1"/>
                <w:iCs w:val="1"/>
                <w:color w:val="auto"/>
              </w:rPr>
              <w:t>Gross profit margin</w:t>
            </w:r>
          </w:p>
        </w:tc>
        <w:tc>
          <w:tcPr>
            <w:tcW w:w="2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17.0</w:t>
            </w: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17.4</w:t>
            </w: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79.1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260"/>
              <w:spacing w:after="0"/>
              <w:rPr>
                <w:sz w:val="20"/>
                <w:szCs w:val="20"/>
                <w:color w:val="auto"/>
              </w:rPr>
            </w:pPr>
            <w:r>
              <w:rPr>
                <w:rFonts w:ascii="Arial" w:cs="Arial" w:eastAsia="Arial" w:hAnsi="Arial"/>
                <w:sz w:val="16"/>
                <w:szCs w:val="16"/>
                <w:i w:val="1"/>
                <w:iCs w:val="1"/>
                <w:color w:val="auto"/>
              </w:rPr>
              <w:t>Operating profit margin</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2.7</w:t>
            </w: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1.7%</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34.5</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Effective income tax rate</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47.7%</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51.5%</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3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have continued to see improvements in most markets with regard to our staffing and workforce solutions business during the second quarter of 2011 as economic conditions have remained strong. At Right Management, we have seen a decline in demand for the counter-cyclical outplacement services as expected with the improving economic conditions and growth in our staffing and solutions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 from Services was primarily attributed to:</w:t>
      </w:r>
    </w:p>
    <w:p>
      <w:pPr>
        <w:spacing w:after="0" w:line="252" w:lineRule="exact"/>
        <w:rPr>
          <w:sz w:val="20"/>
          <w:szCs w:val="20"/>
          <w:color w:val="auto"/>
        </w:rPr>
      </w:pPr>
    </w:p>
    <w:p>
      <w:pPr>
        <w:ind w:left="660" w:hanging="139"/>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Southern Europe, Northern Europe and Asia Pacific Middle East (“APME”), where revenues increased 11.8%, 14.5%, 9.4% and 16.4%, respectively, on a constant currency basis;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7" w:name="page18"/>
    <w:bookmarkEnd w:id="17"/>
    <w:p>
      <w:pPr>
        <w:ind w:left="660" w:hanging="13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acquisition of three entities in APME during April 2011 which added approximately 1% revenue growth to our consolidated results. During the second quarter of 2011, APME experienced revenue growth of 8.7% on an organic constant currency basis;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11.6% increase due to the impact of currency exchange rates; partially offset by</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services for Right Management, where revenues decreased 19.9%, on a constant currency basis, including a 32.2% decline in our outplacement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52" w:lineRule="exact"/>
        <w:rPr>
          <w:sz w:val="20"/>
          <w:szCs w:val="20"/>
          <w:color w:val="auto"/>
        </w:rPr>
      </w:pPr>
    </w:p>
    <w:p>
      <w:pPr>
        <w:ind w:left="660" w:hanging="139"/>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30 basis point (-0.30%) decline due to the outplacement revenue decline of Right Management, where the gross profit margin is higher than our Company average;</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20 basis point (-0.20%) decline due to mix changes in our revenues;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basis point (-0.10%) decline due to our acquisitions in APME; partially offset by</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basis point (0.10%) favorable impact due to the growth in our permanent recruitment business; and</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10 basis point (0.10%) improvement in our temporary staffing business margins.</w:t>
      </w:r>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13.0% increase in Selling and Administrative Expenses for the current quarter (3.5% increase in constant currency and 3.2% increase in organic constant currency) was attributed to:</w:t>
      </w:r>
    </w:p>
    <w:p>
      <w:pPr>
        <w:spacing w:after="0" w:line="197" w:lineRule="exact"/>
        <w:rPr>
          <w:sz w:val="20"/>
          <w:szCs w:val="20"/>
          <w:color w:val="auto"/>
        </w:rPr>
      </w:pPr>
    </w:p>
    <w:p>
      <w:pPr>
        <w:ind w:left="460" w:hanging="14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our organic salary-related costs due to an increase in headcount in certain markets in response to increased demand;</w:t>
      </w:r>
    </w:p>
    <w:p>
      <w:pPr>
        <w:spacing w:after="0" w:line="252" w:lineRule="exact"/>
        <w:rPr>
          <w:rFonts w:ascii="Arial" w:cs="Arial" w:eastAsia="Arial" w:hAnsi="Arial"/>
          <w:sz w:val="18"/>
          <w:szCs w:val="18"/>
          <w:color w:val="auto"/>
        </w:rPr>
      </w:pPr>
    </w:p>
    <w:p>
      <w:pPr>
        <w:ind w:left="460" w:hanging="14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9.5% increase due to the impact of currency exchange rates; and</w:t>
      </w:r>
    </w:p>
    <w:p>
      <w:pPr>
        <w:spacing w:after="0" w:line="252" w:lineRule="exact"/>
        <w:rPr>
          <w:rFonts w:ascii="Arial" w:cs="Arial" w:eastAsia="Arial" w:hAnsi="Arial"/>
          <w:sz w:val="18"/>
          <w:szCs w:val="18"/>
          <w:color w:val="auto"/>
        </w:rPr>
      </w:pPr>
    </w:p>
    <w:p>
      <w:pPr>
        <w:ind w:left="460" w:hanging="141"/>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addition of recurring selling and administrative costs for our three APME acquisitions.</w:t>
      </w:r>
    </w:p>
    <w:p>
      <w:pPr>
        <w:spacing w:after="0" w:line="252"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Selling and Administrative Expenses as a percent of revenues decreased 140 basis points (-1.4%) in the second quarter of 2011 compared to 2010 due primarily to productivity enhancements and expense leveraging, as this 13.0% (or 3.5% in constant currency) increase in expense supported the 23.6% increase in revenues (or 12.0% in constant currency) in the second quarter of 2011 as compared to 2010.</w:t>
      </w:r>
    </w:p>
    <w:p>
      <w:pPr>
        <w:spacing w:after="0" w:line="19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Interest and Other Expenses were $11.8 million for the second quarter of 2011 compared to $11.9 million in 2010. Net Interest Expense decreased $1.6 million in the second quarter of 2011 to $9.5 million due primarily to us incurring $2.2 million of interest expense in 2010 to write-off COMSYS’s deferred financing costs. Translation gains were $0.2 million in the second quarter of 2011 compared to translation losses of $0.9 million in 2010.</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recorded income tax expense, at an effective rate of 47.7%, for the three months ended June 30, 2011, as compared to an income tax expense, at an effective rate of 51.5%, for the three months ended June 30, 2010. The 2011 rate was favorably impacted by the overall mix of earnings, primarily an increase to non-U.S. income, while 2010 was unfavorably impacted by an increase in valuation allowances related to losses in certain non-U.S. entities. The 47.7% rate was higher than the U.S. Federal statutory rate of 35%, and we currently expect an annual effective tax rate of approximately 46%, due primarily to the impact of the mix of U.S. and non-U.S. earnings, valuation allowances, other permanent items, repatriations from non-U.S. entities and the French Business Tax. Excluding the impact of the French Business Tax, our tax rate for the three months ended June 30, 2011 would have been approximately 37%.</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auto"/>
        </w:rPr>
        <w:t>Operating Results – Six Months Ended June 30, 2011 and 2010</w:t>
      </w:r>
    </w:p>
    <w:p>
      <w:pPr>
        <w:spacing w:after="0" w:line="252"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On April 5, 2010, we completed our acquisition of COMSYS IT Partners, Inc. (“COMSYS”) from its existing shareholders. COMSYS’s operating results have been included within our consolidated results from April 5, 2010 forward. In the first quarter of 2011, COMSYS had been fully integrated into our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six months ended June 30, 2011 compared to 2010.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2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10,739.7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8,684.9</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8,919.9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7,186.4</w:t>
            </w:r>
          </w:p>
        </w:tc>
        <w:tc>
          <w:tcPr>
            <w:tcW w:w="2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24.1</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1,498.5</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21.4</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14.6</w:t>
            </w:r>
          </w:p>
        </w:tc>
      </w:tr>
      <w:tr>
        <w:trPr>
          <w:trHeight w:val="210"/>
        </w:trPr>
        <w:tc>
          <w:tcPr>
            <w:tcW w:w="20" w:type="dxa"/>
            <w:vAlign w:val="bottom"/>
          </w:tcPr>
          <w:p>
            <w:pPr>
              <w:spacing w:after="0"/>
              <w:rPr>
                <w:sz w:val="18"/>
                <w:szCs w:val="18"/>
                <w:color w:val="auto"/>
              </w:rPr>
            </w:pPr>
          </w:p>
        </w:tc>
        <w:tc>
          <w:tcPr>
            <w:tcW w:w="5900" w:type="dxa"/>
            <w:vAlign w:val="bottom"/>
          </w:tcPr>
          <w:p>
            <w:pPr>
              <w:ind w:left="300"/>
              <w:spacing w:after="0"/>
              <w:rPr>
                <w:sz w:val="20"/>
                <w:szCs w:val="20"/>
                <w:color w:val="auto"/>
              </w:rPr>
            </w:pPr>
            <w:r>
              <w:rPr>
                <w:rFonts w:ascii="Arial" w:cs="Arial" w:eastAsia="Arial" w:hAnsi="Arial"/>
                <w:sz w:val="16"/>
                <w:szCs w:val="16"/>
                <w:i w:val="1"/>
                <w:iCs w:val="1"/>
                <w:color w:val="auto"/>
              </w:rPr>
              <w:t>Gross profit margin</w:t>
            </w:r>
          </w:p>
        </w:tc>
        <w:tc>
          <w:tcPr>
            <w:tcW w:w="1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6"/>
                <w:szCs w:val="16"/>
                <w:i w:val="1"/>
                <w:iCs w:val="1"/>
                <w:color w:val="auto"/>
              </w:rPr>
              <w:t>16.9</w:t>
            </w: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i w:val="1"/>
                <w:iCs w:val="1"/>
                <w:color w:val="auto"/>
              </w:rPr>
              <w:t>17.3</w:t>
            </w:r>
            <w:r>
              <w:rPr>
                <w:rFonts w:ascii="Arial" w:cs="Arial" w:eastAsia="Arial" w:hAnsi="Arial"/>
                <w:sz w:val="16"/>
                <w:szCs w:val="16"/>
                <w:color w:val="auto"/>
              </w:rPr>
              <w:t>%</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1,583.4</w:t>
            </w:r>
          </w:p>
        </w:tc>
        <w:tc>
          <w:tcPr>
            <w:tcW w:w="1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111.7</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00"/>
              <w:spacing w:after="0"/>
              <w:rPr>
                <w:sz w:val="20"/>
                <w:szCs w:val="20"/>
                <w:color w:val="auto"/>
              </w:rPr>
            </w:pPr>
            <w:r>
              <w:rPr>
                <w:rFonts w:ascii="Arial" w:cs="Arial" w:eastAsia="Arial" w:hAnsi="Arial"/>
                <w:sz w:val="16"/>
                <w:szCs w:val="16"/>
                <w:i w:val="1"/>
                <w:iCs w:val="1"/>
                <w:color w:val="auto"/>
              </w:rPr>
              <w:t>Operating profit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2.2</w:t>
            </w: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1.3%</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(7.7)</w:t>
            </w:r>
          </w:p>
        </w:tc>
        <w:tc>
          <w:tcPr>
            <w:tcW w:w="1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before income taxes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86.9</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51.4</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6"/>
                <w:szCs w:val="16"/>
                <w:i w:val="1"/>
                <w:iCs w:val="1"/>
                <w:color w:val="auto"/>
              </w:rPr>
              <w:t>Effective income tax rate</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i w:val="1"/>
                <w:iCs w:val="1"/>
                <w:color w:val="auto"/>
              </w:rPr>
              <w:t>49.2%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i w:val="1"/>
                <w:iCs w:val="1"/>
                <w:color w:val="auto"/>
              </w:rPr>
              <w:t>59.2%</w:t>
            </w: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Net earnings</w:t>
            </w: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81.2</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34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We have continued to see improvements in most markets with regard to our staffing and workforce solutions business during the first half of 2011 as economic conditions have improved globally. At Right Management, we have seen a decline in demand for the counter-cyclical outplacement services as expected with the improving economic conditions and growth in our staffing and solutions business.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 from Services was primarily attributed to:</w:t>
      </w:r>
    </w:p>
    <w:p>
      <w:pPr>
        <w:spacing w:after="0" w:line="252" w:lineRule="exact"/>
        <w:rPr>
          <w:sz w:val="20"/>
          <w:szCs w:val="20"/>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Southern Europe, Northern Europe and APME, where revenues increased 24.7%, 18.1%, 13.0% and 13.8%, respectively, on a constant currency basis;</w:t>
      </w:r>
    </w:p>
    <w:p>
      <w:pPr>
        <w:spacing w:after="0" w:line="197"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acquisition of three entities in APME during April 2011 which added 0.5% revenue growth to our consolidated results. During the first half of 2011, APME experienced revenue growth of 10.0% on an organic constant currency basis;</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7.1% increase due to the impact of currency exchange rates; partially offset by</w:t>
      </w:r>
    </w:p>
    <w:p>
      <w:pPr>
        <w:spacing w:after="0" w:line="252"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services for Right Management, where revenues decreased 21.3%, on a constant currency basis, including a 33.5% decline in our outplacement services.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52" w:lineRule="exact"/>
        <w:rPr>
          <w:sz w:val="20"/>
          <w:szCs w:val="20"/>
          <w:color w:val="auto"/>
        </w:rPr>
      </w:pPr>
    </w:p>
    <w:p>
      <w:pPr>
        <w:ind w:left="660" w:hanging="139"/>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40 basis point (-0.40%) decline due to the outplacement revenue decline of Right Management, where the gross profit margin was higher than our Company average;</w:t>
      </w:r>
    </w:p>
    <w:p>
      <w:pPr>
        <w:spacing w:after="0" w:line="197" w:lineRule="exact"/>
        <w:rPr>
          <w:rFonts w:ascii="Arial" w:cs="Arial" w:eastAsia="Arial" w:hAnsi="Arial"/>
          <w:sz w:val="18"/>
          <w:szCs w:val="18"/>
          <w:color w:val="auto"/>
        </w:rPr>
      </w:pPr>
    </w:p>
    <w:p>
      <w:pPr>
        <w:ind w:left="660" w:hanging="13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(-0.10%) decline due to mix changes in our revenues;</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(-0.10%) decline due to our acquisitions in APME; partially offset by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 a 20 basis point (0.20%) favorable impact due to the growth in our permanent recruitment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14.2% increase in Selling and Administrative Expenses for the first half of 2011 (8.4% increase in constant currency) was attributed to:</w:t>
      </w:r>
    </w:p>
    <w:p>
      <w:pPr>
        <w:spacing w:after="0" w:line="252" w:lineRule="exact"/>
        <w:rPr>
          <w:sz w:val="20"/>
          <w:szCs w:val="20"/>
          <w:color w:val="auto"/>
        </w:rPr>
      </w:pPr>
    </w:p>
    <w:p>
      <w:pPr>
        <w:ind w:left="460" w:hanging="141"/>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increase in our organic salary-related costs due to an increase in headcount in certain markets in response to the increased demand; and</w:t>
      </w:r>
    </w:p>
    <w:p>
      <w:pPr>
        <w:spacing w:after="0" w:line="263" w:lineRule="exact"/>
        <w:rPr>
          <w:rFonts w:ascii="Arial" w:cs="Arial" w:eastAsia="Arial" w:hAnsi="Arial"/>
          <w:sz w:val="17"/>
          <w:szCs w:val="17"/>
          <w:color w:val="auto"/>
        </w:rPr>
      </w:pPr>
    </w:p>
    <w:p>
      <w:pPr>
        <w:ind w:left="460" w:hanging="141"/>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5.8% increase due to the impact of currency exchange rates.</w:t>
      </w:r>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and Administrative Expenses as a percent of revenues decreased 130 basis points (-1.3%) for the first half of 2011 compared to 2010 due primarily to productivity enhancements and expense leveraging, as this 14.2% (or 8.4% in constant currency) increase in expense supported the 23.7% increase in revenues (or 16.6% in constant currency) for the first half of 2011 as compared to 2010.</w:t>
      </w:r>
    </w:p>
    <w:p>
      <w:pPr>
        <w:spacing w:after="0" w:line="20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Interest and Other Expenses were $22.9 million for the first half of 2011 compared to $24.8 million in 2010. Net Interest Expense decreased $2.3 million in the first half of 2011 to $18.3 million due primarily to us incurring $2.2 million of interest expense in 2010 to write-off COMSYS’s deferred financing costs. Translation losses were $0.3 million in the first half of 2011 compared to $2.8 million in 2010.</w:t>
      </w:r>
    </w:p>
    <w:p>
      <w:pPr>
        <w:spacing w:after="0" w:line="20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recorded an income tax expense, at an effective rate of 49.2%, for the first half of 2011, as compared to an income tax expense, at an effective rate of 59.2%, for the first half of 2010. The 2011 rate was favorably impacted by the overall mix of earnings, primarily an increase to non-U.S. income. Excluding the impact of the French Business Tax, our tax rate for the first half of 2011 would have been approximately 37%.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January 1, 2011, we created a new organizational structure in Europe in order to elevate our service quality throughout Europe, the Middle East and Africa. Other Southern Europe and Northern Europe, previously reported in Other EMEA, are now separate reportable segments. France, Italy and Other Southern Europe are aggregated into our Southern Europe reportable segment. All previously reported results have been restated to conform to the current year presentation. Additionally, we have changed the name of our Asia Pacific reportable segment to APME; the results of this reportable segment have not been restated as only the name has changed.</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Americas, Revenues from Services increased 13.4% (11.8% in constant currency) for the second quarter of 2011 compared to 2010. In the United States (which represents 67.6% of the Americas’ revenues), Revenues from Services improved 9% in the second quarter of 2011 compared to 2010 due to growth in our temporary staffing business, particularly in the light industrial sector, and an increase of 59.4% in permanent recruitment revenues. In Other Americas, Revenues from Services improved 23.9% (18.5% in constant currency) led by revenue growth in Argentina and Mexico. The revenue increase in Argentina was primarily due to inflation.</w:t>
      </w:r>
    </w:p>
    <w:p>
      <w:pPr>
        <w:spacing w:after="0" w:line="2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Americas, Revenues from Services increased 26.2% (24.7% in constant currency) for the first half of 2011 compared to 2010. In the United States, Revenues from Services improved 27.6% in the first half of 2011 compared to 2010, due to the acquisition of COMSYS as well as an increase in volumes in our core temporary staffing business, particularly in the light industrial sector. In Other Americas, Revenues from Services increased 23.4% (18.9% in constant currency) in the first half of 2011 compared to 2010.</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Profit Margin increased during both the second quarter and the first half of 2011 compared to 2010 due to an improvement in temporary staffing margins, the impact of the COMSYS acquisition in the first quarter and an increase in our permanent recruitment and ManpowerGroup Solutions businesses. We were able to increase our bill rates to cover the impact of increased SUTA taxes, which were effective in 2011.</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bookmarkStart w:id="20" w:name="page21"/>
    <w:bookmarkEnd w:id="20"/>
    <w:p>
      <w:pPr>
        <w:ind w:right="120"/>
        <w:spacing w:after="0" w:line="276" w:lineRule="auto"/>
        <w:rPr>
          <w:sz w:val="20"/>
          <w:szCs w:val="20"/>
          <w:color w:val="auto"/>
        </w:rPr>
      </w:pPr>
      <w:r>
        <w:rPr>
          <w:rFonts w:ascii="Arial" w:cs="Arial" w:eastAsia="Arial" w:hAnsi="Arial"/>
          <w:sz w:val="17"/>
          <w:szCs w:val="17"/>
          <w:color w:val="auto"/>
        </w:rPr>
        <w:t>Selling and Administrative Expenses increased during the second quarter and the first half of 2011 compared to 2010, due primarily to an increase in our organic salary-related costs as we added headcount to support the increased demand. In the first quarter of 2011, Selling and Administrative Expenses also increased because of the addition of COMSYS’s recurring selling and administrative costs as the acquisition occurred in April 2010. Selling and Administrative Expenses as a percent of revenues decreased in both the second quarter and the first half of 2011 compared to 2010 due to improved expense leveraging as we were able to support the revenue growth without a similar increase in expenses.</w:t>
      </w:r>
    </w:p>
    <w:p>
      <w:pPr>
        <w:spacing w:after="0" w:line="1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Operating Unit Profit (“OUP”) Margin in the Americas was 3.4% and 2.3% for the second quarter of 2011 and 2010, respectively. In the United States, OUP Margin was 3.4% in the second quarter of 2011 compared to 2.0% in 2010. In Other Americas, OUP Margin was 3.2% in the second quarter of 2011 compared to 2.8% in 2010. The increased margins resulted from the higher revenue and gross margin levels coupled with the improved leveraging of expenses.</w:t>
      </w:r>
    </w:p>
    <w:p>
      <w:pPr>
        <w:spacing w:after="0" w:line="214"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OUP Margin in the Americas was 2.7% and 1.2% for the first half of 2011 and 2010, respectively. In the United States, OUP Margin was 2.3% and 0.2% for the first half of 2011 and 2010, respectively. In Other Americas, OUP Margin was 3.4% and 3.0% for the first half of 2011 and 2010, respectively.</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5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In Southern Europe, which includes operations in France and Italy, Revenues from Services increased 29.7% (14.5% in constant currency) during the second quarter of 2011 compared to 2010. In France (which represents 75.3% of Southern Europe’s revenues), Revenues from Services increased 15.5% in constant currency during the second quarter of 2011 compared to 2010. In Italy (which represents 15.8% of Southern Europe’s revenues), Revenues from Services improved 17.6% in constant currency during the second quarter of 2011 compared to 2010. In Other Southern Europe, Revenues from Services increased</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3.0% in constant currency in the second quarter of 2011 compared to 2010. During the second quarter of 2011, Southern Europe experienced strong growth in the temporary staffing business, while permanent recruitment revenues increased 32.8% in constant currency.</w:t>
      </w:r>
    </w:p>
    <w:p>
      <w:pPr>
        <w:spacing w:after="0" w:line="21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Southern Europe, Revenues from Services increased 25.7% (18.1% in constant currency) in the first half of 2011 compared to 2010. In France, Revenues from Services increased 26.8% (19.1% in constant currency) in the first half of 2011 compared to 2010, while Italy increased 27.7% (19.9% in constant currency) and Other Southern Europe increased 14.3% (7.9% in constant currency). During the first half of 2011, Southern Europe had strong growth in our temporary staffing business (increased 18.1% in constant currency) and permanent recruitment revenues (increased 22.8% in constant currency).</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Gross Profit Margin decreased in both the second quarter and first half of 2011 compared to the respective 2010 periods due primarily to the reduction in French payroll tax subsidies that was effective in January 2011. While we have increased our bill rates to cover this change, timing of price increases has lagged, resulting in a net unfavorable impact on our margin in the second quarter. We believe we will fully recover this increase by the fourth quarter of this year.</w:t>
      </w:r>
    </w:p>
    <w:p>
      <w:pPr>
        <w:spacing w:after="0" w:line="2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Selling and Administrative Expenses increased in both the second quarter and first half of 2011 compared to the respective 2010 periods due to an increase in salary-related costs resulting from an increase in headcount needed to support the revenue growth and an increase in variable compensation as operating results have improved. Selling and Administrative Expenses as a percent of revenues decreased in both the second quarter and the first half of 2011 compared to 2010.</w:t>
      </w:r>
    </w:p>
    <w:p>
      <w:pPr>
        <w:spacing w:after="0" w:line="21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OUP Margin in Southern Europe was 2.3% and 1.5% for the second quarter of 2011 and 2010, respectively. This increase reflects an improvement across the region, with France’s OUP Margin at 1.5% for the second quarter of 2011 compared to 0.8% in 2010, Italy’s OUP Margin at 6.5% in the second quarter of 2011 compared to 5.2% in 2010 and Other Southern Europe’s OUP Margin at 1.4% in the second quarter 2011 compared to 1.2% in 2010. This increase is due to improved operating leverage as we were able to support the increase in business without a similar increase in expense.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OUP Margin in Southern Europe was 1.9% and 1.0% for the first half of 2011 and 2010, respectively. This increase reflects an improvement across the region, with France’s OUP Margin at 1.2% for the first half of 2011 compared to 0.4% in 2010, Italy’s OUP Margin at 5.6% in the first half of 2011 compared to 4.1% in 2010 and Other Southern Europe’s OUP Margin at 1.3% in the first half of 2011 compared to 0.4% in 2010.</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Northern Europe</w:t>
      </w:r>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Northern Europe, which includes operations in the Nordics, the United Kingdom, Germany and the Netherlands, Revenues from Services increased 23.8% (9.4% in constant currency) in the second quarter of 2011 as compared to 2010. While we experienced strong growth in many markets in the quarter, this revenue growth does reflect some moderating from what we saw in the first quarter. The growth came from within our temporary staffing business and our permanent recruitment business, which increased revenues 26.5% in constant currency during the current quarter.</w:t>
      </w:r>
    </w:p>
    <w:p>
      <w:pPr>
        <w:spacing w:after="0" w:line="19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Northern Europe, Revenues from Services increased 21.6% (13.0% in constant currency) in the first half of 2011 compared to 2010 for the same reasons as noted above. Our permanent recruitment revenues increased 29.3% in constant currency during the first half of 2011 compared to 2010.</w:t>
      </w:r>
    </w:p>
    <w:p>
      <w:pPr>
        <w:spacing w:after="0" w:line="174"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Gross Profit Margin increased in both the second quarter and first half of 2011 compared to 2010 primarily due to the increase in the permanent recruitment business.</w:t>
      </w:r>
    </w:p>
    <w:p>
      <w:pPr>
        <w:spacing w:after="0" w:line="19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Selling and Administrative Expenses increased in the second quarter and first half of 2011 compared to 2010 primarily due to additional headcount required to meet the higher demand for our services. Selling and Administrative Expenses as a percent of revenues decreased in both the second quarter and the first half of 2011 compared to 2010.</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OUP Margin for Northern Europe was 3.6% and 2.2% for the second quarter of 2011 and 2010, respectively, and was 3.2% and 1.9% for the first half of 2011 and 2010, respectively. The improvements were the result of gaining operating leverage to support higher revenue levels without a similar increase in expenses.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5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Revenues from Services for APME increased 31.0% (16.4% in constant currency and 8.7% in organic constant currency) in the second quarter of 2011 compared to 2010. During the second quarter of 2011, China and India both made acquisitions, which significantly increased their revenues. Australia also experienced significant revenue growth in their temporary staffing business, which resulted in revenue growth of 19.1% in constant currency, during the second quarter of 2011 compared to 2010. This was offset, in part, by Japan, where Revenues from Services were down -0.5% in constant currency in the second quarter of 2011 compared 2010 as a 39.8% increase in the ManpowerGroup Solutions business could not fully offset the decline in staffing that resulted from the earthquake and tsunami early in the quarter.</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from Services for APME increased 26.1% (13.8% in constant currency and 10.0% in organic constant currency) in the first half of 2011 compared to 2010 for the reasons noted above.</w:t>
      </w:r>
    </w:p>
    <w:p>
      <w:pPr>
        <w:spacing w:after="0" w:line="19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Gross Profit Margin decreased in both the second quarter and the first half of 2011 compared to 2010 due to changes in business mix that were impacted, in part, by growth in several larger clients with lower margin business and by our acquisitions.</w:t>
      </w:r>
    </w:p>
    <w:p>
      <w:pPr>
        <w:spacing w:after="0" w:line="197"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Selling and Administrative Expenses increased in both the second quarter and first half of 2011 compared to 2010 primarily due to increased compensation costs arising from headcount increases to support the growth in revenue and an increase in variable incentive-based compensation as a result of improved results. Selling and Administrative Expenses as a percent of revenues decreased in both the second quarter and the first half of 2011 compared to 2010.</w:t>
      </w:r>
    </w:p>
    <w:p>
      <w:pPr>
        <w:spacing w:after="0" w:line="17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OUP Margin for APME was 2.8% in the second quarter of 2011 compared to 2.3% in 2010. OUP Margin for APME was 2.8% for the first half of 2011 compared to 2.4% in 2010.</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Right Management</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Revenues from Services for Right Management in the second quarter of 2011 decreased 14.3% (-19.9% in constant currency) compared to 2010. This decrease in revenues was due to a 32.2% decline in the demand for the counter-cyclical outplacement services, where revenues decline as we experience an economic recovery. The decline in outplacement services was in part offset by a 13.3% increase in our talent management business. Revenues from Services for Right Management in the first half of 2011 decreased 17.7% (-21.3% in constant currency) compared to 2010 due to the decline in the outplacement services.</w:t>
      </w:r>
    </w:p>
    <w:p>
      <w:pPr>
        <w:spacing w:after="0" w:line="21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Gross Profit Margin decreased in both the second quarter and the first half of 2011 compared to the respective 2010 periods because of the business mix change, as we saw the decline in the higher margin outplacement services.</w:t>
      </w:r>
    </w:p>
    <w:p>
      <w:pPr>
        <w:spacing w:after="0" w:line="19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Selling and Administrative Expenses decreased in both the second quarter and the first half of 2011 compared to 2010, as costs were reduced in response to the lower 2011 revenue volumes. As a percentage of revenues, Selling and Administrative Expenses increased in both the second quarter and the first half of 2011 compared 2010, as our fixed costs are now supporting lower revenues.</w:t>
      </w:r>
    </w:p>
    <w:p>
      <w:pPr>
        <w:spacing w:after="0" w:line="20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OUP Margin for Right Management was 3.3% in the second quarter of 2011 compared to 7.9% in 2010. OUP Margin for Right Management was 3.7% in the first half of 2011 compared to 10.1% in 2010. The prior year OUP margins were higher given the greater mix of outplacement business in 2010.</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2"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Changes in our financial results include the impact of changes in foreign currency exchange rates. We provide “constant currency” and “organic constant currency” calculations in our quarterly report to remove the impact of these items. We express year-over-year variances that were calculated in constant currency and organic constant currency as a percentage.</w:t>
      </w:r>
    </w:p>
    <w:p>
      <w:pPr>
        <w:spacing w:after="0" w:line="208"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reported earnings and not our actual cash flow or economic condition.</w:t>
      </w:r>
    </w:p>
    <w:p>
      <w:pPr>
        <w:spacing w:after="0" w:line="20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Reconciliation to the percent variances calculated based on our financial results is provided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9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8"/>
                <w:szCs w:val="18"/>
                <w:b w:val="1"/>
                <w:bCs w:val="1"/>
                <w:color w:val="auto"/>
                <w:w w:val="99"/>
              </w:rPr>
              <w:t>3 Months Ended June 30, 2011 Compared to 2010</w:t>
            </w:r>
          </w:p>
        </w:tc>
        <w:tc>
          <w:tcPr>
            <w:tcW w:w="10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1"/>
              </w:rPr>
              <w:t>Impact of</w:t>
            </w: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Acquisitions/</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Variance in</w:t>
            </w: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Dispositions</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Reported</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Reported</w:t>
            </w: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Impact of</w:t>
            </w: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Constant</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(In Constant</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Amount(a)</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Variance</w:t>
            </w: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Currency</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Currency</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Currency)</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791.6</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379.4</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1,171.0</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1,644.0</w:t>
            </w:r>
          </w:p>
        </w:tc>
        <w:tc>
          <w:tcPr>
            <w:tcW w:w="12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344.9</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193.7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14.9</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3.0</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2,182.6</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29.7</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w:t>
            </w:r>
          </w:p>
        </w:tc>
        <w:tc>
          <w:tcPr>
            <w:tcW w:w="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APME</w:t>
            </w:r>
          </w:p>
        </w:tc>
        <w:tc>
          <w:tcPr>
            <w:tcW w:w="1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662.8</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16.4</w:t>
            </w: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Consolidated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5,667.3</w:t>
            </w:r>
          </w:p>
        </w:tc>
        <w:tc>
          <w:tcPr>
            <w:tcW w:w="1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23.6</w:t>
            </w:r>
          </w:p>
        </w:tc>
        <w:tc>
          <w:tcPr>
            <w:tcW w:w="11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11.6</w:t>
            </w:r>
          </w:p>
        </w:tc>
        <w:tc>
          <w:tcPr>
            <w:tcW w:w="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12.0</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962.2</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20.7</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811.4</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150.8</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90.6</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67.5</w:t>
            </w: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In millions for the three months ended June 30, 2011.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gridSpan w:val="8"/>
          </w:tcPr>
          <w:p>
            <w:pPr>
              <w:jc w:val="right"/>
              <w:ind w:right="980"/>
              <w:spacing w:after="0"/>
              <w:rPr>
                <w:sz w:val="20"/>
                <w:szCs w:val="20"/>
                <w:color w:val="auto"/>
              </w:rPr>
            </w:pPr>
            <w:r>
              <w:rPr>
                <w:rFonts w:ascii="Arial" w:cs="Arial" w:eastAsia="Arial" w:hAnsi="Arial"/>
                <w:sz w:val="18"/>
                <w:szCs w:val="18"/>
                <w:b w:val="1"/>
                <w:bCs w:val="1"/>
                <w:color w:val="auto"/>
              </w:rPr>
              <w:t>6 Months Ended June 30, 2011 Compared to 2010</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260"/>
              <w:spacing w:after="0" w:line="201" w:lineRule="exact"/>
              <w:rPr>
                <w:sz w:val="20"/>
                <w:szCs w:val="20"/>
                <w:color w:val="auto"/>
              </w:rPr>
            </w:pPr>
            <w:r>
              <w:rPr>
                <w:rFonts w:ascii="Arial" w:cs="Arial" w:eastAsia="Arial" w:hAnsi="Arial"/>
                <w:sz w:val="18"/>
                <w:szCs w:val="18"/>
                <w:color w:val="auto"/>
                <w:w w:val="94"/>
              </w:rPr>
              <w:t>Impact of</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Acquisitions/</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Variance in</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Dispositions</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Constant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Reported</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Reported</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Impact of</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Constant</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 Constant</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Currency</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Amount(a)</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Variance</w:t>
            </w: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Currency</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Currency</w:t>
            </w: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Currency)</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Variance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1,542.5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741.2</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Southern Europe: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France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2,997.8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26.8</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19.1</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Italy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Other Southern Europe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373.7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4,001.0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Northern Europe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3,022.9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APME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1,265.7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166.4</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Consolidated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10,739.7</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7.1</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1,819.8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21.4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1,583.4</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236.4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111.7</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92.2</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In millions for the six months ended June 30, 2011.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Cash used in operating activities was $192.1 million during the first half of 2011 compared to $65.7 million during the first half of 2010. Working capital needs increased to $389.5 million during the first half of 2011 compared to $169.0 million during the same period in 2010. These increases were attributable to increased working capital needs as a result of the growth in the business and timing of tax payments.</w:t>
      </w:r>
    </w:p>
    <w:p>
      <w:pPr>
        <w:spacing w:after="0" w:line="20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Accounts receivable increased to $4,496.8 million as of June 30, 2011 from $3,844.1 million as of December 31, 2010. This increase was primarily due to increased business volumes and changes in foreign currency exchange rates. At exchange rates as of December 31, 2010, the June 30, 2011 balance would have been approximately $232.4 million lower than reported.</w:t>
      </w:r>
    </w:p>
    <w:p>
      <w:pPr>
        <w:spacing w:after="0" w:line="208"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Capital expenditures were $27.6 million in the first half of 2011 compared to $27.9 million during the same period in 2010. These expenditures were primarily comprised of purchases of computer equipment, office furniture and other costs related to office openings and refurbishments.</w:t>
      </w:r>
    </w:p>
    <w:p>
      <w:pPr>
        <w:spacing w:after="0" w:line="17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in the first half of 2011 was $15.2 million, compared to $258.5 million during the same period in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debt borrowings were $4.4 million in the first half of 2011 compared to repayments of $4.9 million in the first half of 2010.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ind w:right="200"/>
        <w:spacing w:after="0" w:line="259"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w:t>
      </w:r>
    </w:p>
    <w:p>
      <w:pPr>
        <w:spacing w:after="0" w:line="21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€300.0 million notes are due June 2012, our $400.0 million revolving credit agreement expires in November 2012, and our €200.0 million notes are due June 2013. When these facilities mature, we plan to repay these amounts with available cash or refinance them with our revolver or new long-term facilities. In the event that the economy slows again and declines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w:t>
      </w:r>
    </w:p>
    <w:p>
      <w:pPr>
        <w:spacing w:after="0" w:line="22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June 30, 2011, we had letters of credit totaling $2.2 million issued under our $400.0 million revolving credit agreement. Additional borrowings of $397.8 million were available to us under the credit agreement as of June 30, 2011.</w:t>
      </w:r>
    </w:p>
    <w:p>
      <w:pPr>
        <w:spacing w:after="0" w:line="19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Our $400.0 million revolving credit agreement requires that we comply with a maximum Debt-to-EBITDA ratio of 3.75 to 1 and a minimum fixed charge ratio of 1.35 to 1 for the quarter ended June 30, 2011. As defined in the agreement, we had a Debt-to-EBITDA ratio of 1.35 to 1 and a fixed charge ratio of 2.84 to 1 for the quarter. Based on our current forecast, we expect to be in compliance with our financial covenants for the next 12 months.</w:t>
      </w:r>
    </w:p>
    <w:p>
      <w:pPr>
        <w:spacing w:after="0" w:line="17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June 30, 2011, such credit lines totaled $419.8 million, of which $387.1 million was unused. Under the revolving credit agreement, total subsidiary borrowings cannot exceed $300.0 million in the first, second and fourth quarters, and $600.0 million in the third quarter of each year. As of June 30, 2011, additional borrowings of $267.1 million could be made under these lines.</w:t>
      </w:r>
    </w:p>
    <w:p>
      <w:pPr>
        <w:spacing w:after="0" w:line="2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2010, the Board of Directors authorized the repurchase of 3.0 million shares of our common stock. This authorization was in addition to the 2007 authorization to repurchase 5.0 million shares of our common stock, not to exceed a total purchase price of $400.0 million. The authorizations permit share repurchases from time to time through a variety of methods, including open market purchases, block transactions, privately negotiated transactions, accelerated share repurchase programs, forward repurchase agreements or similar facilities. During the first half of 2011, we repurchased a total of 305,600 shares, composed of 236,790 shares under the 2007 authorization and 68,810 shares under the 2010 authorization. As of the second quarter of 2011, there were no shares remaining under the 2007 authorization. Under the 2010 authorization, there were 2.9 million shares remaining authorized for repurchase as of June 30, 2011.</w:t>
      </w:r>
    </w:p>
    <w:p>
      <w:pPr>
        <w:spacing w:after="0" w:line="21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On May 3, 2011, the Board of Directors declared a cash dividend of $0.40 per share, which was paid on June 15, 2011 to shareholders of record on June 1, 2011.</w:t>
      </w:r>
    </w:p>
    <w:p>
      <w:pPr>
        <w:spacing w:after="0" w:line="19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had aggregate commitments related to debt repayments, operating leases, severances and office closure costs, liability for unrecognized tax benefits including related interest and penalties and certain other commitments of $1,722.2 million as of June 30, 2011 compared to $1,702.7 million as of December 31, 2010.</w:t>
      </w:r>
    </w:p>
    <w:p>
      <w:pPr>
        <w:spacing w:after="0" w:line="20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$173.3 million and $168.1 million as of June 30, 2011 and December 31, 2010, respectively, consisting of $133.8 million and $131.4 million for guarantees, respectively, and $39.5 million and $36.7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$0.8 million and $1.0 million in the first six months of 2011 and 2010, respectively.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 w:name="page27"/>
    <w:bookmarkEnd w:id="26"/>
    <w:p>
      <w:pPr>
        <w:ind w:right="60"/>
        <w:spacing w:after="0" w:line="276" w:lineRule="auto"/>
        <w:rPr>
          <w:sz w:val="20"/>
          <w:szCs w:val="20"/>
          <w:color w:val="auto"/>
        </w:rPr>
      </w:pPr>
      <w:r>
        <w:rPr>
          <w:rFonts w:ascii="Arial" w:cs="Arial" w:eastAsia="Arial" w:hAnsi="Arial"/>
          <w:sz w:val="17"/>
          <w:szCs w:val="17"/>
          <w:color w:val="auto"/>
        </w:rPr>
        <w:t>We recorded net reorganization costs of $1.6 million and $2.5 million in the first half of 2011 and 2010, respectively, in Selling and Administrative Expenses, related to severances and office closures and consolidations in several countries. These expenses are net of reversals resulting mainly from larger-than-estimated cost savings from subleasing and lease buyouts as well as lower-than-expected severance costs. During the first half of 2011, we made payments of $16.1 million out of our reorganization reserve. We expect a majority of the remaining $19.7 million reserve will be paid in 2011. Changes in our reorganization reserve by reportable segment and Corporate are shown in Note 5 to the Consolidated Financial Statements.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February 2009, the French Competition Council rendered its decision and levied a fine of €42.0 million ($55.9 million)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appealed the Competition Council’s decision to the Cour de Cassation. In March 2011, the Cour de Cassation, France’s highest court of appeal confirmed the decision.</w:t>
      </w:r>
    </w:p>
    <w:p>
      <w:pPr>
        <w:spacing w:after="0" w:line="22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French government announced new legislation in 2011 that reduces employer payroll tax subsidies that are received under their social programs aimed at reducing the cost of labor and encouraging employment of low-wage workers. In France, this new legislation is expected to increase our direct costs, unfavorably impacting our margin by approximately 90 basis points in 2011. We currently expect to pass on this additional cost through higher bill rates, however, we had an unfavorable impact on margins in the second quarter of 2011 due to the timing of some price increases.</w:t>
      </w:r>
    </w:p>
    <w:p>
      <w:pPr>
        <w:spacing w:after="0" w:line="198"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In July 2011, the French Social Security Act FY11 was passed by the French government, which requires French companies to pay a bonus to all employees when dividends paid to shareholders have increased compared to the average dividend paid over the previous two fiscal years. We are currently assessing the impact that this legislation may have on our financials, but we do not expect it to have a material impact in the near term.</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Agency Workers Directive (“AWD”) impacts all EU member states and was passed to ensure “equal treatment” for agency (temporary) workers. It also requires all member states to review and address unnecessary prohibitions and restrictions on the use of agency workers. Equal treatment is already in place by law in many countries, and so we do not expect any significant changes other than the removal of some restrictions in certain of these countries, which could have a favorable impact on our business. The United Kingdom, however, is currently the least regulated staffing market in Europe, and so AWD may have an unfavorable impact on our business as various regulations are put into effect in October 2011. We cannot currently estimate the impact, if any, that the changes will have on our business.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2010,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2010 Annual Report on Form 10-K contains certain disclosures about market risks affecting us. There have been no material changes to the information provided which would require additional disclosures as of the date of this filing.</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2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December 2010, the Board of Directors authorized the repurchase of 3.0 million shares of our common stock. This authorization was in addition to the 2007 authorization to repurchase 5.0 million shares of our common stock, not to exceed a total purchase price of $400.0 million. The authorizations permit share repurchases from time to time through a variety of methods, including open market purchases, block transactions, privately negotiated transactions, accelerated share repurchase programs, forward repurchase agreements or similar facilities. As of the second quarter of 2011, there were no shares remaining under the 2007 authorization. The following table shows the total amount of shares repurchased under these authorizations during the second quarter of 2011.</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980" w:type="dxa"/>
            <w:vAlign w:val="bottom"/>
            <w:gridSpan w:val="7"/>
          </w:tcPr>
          <w:p>
            <w:pPr>
              <w:ind w:left="1160"/>
              <w:spacing w:after="0"/>
              <w:rPr>
                <w:sz w:val="20"/>
                <w:szCs w:val="20"/>
                <w:color w:val="auto"/>
              </w:rPr>
            </w:pPr>
            <w:r>
              <w:rPr>
                <w:rFonts w:ascii="Arial" w:cs="Arial" w:eastAsia="Arial" w:hAnsi="Arial"/>
                <w:sz w:val="18"/>
                <w:szCs w:val="18"/>
                <w:b w:val="1"/>
                <w:bCs w:val="1"/>
                <w:color w:val="auto"/>
              </w:rPr>
              <w:t>ISSUER PURCHASES OF EQUITY SECURITIES</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 number of</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number 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purchased as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Average price</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 publicly</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that may</w:t>
            </w:r>
          </w:p>
        </w:tc>
      </w:tr>
      <w:tr>
        <w:trPr>
          <w:trHeight w:val="241"/>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paid per share</w:t>
            </w:r>
          </w:p>
        </w:tc>
        <w:tc>
          <w:tcPr>
            <w:tcW w:w="20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announced plan</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yet be purchased</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 30, 2011</w:t>
            </w:r>
          </w:p>
        </w:tc>
        <w:tc>
          <w:tcPr>
            <w:tcW w:w="4440" w:type="dxa"/>
            <w:vAlign w:val="bottom"/>
            <w:gridSpan w:val="3"/>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rPr>
              <w:t>(174)</w:t>
            </w:r>
            <w:r>
              <w:rPr>
                <w:rFonts w:ascii="Arial" w:cs="Arial" w:eastAsia="Arial" w:hAnsi="Arial"/>
                <w:sz w:val="25"/>
                <w:szCs w:val="25"/>
                <w:color w:val="auto"/>
                <w:vertAlign w:val="superscript"/>
              </w:rPr>
              <w:t>(1)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3,236,790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w w:val="93"/>
              </w:rPr>
              <w:t>May 1</w:t>
            </w:r>
          </w:p>
        </w:tc>
        <w:tc>
          <w:tcPr>
            <w:tcW w:w="2000" w:type="dxa"/>
            <w:vAlign w:val="bottom"/>
          </w:tcPr>
          <w:p>
            <w:pPr>
              <w:ind w:left="20"/>
              <w:spacing w:after="0"/>
              <w:rPr>
                <w:sz w:val="20"/>
                <w:szCs w:val="20"/>
                <w:color w:val="auto"/>
              </w:rPr>
            </w:pPr>
            <w:r>
              <w:rPr>
                <w:rFonts w:ascii="Arial" w:cs="Arial" w:eastAsia="Arial" w:hAnsi="Arial"/>
                <w:sz w:val="18"/>
                <w:szCs w:val="18"/>
                <w:color w:val="auto"/>
              </w:rPr>
              <w:t>– 31, 2011</w:t>
            </w:r>
          </w:p>
        </w:tc>
        <w:tc>
          <w:tcPr>
            <w:tcW w:w="4440" w:type="dxa"/>
            <w:vAlign w:val="bottom"/>
            <w:gridSpan w:val="3"/>
          </w:tcPr>
          <w:p>
            <w:pPr>
              <w:jc w:val="right"/>
              <w:ind w:right="80"/>
              <w:spacing w:after="0" w:line="216" w:lineRule="exact"/>
              <w:rPr>
                <w:sz w:val="20"/>
                <w:szCs w:val="20"/>
                <w:color w:val="auto"/>
              </w:rPr>
            </w:pPr>
            <w:r>
              <w:rPr>
                <w:rFonts w:ascii="Arial" w:cs="Arial" w:eastAsia="Arial" w:hAnsi="Arial"/>
                <w:sz w:val="18"/>
                <w:szCs w:val="18"/>
                <w:color w:val="auto"/>
              </w:rPr>
              <w:t xml:space="preserve">309,391 </w:t>
            </w:r>
            <w:r>
              <w:rPr>
                <w:rFonts w:ascii="Arial" w:cs="Arial" w:eastAsia="Arial" w:hAnsi="Arial"/>
                <w:sz w:val="25"/>
                <w:szCs w:val="25"/>
                <w:color w:val="auto"/>
                <w:vertAlign w:val="superscript"/>
              </w:rPr>
              <w:t>(2)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61.44</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305,600</w:t>
            </w:r>
          </w:p>
        </w:tc>
        <w:tc>
          <w:tcPr>
            <w:tcW w:w="1320" w:type="dxa"/>
            <w:vAlign w:val="bottom"/>
          </w:tcPr>
          <w:p>
            <w:pPr>
              <w:jc w:val="right"/>
              <w:spacing w:after="0"/>
              <w:rPr>
                <w:sz w:val="20"/>
                <w:szCs w:val="20"/>
                <w:color w:val="auto"/>
              </w:rPr>
            </w:pPr>
            <w:r>
              <w:rPr>
                <w:rFonts w:ascii="Arial" w:cs="Arial" w:eastAsia="Arial" w:hAnsi="Arial"/>
                <w:sz w:val="18"/>
                <w:szCs w:val="18"/>
                <w:color w:val="auto"/>
              </w:rPr>
              <w:t>2,931,190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w w:val="85"/>
              </w:rPr>
              <w:t>June 1</w:t>
            </w:r>
          </w:p>
        </w:tc>
        <w:tc>
          <w:tcPr>
            <w:tcW w:w="2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-30, 2011</w:t>
            </w:r>
          </w:p>
        </w:tc>
        <w:tc>
          <w:tcPr>
            <w:tcW w:w="4440" w:type="dxa"/>
            <w:vAlign w:val="bottom"/>
            <w:gridSpan w:val="3"/>
            <w:shd w:val="clear" w:color="auto" w:fill="CCEEFF"/>
          </w:tcPr>
          <w:p>
            <w:pPr>
              <w:jc w:val="right"/>
              <w:ind w:right="80"/>
              <w:spacing w:after="0" w:line="216" w:lineRule="exact"/>
              <w:rPr>
                <w:sz w:val="20"/>
                <w:szCs w:val="20"/>
                <w:color w:val="auto"/>
              </w:rPr>
            </w:pPr>
            <w:r>
              <w:rPr>
                <w:rFonts w:ascii="Arial" w:cs="Arial" w:eastAsia="Arial" w:hAnsi="Arial"/>
                <w:sz w:val="18"/>
                <w:szCs w:val="18"/>
                <w:color w:val="auto"/>
              </w:rPr>
              <w:t xml:space="preserve">125 </w:t>
            </w:r>
            <w:r>
              <w:rPr>
                <w:rFonts w:ascii="Arial" w:cs="Arial" w:eastAsia="Arial" w:hAnsi="Arial"/>
                <w:sz w:val="25"/>
                <w:szCs w:val="25"/>
                <w:color w:val="auto"/>
                <w:vertAlign w:val="superscript"/>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2,931,190</w:t>
            </w:r>
          </w:p>
        </w:tc>
        <w:tc>
          <w:tcPr>
            <w:tcW w:w="12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ind w:right="100" w:firstLine="8"/>
        <w:spacing w:after="0" w:line="258"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Adjustment to shares of common stock previously withheld by ManpowerGroup to satisfy tax withholding obligations on shares acquired by an officer in settlement of restricted stock units.</w:t>
      </w:r>
    </w:p>
    <w:p>
      <w:pPr>
        <w:spacing w:after="0" w:line="1" w:lineRule="exact"/>
        <w:rPr>
          <w:rFonts w:ascii="Arial" w:cs="Arial" w:eastAsia="Arial" w:hAnsi="Arial"/>
          <w:sz w:val="18"/>
          <w:szCs w:val="18"/>
          <w:color w:val="auto"/>
        </w:rPr>
      </w:pPr>
    </w:p>
    <w:p>
      <w:pPr>
        <w:ind w:right="140" w:firstLine="8"/>
        <w:spacing w:after="0" w:line="250"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3,791 shares of common stock were withheld by ManpowerGroup to satisfy tax withholding obligations on shares acquired by an officer in settlement of restricted stock.</w:t>
      </w: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ManpowerGroup, upon vesting, to satisfy tax withholding requirements.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2011:</w:t>
      </w:r>
    </w:p>
    <w:p>
      <w:pPr>
        <w:spacing w:after="0" w:line="197"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63" w:lineRule="exact"/>
        <w:rPr>
          <w:rFonts w:ascii="Arial" w:cs="Arial" w:eastAsia="Arial" w:hAnsi="Arial"/>
          <w:sz w:val="17"/>
          <w:szCs w:val="17"/>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2" w:lineRule="exact"/>
        <w:rPr>
          <w:rFonts w:ascii="Arial" w:cs="Arial" w:eastAsia="Arial" w:hAnsi="Arial"/>
          <w:sz w:val="18"/>
          <w:szCs w:val="18"/>
          <w:color w:val="auto"/>
        </w:rPr>
      </w:pPr>
    </w:p>
    <w:p>
      <w:pPr>
        <w:jc w:val="both"/>
        <w:ind w:left="380" w:right="300" w:hanging="372"/>
        <w:spacing w:after="0" w:line="264"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380" w:right="720" w:hanging="372"/>
        <w:spacing w:after="0" w:line="308"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w:t>
      </w:r>
    </w:p>
    <w:p>
      <w:pPr>
        <w:spacing w:after="0" w:line="173" w:lineRule="exact"/>
        <w:rPr>
          <w:rFonts w:ascii="Arial" w:cs="Arial" w:eastAsia="Arial" w:hAnsi="Arial"/>
          <w:sz w:val="17"/>
          <w:szCs w:val="17"/>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consultation regarding implementation of new foreign laws and expatriate services; and</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for governmental requirements.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Frequency of the Vote on Compensation of our Named Executive Officers</w:t>
      </w:r>
    </w:p>
    <w:p>
      <w:pPr>
        <w:spacing w:after="0" w:line="233"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We will hold an advisory vote on executive compensation every year until we hold the next advisory shareholder vote on the frequency of the vote on the compensation of our named executive officers.</w:t>
      </w: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274" w:right="4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Item 6 – Exhibits</w:t>
      </w:r>
    </w:p>
    <w:p>
      <w:pPr>
        <w:spacing w:after="0" w:line="200" w:lineRule="exact"/>
        <w:rPr>
          <w:sz w:val="20"/>
          <w:szCs w:val="20"/>
          <w:color w:val="auto"/>
        </w:rPr>
      </w:pPr>
    </w:p>
    <w:p>
      <w:pPr>
        <w:spacing w:after="0" w:line="295" w:lineRule="exact"/>
        <w:rPr>
          <w:sz w:val="20"/>
          <w:szCs w:val="20"/>
          <w:color w:val="auto"/>
        </w:rPr>
      </w:pPr>
    </w:p>
    <w:p>
      <w:pPr>
        <w:ind w:left="1100" w:right="20" w:hanging="769"/>
        <w:spacing w:after="0" w:line="342" w:lineRule="auto"/>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Manpower Inc. Corporate Senior Management Annual Incentive Pool Plan, incorporated by reference to Appendix C to the Proxy Statement on Schedule 14A filed on March 23, 2011 in connection with the 2011 Annual Meeting of the Shareholders of Manpower Inc.</w:t>
      </w:r>
    </w:p>
    <w:p>
      <w:pPr>
        <w:spacing w:after="0" w:line="151" w:lineRule="exact"/>
        <w:rPr>
          <w:sz w:val="20"/>
          <w:szCs w:val="20"/>
          <w:color w:val="auto"/>
        </w:rPr>
      </w:pPr>
    </w:p>
    <w:p>
      <w:pPr>
        <w:ind w:left="1100" w:right="220" w:hanging="769"/>
        <w:spacing w:after="0" w:line="277" w:lineRule="auto"/>
        <w:tabs>
          <w:tab w:leader="none" w:pos="10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2011 Equity Incentive Plan of Manpower Inc., incorporated by reference to Appendix D to the Proxy Statement on Schedule 14A filed on March 23, 2011 in connection with the 2011 Annual Meeting of the Shareholders of Manpower Inc.</w:t>
      </w:r>
    </w:p>
    <w:p>
      <w:pPr>
        <w:spacing w:after="0" w:line="197" w:lineRule="exact"/>
        <w:rPr>
          <w:sz w:val="20"/>
          <w:szCs w:val="20"/>
          <w:color w:val="auto"/>
        </w:rPr>
      </w:pPr>
    </w:p>
    <w:p>
      <w:pPr>
        <w:ind w:left="1100" w:right="260" w:hanging="769"/>
        <w:spacing w:after="0" w:line="277" w:lineRule="auto"/>
        <w:tabs>
          <w:tab w:leader="none" w:pos="10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Terms and Conditions Regarding the Grant of Awards to Non-Employee Directors Under the 2-11 Equity Incentive Plan, incorporated by reference to the Company’s Current Report on Form 8-K dated May 3, 2011.</w:t>
      </w:r>
    </w:p>
    <w:p>
      <w:pPr>
        <w:spacing w:after="0" w:line="170"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Amended Offer Letter Agreement between Hans Leentjes and Manpower Inc. dated as of May 10, 2011.</w:t>
      </w:r>
    </w:p>
    <w:p>
      <w:pPr>
        <w:spacing w:after="0" w:line="225"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100" w:hanging="769"/>
        <w:spacing w:after="0" w:line="277" w:lineRule="auto"/>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320"/>
        <w:spacing w:after="0"/>
        <w:tabs>
          <w:tab w:leader="none" w:pos="10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jc w:val="both"/>
        <w:ind w:left="1100" w:right="140" w:hanging="774"/>
        <w:spacing w:after="0" w:line="264"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materials from ManpowerGroup’s Quarterly Report on Form 10-Q for the quarter ended June 30, 2011, formatted in XBRL (Extensible Business Reporting Language): (i) Consolidated Balance Sheets, (ii) Consolidated Statements of Operations, (iii) Consolidated Statements of Cash Flows, and (iv)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300" w:top="517" w:right="359" w:bottom="1440" w:gutter="0" w:footer="0" w:header="0"/>
        </w:sectPr>
      </w:pPr>
    </w:p>
    <w:bookmarkStart w:id="31" w:name="page32"/>
    <w:bookmarkEnd w:id="31"/>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(d/b/a ManpowerGroup)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5715</wp:posOffset>
            </wp:positionV>
            <wp:extent cx="216090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2"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2011</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1831975</wp:posOffset>
            </wp:positionH>
            <wp:positionV relativeFrom="paragraph">
              <wp:posOffset>14605</wp:posOffset>
            </wp:positionV>
            <wp:extent cx="39192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19220" cy="17145"/>
                    </a:xfrm>
                    <a:prstGeom prst="rect">
                      <a:avLst/>
                    </a:prstGeom>
                    <a:noFill/>
                  </pic:spPr>
                </pic:pic>
              </a:graphicData>
            </a:graphic>
          </wp:anchor>
        </w:drawing>
      </w:r>
    </w:p>
    <w:p>
      <w:pPr>
        <w:spacing w:after="0" w:line="16"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(Signing on behalf of the Registrant and as the Principal Financial Officer and</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45" w:right="379" w:bottom="1440" w:gutter="0" w:footer="0" w:header="0"/>
        </w:sectPr>
      </w:pPr>
    </w:p>
    <w:bookmarkStart w:id="32" w:name="page33"/>
    <w:bookmarkEnd w:id="32"/>
    <w:p>
      <w:pPr>
        <w:spacing w:after="0"/>
        <w:tabs>
          <w:tab w:leader="none" w:pos="57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340" w:top="976" w:right="339" w:bottom="1440" w:gutter="0" w:footer="0" w:header="0"/>
        </w:sectPr>
      </w:pPr>
    </w:p>
    <w:p>
      <w:pPr>
        <w:spacing w:after="0" w:line="279" w:lineRule="exact"/>
        <w:rPr>
          <w:sz w:val="20"/>
          <w:szCs w:val="20"/>
          <w:color w:val="auto"/>
        </w:rPr>
      </w:pPr>
    </w:p>
    <w:p>
      <w:pPr>
        <w:ind w:left="1060" w:right="20" w:hanging="647"/>
        <w:spacing w:after="0" w:line="342" w:lineRule="auto"/>
        <w:tabs>
          <w:tab w:leader="none" w:pos="10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Manpower Inc. Corporate Senior Management Annual Incentive Pool Plan, incorporated by reference to Appendix C to the Proxy Statement on Schedule 14A filed on March 23, 2011 in connection with the 2011 Annual Meeting of the Shareholders of Manpower Inc.</w:t>
      </w:r>
    </w:p>
    <w:p>
      <w:pPr>
        <w:spacing w:after="0" w:line="151" w:lineRule="exact"/>
        <w:rPr>
          <w:sz w:val="20"/>
          <w:szCs w:val="20"/>
          <w:color w:val="auto"/>
        </w:rPr>
      </w:pPr>
    </w:p>
    <w:p>
      <w:pPr>
        <w:ind w:left="1060" w:right="220" w:hanging="647"/>
        <w:spacing w:after="0" w:line="277" w:lineRule="auto"/>
        <w:tabs>
          <w:tab w:leader="none" w:pos="10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2011 Equity Incentive Plan of Manpower Inc., incorporated by reference to Appendix D to the Proxy Statement on Schedule 14A filed on March 23, 2011 in connection with the 2011 Annual Meeting of the Shareholders of Manpower Inc.</w:t>
      </w:r>
    </w:p>
    <w:p>
      <w:pPr>
        <w:spacing w:after="0" w:line="197" w:lineRule="exact"/>
        <w:rPr>
          <w:sz w:val="20"/>
          <w:szCs w:val="20"/>
          <w:color w:val="auto"/>
        </w:rPr>
      </w:pPr>
    </w:p>
    <w:p>
      <w:pPr>
        <w:ind w:left="1060" w:right="260" w:hanging="647"/>
        <w:spacing w:after="0" w:line="277" w:lineRule="auto"/>
        <w:tabs>
          <w:tab w:leader="none" w:pos="10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Terms and Conditions Regarding the Grant of Awards to Non-Employee Directors Under the 2-11 Equity Incentive Plan, incorporated by reference to the Company’s Current Report on Form 8-K dated May 3, 2011.</w:t>
      </w:r>
    </w:p>
    <w:p>
      <w:pPr>
        <w:spacing w:after="0" w:line="197"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Amended Offer Letter Agreement between Hans Leentjes and Manpower Inc. dated as of May 10, 2011.</w:t>
      </w:r>
    </w:p>
    <w:p>
      <w:pPr>
        <w:spacing w:after="0" w:line="252"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2"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1934.</w:t>
      </w:r>
    </w:p>
    <w:p>
      <w:pPr>
        <w:spacing w:after="0" w:line="238" w:lineRule="exact"/>
        <w:rPr>
          <w:sz w:val="20"/>
          <w:szCs w:val="20"/>
          <w:color w:val="auto"/>
        </w:rPr>
      </w:pPr>
    </w:p>
    <w:p>
      <w:pPr>
        <w:ind w:left="1060" w:hanging="647"/>
        <w:spacing w:after="0" w:line="277" w:lineRule="auto"/>
        <w:tabs>
          <w:tab w:leader="none" w:pos="10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7"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2"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52" w:lineRule="exact"/>
        <w:rPr>
          <w:sz w:val="20"/>
          <w:szCs w:val="20"/>
          <w:color w:val="auto"/>
        </w:rPr>
      </w:pPr>
    </w:p>
    <w:p>
      <w:pPr>
        <w:jc w:val="both"/>
        <w:ind w:left="1060" w:right="140" w:hanging="639"/>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materials from ManpowerGroup’s Quarterly Report on Form 10-Q for the quarter ended June 30, 2011, formatted in XBRL (Extensible Business Reporting Language): (i) Consolidated Balance Sheets, (ii) Consolidated Statements of Operations, (iii) Consolidated Statements of Cash Flows, and (iv) Notes to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20"/>
          </w:cols>
          <w:pgMar w:left="340" w:top="976" w:right="339" w:bottom="144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Manpower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Milwaukee, Wisconsin 53217</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May 10, 2011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Mr. Hans Leentjes:</w:t>
      </w:r>
    </w:p>
    <w:p>
      <w:pPr>
        <w:spacing w:after="0" w:line="252"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 am very pleased that you have decided to join Manpower Inc. (the “Corporation”) as President – Northern Europe. In this role you will report directly to me and will be part of our Executive Management Team.</w:t>
      </w:r>
    </w:p>
    <w:p>
      <w:pPr>
        <w:spacing w:after="0" w:line="224" w:lineRule="exact"/>
        <w:rPr>
          <w:sz w:val="20"/>
          <w:szCs w:val="20"/>
          <w:color w:val="auto"/>
        </w:rPr>
      </w:pPr>
    </w:p>
    <w:p>
      <w:pPr>
        <w:ind w:right="120" w:firstLine="656"/>
        <w:spacing w:after="0" w:line="293" w:lineRule="auto"/>
        <w:tabs>
          <w:tab w:leader="none" w:pos="108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Position</w:t>
      </w:r>
      <w:r>
        <w:rPr>
          <w:rFonts w:ascii="Arial" w:cs="Arial" w:eastAsia="Arial" w:hAnsi="Arial"/>
          <w:sz w:val="16"/>
          <w:szCs w:val="16"/>
          <w:color w:val="auto"/>
        </w:rPr>
        <w:t>. Effective as of January 10, 2011, your employment by the Corporation will be as President – Northern Europe. Reporting to the CEO, you will be responsible for the leadership of the region through the application of Manpower’s vision, values and strategies. In addition, subject to the approval of the Board of Directors at the Corporation’s next meeting, you will also be appointed as an Executive Vice President of the Corporation. You agree to devote your best efforts and full business time to the performance of the duties assigned to you. In your role as President – Northern Europe, from time to time you will be appointed as a director of certain of the Corporation’s subsidiary companies located in the region and you agree to accept such appointments. Your base of operations for the performance of your duties to the Corporation will be Diemen, The Netherlands.</w:t>
      </w:r>
    </w:p>
    <w:p>
      <w:pPr>
        <w:spacing w:after="0" w:line="218" w:lineRule="exact"/>
        <w:rPr>
          <w:rFonts w:ascii="Arial" w:cs="Arial" w:eastAsia="Arial" w:hAnsi="Arial"/>
          <w:sz w:val="16"/>
          <w:szCs w:val="16"/>
          <w:color w:val="auto"/>
        </w:rPr>
      </w:pPr>
    </w:p>
    <w:p>
      <w:pPr>
        <w:ind w:right="80" w:firstLine="656"/>
        <w:spacing w:after="0" w:line="289" w:lineRule="auto"/>
        <w:tabs>
          <w:tab w:leader="none" w:pos="99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Your base salary will be €290,000 per year, inclusive of holiday allowance. You also will be eligible to receive an incentive bonus for each full calendar year during the term of your employment, starting with calendar year 2011. This annual bonus under our current practice would be determined using a “balanced scorecard” approach. Although it is subject to change, under this current approach, the amount of the bonus would be based on a comparison of actual performance-to-performance goals established for you at the beginning of each year. Currently, there are two components to the balanced scorecard. The first component is based on financial goals established at the beginning of each year. The second component under this current approach would include both measurable and discretionary objectives in your role as head of the Northern Europe region that you and I would formulate at the beginning of each year. Depending upon achievement of these goals and objectives, the total bonus under the current practice would range from zero to 150 percent of base salary, with the target bonus at 75 percent of base salary. To the extent permitted by applicable law, your base salary and incentive bonus will be paid to you through the payroll system of Manpower Management B.V., on behalf of the Corporation, subject to applicable withholding taxes.</w:t>
      </w:r>
    </w:p>
    <w:p>
      <w:pPr>
        <w:spacing w:after="0" w:line="220" w:lineRule="exact"/>
        <w:rPr>
          <w:rFonts w:ascii="Arial" w:cs="Arial" w:eastAsia="Arial" w:hAnsi="Arial"/>
          <w:sz w:val="16"/>
          <w:szCs w:val="16"/>
          <w:color w:val="auto"/>
        </w:rPr>
      </w:pPr>
    </w:p>
    <w:p>
      <w:pPr>
        <w:ind w:right="40" w:firstLine="656"/>
        <w:spacing w:after="0" w:line="289" w:lineRule="auto"/>
        <w:tabs>
          <w:tab w:leader="none" w:pos="99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To the extent permitted by applicable law and except as otherwise provided in this letter agreement, the Corporation will provide you with, and you will be eligible for, all benefits of employment generally made available to senior executives of the Corporation from time to time (collectively, the “Benefit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senior executives of the Corporation. You also will be entitled to vacations and perquisites in accordance with the Corporation’s policies as in effect from time to time for senior executives of the Corporation. The Corporation also would reimburse you for all expense incurred by you in the performance of your duties according to the Corporation’s regulations and procedures for expense reimbursement. For the avoidance of doubt, you will not be eligible to participate in any (i) pension or similar retirement plan of the Corporation and (ii) invalidity or similar insurance, but instead shall be eligible solely to continue participation in the pension scheme and the invalidity insurance policy of Manpower Management B.V. as described in Paragraph 6 and 7 below.</w:t>
      </w:r>
    </w:p>
    <w:p>
      <w:pPr>
        <w:spacing w:after="0" w:line="220" w:lineRule="exact"/>
        <w:rPr>
          <w:rFonts w:ascii="Arial" w:cs="Arial" w:eastAsia="Arial" w:hAnsi="Arial"/>
          <w:sz w:val="16"/>
          <w:szCs w:val="16"/>
          <w:color w:val="auto"/>
        </w:rPr>
      </w:pPr>
    </w:p>
    <w:p>
      <w:pPr>
        <w:ind w:right="60" w:firstLine="656"/>
        <w:spacing w:after="0" w:line="279" w:lineRule="auto"/>
        <w:tabs>
          <w:tab w:leader="none" w:pos="99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Severance Protection</w:t>
      </w:r>
      <w:r>
        <w:rPr>
          <w:rFonts w:ascii="Arial" w:cs="Arial" w:eastAsia="Arial" w:hAnsi="Arial"/>
          <w:sz w:val="17"/>
          <w:szCs w:val="17"/>
          <w:color w:val="auto"/>
        </w:rPr>
        <w:t>. While we look forward to a long and productive relationship, both you and the Corporation will be entitled to end the employment relationship at any time, for any reasons and with or without notice. However, subject to the approval of the Executive Compensation &amp; Human Resources Committee of the Board of Directors at its next meeting, the Corporation would enter into a severance agreement with you on terms similar to those severance agreements it has entered into with the other members of the Executive Management Team.</w:t>
      </w:r>
    </w:p>
    <w:p>
      <w:pPr>
        <w:spacing w:after="0" w:line="225" w:lineRule="exact"/>
        <w:rPr>
          <w:rFonts w:ascii="Arial" w:cs="Arial" w:eastAsia="Arial" w:hAnsi="Arial"/>
          <w:sz w:val="17"/>
          <w:szCs w:val="17"/>
          <w:color w:val="auto"/>
        </w:rPr>
      </w:pPr>
    </w:p>
    <w:p>
      <w:pPr>
        <w:ind w:right="180" w:firstLine="656"/>
        <w:spacing w:after="0" w:line="255" w:lineRule="auto"/>
        <w:tabs>
          <w:tab w:leader="none" w:pos="999"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Car Program</w:t>
      </w:r>
      <w:r>
        <w:rPr>
          <w:rFonts w:ascii="Arial" w:cs="Arial" w:eastAsia="Arial" w:hAnsi="Arial"/>
          <w:sz w:val="18"/>
          <w:szCs w:val="18"/>
          <w:color w:val="auto"/>
        </w:rPr>
        <w:t>. The Corporation will provide you with access to the current automobile you have been driving in connection with your employment by Manpower Management B.V. until the date that is approximately four (4) years from the initial date that Manpower Management B.V. first purchased the automobile and will continue to provide you with a new automobile approximately every four years while you are employed by the Corporation. The Corporation shall pay for the fuel and maintenance costs for the automobile. Any taxes owed on the value of this automobile benefit shall be incurred by you. Your participation in this car program shall be in lieu of any participation in a similar Benefit Plan offered to senior executives of the Corporation.</w:t>
      </w:r>
    </w:p>
    <w:p>
      <w:pPr>
        <w:spacing w:after="0" w:line="247" w:lineRule="exact"/>
        <w:rPr>
          <w:rFonts w:ascii="Arial" w:cs="Arial" w:eastAsia="Arial" w:hAnsi="Arial"/>
          <w:sz w:val="18"/>
          <w:szCs w:val="18"/>
          <w:color w:val="auto"/>
        </w:rPr>
      </w:pPr>
    </w:p>
    <w:p>
      <w:pPr>
        <w:ind w:firstLine="656"/>
        <w:spacing w:after="0" w:line="293" w:lineRule="auto"/>
        <w:tabs>
          <w:tab w:leader="none" w:pos="99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Pension</w:t>
      </w:r>
      <w:r>
        <w:rPr>
          <w:rFonts w:ascii="Arial" w:cs="Arial" w:eastAsia="Arial" w:hAnsi="Arial"/>
          <w:sz w:val="16"/>
          <w:szCs w:val="16"/>
          <w:color w:val="auto"/>
        </w:rPr>
        <w:t>. For the duration of your employment with the Corporation and as long as you meet the relevant requirements of the scheme, the Corporation will continue your participation in the pension scheme described in Article 14 of your employment agreement with Manpower Management B.V. dated July 19, 2004 (the “2004 Agreement”) on the same terms and conditions, as such scheme may be amended from time to time. The Corporation has provided you with a copy of the current pension scheme regulations and you hereby acknowledge your receipt and acceptance of such regulations. You hereby authorize the Corporation to withhold your contributions from your salary, to the extent possible in equal installments upon each salary payment. Your participation in said pension scheme shall be in lieu of any participation in a similar Benefit Plan offered to senior executives of the Corporation.</w:t>
      </w:r>
    </w:p>
    <w:p>
      <w:pPr>
        <w:spacing w:after="0" w:line="218" w:lineRule="exact"/>
        <w:rPr>
          <w:rFonts w:ascii="Arial" w:cs="Arial" w:eastAsia="Arial" w:hAnsi="Arial"/>
          <w:sz w:val="16"/>
          <w:szCs w:val="16"/>
          <w:color w:val="auto"/>
        </w:rPr>
      </w:pPr>
    </w:p>
    <w:p>
      <w:pPr>
        <w:ind w:right="60" w:firstLine="656"/>
        <w:spacing w:after="0" w:line="271" w:lineRule="auto"/>
        <w:tabs>
          <w:tab w:leader="none" w:pos="999"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Disability and Supplementary Invalidity Insurance</w:t>
      </w:r>
      <w:r>
        <w:rPr>
          <w:rFonts w:ascii="Arial" w:cs="Arial" w:eastAsia="Arial" w:hAnsi="Arial"/>
          <w:sz w:val="17"/>
          <w:szCs w:val="17"/>
          <w:color w:val="auto"/>
        </w:rPr>
        <w:t>. The Corporation shall provide you with salary continuation in the event of your illness for up to two years. The rate of this salary continuation shall be as follows: 100% of your base salary during the first year of illness and 70% of your base salary during the second year of illness. Reference is made to the statutory exceptions listed in Clause 7:629 of the Dutch Civil Code. Further, to the extent permitted by applicable law and the insurance carrier, the Corporation will enter into an arrangement with Manpower Management B.V. to continue your participation in the collective invalidity insurance policy described in Article 15 of the 2004 Agreement for the purpose of supplementing the legal benefit under the Invalidity Insurance Act to 70% of the average daily wage for WAO (Wet Arbeidsongeschik-theidsverzekering) purposes until the retirement age (i.e., age 65). The cost of the premium for such insurance coverage, shall be borne by you. Your participation in the programs described in this Paragraph 7 shall be in lieu of any participation in a similar Benefit Plan offered to senior executives of the Corporation.</w:t>
      </w:r>
    </w:p>
    <w:p>
      <w:pPr>
        <w:spacing w:after="0" w:line="232" w:lineRule="exact"/>
        <w:rPr>
          <w:rFonts w:ascii="Arial" w:cs="Arial" w:eastAsia="Arial" w:hAnsi="Arial"/>
          <w:sz w:val="17"/>
          <w:szCs w:val="17"/>
          <w:color w:val="auto"/>
        </w:rPr>
      </w:pPr>
    </w:p>
    <w:p>
      <w:pPr>
        <w:ind w:right="360" w:firstLine="656"/>
        <w:spacing w:after="0" w:line="342" w:lineRule="auto"/>
        <w:tabs>
          <w:tab w:leader="none" w:pos="999"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Nondisclosure</w:t>
      </w:r>
      <w:r>
        <w:rPr>
          <w:rFonts w:ascii="Arial" w:cs="Arial" w:eastAsia="Arial" w:hAnsi="Arial"/>
          <w:sz w:val="16"/>
          <w:szCs w:val="16"/>
          <w:color w:val="auto"/>
        </w:rPr>
        <w:t>. As a condition to your employment with the Corporation, simultaneous with the execution of this agreement, you will be required to sign a nondisclosure agreement that will include provisions related to the protection of Corporation confidential information and trade secrets.</w:t>
      </w:r>
    </w:p>
    <w:p>
      <w:pPr>
        <w:sectPr>
          <w:pgSz w:w="11900" w:h="16838" w:orient="portrait"/>
          <w:cols w:equalWidth="0" w:num="1">
            <w:col w:w="11420"/>
          </w:cols>
          <w:pgMar w:left="240" w:top="125" w:right="239" w:bottom="120" w:gutter="0" w:footer="0" w:header="0"/>
        </w:sectPr>
      </w:pPr>
    </w:p>
    <w:bookmarkStart w:id="34" w:name="page35"/>
    <w:bookmarkEnd w:id="34"/>
    <w:p>
      <w:pPr>
        <w:ind w:firstLine="656"/>
        <w:spacing w:after="0" w:line="277" w:lineRule="auto"/>
        <w:tabs>
          <w:tab w:leader="none" w:pos="99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224" w:lineRule="exact"/>
        <w:rPr>
          <w:rFonts w:ascii="Arial" w:cs="Arial" w:eastAsia="Arial" w:hAnsi="Arial"/>
          <w:sz w:val="18"/>
          <w:szCs w:val="18"/>
          <w:color w:val="auto"/>
        </w:rPr>
      </w:pPr>
    </w:p>
    <w:p>
      <w:pPr>
        <w:ind w:right="380" w:firstLine="656"/>
        <w:spacing w:after="0" w:line="264"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Prior Agreements</w:t>
      </w:r>
      <w:r>
        <w:rPr>
          <w:rFonts w:ascii="Arial" w:cs="Arial" w:eastAsia="Arial" w:hAnsi="Arial"/>
          <w:sz w:val="18"/>
          <w:szCs w:val="18"/>
          <w:color w:val="auto"/>
        </w:rPr>
        <w:t>. You agree that this letter agreement shall supersede any prior obligations of the Corporation or any member of the Manpower Group with respect to benefits payable to you upon the termination of your employment by the Corporation or any member of the Manpower Group, specifically those obligations set forth in the 2004 Agreement.</w:t>
      </w:r>
    </w:p>
    <w:p>
      <w:pPr>
        <w:spacing w:after="0" w:line="235" w:lineRule="exact"/>
        <w:rPr>
          <w:rFonts w:ascii="Arial" w:cs="Arial" w:eastAsia="Arial" w:hAnsi="Arial"/>
          <w:sz w:val="18"/>
          <w:szCs w:val="18"/>
          <w:color w:val="auto"/>
        </w:rPr>
      </w:pPr>
    </w:p>
    <w:p>
      <w:pPr>
        <w:jc w:val="both"/>
        <w:ind w:right="140" w:firstLine="656"/>
        <w:spacing w:after="0" w:line="259" w:lineRule="auto"/>
        <w:tabs>
          <w:tab w:leader="none" w:pos="108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mailed by registered or certified mail, return receipt requested, postage prepaid, and properly addressed to the other party. All notices to the Corporation shall be to the Corporation’s United States headquarters and should be addressed to the attention of the Corporation’s Secretary and General Counsel.</w:t>
      </w:r>
    </w:p>
    <w:p>
      <w:pPr>
        <w:spacing w:after="0" w:line="240" w:lineRule="exact"/>
        <w:rPr>
          <w:rFonts w:ascii="Arial" w:cs="Arial" w:eastAsia="Arial" w:hAnsi="Arial"/>
          <w:sz w:val="18"/>
          <w:szCs w:val="18"/>
          <w:color w:val="auto"/>
        </w:rPr>
      </w:pPr>
    </w:p>
    <w:p>
      <w:pPr>
        <w:ind w:right="60" w:firstLine="656"/>
        <w:spacing w:after="0" w:line="277"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224" w:lineRule="exact"/>
        <w:rPr>
          <w:rFonts w:ascii="Arial" w:cs="Arial" w:eastAsia="Arial" w:hAnsi="Arial"/>
          <w:sz w:val="18"/>
          <w:szCs w:val="18"/>
          <w:color w:val="auto"/>
        </w:rPr>
      </w:pPr>
    </w:p>
    <w:p>
      <w:pPr>
        <w:ind w:right="20" w:firstLine="656"/>
        <w:spacing w:after="0" w:line="277"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would deduct from all amounts payable to you any required withholding or other charges and all such amounts stated above are before any such deductions.</w:t>
      </w:r>
    </w:p>
    <w:p>
      <w:pPr>
        <w:spacing w:after="0" w:line="224" w:lineRule="exact"/>
        <w:rPr>
          <w:rFonts w:ascii="Arial" w:cs="Arial" w:eastAsia="Arial" w:hAnsi="Arial"/>
          <w:sz w:val="18"/>
          <w:szCs w:val="18"/>
          <w:color w:val="auto"/>
        </w:rPr>
      </w:pPr>
    </w:p>
    <w:p>
      <w:pPr>
        <w:ind w:left="1100" w:hanging="444"/>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shall be governed by the internal laws of the Netherlands, without regard to the conflict of laws.</w:t>
      </w:r>
    </w:p>
    <w:p>
      <w:pPr>
        <w:spacing w:after="0" w:line="200" w:lineRule="exact"/>
        <w:rPr>
          <w:sz w:val="20"/>
          <w:szCs w:val="20"/>
          <w:color w:val="auto"/>
        </w:rPr>
      </w:pPr>
    </w:p>
    <w:p>
      <w:pPr>
        <w:spacing w:after="0" w:line="268"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I am very excited about you joining our Executive Management Team. Please do not hesitate to call me if you have any questions. If the foregoing is acceptable, please sign both originals below and return one to Mara Swan, Executive Vice President – Global Strategy and Talent.</w:t>
      </w:r>
    </w:p>
    <w:p>
      <w:pPr>
        <w:spacing w:after="0" w:line="390"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By:  Jeffrey A. Joerres,</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10th day of May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Hans Leentjes</w:t>
      </w:r>
    </w:p>
    <w:p>
      <w:pPr>
        <w:sectPr>
          <w:pgSz w:w="11900" w:h="16838" w:orient="portrait"/>
          <w:cols w:equalWidth="0" w:num="1">
            <w:col w:w="11380"/>
          </w:cols>
          <w:pgMar w:left="240" w:top="152" w:right="27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jc w:val="center"/>
        <w:spacing w:after="0" w:line="209" w:lineRule="auto"/>
        <w:rPr>
          <w:sz w:val="20"/>
          <w:szCs w:val="20"/>
          <w:color w:val="auto"/>
        </w:rPr>
      </w:pPr>
      <w:r>
        <w:rPr>
          <w:rFonts w:ascii="Arial" w:cs="Arial" w:eastAsia="Arial" w:hAnsi="Arial"/>
          <w:sz w:val="22"/>
          <w:szCs w:val="22"/>
          <w:color w:val="auto"/>
        </w:rPr>
        <w:t>(d/b/a ManpowerGroup)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6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223"/>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8"/>
              </w:rPr>
              <w:t>June 30, 2011</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213.5</w:t>
            </w: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82.5</w:t>
            </w:r>
          </w:p>
        </w:tc>
      </w:tr>
      <w:tr>
        <w:trPr>
          <w:trHeight w:val="27"/>
        </w:trPr>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tcPr>
          <w:p>
            <w:pPr>
              <w:spacing w:after="0"/>
              <w:rPr>
                <w:sz w:val="2"/>
                <w:szCs w:val="2"/>
                <w:color w:val="auto"/>
              </w:rPr>
            </w:pPr>
          </w:p>
        </w:tc>
      </w:tr>
      <w:tr>
        <w:trPr>
          <w:trHeight w:val="257"/>
        </w:trPr>
        <w:tc>
          <w:tcPr>
            <w:tcW w:w="67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296.0</w:t>
            </w:r>
          </w:p>
        </w:tc>
      </w:tr>
      <w:tr>
        <w:trPr>
          <w:trHeight w:val="210"/>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21.3</w:t>
            </w: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61.2</w:t>
            </w:r>
          </w:p>
        </w:tc>
      </w:tr>
      <w:tr>
        <w:trPr>
          <w:trHeight w:val="27"/>
        </w:trPr>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20" w:type="dxa"/>
            <w:vAlign w:val="bottom"/>
            <w:shd w:val="clear" w:color="auto" w:fill="CCEEFF"/>
          </w:tcPr>
          <w:p>
            <w:pPr>
              <w:spacing w:after="0"/>
              <w:rPr>
                <w:sz w:val="2"/>
                <w:szCs w:val="2"/>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82.5</w:t>
            </w:r>
          </w:p>
        </w:tc>
      </w:tr>
      <w:tr>
        <w:trPr>
          <w:trHeight w:val="21"/>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jc w:val="right"/>
              <w:ind w:right="3420"/>
              <w:spacing w:after="0"/>
              <w:rPr>
                <w:sz w:val="20"/>
                <w:szCs w:val="20"/>
                <w:color w:val="auto"/>
              </w:rPr>
            </w:pPr>
            <w:r>
              <w:rPr>
                <w:rFonts w:ascii="Arial" w:cs="Arial" w:eastAsia="Arial" w:hAnsi="Arial"/>
                <w:sz w:val="18"/>
                <w:szCs w:val="18"/>
                <w:color w:val="auto"/>
              </w:rPr>
              <w:t>3.6</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(165.2)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777.0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962.2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42.4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161.9</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183.9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20" w:right="560" w:hanging="619"/>
        <w:spacing w:after="0" w:line="246"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1"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Our 2008 and 2007 results have been restated as disclosed in Note 16 to the Consolidated Financial Statements included in our 2009 Annual Report to Shareholders.</w:t>
      </w:r>
    </w:p>
    <w:p>
      <w:pPr>
        <w:sectPr>
          <w:pgSz w:w="11900" w:h="16838" w:orient="portrait"/>
          <w:cols w:equalWidth="0" w:num="1">
            <w:col w:w="11420"/>
          </w:cols>
          <w:pgMar w:left="240" w:top="12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(d/b/a ManpowerGroup), certify that:</w:t>
      </w:r>
    </w:p>
    <w:p>
      <w:pPr>
        <w:spacing w:after="0" w:line="198" w:lineRule="exact"/>
        <w:rPr>
          <w:sz w:val="20"/>
          <w:szCs w:val="20"/>
          <w:color w:val="auto"/>
        </w:rPr>
      </w:pPr>
    </w:p>
    <w:p>
      <w:pPr>
        <w:ind w:left="920" w:hanging="480"/>
        <w:spacing w:after="0"/>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198" w:lineRule="exact"/>
        <w:rPr>
          <w:rFonts w:ascii="Arial" w:cs="Arial" w:eastAsia="Arial" w:hAnsi="Arial"/>
          <w:sz w:val="18"/>
          <w:szCs w:val="18"/>
          <w:color w:val="auto"/>
        </w:rPr>
      </w:pPr>
    </w:p>
    <w:p>
      <w:pPr>
        <w:jc w:val="both"/>
        <w:ind w:left="920" w:right="20" w:hanging="480"/>
        <w:spacing w:after="0" w:line="248"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920" w:right="260" w:hanging="480"/>
        <w:spacing w:after="0" w:line="291"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20" w:hanging="480"/>
        <w:spacing w:after="0" w:line="248" w:lineRule="auto"/>
        <w:tabs>
          <w:tab w:leader="none" w:pos="9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8"/>
          <w:szCs w:val="18"/>
          <w:color w:val="auto"/>
        </w:rPr>
      </w:pPr>
    </w:p>
    <w:p>
      <w:pPr>
        <w:ind w:left="1920" w:right="100" w:hanging="480"/>
        <w:spacing w:after="0" w:line="270"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0" w:lineRule="exact"/>
        <w:rPr>
          <w:rFonts w:ascii="Arial" w:cs="Arial" w:eastAsia="Arial" w:hAnsi="Arial"/>
          <w:sz w:val="17"/>
          <w:szCs w:val="17"/>
          <w:color w:val="auto"/>
        </w:rPr>
      </w:pPr>
    </w:p>
    <w:p>
      <w:pPr>
        <w:ind w:left="1920" w:right="420" w:hanging="480"/>
        <w:spacing w:after="0" w:line="270"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0" w:lineRule="exact"/>
        <w:rPr>
          <w:rFonts w:ascii="Arial" w:cs="Arial" w:eastAsia="Arial" w:hAnsi="Arial"/>
          <w:sz w:val="17"/>
          <w:szCs w:val="17"/>
          <w:color w:val="auto"/>
        </w:rPr>
      </w:pPr>
    </w:p>
    <w:p>
      <w:pPr>
        <w:ind w:left="1920" w:right="60" w:hanging="480"/>
        <w:spacing w:after="0" w:line="248"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920" w:right="180" w:hanging="480"/>
        <w:spacing w:after="0" w:line="270" w:lineRule="auto"/>
        <w:tabs>
          <w:tab w:leader="none" w:pos="192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0" w:lineRule="exact"/>
        <w:rPr>
          <w:rFonts w:ascii="Arial" w:cs="Arial" w:eastAsia="Arial" w:hAnsi="Arial"/>
          <w:sz w:val="17"/>
          <w:szCs w:val="17"/>
          <w:color w:val="auto"/>
        </w:rPr>
      </w:pPr>
    </w:p>
    <w:p>
      <w:pPr>
        <w:ind w:left="920" w:right="180" w:hanging="480"/>
        <w:spacing w:after="0" w:line="324" w:lineRule="auto"/>
        <w:tabs>
          <w:tab w:leader="none" w:pos="9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920" w:hanging="480"/>
        <w:spacing w:after="0" w:line="324" w:lineRule="auto"/>
        <w:tabs>
          <w:tab w:leader="none" w:pos="192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Arial" w:cs="Arial" w:eastAsia="Arial" w:hAnsi="Arial"/>
          <w:sz w:val="16"/>
          <w:szCs w:val="16"/>
          <w:color w:val="auto"/>
        </w:rPr>
      </w:pPr>
    </w:p>
    <w:p>
      <w:pPr>
        <w:ind w:left="1920" w:right="300" w:hanging="480"/>
        <w:spacing w:after="0" w:line="262" w:lineRule="auto"/>
        <w:tabs>
          <w:tab w:leader="none" w:pos="1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color w:val="auto"/>
        </w:rPr>
        <w:t>Dated: August 4,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5951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9512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9"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ectPr>
          <w:pgSz w:w="11900" w:h="16838" w:orient="portrait"/>
          <w:cols w:equalWidth="0" w:num="1">
            <w:col w:w="11420"/>
          </w:cols>
          <w:pgMar w:left="240" w:top="121"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(d/b/a ManpowerGroup), certify that:</w:t>
      </w:r>
    </w:p>
    <w:p>
      <w:pPr>
        <w:spacing w:after="0" w:line="252" w:lineRule="exact"/>
        <w:rPr>
          <w:sz w:val="20"/>
          <w:szCs w:val="20"/>
          <w:color w:val="auto"/>
        </w:rPr>
      </w:pPr>
    </w:p>
    <w:p>
      <w:pPr>
        <w:ind w:left="700" w:hanging="341"/>
        <w:spacing w:after="0"/>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 (d/b/a ManpowerGroup);</w:t>
      </w:r>
    </w:p>
    <w:p>
      <w:pPr>
        <w:spacing w:after="0" w:line="252" w:lineRule="exact"/>
        <w:rPr>
          <w:rFonts w:ascii="Arial" w:cs="Arial" w:eastAsia="Arial" w:hAnsi="Arial"/>
          <w:sz w:val="18"/>
          <w:szCs w:val="18"/>
          <w:color w:val="auto"/>
        </w:rPr>
      </w:pPr>
    </w:p>
    <w:p>
      <w:pPr>
        <w:jc w:val="both"/>
        <w:ind w:left="700" w:right="260" w:hanging="341"/>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700" w:right="220" w:hanging="341"/>
        <w:spacing w:after="0" w:line="308" w:lineRule="auto"/>
        <w:tabs>
          <w:tab w:leader="none" w:pos="7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700" w:right="240" w:hanging="341"/>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1500" w:right="100" w:hanging="452"/>
        <w:spacing w:after="0" w:line="264"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500" w:right="20" w:hanging="452"/>
        <w:spacing w:after="0" w:line="264"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500" w:right="200" w:hanging="452"/>
        <w:spacing w:after="0" w:line="342" w:lineRule="auto"/>
        <w:tabs>
          <w:tab w:leader="none" w:pos="15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500" w:right="200" w:hanging="452"/>
        <w:spacing w:after="0" w:line="264"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700" w:right="220" w:hanging="341"/>
        <w:spacing w:after="0" w:line="342" w:lineRule="auto"/>
        <w:tabs>
          <w:tab w:leader="none" w:pos="7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500" w:right="440" w:hanging="452"/>
        <w:spacing w:after="0" w:line="342" w:lineRule="auto"/>
        <w:tabs>
          <w:tab w:leader="none" w:pos="15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500" w:right="120" w:hanging="452"/>
        <w:spacing w:after="0" w:line="277" w:lineRule="auto"/>
        <w:tabs>
          <w:tab w:leader="none" w:pos="15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0050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hanging="582"/>
        <w:spacing w:after="0" w:line="277" w:lineRule="auto"/>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2011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582"/>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804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04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9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(d/b/a ManpowerGroup) (the “Company”), hereby certifies that to his knowledge:</w:t>
      </w:r>
    </w:p>
    <w:p>
      <w:pPr>
        <w:spacing w:after="0" w:line="197" w:lineRule="exact"/>
        <w:rPr>
          <w:sz w:val="20"/>
          <w:szCs w:val="20"/>
          <w:color w:val="auto"/>
        </w:rPr>
      </w:pPr>
    </w:p>
    <w:p>
      <w:pPr>
        <w:ind w:left="820" w:hanging="461"/>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2011 fully complies with the requirements of Section 13(a) or 15(d), as applicable, of the Securities Exchange Act of 1934, and</w:t>
      </w:r>
    </w:p>
    <w:p>
      <w:pPr>
        <w:spacing w:after="0" w:line="197" w:lineRule="exact"/>
        <w:rPr>
          <w:rFonts w:ascii="Arial" w:cs="Arial" w:eastAsia="Arial" w:hAnsi="Arial"/>
          <w:sz w:val="18"/>
          <w:szCs w:val="18"/>
          <w:color w:val="auto"/>
        </w:rPr>
      </w:pPr>
    </w:p>
    <w:p>
      <w:pPr>
        <w:ind w:left="820" w:hanging="461"/>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(d/b/a ManpowerGroup)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Dated: August 4,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72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81"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x"/>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decimal"/>
      <w:start w:val="4"/>
    </w:lvl>
  </w:abstractNum>
  <w:abstractNum w:abstractNumId="6">
    <w:nsid w:val="62BBD95A"/>
    <w:multiLevelType w:val="hybridMultilevel"/>
    <w:lvl w:ilvl="0">
      <w:lvlJc w:val="left"/>
      <w:lvlText w:val="(%1)"/>
      <w:numFmt w:val="decimal"/>
      <w:start w:val="5"/>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8"/>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2"/>
    </w:lvl>
  </w:abstractNum>
  <w:abstractNum w:abstractNumId="13">
    <w:nsid w:val="6763845E"/>
    <w:multiLevelType w:val="hybridMultilevel"/>
    <w:lvl w:ilvl="0">
      <w:lvlJc w:val="left"/>
      <w:lvlText w:val="(%1)"/>
      <w:numFmt w:val="decimal"/>
      <w:start w:val="13"/>
    </w:lvl>
  </w:abstractNum>
  <w:abstractNum w:abstractNumId="14">
    <w:nsid w:val="75A2A8D4"/>
    <w:multiLevelType w:val="hybridMultilevel"/>
    <w:lvl w:ilvl="0">
      <w:lvlJc w:val="left"/>
      <w:lvlText w:val="(%1)"/>
      <w:numFmt w:val="decimal"/>
      <w:start w:val="14"/>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decimal"/>
      <w:start w:val="101"/>
    </w:lvl>
  </w:abstractNum>
  <w:abstractNum w:abstractNumId="26">
    <w:nsid w:val="8138641"/>
    <w:multiLevelType w:val="hybridMultilevel"/>
    <w:lvl w:ilvl="0">
      <w:lvlJc w:val="left"/>
      <w:lvlText w:val="%1"/>
      <w:numFmt w:val="decimal"/>
      <w:start w:val="10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9"/>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2019-12-10T09:49:22Z</dcterms:created>
  <dcterms:modified xsi:type="dcterms:W3CDTF">2019-12-10T09:49:22Z</dcterms:modified>
</cp:coreProperties>
</file>