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FORM 10-K</w:t>
      </w:r>
    </w:p>
    <w:p>
      <w:pPr>
        <w:spacing w:after="0" w:line="96" w:lineRule="exact"/>
        <w:rPr>
          <w:sz w:val="24"/>
          <w:szCs w:val="24"/>
          <w:color w:val="auto"/>
        </w:rPr>
      </w:pPr>
    </w:p>
    <w:p>
      <w:pPr>
        <w:ind w:left="3980" w:right="2300" w:hanging="3959"/>
        <w:spacing w:after="0" w:line="320" w:lineRule="auto"/>
        <w:tabs>
          <w:tab w:leader="none" w:pos="51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77" w:lineRule="exact"/>
        <w:rPr>
          <w:sz w:val="24"/>
          <w:szCs w:val="24"/>
          <w:color w:val="auto"/>
        </w:rPr>
      </w:pPr>
    </w:p>
    <w:p>
      <w:pPr>
        <w:ind w:left="4520" w:right="2020" w:hanging="4499"/>
        <w:spacing w:after="0" w:line="308" w:lineRule="auto"/>
        <w:tabs>
          <w:tab w:leader="none" w:pos="5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No. 1-10686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0"/>
          <w:szCs w:val="40"/>
          <w:color w:val="auto"/>
        </w:rPr>
        <w:t>MANPOWERGROUP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09" w:right="339" w:bottom="1440" w:gutter="0" w:footer="0" w:header="0"/>
        </w:sectPr>
      </w:pPr>
    </w:p>
    <w:p>
      <w:pPr>
        <w:spacing w:after="0" w:line="57"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50" w:lineRule="exact"/>
        <w:rPr>
          <w:sz w:val="24"/>
          <w:szCs w:val="24"/>
          <w:color w:val="auto"/>
        </w:rPr>
      </w:pPr>
    </w:p>
    <w:p>
      <w:pPr>
        <w:sectPr>
          <w:pgSz w:w="11900" w:h="16838" w:orient="portrait"/>
          <w:cols w:equalWidth="0" w:num="2">
            <w:col w:w="7280" w:space="720"/>
            <w:col w:w="3240"/>
          </w:cols>
          <w:pgMar w:left="320" w:top="409" w:right="33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9" w:lineRule="exact"/>
        <w:rPr>
          <w:sz w:val="24"/>
          <w:szCs w:val="24"/>
          <w:color w:val="auto"/>
        </w:rPr>
      </w:pPr>
    </w:p>
    <w:p>
      <w:pPr>
        <w:sectPr>
          <w:pgSz w:w="11900" w:h="16838" w:orient="portrait"/>
          <w:cols w:equalWidth="0" w:num="2">
            <w:col w:w="6620" w:space="720"/>
            <w:col w:w="3900"/>
          </w:cols>
          <w:pgMar w:left="320" w:top="409" w:right="339" w:bottom="1440" w:gutter="0" w:footer="0" w:header="0"/>
          <w:type w:val="continuous"/>
        </w:sectPr>
      </w:pPr>
    </w:p>
    <w:p>
      <w:pPr>
        <w:ind w:left="600"/>
        <w:spacing w:after="0"/>
        <w:rPr>
          <w:sz w:val="20"/>
          <w:szCs w:val="20"/>
          <w:color w:val="auto"/>
        </w:rPr>
      </w:pPr>
      <w:r>
        <w:rPr>
          <w:rFonts w:ascii="Arial" w:cs="Arial" w:eastAsia="Arial" w:hAnsi="Arial"/>
          <w:sz w:val="17"/>
          <w:szCs w:val="17"/>
          <w:b w:val="1"/>
          <w:bCs w:val="1"/>
          <w:color w:val="auto"/>
        </w:rPr>
        <w:t>100 MANPOWER PLACE, MILWAUKEE, WISCONSIN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53212</w:t>
      </w:r>
    </w:p>
    <w:p>
      <w:pPr>
        <w:spacing w:after="0" w:line="50" w:lineRule="exact"/>
        <w:rPr>
          <w:sz w:val="24"/>
          <w:szCs w:val="24"/>
          <w:color w:val="auto"/>
        </w:rPr>
      </w:pPr>
    </w:p>
    <w:p>
      <w:pPr>
        <w:sectPr>
          <w:pgSz w:w="11900" w:h="16838" w:orient="portrait"/>
          <w:cols w:equalWidth="0" w:num="2">
            <w:col w:w="7480" w:space="720"/>
            <w:col w:w="3040"/>
          </w:cols>
          <w:pgMar w:left="320" w:top="409" w:right="33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75" w:lineRule="exact"/>
        <w:rPr>
          <w:sz w:val="24"/>
          <w:szCs w:val="24"/>
          <w:color w:val="auto"/>
        </w:rPr>
      </w:pPr>
    </w:p>
    <w:p>
      <w:pPr>
        <w:sectPr>
          <w:pgSz w:w="11900" w:h="16838" w:orient="portrait"/>
          <w:cols w:equalWidth="0" w:num="2">
            <w:col w:w="7380" w:space="720"/>
            <w:col w:w="3140"/>
          </w:cols>
          <w:pgMar w:left="320" w:top="409"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409" w:right="339" w:bottom="1440" w:gutter="0" w:footer="0" w:header="0"/>
          <w:type w:val="continuous"/>
        </w:sectPr>
      </w:pPr>
    </w:p>
    <w:p>
      <w:pPr>
        <w:spacing w:after="0" w:line="84" w:lineRule="exact"/>
        <w:rPr>
          <w:sz w:val="24"/>
          <w:szCs w:val="24"/>
          <w:color w:val="auto"/>
        </w:rPr>
      </w:pPr>
    </w:p>
    <w:p>
      <w:pPr>
        <w:ind w:left="13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Exchange on which registered</w:t>
      </w:r>
    </w:p>
    <w:p>
      <w:pPr>
        <w:spacing w:after="0" w:line="61" w:lineRule="exact"/>
        <w:rPr>
          <w:sz w:val="24"/>
          <w:szCs w:val="24"/>
          <w:color w:val="auto"/>
        </w:rPr>
      </w:pPr>
    </w:p>
    <w:p>
      <w:pPr>
        <w:sectPr>
          <w:pgSz w:w="11900" w:h="16838" w:orient="portrait"/>
          <w:cols w:equalWidth="0" w:num="3">
            <w:col w:w="4200" w:space="720"/>
            <w:col w:w="2140" w:space="720"/>
            <w:col w:w="3460"/>
          </w:cols>
          <w:pgMar w:left="320" w:top="409" w:right="339" w:bottom="1440" w:gutter="0" w:footer="0" w:header="0"/>
          <w:type w:val="continuous"/>
        </w:sectPr>
      </w:pPr>
    </w:p>
    <w:p>
      <w:pPr>
        <w:spacing w:after="0" w:line="9" w:lineRule="exact"/>
        <w:rPr>
          <w:sz w:val="24"/>
          <w:szCs w:val="24"/>
          <w:color w:val="auto"/>
        </w:rPr>
      </w:pPr>
    </w:p>
    <w:p>
      <w:pPr>
        <w:ind w:left="80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MAN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13" w:lineRule="exact"/>
        <w:rPr>
          <w:sz w:val="24"/>
          <w:szCs w:val="24"/>
          <w:color w:val="auto"/>
        </w:rPr>
      </w:pPr>
    </w:p>
    <w:p>
      <w:pPr>
        <w:sectPr>
          <w:pgSz w:w="11900" w:h="16838" w:orient="portrait"/>
          <w:cols w:equalWidth="0" w:num="3">
            <w:col w:w="4700" w:space="720"/>
            <w:col w:w="2120" w:space="720"/>
            <w:col w:w="2980"/>
          </w:cols>
          <w:pgMar w:left="320" w:top="409"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240"/>
          </w:cols>
          <w:pgMar w:left="320" w:top="409" w:right="339" w:bottom="1440" w:gutter="0" w:footer="0" w:header="0"/>
          <w:type w:val="continuous"/>
        </w:sectPr>
      </w:pPr>
    </w:p>
    <w:p>
      <w:pPr>
        <w:spacing w:after="0" w:line="9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7620" w:space="160"/>
            <w:col w:w="240" w:space="160"/>
            <w:col w:w="140" w:space="160"/>
            <w:col w:w="200" w:space="160"/>
            <w:col w:w="2400"/>
          </w:cols>
          <w:pgMar w:left="320" w:top="409" w:right="3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jc w:val="cente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88" w:lineRule="exact"/>
        <w:rPr>
          <w:sz w:val="24"/>
          <w:szCs w:val="24"/>
          <w:color w:val="auto"/>
        </w:rPr>
      </w:pPr>
    </w:p>
    <w:p>
      <w:pPr>
        <w:sectPr>
          <w:pgSz w:w="11900" w:h="16838" w:orient="portrait"/>
          <w:cols w:equalWidth="0" w:num="5">
            <w:col w:w="7760" w:space="160"/>
            <w:col w:w="240" w:space="160"/>
            <w:col w:w="140" w:space="160"/>
            <w:col w:w="200" w:space="160"/>
            <w:col w:w="2260"/>
          </w:cols>
          <w:pgMar w:left="320" w:top="409" w:right="339" w:bottom="1440" w:gutter="0" w:footer="0" w:header="0"/>
          <w:type w:val="continuous"/>
        </w:sectPr>
      </w:pPr>
    </w:p>
    <w:p>
      <w:pPr>
        <w:spacing w:after="0" w:line="24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8"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09" w:right="339" w:bottom="1440" w:gutter="0" w:footer="0" w:header="0"/>
          <w:type w:val="continuous"/>
        </w:sectPr>
      </w:pPr>
    </w:p>
    <w:p>
      <w:pPr>
        <w:spacing w:after="0" w:line="52" w:lineRule="exact"/>
        <w:rPr>
          <w:sz w:val="24"/>
          <w:szCs w:val="24"/>
          <w:color w:val="auto"/>
        </w:rPr>
      </w:pPr>
    </w:p>
    <w:p>
      <w:pPr>
        <w:ind w:left="580"/>
        <w:spacing w:after="0" w:line="33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309" w:lineRule="auto"/>
        <w:rPr>
          <w:sz w:val="20"/>
          <w:szCs w:val="20"/>
          <w:color w:val="auto"/>
        </w:rPr>
      </w:pPr>
      <w:r>
        <w:rPr>
          <w:rFonts w:ascii="Arial" w:cs="Arial" w:eastAsia="Arial" w:hAnsi="Arial"/>
          <w:sz w:val="15"/>
          <w:szCs w:val="15"/>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36" w:lineRule="exact"/>
        <w:rPr>
          <w:sz w:val="24"/>
          <w:szCs w:val="24"/>
          <w:color w:val="auto"/>
        </w:rPr>
      </w:pPr>
    </w:p>
    <w:p>
      <w:pPr>
        <w:sectPr>
          <w:pgSz w:w="11900" w:h="16838" w:orient="portrait"/>
          <w:cols w:equalWidth="0" w:num="6">
            <w:col w:w="2360" w:space="380"/>
            <w:col w:w="160" w:space="700"/>
            <w:col w:w="1760" w:space="400"/>
            <w:col w:w="200" w:space="720"/>
            <w:col w:w="1360" w:space="320"/>
            <w:col w:w="2880"/>
          </w:cols>
          <w:pgMar w:left="320" w:top="409" w:right="339" w:bottom="1440" w:gutter="0" w:footer="0" w:header="0"/>
          <w:type w:val="continuous"/>
        </w:sectPr>
      </w:pPr>
    </w:p>
    <w:p>
      <w:pPr>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ind w:right="2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4" w:lineRule="exact"/>
        <w:tabs>
          <w:tab w:leader="none" w:pos="7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p>
    <w:p>
      <w:pPr>
        <w:spacing w:after="0" w:line="91" w:lineRule="exact"/>
        <w:rPr>
          <w:sz w:val="24"/>
          <w:szCs w:val="24"/>
          <w:color w:val="auto"/>
        </w:rPr>
      </w:pPr>
    </w:p>
    <w:p>
      <w:pPr>
        <w:ind w:right="20"/>
        <w:spacing w:after="0" w:line="258" w:lineRule="auto"/>
        <w:rPr>
          <w:sz w:val="20"/>
          <w:szCs w:val="20"/>
          <w:color w:val="auto"/>
        </w:rPr>
      </w:pPr>
      <w:r>
        <w:rPr>
          <w:rFonts w:ascii="Arial" w:cs="Arial" w:eastAsia="Arial" w:hAnsi="Arial"/>
          <w:sz w:val="16"/>
          <w:szCs w:val="16"/>
          <w:color w:val="auto"/>
        </w:rPr>
        <w:t>The aggregate market value of the voting stock held by nonaffiliates of the registrant was $6,448,736,871 as of June 30, 2021. As of February 16, 2022, there were 53,646,406 of the registrant’s shares of common stock outstanding.</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Part III is incorporated by reference from the Proxy Statement for the Annual Meeting of Shareholders to be held on May 6, 2022.</w:t>
      </w:r>
    </w:p>
    <w:p>
      <w:pPr>
        <w:spacing w:after="0" w:line="104" w:lineRule="exact"/>
        <w:rPr>
          <w:sz w:val="24"/>
          <w:szCs w:val="24"/>
          <w:color w:val="auto"/>
        </w:rPr>
      </w:pPr>
    </w:p>
    <w:p>
      <w:pPr>
        <w:ind w:left="20"/>
        <w:spacing w:after="0"/>
        <w:tabs>
          <w:tab w:leader="none" w:pos="1380" w:val="left"/>
          <w:tab w:leader="none" w:pos="3260" w:val="left"/>
          <w:tab w:leader="none" w:pos="4640" w:val="left"/>
          <w:tab w:leader="none" w:pos="6880" w:val="left"/>
          <w:tab w:leader="none" w:pos="838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Deloitte &amp; Touche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Milwaukee, WI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6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w w:val="93"/>
              </w:rPr>
              <w:t>ManpowerGroup Inc.</w:t>
            </w: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gridSpan w:val="7"/>
          </w:tcPr>
          <w:p>
            <w:pPr>
              <w:jc w:val="center"/>
              <w:ind w:right="3780"/>
              <w:spacing w:after="0" w:line="202" w:lineRule="exact"/>
              <w:rPr>
                <w:sz w:val="20"/>
                <w:szCs w:val="20"/>
                <w:color w:val="auto"/>
              </w:rPr>
            </w:pPr>
            <w:r>
              <w:rPr>
                <w:rFonts w:ascii="Arial" w:cs="Arial" w:eastAsia="Arial" w:hAnsi="Arial"/>
                <w:sz w:val="18"/>
                <w:szCs w:val="18"/>
                <w:b w:val="1"/>
                <w:bCs w:val="1"/>
                <w:color w:val="auto"/>
                <w:w w:val="96"/>
              </w:rPr>
              <w:t>Form 10-K</w:t>
            </w:r>
          </w:p>
        </w:tc>
        <w:tc>
          <w:tcPr>
            <w:tcW w:w="10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0"/>
              </w:rPr>
              <w:t>For the Fiscal Year Ended December 31, 2021</w:t>
            </w:r>
          </w:p>
        </w:tc>
        <w:tc>
          <w:tcPr>
            <w:tcW w:w="10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0000FF"/>
              <w:right w:val="single" w:sz="8" w:color="CFF0FC"/>
            </w:tcBorders>
            <w:gridSpan w:val="2"/>
            <w:shd w:val="clear" w:color="auto" w:fill="CFF0FC"/>
          </w:tcPr>
          <w:p>
            <w:pPr>
              <w:spacing w:after="0" w:line="169" w:lineRule="exact"/>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820" w:type="dxa"/>
            <w:vAlign w:val="bottom"/>
            <w:tcBorders>
              <w:bottom w:val="single" w:sz="8" w:color="CFF0FC"/>
            </w:tcBorders>
            <w:gridSpan w:val="2"/>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right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right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left w:val="single" w:sz="8" w:color="CFF0FC"/>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480" w:type="dxa"/>
            <w:vAlign w:val="bottom"/>
            <w:gridSpan w:val="4"/>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720" w:type="dxa"/>
            <w:vAlign w:val="bottom"/>
            <w:gridSpan w:val="18"/>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7"/>
        </w:trPr>
        <w:tc>
          <w:tcPr>
            <w:tcW w:w="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Item 1A</w:t>
              </w:r>
            </w:hyperlink>
          </w:p>
        </w:tc>
        <w:tc>
          <w:tcPr>
            <w:tcW w:w="820" w:type="dxa"/>
            <w:vAlign w:val="bottom"/>
            <w:tcBorders>
              <w:bottom w:val="single" w:sz="8" w:color="CFF0FC"/>
            </w:tcBorders>
            <w:gridSpan w:val="2"/>
            <w:shd w:val="clear" w:color="auto" w:fill="CFF0FC"/>
          </w:tcPr>
          <w:p>
            <w:pPr>
              <w:spacing w:after="0"/>
              <w:rPr>
                <w:sz w:val="15"/>
                <w:szCs w:val="15"/>
                <w:color w:val="auto"/>
              </w:rPr>
            </w:pPr>
          </w:p>
        </w:tc>
        <w:tc>
          <w:tcPr>
            <w:tcW w:w="900" w:type="dxa"/>
            <w:vAlign w:val="bottom"/>
            <w:tcBorders>
              <w:bottom w:val="single" w:sz="8" w:color="0000FF"/>
            </w:tcBorders>
            <w:gridSpan w:val="3"/>
            <w:shd w:val="clear" w:color="auto" w:fill="CFF0FC"/>
          </w:tcPr>
          <w:p>
            <w:pPr>
              <w:spacing w:after="0" w:line="176" w:lineRule="exact"/>
              <w:rPr>
                <w:rFonts w:ascii="Arial" w:cs="Arial" w:eastAsia="Arial" w:hAnsi="Arial"/>
                <w:sz w:val="18"/>
                <w:szCs w:val="18"/>
                <w:color w:val="0000FF"/>
                <w:w w:val="87"/>
              </w:rPr>
            </w:pPr>
            <w:hyperlink w:anchor="page11">
              <w:r>
                <w:rPr>
                  <w:rFonts w:ascii="Arial" w:cs="Arial" w:eastAsia="Arial" w:hAnsi="Arial"/>
                  <w:sz w:val="18"/>
                  <w:szCs w:val="18"/>
                  <w:color w:val="0000FF"/>
                  <w:w w:val="87"/>
                </w:rPr>
                <w:t>Risk Factors</w:t>
              </w:r>
            </w:hyperlink>
          </w:p>
        </w:tc>
        <w:tc>
          <w:tcPr>
            <w:tcW w:w="7820" w:type="dxa"/>
            <w:vAlign w:val="bottom"/>
            <w:tcBorders>
              <w:bottom w:val="single" w:sz="8" w:color="CFF0FC"/>
            </w:tcBorders>
            <w:gridSpan w:val="15"/>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183"/>
        </w:trPr>
        <w:tc>
          <w:tcPr>
            <w:tcW w:w="20" w:type="dxa"/>
            <w:vAlign w:val="bottom"/>
          </w:tcPr>
          <w:p>
            <w:pPr>
              <w:spacing w:after="0"/>
              <w:rPr>
                <w:sz w:val="15"/>
                <w:szCs w:val="15"/>
                <w:color w:val="auto"/>
              </w:rPr>
            </w:pPr>
          </w:p>
        </w:tc>
        <w:tc>
          <w:tcPr>
            <w:tcW w:w="1480" w:type="dxa"/>
            <w:vAlign w:val="bottom"/>
            <w:gridSpan w:val="4"/>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Item 1B</w:t>
              </w:r>
            </w:hyperlink>
          </w:p>
        </w:tc>
        <w:tc>
          <w:tcPr>
            <w:tcW w:w="8720" w:type="dxa"/>
            <w:vAlign w:val="bottom"/>
            <w:gridSpan w:val="18"/>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Unresolved Staff Comments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5"/>
        </w:trPr>
        <w:tc>
          <w:tcPr>
            <w:tcW w:w="20" w:type="dxa"/>
            <w:vAlign w:val="bottom"/>
            <w:shd w:val="clear" w:color="auto" w:fill="CFF0FC"/>
          </w:tcPr>
          <w:p>
            <w:pPr>
              <w:spacing w:after="0"/>
              <w:rPr>
                <w:sz w:val="15"/>
                <w:szCs w:val="15"/>
                <w:color w:val="auto"/>
              </w:rPr>
            </w:pPr>
          </w:p>
        </w:tc>
        <w:tc>
          <w:tcPr>
            <w:tcW w:w="660" w:type="dxa"/>
            <w:vAlign w:val="bottom"/>
            <w:tcBorders>
              <w:top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820" w:type="dxa"/>
            <w:vAlign w:val="bottom"/>
            <w:gridSpan w:val="2"/>
            <w:shd w:val="clear" w:color="auto" w:fill="CFF0FC"/>
          </w:tcPr>
          <w:p>
            <w:pPr>
              <w:spacing w:after="0"/>
              <w:rPr>
                <w:sz w:val="15"/>
                <w:szCs w:val="15"/>
                <w:color w:val="auto"/>
              </w:rPr>
            </w:pPr>
          </w:p>
        </w:tc>
        <w:tc>
          <w:tcPr>
            <w:tcW w:w="2040" w:type="dxa"/>
            <w:vAlign w:val="bottom"/>
            <w:tcBorders>
              <w:top w:val="single" w:sz="8" w:color="0000FF"/>
            </w:tcBorders>
            <w:gridSpan w:val="7"/>
            <w:shd w:val="clear" w:color="auto" w:fill="CFF0FC"/>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Properties</w:t>
              </w:r>
            </w:hyperlink>
          </w:p>
        </w:tc>
        <w:tc>
          <w:tcPr>
            <w:tcW w:w="6680" w:type="dxa"/>
            <w:vAlign w:val="bottom"/>
            <w:gridSpan w:val="11"/>
            <w:shd w:val="clear" w:color="auto" w:fill="CFF0FC"/>
          </w:tcPr>
          <w:p>
            <w:pPr>
              <w:spacing w:after="0"/>
              <w:rPr>
                <w:sz w:val="15"/>
                <w:szCs w:val="15"/>
                <w:color w:val="auto"/>
              </w:rPr>
            </w:pPr>
          </w:p>
        </w:tc>
        <w:tc>
          <w:tcPr>
            <w:tcW w:w="10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7"/>
        </w:trPr>
        <w:tc>
          <w:tcPr>
            <w:tcW w:w="20" w:type="dxa"/>
            <w:vAlign w:val="bottom"/>
            <w:shd w:val="clear" w:color="auto" w:fill="CFF0FC"/>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CFF0FC"/>
            </w:tcBorders>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tcBorders>
              <w:right w:val="single" w:sz="8" w:color="CFF0FC"/>
            </w:tcBorders>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840" w:type="dxa"/>
            <w:vAlign w:val="bottom"/>
            <w:tcBorders>
              <w:left w:val="single" w:sz="8" w:color="CFF0FC"/>
            </w:tcBorders>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r>
      <w:tr>
        <w:trPr>
          <w:trHeight w:val="175"/>
        </w:trPr>
        <w:tc>
          <w:tcPr>
            <w:tcW w:w="20" w:type="dxa"/>
            <w:vAlign w:val="bottom"/>
          </w:tcPr>
          <w:p>
            <w:pPr>
              <w:spacing w:after="0"/>
              <w:rPr>
                <w:sz w:val="15"/>
                <w:szCs w:val="15"/>
                <w:color w:val="auto"/>
              </w:rPr>
            </w:pPr>
          </w:p>
        </w:tc>
        <w:tc>
          <w:tcPr>
            <w:tcW w:w="1480" w:type="dxa"/>
            <w:vAlign w:val="bottom"/>
            <w:gridSpan w:val="4"/>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Item 3</w:t>
              </w:r>
            </w:hyperlink>
          </w:p>
        </w:tc>
        <w:tc>
          <w:tcPr>
            <w:tcW w:w="8720" w:type="dxa"/>
            <w:vAlign w:val="bottom"/>
            <w:gridSpan w:val="18"/>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7"/>
        </w:trPr>
        <w:tc>
          <w:tcPr>
            <w:tcW w:w="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20" w:type="dxa"/>
            <w:vAlign w:val="bottom"/>
            <w:shd w:val="clear" w:color="auto" w:fill="CFF0FC"/>
          </w:tcPr>
          <w:p>
            <w:pPr>
              <w:spacing w:after="0"/>
              <w:rPr>
                <w:sz w:val="15"/>
                <w:szCs w:val="15"/>
                <w:color w:val="auto"/>
              </w:rPr>
            </w:pPr>
          </w:p>
        </w:tc>
        <w:tc>
          <w:tcPr>
            <w:tcW w:w="1480" w:type="dxa"/>
            <w:vAlign w:val="bottom"/>
            <w:gridSpan w:val="4"/>
            <w:shd w:val="clear" w:color="auto" w:fill="CFF0FC"/>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Item 4</w:t>
              </w:r>
            </w:hyperlink>
          </w:p>
        </w:tc>
        <w:tc>
          <w:tcPr>
            <w:tcW w:w="8720" w:type="dxa"/>
            <w:vAlign w:val="bottom"/>
            <w:gridSpan w:val="18"/>
            <w:shd w:val="clear" w:color="auto" w:fill="CFF0FC"/>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Mine Safety Disclosures</w:t>
              </w:r>
            </w:hyperlink>
          </w:p>
        </w:tc>
        <w:tc>
          <w:tcPr>
            <w:tcW w:w="10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7"/>
        </w:trPr>
        <w:tc>
          <w:tcPr>
            <w:tcW w:w="20" w:type="dxa"/>
            <w:vAlign w:val="bottom"/>
            <w:shd w:val="clear" w:color="auto" w:fill="CFF0FC"/>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right w:val="single" w:sz="8" w:color="CFF0FC"/>
            </w:tcBorders>
            <w:shd w:val="clear" w:color="auto" w:fill="0000FF"/>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840" w:type="dxa"/>
            <w:vAlign w:val="bottom"/>
            <w:tcBorders>
              <w:left w:val="single" w:sz="8" w:color="CFF0FC"/>
            </w:tcBorders>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720" w:type="dxa"/>
            <w:vAlign w:val="bottom"/>
            <w:gridSpan w:val="18"/>
          </w:tcPr>
          <w:p>
            <w:pPr>
              <w:spacing w:after="0" w:line="176" w:lineRule="exact"/>
              <w:rPr>
                <w:rFonts w:ascii="Arial" w:cs="Arial" w:eastAsia="Arial" w:hAnsi="Arial"/>
                <w:sz w:val="18"/>
                <w:szCs w:val="18"/>
                <w:color w:val="0000FF"/>
              </w:rPr>
            </w:pPr>
            <w:hyperlink w:anchor="page27">
              <w:r>
                <w:rPr>
                  <w:rFonts w:ascii="Arial" w:cs="Arial" w:eastAsia="Arial" w:hAnsi="Arial"/>
                  <w:sz w:val="18"/>
                  <w:szCs w:val="18"/>
                  <w:color w:val="0000FF"/>
                </w:rPr>
                <w:t>Executive Officers of ManpowerGroup</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183"/>
        </w:trPr>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20" w:type="dxa"/>
            <w:vAlign w:val="bottom"/>
            <w:tcBorders>
              <w:top w:val="single" w:sz="8" w:color="0000FF"/>
            </w:tcBorders>
            <w:gridSpan w:val="8"/>
            <w:shd w:val="clear" w:color="auto" w:fill="CFF0FC"/>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Other Information</w:t>
              </w:r>
            </w:hyperlink>
          </w:p>
        </w:tc>
        <w:tc>
          <w:tcPr>
            <w:tcW w:w="5900" w:type="dxa"/>
            <w:vAlign w:val="bottom"/>
            <w:gridSpan w:val="10"/>
            <w:shd w:val="clear" w:color="auto" w:fill="CFF0FC"/>
          </w:tcPr>
          <w:p>
            <w:pPr>
              <w:spacing w:after="0"/>
              <w:rPr>
                <w:sz w:val="15"/>
                <w:szCs w:val="15"/>
                <w:color w:val="auto"/>
              </w:rPr>
            </w:pPr>
          </w:p>
        </w:tc>
        <w:tc>
          <w:tcPr>
            <w:tcW w:w="10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3"/>
        </w:trPr>
        <w:tc>
          <w:tcPr>
            <w:tcW w:w="2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680" w:type="dxa"/>
            <w:vAlign w:val="bottom"/>
            <w:tcBorders>
              <w:top w:val="single" w:sz="8" w:color="CFF0FC"/>
            </w:tcBorders>
          </w:tcPr>
          <w:p>
            <w:pPr>
              <w:spacing w:after="0"/>
              <w:rPr>
                <w:sz w:val="17"/>
                <w:szCs w:val="17"/>
                <w:color w:val="auto"/>
              </w:rPr>
            </w:pPr>
          </w:p>
        </w:tc>
        <w:tc>
          <w:tcPr>
            <w:tcW w:w="1020" w:type="dxa"/>
            <w:vAlign w:val="bottom"/>
            <w:tcBorders>
              <w:top w:val="single" w:sz="8" w:color="CFF0FC"/>
            </w:tcBorders>
          </w:tcPr>
          <w:p>
            <w:pPr>
              <w:spacing w:after="0"/>
              <w:rPr>
                <w:sz w:val="17"/>
                <w:szCs w:val="17"/>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w w:val="98"/>
              </w:rPr>
            </w:pPr>
            <w:hyperlink w:anchor="page29">
              <w:r>
                <w:rPr>
                  <w:rFonts w:ascii="Arial" w:cs="Arial" w:eastAsia="Arial" w:hAnsi="Arial"/>
                  <w:sz w:val="18"/>
                  <w:szCs w:val="18"/>
                  <w:color w:val="0000FF"/>
                  <w:w w:val="98"/>
                </w:rPr>
                <w:t>PART II</w:t>
              </w:r>
            </w:hyperlink>
          </w:p>
        </w:tc>
        <w:tc>
          <w:tcPr>
            <w:tcW w:w="820" w:type="dxa"/>
            <w:vAlign w:val="bottom"/>
            <w:tcBorders>
              <w:bottom w:val="single" w:sz="8" w:color="CFF0FC"/>
            </w:tcBorders>
            <w:gridSpan w:val="2"/>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right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right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left w:val="single" w:sz="8" w:color="CFF0FC"/>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480" w:type="dxa"/>
            <w:vAlign w:val="bottom"/>
            <w:gridSpan w:val="4"/>
          </w:tcPr>
          <w:p>
            <w:pPr>
              <w:spacing w:after="0" w:line="176" w:lineRule="exact"/>
              <w:rPr>
                <w:rFonts w:ascii="Arial" w:cs="Arial" w:eastAsia="Arial" w:hAnsi="Arial"/>
                <w:sz w:val="18"/>
                <w:szCs w:val="18"/>
                <w:color w:val="0000FF"/>
              </w:rPr>
            </w:pPr>
            <w:hyperlink w:anchor="page29">
              <w:r>
                <w:rPr>
                  <w:rFonts w:ascii="Arial" w:cs="Arial" w:eastAsia="Arial" w:hAnsi="Arial"/>
                  <w:sz w:val="18"/>
                  <w:szCs w:val="18"/>
                  <w:color w:val="0000FF"/>
                </w:rPr>
                <w:t>Item 5</w:t>
              </w:r>
            </w:hyperlink>
          </w:p>
        </w:tc>
        <w:tc>
          <w:tcPr>
            <w:tcW w:w="8720" w:type="dxa"/>
            <w:vAlign w:val="bottom"/>
            <w:gridSpan w:val="18"/>
          </w:tcPr>
          <w:p>
            <w:pPr>
              <w:spacing w:after="0" w:line="176" w:lineRule="exact"/>
              <w:rPr>
                <w:rFonts w:ascii="Arial" w:cs="Arial" w:eastAsia="Arial" w:hAnsi="Arial"/>
                <w:sz w:val="18"/>
                <w:szCs w:val="18"/>
                <w:color w:val="0000FF"/>
                <w:w w:val="97"/>
              </w:rPr>
            </w:pPr>
            <w:hyperlink w:anchor="page29">
              <w:r>
                <w:rPr>
                  <w:rFonts w:ascii="Arial" w:cs="Arial" w:eastAsia="Arial" w:hAnsi="Arial"/>
                  <w:sz w:val="18"/>
                  <w:szCs w:val="18"/>
                  <w:color w:val="0000FF"/>
                  <w:w w:val="97"/>
                </w:rPr>
                <w:t>Market for Registrant's Common Equity, Related Shareholder Matters and Issuer Purchases of Equity Securities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7"/>
        </w:trPr>
        <w:tc>
          <w:tcPr>
            <w:tcW w:w="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4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20" w:type="dxa"/>
            <w:vAlign w:val="bottom"/>
            <w:shd w:val="clear" w:color="auto" w:fill="CFF0FC"/>
          </w:tcPr>
          <w:p>
            <w:pPr>
              <w:spacing w:after="0"/>
              <w:rPr>
                <w:sz w:val="15"/>
                <w:szCs w:val="15"/>
                <w:color w:val="auto"/>
              </w:rPr>
            </w:pPr>
          </w:p>
        </w:tc>
        <w:tc>
          <w:tcPr>
            <w:tcW w:w="1480" w:type="dxa"/>
            <w:vAlign w:val="bottom"/>
            <w:gridSpan w:val="4"/>
            <w:shd w:val="clear" w:color="auto" w:fill="CFF0FC"/>
          </w:tcPr>
          <w:p>
            <w:pPr>
              <w:spacing w:after="0" w:line="176" w:lineRule="exact"/>
              <w:rPr>
                <w:rFonts w:ascii="Arial" w:cs="Arial" w:eastAsia="Arial" w:hAnsi="Arial"/>
                <w:sz w:val="18"/>
                <w:szCs w:val="18"/>
                <w:color w:val="0000FF"/>
              </w:rPr>
            </w:pPr>
            <w:hyperlink w:anchor="page30">
              <w:r>
                <w:rPr>
                  <w:rFonts w:ascii="Arial" w:cs="Arial" w:eastAsia="Arial" w:hAnsi="Arial"/>
                  <w:sz w:val="18"/>
                  <w:szCs w:val="18"/>
                  <w:color w:val="0000FF"/>
                </w:rPr>
                <w:t>Item 6</w:t>
              </w:r>
            </w:hyperlink>
          </w:p>
        </w:tc>
        <w:tc>
          <w:tcPr>
            <w:tcW w:w="8720" w:type="dxa"/>
            <w:vAlign w:val="bottom"/>
            <w:gridSpan w:val="18"/>
            <w:shd w:val="clear" w:color="auto" w:fill="CFF0FC"/>
          </w:tcPr>
          <w:p>
            <w:pPr>
              <w:spacing w:after="0" w:line="176" w:lineRule="exact"/>
              <w:rPr>
                <w:rFonts w:ascii="Arial" w:cs="Arial" w:eastAsia="Arial" w:hAnsi="Arial"/>
                <w:sz w:val="18"/>
                <w:szCs w:val="18"/>
                <w:color w:val="0000FF"/>
              </w:rPr>
            </w:pPr>
            <w:hyperlink w:anchor="page30">
              <w:r>
                <w:rPr>
                  <w:rFonts w:ascii="Arial" w:cs="Arial" w:eastAsia="Arial" w:hAnsi="Arial"/>
                  <w:sz w:val="18"/>
                  <w:szCs w:val="18"/>
                  <w:color w:val="0000FF"/>
                </w:rPr>
                <w:t>[Reserved]</w:t>
              </w:r>
            </w:hyperlink>
          </w:p>
        </w:tc>
        <w:tc>
          <w:tcPr>
            <w:tcW w:w="10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7"/>
        </w:trPr>
        <w:tc>
          <w:tcPr>
            <w:tcW w:w="20" w:type="dxa"/>
            <w:vAlign w:val="bottom"/>
            <w:shd w:val="clear" w:color="auto" w:fill="CFF0FC"/>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tcBorders>
              <w:right w:val="single" w:sz="8" w:color="CFF0FC"/>
            </w:tcBorders>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840" w:type="dxa"/>
            <w:vAlign w:val="bottom"/>
            <w:tcBorders>
              <w:left w:val="single" w:sz="8" w:color="CFF0FC"/>
            </w:tcBorders>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r>
      <w:tr>
        <w:trPr>
          <w:trHeight w:val="175"/>
        </w:trPr>
        <w:tc>
          <w:tcPr>
            <w:tcW w:w="20" w:type="dxa"/>
            <w:vAlign w:val="bottom"/>
          </w:tcPr>
          <w:p>
            <w:pPr>
              <w:spacing w:after="0"/>
              <w:rPr>
                <w:sz w:val="15"/>
                <w:szCs w:val="15"/>
                <w:color w:val="auto"/>
              </w:rPr>
            </w:pPr>
          </w:p>
        </w:tc>
        <w:tc>
          <w:tcPr>
            <w:tcW w:w="1480" w:type="dxa"/>
            <w:vAlign w:val="bottom"/>
            <w:gridSpan w:val="4"/>
          </w:tcPr>
          <w:p>
            <w:pPr>
              <w:spacing w:after="0" w:line="176" w:lineRule="exact"/>
              <w:rPr>
                <w:rFonts w:ascii="Arial" w:cs="Arial" w:eastAsia="Arial" w:hAnsi="Arial"/>
                <w:sz w:val="18"/>
                <w:szCs w:val="18"/>
                <w:color w:val="0000FF"/>
              </w:rPr>
            </w:pPr>
            <w:hyperlink w:anchor="page31">
              <w:r>
                <w:rPr>
                  <w:rFonts w:ascii="Arial" w:cs="Arial" w:eastAsia="Arial" w:hAnsi="Arial"/>
                  <w:sz w:val="18"/>
                  <w:szCs w:val="18"/>
                  <w:color w:val="0000FF"/>
                </w:rPr>
                <w:t>Item 7</w:t>
              </w:r>
            </w:hyperlink>
          </w:p>
        </w:tc>
        <w:tc>
          <w:tcPr>
            <w:tcW w:w="8720" w:type="dxa"/>
            <w:vAlign w:val="bottom"/>
            <w:gridSpan w:val="18"/>
          </w:tcPr>
          <w:p>
            <w:pPr>
              <w:spacing w:after="0" w:line="176" w:lineRule="exact"/>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7"/>
        </w:trPr>
        <w:tc>
          <w:tcPr>
            <w:tcW w:w="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Item 7A</w:t>
              </w:r>
            </w:hyperlink>
          </w:p>
        </w:tc>
        <w:tc>
          <w:tcPr>
            <w:tcW w:w="820" w:type="dxa"/>
            <w:vAlign w:val="bottom"/>
            <w:tcBorders>
              <w:bottom w:val="single" w:sz="8" w:color="CFF0FC"/>
            </w:tcBorders>
            <w:gridSpan w:val="2"/>
            <w:shd w:val="clear" w:color="auto" w:fill="CFF0FC"/>
          </w:tcPr>
          <w:p>
            <w:pPr>
              <w:spacing w:after="0"/>
              <w:rPr>
                <w:sz w:val="15"/>
                <w:szCs w:val="15"/>
                <w:color w:val="auto"/>
              </w:rPr>
            </w:pPr>
          </w:p>
        </w:tc>
        <w:tc>
          <w:tcPr>
            <w:tcW w:w="4360" w:type="dxa"/>
            <w:vAlign w:val="bottom"/>
            <w:tcBorders>
              <w:bottom w:val="single" w:sz="8" w:color="0000FF"/>
            </w:tcBorders>
            <w:gridSpan w:val="13"/>
            <w:shd w:val="clear" w:color="auto" w:fill="CFF0FC"/>
          </w:tcPr>
          <w:p>
            <w:pPr>
              <w:spacing w:after="0" w:line="176"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Quantitative and Qualitative Disclosures About Market Risk</w:t>
              </w:r>
            </w:hyperlink>
          </w:p>
        </w:tc>
        <w:tc>
          <w:tcPr>
            <w:tcW w:w="4360" w:type="dxa"/>
            <w:vAlign w:val="bottom"/>
            <w:tcBorders>
              <w:bottom w:val="single" w:sz="8" w:color="CFF0FC"/>
            </w:tcBorders>
            <w:gridSpan w:val="5"/>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175"/>
        </w:trPr>
        <w:tc>
          <w:tcPr>
            <w:tcW w:w="20" w:type="dxa"/>
            <w:vAlign w:val="bottom"/>
          </w:tcPr>
          <w:p>
            <w:pPr>
              <w:spacing w:after="0"/>
              <w:rPr>
                <w:sz w:val="15"/>
                <w:szCs w:val="15"/>
                <w:color w:val="auto"/>
              </w:rPr>
            </w:pPr>
          </w:p>
        </w:tc>
        <w:tc>
          <w:tcPr>
            <w:tcW w:w="1480" w:type="dxa"/>
            <w:vAlign w:val="bottom"/>
            <w:gridSpan w:val="4"/>
          </w:tcPr>
          <w:p>
            <w:pPr>
              <w:spacing w:after="0" w:line="176" w:lineRule="exact"/>
              <w:rPr>
                <w:rFonts w:ascii="Arial" w:cs="Arial" w:eastAsia="Arial" w:hAnsi="Arial"/>
                <w:sz w:val="18"/>
                <w:szCs w:val="18"/>
                <w:color w:val="0000FF"/>
              </w:rPr>
            </w:pPr>
            <w:hyperlink w:anchor="page50">
              <w:r>
                <w:rPr>
                  <w:rFonts w:ascii="Arial" w:cs="Arial" w:eastAsia="Arial" w:hAnsi="Arial"/>
                  <w:sz w:val="18"/>
                  <w:szCs w:val="18"/>
                  <w:color w:val="0000FF"/>
                </w:rPr>
                <w:t>Item 8</w:t>
              </w:r>
            </w:hyperlink>
          </w:p>
        </w:tc>
        <w:tc>
          <w:tcPr>
            <w:tcW w:w="8720" w:type="dxa"/>
            <w:vAlign w:val="bottom"/>
            <w:gridSpan w:val="18"/>
          </w:tcPr>
          <w:p>
            <w:pPr>
              <w:spacing w:after="0" w:line="176" w:lineRule="exact"/>
              <w:rPr>
                <w:rFonts w:ascii="Arial" w:cs="Arial" w:eastAsia="Arial" w:hAnsi="Arial"/>
                <w:sz w:val="18"/>
                <w:szCs w:val="18"/>
                <w:color w:val="0000FF"/>
              </w:rPr>
            </w:pPr>
            <w:hyperlink w:anchor="page50">
              <w:r>
                <w:rPr>
                  <w:rFonts w:ascii="Arial" w:cs="Arial" w:eastAsia="Arial" w:hAnsi="Arial"/>
                  <w:sz w:val="18"/>
                  <w:szCs w:val="18"/>
                  <w:color w:val="0000FF"/>
                </w:rPr>
                <w:t>Financial Statements and Supplementary Data</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7"/>
        </w:trPr>
        <w:tc>
          <w:tcPr>
            <w:tcW w:w="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20" w:type="dxa"/>
            <w:vAlign w:val="bottom"/>
            <w:shd w:val="clear" w:color="auto" w:fill="CFF0FC"/>
          </w:tcPr>
          <w:p>
            <w:pPr>
              <w:spacing w:after="0"/>
              <w:rPr>
                <w:sz w:val="15"/>
                <w:szCs w:val="15"/>
                <w:color w:val="auto"/>
              </w:rPr>
            </w:pPr>
          </w:p>
        </w:tc>
        <w:tc>
          <w:tcPr>
            <w:tcW w:w="1480" w:type="dxa"/>
            <w:vAlign w:val="bottom"/>
            <w:gridSpan w:val="4"/>
            <w:shd w:val="clear" w:color="auto" w:fill="CFF0FC"/>
          </w:tcPr>
          <w:p>
            <w:pPr>
              <w:spacing w:after="0" w:line="176" w:lineRule="exact"/>
              <w:rPr>
                <w:rFonts w:ascii="Arial" w:cs="Arial" w:eastAsia="Arial" w:hAnsi="Arial"/>
                <w:sz w:val="18"/>
                <w:szCs w:val="18"/>
                <w:color w:val="0000FF"/>
              </w:rPr>
            </w:pPr>
            <w:hyperlink w:anchor="page100">
              <w:r>
                <w:rPr>
                  <w:rFonts w:ascii="Arial" w:cs="Arial" w:eastAsia="Arial" w:hAnsi="Arial"/>
                  <w:sz w:val="18"/>
                  <w:szCs w:val="18"/>
                  <w:color w:val="0000FF"/>
                </w:rPr>
                <w:t>Item 9</w:t>
              </w:r>
            </w:hyperlink>
          </w:p>
        </w:tc>
        <w:tc>
          <w:tcPr>
            <w:tcW w:w="8720" w:type="dxa"/>
            <w:vAlign w:val="bottom"/>
            <w:gridSpan w:val="18"/>
            <w:shd w:val="clear" w:color="auto" w:fill="CFF0FC"/>
          </w:tcPr>
          <w:p>
            <w:pPr>
              <w:spacing w:after="0" w:line="176" w:lineRule="exact"/>
              <w:rPr>
                <w:rFonts w:ascii="Arial" w:cs="Arial" w:eastAsia="Arial" w:hAnsi="Arial"/>
                <w:sz w:val="18"/>
                <w:szCs w:val="18"/>
                <w:color w:val="0000FF"/>
              </w:rPr>
            </w:pPr>
            <w:hyperlink w:anchor="page100">
              <w:r>
                <w:rPr>
                  <w:rFonts w:ascii="Arial" w:cs="Arial" w:eastAsia="Arial" w:hAnsi="Arial"/>
                  <w:sz w:val="18"/>
                  <w:szCs w:val="18"/>
                  <w:color w:val="0000FF"/>
                </w:rPr>
                <w:t>Changes in and Disagreements with Accountants on Accounting and Financial Disclosure</w:t>
              </w:r>
            </w:hyperlink>
          </w:p>
        </w:tc>
        <w:tc>
          <w:tcPr>
            <w:tcW w:w="10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6"/>
              </w:rPr>
              <w:t>100</w:t>
            </w:r>
          </w:p>
        </w:tc>
      </w:tr>
      <w:tr>
        <w:trPr>
          <w:trHeight w:val="27"/>
        </w:trPr>
        <w:tc>
          <w:tcPr>
            <w:tcW w:w="20" w:type="dxa"/>
            <w:vAlign w:val="bottom"/>
            <w:shd w:val="clear" w:color="auto" w:fill="CFF0FC"/>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40" w:type="dxa"/>
            <w:vAlign w:val="bottom"/>
            <w:tcBorders>
              <w:left w:val="single" w:sz="8" w:color="0000FF"/>
            </w:tcBorders>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60" w:type="dxa"/>
            <w:vAlign w:val="bottom"/>
            <w:gridSpan w:val="2"/>
          </w:tcPr>
          <w:p>
            <w:pPr>
              <w:spacing w:after="0" w:line="176" w:lineRule="exact"/>
              <w:rPr>
                <w:rFonts w:ascii="Arial" w:cs="Arial" w:eastAsia="Arial" w:hAnsi="Arial"/>
                <w:sz w:val="18"/>
                <w:szCs w:val="18"/>
                <w:color w:val="0000FF"/>
                <w:w w:val="99"/>
              </w:rPr>
            </w:pPr>
            <w:hyperlink w:anchor="page100">
              <w:r>
                <w:rPr>
                  <w:rFonts w:ascii="Arial" w:cs="Arial" w:eastAsia="Arial" w:hAnsi="Arial"/>
                  <w:sz w:val="18"/>
                  <w:szCs w:val="18"/>
                  <w:color w:val="0000FF"/>
                  <w:w w:val="99"/>
                </w:rPr>
                <w:t>Item 9A</w:t>
              </w:r>
            </w:hyperlink>
          </w:p>
        </w:tc>
        <w:tc>
          <w:tcPr>
            <w:tcW w:w="820" w:type="dxa"/>
            <w:vAlign w:val="bottom"/>
            <w:gridSpan w:val="2"/>
          </w:tcPr>
          <w:p>
            <w:pPr>
              <w:spacing w:after="0"/>
              <w:rPr>
                <w:sz w:val="15"/>
                <w:szCs w:val="15"/>
                <w:color w:val="auto"/>
              </w:rPr>
            </w:pPr>
          </w:p>
        </w:tc>
        <w:tc>
          <w:tcPr>
            <w:tcW w:w="8720" w:type="dxa"/>
            <w:vAlign w:val="bottom"/>
            <w:gridSpan w:val="18"/>
          </w:tcPr>
          <w:p>
            <w:pPr>
              <w:spacing w:after="0" w:line="176" w:lineRule="exact"/>
              <w:rPr>
                <w:rFonts w:ascii="Arial" w:cs="Arial" w:eastAsia="Arial" w:hAnsi="Arial"/>
                <w:sz w:val="18"/>
                <w:szCs w:val="18"/>
                <w:color w:val="0000FF"/>
              </w:rPr>
            </w:pPr>
            <w:hyperlink w:anchor="page100">
              <w:r>
                <w:rPr>
                  <w:rFonts w:ascii="Arial" w:cs="Arial" w:eastAsia="Arial" w:hAnsi="Arial"/>
                  <w:sz w:val="18"/>
                  <w:szCs w:val="18"/>
                  <w:color w:val="0000FF"/>
                </w:rPr>
                <w:t>Controls and Procedures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6"/>
              </w:rPr>
              <w:t>100</w:t>
            </w:r>
          </w:p>
        </w:tc>
      </w:tr>
      <w:tr>
        <w:trPr>
          <w:trHeight w:val="183"/>
        </w:trPr>
        <w:tc>
          <w:tcPr>
            <w:tcW w:w="20" w:type="dxa"/>
            <w:vAlign w:val="bottom"/>
            <w:shd w:val="clear" w:color="auto" w:fill="CFF0FC"/>
          </w:tcPr>
          <w:p>
            <w:pPr>
              <w:spacing w:after="0"/>
              <w:rPr>
                <w:sz w:val="15"/>
                <w:szCs w:val="15"/>
                <w:color w:val="auto"/>
              </w:rPr>
            </w:pPr>
          </w:p>
        </w:tc>
        <w:tc>
          <w:tcPr>
            <w:tcW w:w="660" w:type="dxa"/>
            <w:vAlign w:val="bottom"/>
            <w:tcBorders>
              <w:top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w w:val="99"/>
              </w:rPr>
            </w:pPr>
            <w:hyperlink w:anchor="page101">
              <w:r>
                <w:rPr>
                  <w:rFonts w:ascii="Arial" w:cs="Arial" w:eastAsia="Arial" w:hAnsi="Arial"/>
                  <w:sz w:val="18"/>
                  <w:szCs w:val="18"/>
                  <w:color w:val="0000FF"/>
                  <w:w w:val="99"/>
                </w:rPr>
                <w:t>Item 9B</w:t>
              </w:r>
            </w:hyperlink>
          </w:p>
        </w:tc>
        <w:tc>
          <w:tcPr>
            <w:tcW w:w="820" w:type="dxa"/>
            <w:vAlign w:val="bottom"/>
            <w:gridSpan w:val="2"/>
            <w:shd w:val="clear" w:color="auto" w:fill="CFF0FC"/>
          </w:tcPr>
          <w:p>
            <w:pPr>
              <w:spacing w:after="0"/>
              <w:rPr>
                <w:sz w:val="15"/>
                <w:szCs w:val="15"/>
                <w:color w:val="auto"/>
              </w:rPr>
            </w:pPr>
          </w:p>
        </w:tc>
        <w:tc>
          <w:tcPr>
            <w:tcW w:w="1800" w:type="dxa"/>
            <w:vAlign w:val="bottom"/>
            <w:tcBorders>
              <w:top w:val="single" w:sz="8" w:color="0000FF"/>
              <w:right w:val="single" w:sz="8" w:color="CFF0FC"/>
            </w:tcBorders>
            <w:gridSpan w:val="6"/>
            <w:shd w:val="clear" w:color="auto" w:fill="CFF0FC"/>
          </w:tcPr>
          <w:p>
            <w:pPr>
              <w:spacing w:after="0" w:line="176" w:lineRule="exact"/>
              <w:rPr>
                <w:rFonts w:ascii="Arial" w:cs="Arial" w:eastAsia="Arial" w:hAnsi="Arial"/>
                <w:sz w:val="18"/>
                <w:szCs w:val="18"/>
                <w:color w:val="0000FF"/>
              </w:rPr>
            </w:pPr>
            <w:hyperlink w:anchor="page101">
              <w:r>
                <w:rPr>
                  <w:rFonts w:ascii="Arial" w:cs="Arial" w:eastAsia="Arial" w:hAnsi="Arial"/>
                  <w:sz w:val="18"/>
                  <w:szCs w:val="18"/>
                  <w:color w:val="0000FF"/>
                </w:rPr>
                <w:t>Other Information</w:t>
              </w:r>
            </w:hyperlink>
          </w:p>
        </w:tc>
        <w:tc>
          <w:tcPr>
            <w:tcW w:w="6920" w:type="dxa"/>
            <w:vAlign w:val="bottom"/>
            <w:gridSpan w:val="12"/>
            <w:shd w:val="clear" w:color="auto" w:fill="CFF0FC"/>
          </w:tcPr>
          <w:p>
            <w:pPr>
              <w:spacing w:after="0"/>
              <w:rPr>
                <w:sz w:val="15"/>
                <w:szCs w:val="15"/>
                <w:color w:val="auto"/>
              </w:rPr>
            </w:pPr>
          </w:p>
        </w:tc>
        <w:tc>
          <w:tcPr>
            <w:tcW w:w="10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6"/>
              </w:rPr>
              <w:t>101</w:t>
            </w:r>
          </w:p>
        </w:tc>
      </w:tr>
      <w:tr>
        <w:trPr>
          <w:trHeight w:val="203"/>
        </w:trPr>
        <w:tc>
          <w:tcPr>
            <w:tcW w:w="20" w:type="dxa"/>
            <w:vAlign w:val="bottom"/>
            <w:tcBorders>
              <w:top w:val="single" w:sz="8" w:color="CFF0FC"/>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680" w:type="dxa"/>
            <w:vAlign w:val="bottom"/>
            <w:tcBorders>
              <w:top w:val="single" w:sz="8" w:color="CFF0FC"/>
            </w:tcBorders>
          </w:tcPr>
          <w:p>
            <w:pPr>
              <w:spacing w:after="0"/>
              <w:rPr>
                <w:sz w:val="17"/>
                <w:szCs w:val="17"/>
                <w:color w:val="auto"/>
              </w:rPr>
            </w:pPr>
          </w:p>
        </w:tc>
        <w:tc>
          <w:tcPr>
            <w:tcW w:w="1020" w:type="dxa"/>
            <w:vAlign w:val="bottom"/>
            <w:tcBorders>
              <w:top w:val="single" w:sz="8" w:color="CFF0FC"/>
            </w:tcBorders>
          </w:tcPr>
          <w:p>
            <w:pPr>
              <w:spacing w:after="0"/>
              <w:rPr>
                <w:sz w:val="17"/>
                <w:szCs w:val="17"/>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w w:val="91"/>
              </w:rPr>
            </w:pPr>
            <w:hyperlink w:anchor="page102">
              <w:r>
                <w:rPr>
                  <w:rFonts w:ascii="Arial" w:cs="Arial" w:eastAsia="Arial" w:hAnsi="Arial"/>
                  <w:sz w:val="18"/>
                  <w:szCs w:val="18"/>
                  <w:color w:val="0000FF"/>
                  <w:w w:val="91"/>
                </w:rPr>
                <w:t>PART III</w:t>
              </w:r>
            </w:hyperlink>
          </w:p>
        </w:tc>
        <w:tc>
          <w:tcPr>
            <w:tcW w:w="820" w:type="dxa"/>
            <w:vAlign w:val="bottom"/>
            <w:tcBorders>
              <w:bottom w:val="single" w:sz="8" w:color="CFF0FC"/>
            </w:tcBorders>
            <w:gridSpan w:val="2"/>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right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right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left w:val="single" w:sz="8" w:color="CFF0FC"/>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60" w:type="dxa"/>
            <w:vAlign w:val="bottom"/>
            <w:gridSpan w:val="2"/>
          </w:tcPr>
          <w:p>
            <w:pPr>
              <w:spacing w:after="0" w:line="176" w:lineRule="exact"/>
              <w:rPr>
                <w:rFonts w:ascii="Arial" w:cs="Arial" w:eastAsia="Arial" w:hAnsi="Arial"/>
                <w:sz w:val="18"/>
                <w:szCs w:val="18"/>
                <w:color w:val="0000FF"/>
              </w:rPr>
            </w:pPr>
            <w:hyperlink w:anchor="page102">
              <w:r>
                <w:rPr>
                  <w:rFonts w:ascii="Arial" w:cs="Arial" w:eastAsia="Arial" w:hAnsi="Arial"/>
                  <w:sz w:val="18"/>
                  <w:szCs w:val="18"/>
                  <w:color w:val="0000FF"/>
                </w:rPr>
                <w:t>Item 10</w:t>
              </w:r>
            </w:hyperlink>
          </w:p>
        </w:tc>
        <w:tc>
          <w:tcPr>
            <w:tcW w:w="820" w:type="dxa"/>
            <w:vAlign w:val="bottom"/>
            <w:gridSpan w:val="2"/>
          </w:tcPr>
          <w:p>
            <w:pPr>
              <w:spacing w:after="0"/>
              <w:rPr>
                <w:sz w:val="15"/>
                <w:szCs w:val="15"/>
                <w:color w:val="auto"/>
              </w:rPr>
            </w:pPr>
          </w:p>
        </w:tc>
        <w:tc>
          <w:tcPr>
            <w:tcW w:w="8720" w:type="dxa"/>
            <w:vAlign w:val="bottom"/>
            <w:gridSpan w:val="18"/>
          </w:tcPr>
          <w:p>
            <w:pPr>
              <w:spacing w:after="0" w:line="176" w:lineRule="exact"/>
              <w:rPr>
                <w:rFonts w:ascii="Arial" w:cs="Arial" w:eastAsia="Arial" w:hAnsi="Arial"/>
                <w:sz w:val="18"/>
                <w:szCs w:val="18"/>
                <w:color w:val="0000FF"/>
              </w:rPr>
            </w:pPr>
            <w:hyperlink w:anchor="page102">
              <w:r>
                <w:rPr>
                  <w:rFonts w:ascii="Arial" w:cs="Arial" w:eastAsia="Arial" w:hAnsi="Arial"/>
                  <w:sz w:val="18"/>
                  <w:szCs w:val="18"/>
                  <w:color w:val="0000FF"/>
                </w:rPr>
                <w:t>Directors, Executive Officers and Corporate Governance</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6"/>
              </w:rPr>
              <w:t>102</w:t>
            </w:r>
          </w:p>
        </w:tc>
      </w:tr>
      <w:tr>
        <w:trPr>
          <w:trHeight w:val="176"/>
        </w:trPr>
        <w:tc>
          <w:tcPr>
            <w:tcW w:w="20" w:type="dxa"/>
            <w:vAlign w:val="bottom"/>
            <w:shd w:val="clear" w:color="auto" w:fill="CFF0FC"/>
          </w:tcPr>
          <w:p>
            <w:pPr>
              <w:spacing w:after="0"/>
              <w:rPr>
                <w:sz w:val="15"/>
                <w:szCs w:val="15"/>
                <w:color w:val="auto"/>
              </w:rPr>
            </w:pPr>
          </w:p>
        </w:tc>
        <w:tc>
          <w:tcPr>
            <w:tcW w:w="660" w:type="dxa"/>
            <w:vAlign w:val="bottom"/>
            <w:tcBorders>
              <w:top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rPr>
            </w:pPr>
            <w:hyperlink w:anchor="page102">
              <w:r>
                <w:rPr>
                  <w:rFonts w:ascii="Arial" w:cs="Arial" w:eastAsia="Arial" w:hAnsi="Arial"/>
                  <w:sz w:val="18"/>
                  <w:szCs w:val="18"/>
                  <w:color w:val="0000FF"/>
                </w:rPr>
                <w:t>Item 11</w:t>
              </w:r>
            </w:hyperlink>
          </w:p>
        </w:tc>
        <w:tc>
          <w:tcPr>
            <w:tcW w:w="820" w:type="dxa"/>
            <w:vAlign w:val="bottom"/>
            <w:gridSpan w:val="2"/>
            <w:shd w:val="clear" w:color="auto" w:fill="CFF0FC"/>
          </w:tcPr>
          <w:p>
            <w:pPr>
              <w:spacing w:after="0"/>
              <w:rPr>
                <w:sz w:val="15"/>
                <w:szCs w:val="15"/>
                <w:color w:val="auto"/>
              </w:rPr>
            </w:pPr>
          </w:p>
        </w:tc>
        <w:tc>
          <w:tcPr>
            <w:tcW w:w="4080" w:type="dxa"/>
            <w:vAlign w:val="bottom"/>
            <w:tcBorders>
              <w:top w:val="single" w:sz="8" w:color="0000FF"/>
            </w:tcBorders>
            <w:gridSpan w:val="12"/>
            <w:shd w:val="clear" w:color="auto" w:fill="CFF0FC"/>
          </w:tcPr>
          <w:p>
            <w:pPr>
              <w:spacing w:after="0" w:line="176" w:lineRule="exact"/>
              <w:rPr>
                <w:rFonts w:ascii="Arial" w:cs="Arial" w:eastAsia="Arial" w:hAnsi="Arial"/>
                <w:sz w:val="18"/>
                <w:szCs w:val="18"/>
                <w:color w:val="0000FF"/>
              </w:rPr>
            </w:pPr>
            <w:hyperlink w:anchor="page102">
              <w:r>
                <w:rPr>
                  <w:rFonts w:ascii="Arial" w:cs="Arial" w:eastAsia="Arial" w:hAnsi="Arial"/>
                  <w:sz w:val="18"/>
                  <w:szCs w:val="18"/>
                  <w:color w:val="0000FF"/>
                </w:rPr>
                <w:t>Executive Compensation</w:t>
              </w:r>
            </w:hyperlink>
          </w:p>
        </w:tc>
        <w:tc>
          <w:tcPr>
            <w:tcW w:w="4640" w:type="dxa"/>
            <w:vAlign w:val="bottom"/>
            <w:gridSpan w:val="6"/>
            <w:shd w:val="clear" w:color="auto" w:fill="CFF0FC"/>
          </w:tcPr>
          <w:p>
            <w:pPr>
              <w:spacing w:after="0"/>
              <w:rPr>
                <w:sz w:val="15"/>
                <w:szCs w:val="15"/>
                <w:color w:val="auto"/>
              </w:rPr>
            </w:pPr>
          </w:p>
        </w:tc>
        <w:tc>
          <w:tcPr>
            <w:tcW w:w="10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6"/>
              </w:rPr>
              <w:t>102</w:t>
            </w:r>
          </w:p>
        </w:tc>
      </w:tr>
      <w:tr>
        <w:trPr>
          <w:trHeight w:val="27"/>
        </w:trPr>
        <w:tc>
          <w:tcPr>
            <w:tcW w:w="20" w:type="dxa"/>
            <w:vAlign w:val="bottom"/>
            <w:shd w:val="clear" w:color="auto" w:fill="CFF0FC"/>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0000FF"/>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840" w:type="dxa"/>
            <w:vAlign w:val="bottom"/>
            <w:tcBorders>
              <w:left w:val="single" w:sz="8" w:color="CFF0FC"/>
            </w:tcBorders>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660" w:type="dxa"/>
            <w:vAlign w:val="bottom"/>
            <w:gridSpan w:val="2"/>
          </w:tcPr>
          <w:p>
            <w:pPr>
              <w:spacing w:after="0" w:line="176" w:lineRule="exact"/>
              <w:rPr>
                <w:rFonts w:ascii="Arial" w:cs="Arial" w:eastAsia="Arial" w:hAnsi="Arial"/>
                <w:sz w:val="18"/>
                <w:szCs w:val="18"/>
                <w:color w:val="0000FF"/>
              </w:rPr>
            </w:pPr>
            <w:hyperlink w:anchor="page103">
              <w:r>
                <w:rPr>
                  <w:rFonts w:ascii="Arial" w:cs="Arial" w:eastAsia="Arial" w:hAnsi="Arial"/>
                  <w:sz w:val="18"/>
                  <w:szCs w:val="18"/>
                  <w:color w:val="0000FF"/>
                </w:rPr>
                <w:t>Item 12</w:t>
              </w:r>
            </w:hyperlink>
          </w:p>
        </w:tc>
        <w:tc>
          <w:tcPr>
            <w:tcW w:w="820" w:type="dxa"/>
            <w:vAlign w:val="bottom"/>
            <w:gridSpan w:val="2"/>
          </w:tcPr>
          <w:p>
            <w:pPr>
              <w:spacing w:after="0"/>
              <w:rPr>
                <w:sz w:val="15"/>
                <w:szCs w:val="15"/>
                <w:color w:val="auto"/>
              </w:rPr>
            </w:pPr>
          </w:p>
        </w:tc>
        <w:tc>
          <w:tcPr>
            <w:tcW w:w="8720" w:type="dxa"/>
            <w:vAlign w:val="bottom"/>
            <w:gridSpan w:val="18"/>
          </w:tcPr>
          <w:p>
            <w:pPr>
              <w:spacing w:after="0" w:line="176" w:lineRule="exact"/>
              <w:rPr>
                <w:rFonts w:ascii="Arial" w:cs="Arial" w:eastAsia="Arial" w:hAnsi="Arial"/>
                <w:sz w:val="18"/>
                <w:szCs w:val="18"/>
                <w:color w:val="0000FF"/>
              </w:rPr>
            </w:pPr>
            <w:hyperlink w:anchor="page103">
              <w:r>
                <w:rPr>
                  <w:rFonts w:ascii="Arial" w:cs="Arial" w:eastAsia="Arial" w:hAnsi="Arial"/>
                  <w:sz w:val="18"/>
                  <w:szCs w:val="18"/>
                  <w:color w:val="0000FF"/>
                </w:rPr>
                <w:t>Security Ownership of Certain Beneficial Owners and Management and Related Stockholder Matters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6"/>
              </w:rPr>
              <w:t>103</w:t>
            </w:r>
          </w:p>
        </w:tc>
      </w:tr>
      <w:tr>
        <w:trPr>
          <w:trHeight w:val="183"/>
        </w:trPr>
        <w:tc>
          <w:tcPr>
            <w:tcW w:w="20" w:type="dxa"/>
            <w:vAlign w:val="bottom"/>
            <w:shd w:val="clear" w:color="auto" w:fill="CFF0FC"/>
          </w:tcPr>
          <w:p>
            <w:pPr>
              <w:spacing w:after="0"/>
              <w:rPr>
                <w:sz w:val="15"/>
                <w:szCs w:val="15"/>
                <w:color w:val="auto"/>
              </w:rPr>
            </w:pPr>
          </w:p>
        </w:tc>
        <w:tc>
          <w:tcPr>
            <w:tcW w:w="660" w:type="dxa"/>
            <w:vAlign w:val="bottom"/>
            <w:tcBorders>
              <w:top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rPr>
            </w:pPr>
            <w:hyperlink w:anchor="page103">
              <w:r>
                <w:rPr>
                  <w:rFonts w:ascii="Arial" w:cs="Arial" w:eastAsia="Arial" w:hAnsi="Arial"/>
                  <w:sz w:val="18"/>
                  <w:szCs w:val="18"/>
                  <w:color w:val="0000FF"/>
                </w:rPr>
                <w:t>Item 13</w:t>
              </w:r>
            </w:hyperlink>
          </w:p>
        </w:tc>
        <w:tc>
          <w:tcPr>
            <w:tcW w:w="820" w:type="dxa"/>
            <w:vAlign w:val="bottom"/>
            <w:gridSpan w:val="2"/>
            <w:shd w:val="clear" w:color="auto" w:fill="CFF0FC"/>
          </w:tcPr>
          <w:p>
            <w:pPr>
              <w:spacing w:after="0"/>
              <w:rPr>
                <w:sz w:val="15"/>
                <w:szCs w:val="15"/>
                <w:color w:val="auto"/>
              </w:rPr>
            </w:pPr>
          </w:p>
        </w:tc>
        <w:tc>
          <w:tcPr>
            <w:tcW w:w="7280" w:type="dxa"/>
            <w:vAlign w:val="bottom"/>
            <w:tcBorders>
              <w:top w:val="single" w:sz="8" w:color="0000FF"/>
            </w:tcBorders>
            <w:gridSpan w:val="16"/>
            <w:shd w:val="clear" w:color="auto" w:fill="CFF0FC"/>
          </w:tcPr>
          <w:p>
            <w:pPr>
              <w:spacing w:after="0" w:line="176" w:lineRule="exact"/>
              <w:rPr>
                <w:rFonts w:ascii="Arial" w:cs="Arial" w:eastAsia="Arial" w:hAnsi="Arial"/>
                <w:sz w:val="18"/>
                <w:szCs w:val="18"/>
                <w:color w:val="0000FF"/>
              </w:rPr>
            </w:pPr>
            <w:hyperlink w:anchor="page103">
              <w:r>
                <w:rPr>
                  <w:rFonts w:ascii="Arial" w:cs="Arial" w:eastAsia="Arial" w:hAnsi="Arial"/>
                  <w:sz w:val="18"/>
                  <w:szCs w:val="18"/>
                  <w:color w:val="0000FF"/>
                </w:rPr>
                <w:t>Certain Relationships and Related Transactions, and Director Independence</w:t>
              </w:r>
            </w:hyperlink>
          </w:p>
        </w:tc>
        <w:tc>
          <w:tcPr>
            <w:tcW w:w="1440" w:type="dxa"/>
            <w:vAlign w:val="bottom"/>
            <w:gridSpan w:val="2"/>
            <w:shd w:val="clear" w:color="auto" w:fill="CFF0FC"/>
          </w:tcPr>
          <w:p>
            <w:pPr>
              <w:spacing w:after="0"/>
              <w:rPr>
                <w:sz w:val="15"/>
                <w:szCs w:val="15"/>
                <w:color w:val="auto"/>
              </w:rPr>
            </w:pPr>
          </w:p>
        </w:tc>
        <w:tc>
          <w:tcPr>
            <w:tcW w:w="102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6"/>
              </w:rPr>
              <w:t>103</w:t>
            </w:r>
          </w:p>
        </w:tc>
      </w:tr>
      <w:tr>
        <w:trPr>
          <w:trHeight w:val="183"/>
        </w:trPr>
        <w:tc>
          <w:tcPr>
            <w:tcW w:w="20" w:type="dxa"/>
            <w:vAlign w:val="bottom"/>
            <w:tcBorders>
              <w:top w:val="single" w:sz="8" w:color="CFF0FC"/>
            </w:tcBorders>
          </w:tcPr>
          <w:p>
            <w:pPr>
              <w:spacing w:after="0"/>
              <w:rPr>
                <w:sz w:val="15"/>
                <w:szCs w:val="15"/>
                <w:color w:val="auto"/>
              </w:rPr>
            </w:pPr>
          </w:p>
        </w:tc>
        <w:tc>
          <w:tcPr>
            <w:tcW w:w="660" w:type="dxa"/>
            <w:vAlign w:val="bottom"/>
            <w:tcBorders>
              <w:top w:val="single" w:sz="8" w:color="0000FF"/>
            </w:tcBorders>
            <w:gridSpan w:val="2"/>
          </w:tcPr>
          <w:p>
            <w:pPr>
              <w:spacing w:after="0" w:line="176" w:lineRule="exact"/>
              <w:rPr>
                <w:rFonts w:ascii="Arial" w:cs="Arial" w:eastAsia="Arial" w:hAnsi="Arial"/>
                <w:sz w:val="18"/>
                <w:szCs w:val="18"/>
                <w:color w:val="0000FF"/>
              </w:rPr>
            </w:pPr>
            <w:hyperlink w:anchor="page103">
              <w:r>
                <w:rPr>
                  <w:rFonts w:ascii="Arial" w:cs="Arial" w:eastAsia="Arial" w:hAnsi="Arial"/>
                  <w:sz w:val="18"/>
                  <w:szCs w:val="18"/>
                  <w:color w:val="0000FF"/>
                </w:rPr>
                <w:t>Item 14</w:t>
              </w:r>
            </w:hyperlink>
          </w:p>
        </w:tc>
        <w:tc>
          <w:tcPr>
            <w:tcW w:w="820" w:type="dxa"/>
            <w:vAlign w:val="bottom"/>
            <w:tcBorders>
              <w:top w:val="single" w:sz="8" w:color="CFF0FC"/>
            </w:tcBorders>
            <w:gridSpan w:val="2"/>
          </w:tcPr>
          <w:p>
            <w:pPr>
              <w:spacing w:after="0"/>
              <w:rPr>
                <w:sz w:val="15"/>
                <w:szCs w:val="15"/>
                <w:color w:val="auto"/>
              </w:rPr>
            </w:pPr>
          </w:p>
        </w:tc>
        <w:tc>
          <w:tcPr>
            <w:tcW w:w="5440" w:type="dxa"/>
            <w:vAlign w:val="bottom"/>
            <w:tcBorders>
              <w:top w:val="single" w:sz="8" w:color="0000FF"/>
            </w:tcBorders>
            <w:gridSpan w:val="14"/>
          </w:tcPr>
          <w:p>
            <w:pPr>
              <w:spacing w:after="0" w:line="176" w:lineRule="exact"/>
              <w:rPr>
                <w:rFonts w:ascii="Arial" w:cs="Arial" w:eastAsia="Arial" w:hAnsi="Arial"/>
                <w:sz w:val="18"/>
                <w:szCs w:val="18"/>
                <w:color w:val="0000FF"/>
              </w:rPr>
            </w:pPr>
            <w:hyperlink w:anchor="page103">
              <w:r>
                <w:rPr>
                  <w:rFonts w:ascii="Arial" w:cs="Arial" w:eastAsia="Arial" w:hAnsi="Arial"/>
                  <w:sz w:val="18"/>
                  <w:szCs w:val="18"/>
                  <w:color w:val="0000FF"/>
                </w:rPr>
                <w:t>Principal Accounting Fees and Services</w:t>
              </w:r>
            </w:hyperlink>
          </w:p>
        </w:tc>
        <w:tc>
          <w:tcPr>
            <w:tcW w:w="3280" w:type="dxa"/>
            <w:vAlign w:val="bottom"/>
            <w:tcBorders>
              <w:top w:val="single" w:sz="8" w:color="CFF0FC"/>
            </w:tcBorders>
            <w:gridSpan w:val="4"/>
          </w:tcPr>
          <w:p>
            <w:pPr>
              <w:spacing w:after="0"/>
              <w:rPr>
                <w:sz w:val="15"/>
                <w:szCs w:val="15"/>
                <w:color w:val="auto"/>
              </w:rPr>
            </w:pPr>
          </w:p>
        </w:tc>
        <w:tc>
          <w:tcPr>
            <w:tcW w:w="1020" w:type="dxa"/>
            <w:vAlign w:val="bottom"/>
            <w:tcBorders>
              <w:top w:val="single" w:sz="8" w:color="CFF0FC"/>
            </w:tcBorders>
          </w:tcPr>
          <w:p>
            <w:pPr>
              <w:jc w:val="center"/>
              <w:spacing w:after="0" w:line="176" w:lineRule="exact"/>
              <w:rPr>
                <w:sz w:val="20"/>
                <w:szCs w:val="20"/>
                <w:color w:val="auto"/>
              </w:rPr>
            </w:pPr>
            <w:r>
              <w:rPr>
                <w:rFonts w:ascii="Arial" w:cs="Arial" w:eastAsia="Arial" w:hAnsi="Arial"/>
                <w:sz w:val="18"/>
                <w:szCs w:val="18"/>
                <w:color w:val="auto"/>
                <w:w w:val="86"/>
              </w:rPr>
              <w:t>103</w:t>
            </w:r>
          </w:p>
        </w:tc>
      </w:tr>
      <w:tr>
        <w:trPr>
          <w:trHeight w:val="203"/>
        </w:trPr>
        <w:tc>
          <w:tcPr>
            <w:tcW w:w="20" w:type="dxa"/>
            <w:vAlign w:val="bottom"/>
            <w:shd w:val="clear" w:color="auto" w:fill="CFF0FC"/>
          </w:tcPr>
          <w:p>
            <w:pPr>
              <w:spacing w:after="0"/>
              <w:rPr>
                <w:sz w:val="17"/>
                <w:szCs w:val="17"/>
                <w:color w:val="auto"/>
              </w:rPr>
            </w:pPr>
          </w:p>
        </w:tc>
        <w:tc>
          <w:tcPr>
            <w:tcW w:w="460" w:type="dxa"/>
            <w:vAlign w:val="bottom"/>
            <w:tcBorders>
              <w:top w:val="single" w:sz="8" w:color="0000FF"/>
            </w:tcBorders>
            <w:shd w:val="clear" w:color="auto" w:fill="CFF0FC"/>
          </w:tcPr>
          <w:p>
            <w:pPr>
              <w:spacing w:after="0"/>
              <w:rPr>
                <w:sz w:val="17"/>
                <w:szCs w:val="17"/>
                <w:color w:val="auto"/>
              </w:rPr>
            </w:pPr>
          </w:p>
        </w:tc>
        <w:tc>
          <w:tcPr>
            <w:tcW w:w="200" w:type="dxa"/>
            <w:vAlign w:val="bottom"/>
            <w:tcBorders>
              <w:top w:val="single" w:sz="8" w:color="0000FF"/>
              <w:right w:val="single" w:sz="8" w:color="CFF0FC"/>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40" w:type="dxa"/>
            <w:vAlign w:val="bottom"/>
            <w:tcBorders>
              <w:top w:val="single" w:sz="8" w:color="0000FF"/>
            </w:tcBorders>
            <w:shd w:val="clear" w:color="auto" w:fill="CFF0FC"/>
          </w:tcPr>
          <w:p>
            <w:pPr>
              <w:spacing w:after="0"/>
              <w:rPr>
                <w:sz w:val="17"/>
                <w:szCs w:val="17"/>
                <w:color w:val="auto"/>
              </w:rPr>
            </w:pPr>
          </w:p>
        </w:tc>
        <w:tc>
          <w:tcPr>
            <w:tcW w:w="140" w:type="dxa"/>
            <w:vAlign w:val="bottom"/>
            <w:tcBorders>
              <w:top w:val="single" w:sz="8" w:color="0000FF"/>
              <w:right w:val="single" w:sz="8" w:color="CFF0FC"/>
            </w:tcBorders>
            <w:shd w:val="clear" w:color="auto" w:fill="CFF0FC"/>
          </w:tcPr>
          <w:p>
            <w:pPr>
              <w:spacing w:after="0"/>
              <w:rPr>
                <w:sz w:val="17"/>
                <w:szCs w:val="17"/>
                <w:color w:val="auto"/>
              </w:rPr>
            </w:pPr>
          </w:p>
        </w:tc>
        <w:tc>
          <w:tcPr>
            <w:tcW w:w="120" w:type="dxa"/>
            <w:vAlign w:val="bottom"/>
            <w:tcBorders>
              <w:top w:val="single" w:sz="8" w:color="0000FF"/>
            </w:tcBorders>
            <w:shd w:val="clear" w:color="auto" w:fill="CFF0FC"/>
          </w:tcPr>
          <w:p>
            <w:pPr>
              <w:spacing w:after="0"/>
              <w:rPr>
                <w:sz w:val="17"/>
                <w:szCs w:val="17"/>
                <w:color w:val="auto"/>
              </w:rPr>
            </w:pPr>
          </w:p>
        </w:tc>
        <w:tc>
          <w:tcPr>
            <w:tcW w:w="420" w:type="dxa"/>
            <w:vAlign w:val="bottom"/>
            <w:tcBorders>
              <w:top w:val="single" w:sz="8" w:color="0000FF"/>
              <w:right w:val="single" w:sz="8" w:color="CFF0FC"/>
            </w:tcBorders>
            <w:shd w:val="clear" w:color="auto" w:fill="CFF0FC"/>
          </w:tcPr>
          <w:p>
            <w:pPr>
              <w:spacing w:after="0"/>
              <w:rPr>
                <w:sz w:val="17"/>
                <w:szCs w:val="17"/>
                <w:color w:val="auto"/>
              </w:rPr>
            </w:pPr>
          </w:p>
        </w:tc>
        <w:tc>
          <w:tcPr>
            <w:tcW w:w="220" w:type="dxa"/>
            <w:vAlign w:val="bottom"/>
            <w:tcBorders>
              <w:top w:val="single" w:sz="8" w:color="0000FF"/>
            </w:tcBorders>
            <w:shd w:val="clear" w:color="auto" w:fill="CFF0FC"/>
          </w:tcPr>
          <w:p>
            <w:pPr>
              <w:spacing w:after="0"/>
              <w:rPr>
                <w:sz w:val="17"/>
                <w:szCs w:val="17"/>
                <w:color w:val="auto"/>
              </w:rPr>
            </w:pPr>
          </w:p>
        </w:tc>
        <w:tc>
          <w:tcPr>
            <w:tcW w:w="260" w:type="dxa"/>
            <w:vAlign w:val="bottom"/>
            <w:tcBorders>
              <w:top w:val="single" w:sz="8" w:color="0000FF"/>
              <w:right w:val="single" w:sz="8" w:color="CFF0FC"/>
            </w:tcBorders>
            <w:shd w:val="clear" w:color="auto" w:fill="CFF0FC"/>
          </w:tcPr>
          <w:p>
            <w:pPr>
              <w:spacing w:after="0"/>
              <w:rPr>
                <w:sz w:val="17"/>
                <w:szCs w:val="17"/>
                <w:color w:val="auto"/>
              </w:rPr>
            </w:pPr>
          </w:p>
        </w:tc>
        <w:tc>
          <w:tcPr>
            <w:tcW w:w="240" w:type="dxa"/>
            <w:vAlign w:val="bottom"/>
            <w:tcBorders>
              <w:top w:val="single" w:sz="8" w:color="0000FF"/>
            </w:tcBorders>
            <w:shd w:val="clear" w:color="auto" w:fill="CFF0FC"/>
          </w:tcPr>
          <w:p>
            <w:pPr>
              <w:spacing w:after="0"/>
              <w:rPr>
                <w:sz w:val="17"/>
                <w:szCs w:val="17"/>
                <w:color w:val="auto"/>
              </w:rPr>
            </w:pPr>
          </w:p>
        </w:tc>
        <w:tc>
          <w:tcPr>
            <w:tcW w:w="780" w:type="dxa"/>
            <w:vAlign w:val="bottom"/>
            <w:tcBorders>
              <w:top w:val="single" w:sz="8" w:color="0000FF"/>
            </w:tcBorders>
            <w:shd w:val="clear" w:color="auto" w:fill="CFF0FC"/>
          </w:tcPr>
          <w:p>
            <w:pPr>
              <w:spacing w:after="0"/>
              <w:rPr>
                <w:sz w:val="17"/>
                <w:szCs w:val="17"/>
                <w:color w:val="auto"/>
              </w:rPr>
            </w:pPr>
          </w:p>
        </w:tc>
        <w:tc>
          <w:tcPr>
            <w:tcW w:w="40" w:type="dxa"/>
            <w:vAlign w:val="bottom"/>
            <w:tcBorders>
              <w:top w:val="single" w:sz="8" w:color="0000FF"/>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tcBorders>
              <w:lef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480" w:type="dxa"/>
            <w:vAlign w:val="bottom"/>
            <w:gridSpan w:val="4"/>
          </w:tcPr>
          <w:p>
            <w:pPr>
              <w:spacing w:after="0" w:line="176" w:lineRule="exact"/>
              <w:rPr>
                <w:rFonts w:ascii="Arial" w:cs="Arial" w:eastAsia="Arial" w:hAnsi="Arial"/>
                <w:sz w:val="18"/>
                <w:szCs w:val="18"/>
                <w:color w:val="0000FF"/>
              </w:rPr>
            </w:pPr>
            <w:hyperlink w:anchor="page104">
              <w:r>
                <w:rPr>
                  <w:rFonts w:ascii="Arial" w:cs="Arial" w:eastAsia="Arial" w:hAnsi="Arial"/>
                  <w:sz w:val="18"/>
                  <w:szCs w:val="18"/>
                  <w:color w:val="0000FF"/>
                </w:rPr>
                <w:t>PART IV</w:t>
              </w:r>
            </w:hyperlink>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top w:val="single" w:sz="8" w:color="0000FF"/>
              <w:bottom w:val="single" w:sz="8" w:color="0000FF"/>
              <w:right w:val="single" w:sz="8" w:color="CFF0FC"/>
            </w:tcBorders>
            <w:gridSpan w:val="2"/>
            <w:shd w:val="clear" w:color="auto" w:fill="CFF0FC"/>
          </w:tcPr>
          <w:p>
            <w:pPr>
              <w:spacing w:after="0" w:line="176" w:lineRule="exact"/>
              <w:rPr>
                <w:rFonts w:ascii="Arial" w:cs="Arial" w:eastAsia="Arial" w:hAnsi="Arial"/>
                <w:sz w:val="18"/>
                <w:szCs w:val="18"/>
                <w:color w:val="0000FF"/>
              </w:rPr>
            </w:pPr>
            <w:hyperlink w:anchor="page104">
              <w:r>
                <w:rPr>
                  <w:rFonts w:ascii="Arial" w:cs="Arial" w:eastAsia="Arial" w:hAnsi="Arial"/>
                  <w:sz w:val="18"/>
                  <w:szCs w:val="18"/>
                  <w:color w:val="0000FF"/>
                </w:rPr>
                <w:t>Item 15</w:t>
              </w:r>
            </w:hyperlink>
          </w:p>
        </w:tc>
        <w:tc>
          <w:tcPr>
            <w:tcW w:w="820" w:type="dxa"/>
            <w:vAlign w:val="bottom"/>
            <w:tcBorders>
              <w:bottom w:val="single" w:sz="8" w:color="CFF0FC"/>
            </w:tcBorders>
            <w:gridSpan w:val="2"/>
            <w:shd w:val="clear" w:color="auto" w:fill="CFF0FC"/>
          </w:tcPr>
          <w:p>
            <w:pPr>
              <w:spacing w:after="0"/>
              <w:rPr>
                <w:sz w:val="15"/>
                <w:szCs w:val="15"/>
                <w:color w:val="auto"/>
              </w:rPr>
            </w:pPr>
          </w:p>
        </w:tc>
        <w:tc>
          <w:tcPr>
            <w:tcW w:w="3160" w:type="dxa"/>
            <w:vAlign w:val="bottom"/>
            <w:tcBorders>
              <w:bottom w:val="single" w:sz="8" w:color="0000FF"/>
            </w:tcBorders>
            <w:gridSpan w:val="10"/>
            <w:shd w:val="clear" w:color="auto" w:fill="CFF0FC"/>
          </w:tcPr>
          <w:p>
            <w:pPr>
              <w:spacing w:after="0" w:line="176" w:lineRule="exact"/>
              <w:rPr>
                <w:rFonts w:ascii="Arial" w:cs="Arial" w:eastAsia="Arial" w:hAnsi="Arial"/>
                <w:sz w:val="18"/>
                <w:szCs w:val="18"/>
                <w:color w:val="0000FF"/>
                <w:w w:val="89"/>
              </w:rPr>
            </w:pPr>
            <w:hyperlink w:anchor="page104">
              <w:r>
                <w:rPr>
                  <w:rFonts w:ascii="Arial" w:cs="Arial" w:eastAsia="Arial" w:hAnsi="Arial"/>
                  <w:sz w:val="18"/>
                  <w:szCs w:val="18"/>
                  <w:color w:val="0000FF"/>
                  <w:w w:val="89"/>
                </w:rPr>
                <w:t>Exhibits and Financial Statement Schedules</w:t>
              </w:r>
            </w:hyperlink>
          </w:p>
        </w:tc>
        <w:tc>
          <w:tcPr>
            <w:tcW w:w="5560" w:type="dxa"/>
            <w:vAlign w:val="bottom"/>
            <w:tcBorders>
              <w:bottom w:val="single" w:sz="8" w:color="CFF0FC"/>
            </w:tcBorders>
            <w:gridSpan w:val="8"/>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86"/>
              </w:rPr>
              <w:t>104</w:t>
            </w:r>
          </w:p>
        </w:tc>
      </w:tr>
      <w:tr>
        <w:trPr>
          <w:trHeight w:val="183"/>
        </w:trPr>
        <w:tc>
          <w:tcPr>
            <w:tcW w:w="1500" w:type="dxa"/>
            <w:vAlign w:val="bottom"/>
            <w:gridSpan w:val="5"/>
          </w:tcPr>
          <w:p>
            <w:pPr>
              <w:ind w:left="20"/>
              <w:spacing w:after="0" w:line="176" w:lineRule="exact"/>
              <w:rPr>
                <w:rFonts w:ascii="Arial" w:cs="Arial" w:eastAsia="Arial" w:hAnsi="Arial"/>
                <w:sz w:val="18"/>
                <w:szCs w:val="18"/>
                <w:color w:val="0000FF"/>
              </w:rPr>
            </w:pPr>
            <w:hyperlink w:anchor="page107">
              <w:r>
                <w:rPr>
                  <w:rFonts w:ascii="Arial" w:cs="Arial" w:eastAsia="Arial" w:hAnsi="Arial"/>
                  <w:sz w:val="18"/>
                  <w:szCs w:val="18"/>
                  <w:color w:val="0000FF"/>
                </w:rPr>
                <w:t>Item 16</w:t>
              </w:r>
            </w:hyperlink>
          </w:p>
        </w:tc>
        <w:tc>
          <w:tcPr>
            <w:tcW w:w="8720" w:type="dxa"/>
            <w:vAlign w:val="bottom"/>
            <w:gridSpan w:val="18"/>
          </w:tcPr>
          <w:p>
            <w:pPr>
              <w:spacing w:after="0" w:line="176" w:lineRule="exact"/>
              <w:rPr>
                <w:rFonts w:ascii="Arial" w:cs="Arial" w:eastAsia="Arial" w:hAnsi="Arial"/>
                <w:sz w:val="18"/>
                <w:szCs w:val="18"/>
                <w:color w:val="0000FF"/>
              </w:rPr>
            </w:pPr>
            <w:hyperlink w:anchor="page107">
              <w:r>
                <w:rPr>
                  <w:rFonts w:ascii="Arial" w:cs="Arial" w:eastAsia="Arial" w:hAnsi="Arial"/>
                  <w:sz w:val="18"/>
                  <w:szCs w:val="18"/>
                  <w:color w:val="0000FF"/>
                </w:rPr>
                <w:t>Form 10-K Summary</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6"/>
              </w:rPr>
              <w:t>107</w:t>
            </w:r>
          </w:p>
        </w:tc>
      </w:tr>
      <w:tr>
        <w:trPr>
          <w:trHeight w:val="202"/>
        </w:trPr>
        <w:tc>
          <w:tcPr>
            <w:tcW w:w="20" w:type="dxa"/>
            <w:vAlign w:val="bottom"/>
            <w:shd w:val="clear" w:color="auto" w:fill="CFF0FC"/>
          </w:tcPr>
          <w:p>
            <w:pPr>
              <w:spacing w:after="0"/>
              <w:rPr>
                <w:sz w:val="17"/>
                <w:szCs w:val="17"/>
                <w:color w:val="auto"/>
              </w:rPr>
            </w:pPr>
          </w:p>
        </w:tc>
        <w:tc>
          <w:tcPr>
            <w:tcW w:w="460" w:type="dxa"/>
            <w:vAlign w:val="bottom"/>
            <w:tcBorders>
              <w:top w:val="single" w:sz="8" w:color="0000FF"/>
            </w:tcBorders>
            <w:shd w:val="clear" w:color="auto" w:fill="CFF0FC"/>
          </w:tcPr>
          <w:p>
            <w:pPr>
              <w:spacing w:after="0"/>
              <w:rPr>
                <w:sz w:val="17"/>
                <w:szCs w:val="17"/>
                <w:color w:val="auto"/>
              </w:rPr>
            </w:pPr>
          </w:p>
        </w:tc>
        <w:tc>
          <w:tcPr>
            <w:tcW w:w="200" w:type="dxa"/>
            <w:vAlign w:val="bottom"/>
            <w:tcBorders>
              <w:top w:val="single" w:sz="8" w:color="0000FF"/>
              <w:right w:val="single" w:sz="8" w:color="CFF0FC"/>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40" w:type="dxa"/>
            <w:vAlign w:val="bottom"/>
            <w:tcBorders>
              <w:top w:val="single" w:sz="8" w:color="0000FF"/>
            </w:tcBorders>
            <w:shd w:val="clear" w:color="auto" w:fill="CFF0FC"/>
          </w:tcPr>
          <w:p>
            <w:pPr>
              <w:spacing w:after="0"/>
              <w:rPr>
                <w:sz w:val="17"/>
                <w:szCs w:val="17"/>
                <w:color w:val="auto"/>
              </w:rPr>
            </w:pPr>
          </w:p>
        </w:tc>
        <w:tc>
          <w:tcPr>
            <w:tcW w:w="140" w:type="dxa"/>
            <w:vAlign w:val="bottom"/>
            <w:tcBorders>
              <w:top w:val="single" w:sz="8" w:color="0000FF"/>
              <w:right w:val="single" w:sz="8" w:color="CFF0FC"/>
            </w:tcBorders>
            <w:shd w:val="clear" w:color="auto" w:fill="CFF0FC"/>
          </w:tcPr>
          <w:p>
            <w:pPr>
              <w:spacing w:after="0"/>
              <w:rPr>
                <w:sz w:val="17"/>
                <w:szCs w:val="17"/>
                <w:color w:val="auto"/>
              </w:rPr>
            </w:pPr>
          </w:p>
        </w:tc>
        <w:tc>
          <w:tcPr>
            <w:tcW w:w="120" w:type="dxa"/>
            <w:vAlign w:val="bottom"/>
            <w:tcBorders>
              <w:top w:val="single" w:sz="8" w:color="0000FF"/>
            </w:tcBorders>
            <w:shd w:val="clear" w:color="auto" w:fill="CFF0FC"/>
          </w:tcPr>
          <w:p>
            <w:pPr>
              <w:spacing w:after="0"/>
              <w:rPr>
                <w:sz w:val="17"/>
                <w:szCs w:val="17"/>
                <w:color w:val="auto"/>
              </w:rPr>
            </w:pPr>
          </w:p>
        </w:tc>
        <w:tc>
          <w:tcPr>
            <w:tcW w:w="420" w:type="dxa"/>
            <w:vAlign w:val="bottom"/>
            <w:tcBorders>
              <w:top w:val="single" w:sz="8" w:color="0000FF"/>
              <w:right w:val="single" w:sz="8" w:color="CFF0FC"/>
            </w:tcBorders>
            <w:shd w:val="clear" w:color="auto" w:fill="CFF0FC"/>
          </w:tcPr>
          <w:p>
            <w:pPr>
              <w:spacing w:after="0"/>
              <w:rPr>
                <w:sz w:val="17"/>
                <w:szCs w:val="17"/>
                <w:color w:val="auto"/>
              </w:rPr>
            </w:pPr>
          </w:p>
        </w:tc>
        <w:tc>
          <w:tcPr>
            <w:tcW w:w="220" w:type="dxa"/>
            <w:vAlign w:val="bottom"/>
            <w:tcBorders>
              <w:top w:val="single" w:sz="8" w:color="0000FF"/>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tcBorders>
              <w:lef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176"/>
        </w:trPr>
        <w:tc>
          <w:tcPr>
            <w:tcW w:w="1500" w:type="dxa"/>
            <w:vAlign w:val="bottom"/>
            <w:gridSpan w:val="5"/>
          </w:tcPr>
          <w:p>
            <w:pPr>
              <w:ind w:left="20"/>
              <w:spacing w:after="0" w:line="176" w:lineRule="exact"/>
              <w:rPr>
                <w:rFonts w:ascii="Arial" w:cs="Arial" w:eastAsia="Arial" w:hAnsi="Arial"/>
                <w:sz w:val="18"/>
                <w:szCs w:val="18"/>
                <w:color w:val="0000FF"/>
              </w:rPr>
            </w:pPr>
            <w:hyperlink w:anchor="page108">
              <w:r>
                <w:rPr>
                  <w:rFonts w:ascii="Arial" w:cs="Arial" w:eastAsia="Arial" w:hAnsi="Arial"/>
                  <w:sz w:val="18"/>
                  <w:szCs w:val="18"/>
                  <w:color w:val="0000FF"/>
                </w:rPr>
                <w:t>SIGNATURES</w:t>
              </w:r>
            </w:hyperlink>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6"/>
              </w:rPr>
              <w:t>108</w:t>
            </w:r>
          </w:p>
        </w:tc>
      </w:tr>
      <w:tr>
        <w:trPr>
          <w:trHeight w:val="891"/>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ind w:left="5320"/>
        <w:spacing w:after="0"/>
        <w:rPr>
          <w:sz w:val="20"/>
          <w:szCs w:val="20"/>
          <w:color w:val="auto"/>
        </w:rPr>
      </w:pPr>
      <w:r>
        <w:rPr>
          <w:rFonts w:ascii="Arial" w:cs="Arial" w:eastAsia="Arial" w:hAnsi="Arial"/>
          <w:sz w:val="18"/>
          <w:szCs w:val="18"/>
          <w:b w:val="1"/>
          <w:bCs w:val="1"/>
          <w:u w:val="single" w:color="auto"/>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terms “we,” “our,” “us,” "ManpowerGroup," or “the Company” refer to ManpowerGroup Inc. and its consolidated subsidiaries.</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ManpowerGroup Inc. is a world leader in innovative workforce solutions and services. Through our global network of over 2,200 offices in 75 countries and territories, we put millions of people to work each year with our global, multinational and local clients across all major industry segments. Our strong and connected brands provide innovative solutions that drive organizations forward, accelerate individual success and help build more sustainable communities. We power the future of work.</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37" w:lineRule="exact"/>
        <w:rPr>
          <w:sz w:val="20"/>
          <w:szCs w:val="20"/>
          <w:color w:val="auto"/>
        </w:rPr>
      </w:pPr>
    </w:p>
    <w:p>
      <w:pPr>
        <w:jc w:val="both"/>
        <w:ind w:left="420" w:hanging="204"/>
        <w:spacing w:after="0" w:line="272"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Recruitment and Assessment </w:t>
      </w:r>
      <w:r>
        <w:rPr>
          <w:rFonts w:ascii="Arial" w:cs="Arial" w:eastAsia="Arial" w:hAnsi="Arial"/>
          <w:sz w:val="17"/>
          <w:szCs w:val="17"/>
          <w:color w:val="auto"/>
        </w:rPr>
        <w:t>– By leveraging our trusted brands, industry knowledge and expertise, we identify the right talent in the right place to</w:t>
      </w:r>
      <w:r>
        <w:rPr>
          <w:rFonts w:ascii="Arial" w:cs="Arial" w:eastAsia="Arial" w:hAnsi="Arial"/>
          <w:sz w:val="17"/>
          <w:szCs w:val="17"/>
          <w:b w:val="1"/>
          <w:bCs w:val="1"/>
          <w:color w:val="auto"/>
        </w:rPr>
        <w:t xml:space="preserve"> </w:t>
      </w:r>
      <w:r>
        <w:rPr>
          <w:rFonts w:ascii="Arial" w:cs="Arial" w:eastAsia="Arial" w:hAnsi="Arial"/>
          <w:sz w:val="17"/>
          <w:szCs w:val="17"/>
          <w:color w:val="auto"/>
        </w:rPr>
        <w:t>help our clients quickly access the people they need when they need them. Through our industry-leading assessments, we help people and organizations understand their strengths and potential, resulting in better job matches, higher retention and a stronger workforce.</w:t>
      </w:r>
    </w:p>
    <w:p>
      <w:pPr>
        <w:spacing w:after="0" w:line="118" w:lineRule="exact"/>
        <w:rPr>
          <w:rFonts w:ascii="Arial" w:cs="Arial" w:eastAsia="Arial" w:hAnsi="Arial"/>
          <w:sz w:val="17"/>
          <w:szCs w:val="17"/>
          <w:color w:val="auto"/>
        </w:rPr>
      </w:pPr>
    </w:p>
    <w:p>
      <w:pPr>
        <w:jc w:val="both"/>
        <w:ind w:left="420" w:hanging="204"/>
        <w:spacing w:after="0" w:line="25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 Our unique insights into evolving employer needs and our expertise in training and development help us prepare</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and associates to succeed in today’s competitive marketplace. We offer an extensive portfolio of training courses and leadership development solutions that help clients maximize talent and optimize performance.</w:t>
      </w:r>
    </w:p>
    <w:p>
      <w:pPr>
        <w:spacing w:after="0" w:line="149" w:lineRule="exact"/>
        <w:rPr>
          <w:rFonts w:ascii="Arial" w:cs="Arial" w:eastAsia="Arial" w:hAnsi="Arial"/>
          <w:sz w:val="18"/>
          <w:szCs w:val="18"/>
          <w:color w:val="auto"/>
        </w:rPr>
      </w:pPr>
    </w:p>
    <w:p>
      <w:pPr>
        <w:ind w:left="420" w:hanging="204"/>
        <w:spacing w:after="0" w:line="26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Career Management </w:t>
      </w:r>
      <w:r>
        <w:rPr>
          <w:rFonts w:ascii="Arial" w:cs="Arial" w:eastAsia="Arial" w:hAnsi="Arial"/>
          <w:sz w:val="18"/>
          <w:szCs w:val="18"/>
          <w:color w:val="auto"/>
        </w:rPr>
        <w:t>– We help individuals manage their career journey through outplacement services and targeted skills development. By helping</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and organizations manage workforce transitions and career changes, we unleash human potential.</w:t>
      </w:r>
    </w:p>
    <w:p>
      <w:pPr>
        <w:spacing w:after="0" w:line="121" w:lineRule="exact"/>
        <w:rPr>
          <w:rFonts w:ascii="Arial" w:cs="Arial" w:eastAsia="Arial" w:hAnsi="Arial"/>
          <w:sz w:val="18"/>
          <w:szCs w:val="18"/>
          <w:color w:val="auto"/>
        </w:rPr>
      </w:pPr>
    </w:p>
    <w:p>
      <w:pPr>
        <w:ind w:left="420" w:hanging="204"/>
        <w:spacing w:after="0" w:line="26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Outsourcing </w:t>
      </w:r>
      <w:r>
        <w:rPr>
          <w:rFonts w:ascii="Arial" w:cs="Arial" w:eastAsia="Arial" w:hAnsi="Arial"/>
          <w:sz w:val="18"/>
          <w:szCs w:val="18"/>
          <w:color w:val="auto"/>
        </w:rPr>
        <w:t>– We provide clients with outsourcing services related to human resources functions primarily in the areas of large-scale recruiting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workforce-intensive initiatives that are outcome-based, thereby sharing in the risk and reward with our clients.</w:t>
      </w:r>
    </w:p>
    <w:p>
      <w:pPr>
        <w:spacing w:after="0" w:line="121" w:lineRule="exact"/>
        <w:rPr>
          <w:rFonts w:ascii="Arial" w:cs="Arial" w:eastAsia="Arial" w:hAnsi="Arial"/>
          <w:sz w:val="18"/>
          <w:szCs w:val="18"/>
          <w:color w:val="auto"/>
        </w:rPr>
      </w:pPr>
    </w:p>
    <w:p>
      <w:pPr>
        <w:ind w:left="420" w:right="20" w:hanging="204"/>
        <w:spacing w:after="0" w:line="26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Workforce Consulting </w:t>
      </w:r>
      <w:r>
        <w:rPr>
          <w:rFonts w:ascii="Arial" w:cs="Arial" w:eastAsia="Arial" w:hAnsi="Arial"/>
          <w:sz w:val="18"/>
          <w:szCs w:val="18"/>
          <w:color w:val="auto"/>
        </w:rPr>
        <w:t>– We help clients create and align their workforce strategy to achieve their business strategy, increase business agility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flexibility, and accelerate personal and business success.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family of brands and offerings includes:</w:t>
      </w:r>
    </w:p>
    <w:p>
      <w:pPr>
        <w:spacing w:after="0" w:line="167" w:lineRule="exact"/>
        <w:rPr>
          <w:sz w:val="20"/>
          <w:szCs w:val="20"/>
          <w:color w:val="auto"/>
        </w:rPr>
      </w:pPr>
    </w:p>
    <w:p>
      <w:pPr>
        <w:jc w:val="both"/>
        <w:ind w:left="420" w:hanging="204"/>
        <w:spacing w:after="0" w:line="25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Manpower </w:t>
      </w:r>
      <w:r>
        <w:rPr>
          <w:rFonts w:ascii="Arial" w:cs="Arial" w:eastAsia="Arial" w:hAnsi="Arial"/>
          <w:sz w:val="18"/>
          <w:szCs w:val="18"/>
          <w:color w:val="auto"/>
        </w:rPr>
        <w:t>– We are a global leader in contingent staffing and permanent recruitment. We provide businesses with rapid access to a highly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and productive pool of candidates to give them the flexibility and agility they need to respond to changing business needs. We also offer talent based outsourcing under the Manpower brand.</w:t>
      </w:r>
    </w:p>
    <w:p>
      <w:pPr>
        <w:spacing w:after="0" w:line="136" w:lineRule="exact"/>
        <w:rPr>
          <w:rFonts w:ascii="Arial" w:cs="Arial" w:eastAsia="Arial" w:hAnsi="Arial"/>
          <w:sz w:val="18"/>
          <w:szCs w:val="18"/>
          <w:color w:val="auto"/>
        </w:rPr>
      </w:pPr>
    </w:p>
    <w:p>
      <w:pPr>
        <w:jc w:val="both"/>
        <w:ind w:left="420" w:hanging="204"/>
        <w:spacing w:after="0" w:line="25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Experis </w:t>
      </w:r>
      <w:r>
        <w:rPr>
          <w:rFonts w:ascii="Arial" w:cs="Arial" w:eastAsia="Arial" w:hAnsi="Arial"/>
          <w:sz w:val="18"/>
          <w:szCs w:val="18"/>
          <w:color w:val="auto"/>
        </w:rPr>
        <w:t>– We are a global leader in professional resourcing and project-based solutions. With operations in 50 countries and territories, we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69 million hours of professional talent in 2021 specializing in Information Technology (IT), Engineering and Finance. Our Proservia brand is a recognized leader within the Digital Services market and IT Infrastructure sector throughout Europe.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both"/>
        <w:ind w:left="420" w:hanging="203"/>
        <w:spacing w:after="0" w:line="255"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Talent Solutions </w:t>
      </w:r>
      <w:r>
        <w:rPr>
          <w:rFonts w:ascii="Arial" w:cs="Arial" w:eastAsia="Arial" w:hAnsi="Arial"/>
          <w:sz w:val="17"/>
          <w:szCs w:val="17"/>
          <w:color w:val="auto"/>
        </w:rPr>
        <w:t>– We are a global leader in Workforce Solutions, ensuring organizations have the talent they need to deliver their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strategies. We are a leading Recruitment Process Outsourcing (RPO) firm and our TAPFIN - Managed Service Provider (MSP) business is continually ranked as a top global MSP. Through our Right Management offering, our global career experts provide workforce career management solutions to help organizations and individuals become more agile and market-ready. By leveraging our expertise in assessment, development and coaching, we provide tailored solutions that deliver organizational efficiency, individual development, and career mobility, to increase productivity and optimize business performance. Our Talent Solutions brand leverages our core capabilities to help organizations effectively source, manage and develop talent at scale. Talent Solutions is designed to address client demand for expert offerings, integrated and data driven workforce solutions as well as seamless delivery across multiple countries.</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leadership position enables us to be a pathway to quality employment opportunities for people at all points in their career paths. Whether it is seasoned professionals, skilled laborers, temporary to permanent, parents returning to work, seniors wanting to supplement pensions, previously unemployed or underemployed youth and disabled individuals, ManpowerGroup has been connecting people to meaningful work for over 70 years.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and our predecessors, have been in business since 1948 when we were incorporated as a Wisconsin corporation, and have had our shares listed on the New York Stock Exchange since 1967.</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Internet address is www.manpowergroup.com. We make available free of charge through our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20" w:lineRule="exact"/>
        <w:rPr>
          <w:sz w:val="20"/>
          <w:szCs w:val="20"/>
          <w:color w:val="auto"/>
        </w:rPr>
      </w:pPr>
    </w:p>
    <w:p>
      <w:pPr>
        <w:ind w:left="420" w:hanging="204"/>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amended and restated articles of incorporation and amended and restated bylaws;</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ManpowerGroup code of business conduct and ethics;</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anti-corruption policy;</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charters of the Audit, People, Culture and Compensation and Nominating and Sustainability Committees of the Board of Directors;</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independent auditors' services policy;</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executive officer stock ownership guidelines;</w:t>
      </w:r>
    </w:p>
    <w:p>
      <w:pPr>
        <w:ind w:left="420" w:hanging="204"/>
        <w:spacing w:after="0" w:line="20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outside director stock ownership guidelines; and</w:t>
      </w:r>
    </w:p>
    <w:p>
      <w:pPr>
        <w:ind w:left="420" w:hanging="204"/>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regular update on corporate social responsibility.</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Our Operations</w:t>
      </w:r>
    </w:p>
    <w:p>
      <w:pPr>
        <w:spacing w:after="0" w:line="15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nature of our operations is such that our most significant current asset is accounts receivable, with a days sales outstanding of 55 days as December 31, 2021.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the last several years, secular trends toward greater workforce flexibility have helped drive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portfolio of recruitment services includes permanent, temporary and contract recruitment of professionals, as well as administrative and industrial positions. These services are provided under our Manpower and Experis brands. We have provided services under our core Manpower brand for over 70 years with a primary focus on the areas of office and industrial services and solutions. Our Talent Based Outsourcing offering within our Manpower brand includes outcome-based solutions such as management of financial and administrative processes, including call center and customer service activities.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7"/>
          <w:szCs w:val="17"/>
          <w:color w:val="auto"/>
        </w:rPr>
        <w:t>We provide services under our Experis brand, particularly in the areas of IT, Engineering, and Finance, that include high-impact solutions, and help accelerate organizations’ growth by attracting, assessing and placing candidates with specialized expertise to deliver in-demand skills for important positions. Our experience and expertise allow us to accurately assess candidates’ workplace potential and technical skills to match them to the needs of our clients. We plan to continue to build our Experis brand and attract the talent our clients need as skills shortages arise or continue. Our Proservia offering within the Experis brand includes outcome-based solutions specializing in infrastructure management and end-user support.</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Talent Solutions brand specializes in the delivery of customized workforce strategies and new solutions and creating added value that addresses our clients’ complex global workforce needs.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Our Right Management offering includes our career management services that have historically been counter-cyclical to our staffing services, which helps to offset the impact of an economic downturn on our overall 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provide services as Manpower, Experis and Talent Solutions through both branch and franchise offices. The Americas segment had 481 branch and 182 franchise offices as of December 31, 2021. In the United States, where we realized 62% of the Americas’ revenue, we had 314 branch and 175 franchise offices as of December 31, 2021, as well as on-site locations at clients with significant permanent, temporary and contract recruitment requirements. This includes business and personnel we added in connection with the ettain group acquisition in the fourth quarter of 2021. In Other Americas, the largest operations of which include Mexico, Canada and Argentina, we had 172 branch offices and 7 franchise offices as of December 31, 2021. We provide a number of central support services to our branches and franchises, which enable us to maintain consistent service quality throughout the region regardless of whether an office is a branch or franchise.</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Manpower and Experis operations provide a variety of workforce solutions and services, including permanent, temporary and contract recruitment, assessment and selection, and training. During 2021 in this segment, approximately 35% of temporary and contract recruitment revenues were derived from placing industrial staff, 21% from placing office staff, and 44% from placing professional and technical staff. For our United States operations in 2021, approximately 41% of the temporary and contract recruitment revenues were derived from placing industrial staff, 13% from placing office staff, and 46% from placing professional and technical staff.</w:t>
      </w:r>
    </w:p>
    <w:p>
      <w:pPr>
        <w:spacing w:after="0" w:line="149" w:lineRule="exact"/>
        <w:rPr>
          <w:sz w:val="20"/>
          <w:szCs w:val="20"/>
          <w:color w:val="auto"/>
        </w:rPr>
      </w:pPr>
    </w:p>
    <w:p>
      <w:pPr>
        <w:ind w:right="1960"/>
        <w:spacing w:after="0" w:line="446" w:lineRule="auto"/>
        <w:rPr>
          <w:sz w:val="20"/>
          <w:szCs w:val="20"/>
          <w:color w:val="auto"/>
        </w:rPr>
      </w:pPr>
      <w:r>
        <w:rPr>
          <w:rFonts w:ascii="Arial" w:cs="Arial" w:eastAsia="Arial" w:hAnsi="Arial"/>
          <w:sz w:val="18"/>
          <w:szCs w:val="18"/>
          <w:color w:val="auto"/>
        </w:rPr>
        <w:t xml:space="preserve">Our Talent Solutions operations provide a variety of workforce solutions offerings including RPO, MSP and Right Management. </w:t>
      </w:r>
      <w:r>
        <w:rPr>
          <w:rFonts w:ascii="Arial" w:cs="Arial" w:eastAsia="Arial" w:hAnsi="Arial"/>
          <w:sz w:val="18"/>
          <w:szCs w:val="18"/>
          <w:i w:val="1"/>
          <w:iCs w:val="1"/>
          <w:color w:val="auto"/>
        </w:rPr>
        <w:t>Southern Europe</w:t>
      </w:r>
    </w:p>
    <w:p>
      <w:pPr>
        <w:jc w:val="both"/>
        <w:spacing w:after="0" w:line="248"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Southern Europe segment had 1,061 branch offices as of December 31, 2021. Our largest operations in this segment are in France (56% of the segment revenue) and Italy (20% of the segment revenue).</w:t>
      </w:r>
    </w:p>
    <w:p>
      <w:pPr>
        <w:spacing w:after="0" w:line="14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2021 for our Southern Europe operations, approximately 74% of temporary and contract recruitment revenues were derived from placing industrial staff, 14% from placing office staff, and 12% from placing professional and technical staff.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jc w:val="both"/>
        <w:spacing w:after="0"/>
        <w:rPr>
          <w:sz w:val="20"/>
          <w:szCs w:val="20"/>
          <w:color w:val="auto"/>
        </w:rPr>
      </w:pPr>
      <w:r>
        <w:rPr>
          <w:rFonts w:ascii="Arial" w:cs="Arial" w:eastAsia="Arial" w:hAnsi="Arial"/>
          <w:sz w:val="18"/>
          <w:szCs w:val="18"/>
          <w:color w:val="auto"/>
        </w:rPr>
        <w:t>We conduct our operations in France as a leading workforce solutions and service provider through 523 branch offices as Manpower, Experis, including our Proservia brand, and Talent Solutions, and 154 branch offices under the name Supplay as of December 31, 2021. The employment services market in France calls for a wide range of our services including permanent, temporary and contract recruitment, assessment and selection, and training. The temporary recruitment market is predominantly focused on recruitment for industrial positions. In 2021, we derived approximately 85% of our temporary recruitment revenues in France from the supply of industrial and construction workers, 14% from the supply of office staff, and 1% from the supply of professional and technical staff.</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Italy, we are a leading workforce solutions and services provider. As of December 31, 2021, ManpowerGroup Italy conducted operations through a network of 206 branch offices. It provides a comprehensive suite of workforce solutions and services offered through Manpower, Experis or Talent Solutions, including permanent, temporary and contract recruitment, assessment and selection, training and outsourcing. In 2021, approximately 67% of our temporary and contract recruitment revenues in Italy were derived from placing industrial staff, 6% from placing office staff, including contact center staff, and 27% from placing professional and technical staff.</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largest operations in Northern Europe are in the United Kingdom, Germany, the Nordics and the Netherlands, providing a comprehensive suite of workforce solutions and services through Manpower, Experis, and Talent Solutions. Collectively, we operate through 350 branch offices in this region.</w:t>
      </w:r>
    </w:p>
    <w:p>
      <w:pPr>
        <w:spacing w:after="0" w:line="1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2021 for our Northern Europe operations, approximately 37% of temporary and contract recruitment revenues were derived from placing industrial staff, 24% from placing office staff, and 39% from placing professional and technical staff.</w:t>
      </w:r>
    </w:p>
    <w:p>
      <w:pPr>
        <w:spacing w:after="0" w:line="1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the United Kingdom, where we have the largest operation in this segment, we are a leading provider of workforce solutions and services. As of December 31, 2021, we conducted operations in the United Kingdom as Manpower, Experis and Talent Solutions through a network of 58 branch offices and also provided on-site services to clients who have significant permanent, temporary and contract recruitment requirements. During 2021, approximately 27% of our United Kingdom operation’s temporary recruitment revenues were derived from the supply of industrial staff, 19% from the supply of office staff, and 54% from the supply of professional and technical staff. In the United Kingdom, we also conduct operations as Brook Street Bureau PLC, or Brook Street.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operate through 132 branch offices in the Asia Pacific Middle East (APME) region. The largest of these operations are located in Japan, Australia, India and Korea, all of which operate through branch offices. Our APME operations provide a variety of workforce solutions and services offered through Manpower, Experis and Talent Solutions, including permanent, temporary and contract recruitment, assessment and selection, training and outsourcing. During 2021, approximately 9% of our APME temporary and contract recruitment revenues were derived from placing industrial staff, 61% from placing office staff, and 30% from placing professional and technical staff.</w:t>
      </w:r>
    </w:p>
    <w:p>
      <w:pPr>
        <w:spacing w:after="0" w:line="13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10, 2019, our joint venture in Greater China, ManpowerGroup Greater China Limited, became listed on the Main Board of the Stock Exchange of Hong Kong Limited through an initial public offering. As a result, we deconsolidated the joint venture as of the listing date and account for our remaining 36.87% interest under the equity method of accounting. (See Note 4 to the Consolidated Financial Statements found in Item 8. “Financial Statements and Supplementary Data” for further information.)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Competition</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We manage these trends by leveraging established strengths, including several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high-value workforce management, outsourcing and consulting solutions.</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client mix consists of both small- and medium-size businesses, and large national and multinational client relationships. Client relationships with small- and medium-size businesses are based on a local or regional relationship, and tend to rely less on longer-term contracts, and the competitors for this business are primarily locally-owned businesses. The large national and multinational clients, on the other hand, will frequently enter into non-exclusive arrangements with several firms, with the ultimate choice among them being left to local managers.</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employment services firms with a large network of offices compete most effectively for this business which generally has agreed-upon pricing or mark-up on services performed.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41" w:lineRule="exact"/>
        <w:rPr>
          <w:sz w:val="20"/>
          <w:szCs w:val="20"/>
          <w:color w:val="auto"/>
        </w:rPr>
      </w:pPr>
    </w:p>
    <w:p>
      <w:pPr>
        <w:ind w:left="420" w:hanging="204"/>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ind w:left="420" w:hanging="204"/>
        <w:spacing w:after="0" w:line="21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w:t>
      </w:r>
    </w:p>
    <w:p>
      <w:pPr>
        <w:ind w:left="420" w:hanging="204"/>
        <w:spacing w:after="0" w:line="21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 and</w:t>
      </w:r>
    </w:p>
    <w:p>
      <w:pPr>
        <w:ind w:left="420" w:hanging="204"/>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 that requires new or additional benefits and pay parity for our associates.</w:t>
      </w:r>
    </w:p>
    <w:p>
      <w:pPr>
        <w:spacing w:after="0" w:line="14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2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Our outplacement and consulting services generally are not subject to governmental regulation in the markets in which we operate.</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171" w:lineRule="exact"/>
        <w:rPr>
          <w:sz w:val="20"/>
          <w:szCs w:val="20"/>
          <w:color w:val="auto"/>
        </w:rPr>
      </w:pPr>
    </w:p>
    <w:p>
      <w:pPr>
        <w:jc w:val="both"/>
        <w:spacing w:after="0" w:line="212" w:lineRule="auto"/>
        <w:rPr>
          <w:sz w:val="20"/>
          <w:szCs w:val="20"/>
          <w:color w:val="auto"/>
        </w:rPr>
      </w:pPr>
      <w:r>
        <w:rPr>
          <w:rFonts w:ascii="Arial" w:cs="Arial" w:eastAsia="Arial" w:hAnsi="Arial"/>
          <w:sz w:val="17"/>
          <w:szCs w:val="17"/>
          <w:color w:val="auto"/>
        </w:rPr>
        <w:t>We maintain a number of registered trademarks, trade names and service marks in the United States and various other countries and territories. We believe that many of these marks and trade names, including ManpowerGroup</w:t>
      </w:r>
      <w:r>
        <w:rPr>
          <w:rFonts w:ascii="Arial" w:cs="Arial" w:eastAsia="Arial" w:hAnsi="Arial"/>
          <w:sz w:val="23"/>
          <w:szCs w:val="23"/>
          <w:color w:val="auto"/>
          <w:vertAlign w:val="superscript"/>
        </w:rPr>
        <w:t>®</w:t>
      </w:r>
      <w:r>
        <w:rPr>
          <w:rFonts w:ascii="Arial" w:cs="Arial" w:eastAsia="Arial" w:hAnsi="Arial"/>
          <w:sz w:val="17"/>
          <w:szCs w:val="17"/>
          <w:color w:val="auto"/>
        </w:rPr>
        <w:t>, Manpower</w:t>
      </w:r>
      <w:r>
        <w:rPr>
          <w:rFonts w:ascii="Arial" w:cs="Arial" w:eastAsia="Arial" w:hAnsi="Arial"/>
          <w:sz w:val="23"/>
          <w:szCs w:val="23"/>
          <w:color w:val="auto"/>
          <w:vertAlign w:val="superscript"/>
        </w:rPr>
        <w:t>®</w:t>
      </w:r>
      <w:r>
        <w:rPr>
          <w:rFonts w:ascii="Arial" w:cs="Arial" w:eastAsia="Arial" w:hAnsi="Arial"/>
          <w:sz w:val="17"/>
          <w:szCs w:val="17"/>
          <w:color w:val="auto"/>
        </w:rPr>
        <w:t>, Experis</w:t>
      </w:r>
      <w:r>
        <w:rPr>
          <w:rFonts w:ascii="Arial" w:cs="Arial" w:eastAsia="Arial" w:hAnsi="Arial"/>
          <w:sz w:val="23"/>
          <w:szCs w:val="23"/>
          <w:color w:val="auto"/>
          <w:vertAlign w:val="superscript"/>
        </w:rPr>
        <w:t>®</w:t>
      </w:r>
      <w:r>
        <w:rPr>
          <w:rFonts w:ascii="Arial" w:cs="Arial" w:eastAsia="Arial" w:hAnsi="Arial"/>
          <w:sz w:val="17"/>
          <w:szCs w:val="17"/>
          <w:color w:val="auto"/>
        </w:rPr>
        <w:t>, Right Management</w:t>
      </w:r>
      <w:r>
        <w:rPr>
          <w:rFonts w:ascii="Arial" w:cs="Arial" w:eastAsia="Arial" w:hAnsi="Arial"/>
          <w:sz w:val="23"/>
          <w:szCs w:val="23"/>
          <w:color w:val="auto"/>
          <w:vertAlign w:val="superscript"/>
        </w:rPr>
        <w:t>®</w:t>
      </w:r>
      <w:r>
        <w:rPr>
          <w:rFonts w:ascii="Arial" w:cs="Arial" w:eastAsia="Arial" w:hAnsi="Arial"/>
          <w:sz w:val="17"/>
          <w:szCs w:val="17"/>
          <w:color w:val="auto"/>
        </w:rPr>
        <w:t>, Brook Street</w:t>
      </w:r>
      <w:r>
        <w:rPr>
          <w:rFonts w:ascii="Arial" w:cs="Arial" w:eastAsia="Arial" w:hAnsi="Arial"/>
          <w:sz w:val="23"/>
          <w:szCs w:val="23"/>
          <w:color w:val="auto"/>
          <w:vertAlign w:val="superscript"/>
        </w:rPr>
        <w:t>®</w:t>
      </w:r>
      <w:r>
        <w:rPr>
          <w:rFonts w:ascii="Arial" w:cs="Arial" w:eastAsia="Arial" w:hAnsi="Arial"/>
          <w:sz w:val="17"/>
          <w:szCs w:val="17"/>
          <w:color w:val="auto"/>
        </w:rPr>
        <w:t>, Proservia</w:t>
      </w:r>
      <w:r>
        <w:rPr>
          <w:rFonts w:ascii="Arial" w:cs="Arial" w:eastAsia="Arial" w:hAnsi="Arial"/>
          <w:sz w:val="23"/>
          <w:szCs w:val="23"/>
          <w:color w:val="auto"/>
          <w:vertAlign w:val="superscript"/>
        </w:rPr>
        <w:t>®</w:t>
      </w:r>
      <w:r>
        <w:rPr>
          <w:rFonts w:ascii="Arial" w:cs="Arial" w:eastAsia="Arial" w:hAnsi="Arial"/>
          <w:sz w:val="17"/>
          <w:szCs w:val="17"/>
          <w:color w:val="auto"/>
        </w:rPr>
        <w:t>, Jefferson Wells</w:t>
      </w:r>
      <w:r>
        <w:rPr>
          <w:rFonts w:ascii="Arial" w:cs="Arial" w:eastAsia="Arial" w:hAnsi="Arial"/>
          <w:sz w:val="23"/>
          <w:szCs w:val="23"/>
          <w:color w:val="auto"/>
          <w:vertAlign w:val="superscript"/>
        </w:rPr>
        <w:t>®</w:t>
      </w:r>
      <w:r>
        <w:rPr>
          <w:rFonts w:ascii="Arial" w:cs="Arial" w:eastAsia="Arial" w:hAnsi="Arial"/>
          <w:sz w:val="17"/>
          <w:szCs w:val="17"/>
          <w:color w:val="auto"/>
        </w:rPr>
        <w:t>, Supplay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MyPath</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had approximately 30,000 full-time equivalent employees as of December 31, 2021. In addition, we recruit millions of permanent, temporary and contract workers on a worldwide basis each year on behalf of our clients.</w:t>
      </w:r>
    </w:p>
    <w:p>
      <w:pPr>
        <w:spacing w:after="0" w:line="14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 Workforce Solutions and Human Capital Company.</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purpose is to provide meaningful and sustainable jobs and is rooted in our values: People, Knowledge and Innovation. Our almost 30,000 employees, spanning 75 countries and territories, help improve the lives of nearly 600,000 workers daily by providing access to employment and opportunities to reskill or upskill. These efforts support local economies and create economic opportunity for our associates.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Focused on Reskilling and Upskilling Workers and Future Workers.</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Through our partnerships with clients and nongovernmental organizations (e.g. World Economic Forum, World Employment Confederation and Junior Achievement) and our own research and solutions, we are advancing the global discussion around the skills preparedness of today’s workers and the definition of required skills for the future. Since 2016, through our Skills Revolution series, we have highlighted how technology and digitization would shift in-demand skills, exacerbate existing talent shortages, and require investments to reskill and upskill workers.</w:t>
      </w:r>
    </w:p>
    <w:p>
      <w:pPr>
        <w:spacing w:after="0" w:line="13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response to these accelerating trends, we launched MyPath, our global associate upskilling program for our Manpower brand, with the intent of connecting our associates to opportunities that can advance their skills and meet employers’ needs. Through this program, ManpowerGroup provides personalized guidance, career development, training and access to jobs especially in growth sectors including advanced manufacturing, information technology, supply chain and customer service. MyPath has impacted 154,000 lives by the end of 2021, and MyPath associates now represent 25% of our associate talent pool in certified markets, across 11,000 clients and 12 countries.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part of our plans to become creators of talent at scale, we are also innovating around skills development in Experis, through our investment in Experis Academy and tools such as Career Accelerator for our professional consultants. Our goal is for more companies to turn to us for our expertise in finding, retaining and reskilling diverse talent to enable them to accelerate their digital transformation and execute their business strategies.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We Are Focused on Our Diversity, Our People and Our Culture.</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a global footprint, though our teams are managed locally: 32% of our people are in the Americas, 30% in Southern Europe, 22% in Northern Europe and 15% in Asia Pacific/Middle East. Collectively, we are focused on advancing diversity, developing our people and assessing our culture to enhance our competitiveness in the marketplace and the workplace.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Advancing Diversity</w:t>
      </w:r>
    </w:p>
    <w:p>
      <w:pPr>
        <w:spacing w:after="0" w:line="198" w:lineRule="exact"/>
        <w:rPr>
          <w:sz w:val="20"/>
          <w:szCs w:val="20"/>
          <w:color w:val="auto"/>
        </w:rPr>
      </w:pPr>
    </w:p>
    <w:p>
      <w:pPr>
        <w:jc w:val="both"/>
        <w:ind w:left="240"/>
        <w:spacing w:after="0" w:line="270" w:lineRule="auto"/>
        <w:rPr>
          <w:sz w:val="20"/>
          <w:szCs w:val="20"/>
          <w:color w:val="auto"/>
        </w:rPr>
      </w:pPr>
      <w:r>
        <w:rPr>
          <w:rFonts w:ascii="Arial" w:cs="Arial" w:eastAsia="Arial" w:hAnsi="Arial"/>
          <w:sz w:val="17"/>
          <w:szCs w:val="17"/>
          <w:color w:val="auto"/>
        </w:rPr>
        <w:t>Our focus on diversity encompasses four goals: (1) globally, support gender diversity at leadership levels; (2) locally, address a second dimension of diversity based on gaps or opportunities within a country; (3) culturally, foster an inclusive environment that supports our diverse workforce; and (4) societally, advance employment security for workers while promoting upskilling, well-being, flexibility and income opportunity.</w:t>
      </w:r>
    </w:p>
    <w:p>
      <w:pPr>
        <w:spacing w:after="0" w:line="150" w:lineRule="exact"/>
        <w:rPr>
          <w:sz w:val="20"/>
          <w:szCs w:val="20"/>
          <w:color w:val="auto"/>
        </w:rPr>
      </w:pPr>
    </w:p>
    <w:p>
      <w:pPr>
        <w:jc w:val="both"/>
        <w:ind w:left="240"/>
        <w:spacing w:after="0" w:line="248" w:lineRule="auto"/>
        <w:rPr>
          <w:sz w:val="20"/>
          <w:szCs w:val="20"/>
          <w:color w:val="auto"/>
        </w:rPr>
      </w:pPr>
      <w:r>
        <w:rPr>
          <w:rFonts w:ascii="Arial" w:cs="Arial" w:eastAsia="Arial" w:hAnsi="Arial"/>
          <w:sz w:val="18"/>
          <w:szCs w:val="18"/>
          <w:color w:val="auto"/>
        </w:rPr>
        <w:t>We believe that diversity starts at the top. We are proud that our Board of Directors has exceeded 30% gender diversity for nearly 10 years, is 17% racially diverse and 33% non-US born. Our Executive Leadership Team, which reports directly to the CEO, is 27% women, 36% racially diverse and 72% non US-born. Our Global Leadership Team, the top 98 leaders in the company, is 33% women.</w:t>
      </w:r>
    </w:p>
    <w:p>
      <w:pPr>
        <w:spacing w:after="0" w:line="168" w:lineRule="exact"/>
        <w:rPr>
          <w:sz w:val="20"/>
          <w:szCs w:val="20"/>
          <w:color w:val="auto"/>
        </w:rPr>
      </w:pPr>
    </w:p>
    <w:p>
      <w:pPr>
        <w:jc w:val="both"/>
        <w:ind w:left="240"/>
        <w:spacing w:after="0"/>
        <w:rPr>
          <w:sz w:val="20"/>
          <w:szCs w:val="20"/>
          <w:color w:val="auto"/>
        </w:rPr>
      </w:pPr>
      <w:r>
        <w:rPr>
          <w:rFonts w:ascii="Arial" w:cs="Arial" w:eastAsia="Arial" w:hAnsi="Arial"/>
          <w:sz w:val="18"/>
          <w:szCs w:val="18"/>
          <w:color w:val="auto"/>
        </w:rPr>
        <w:t>For several of our large markets, including the United States, the second diversity dimension is race and ethnicity. Building upon our Courageous Conversations progress in 2020, more than 200 leaders in our North America team completed our INCLUDE training which was developed by our Business Resource Groups with the support and expertise of our Right Management team during 2021. INCLUDE helps leaders to remove barriers to inclusion in the workplace by helping them to (1) value the unique identity of others, (2) create psychological safety and (3) enable belonging. Additionally, our North American team achieved our current leadership goal of 40% gender diversity ahead of goal by more than one year. This inspired us to expand our goal to 50% gender diversity at the global level by 2025.</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Developing our People</w:t>
      </w:r>
    </w:p>
    <w:p>
      <w:pPr>
        <w:spacing w:after="0" w:line="198" w:lineRule="exact"/>
        <w:rPr>
          <w:sz w:val="20"/>
          <w:szCs w:val="20"/>
          <w:color w:val="auto"/>
        </w:rPr>
      </w:pPr>
    </w:p>
    <w:p>
      <w:pPr>
        <w:jc w:val="both"/>
        <w:ind w:left="240"/>
        <w:spacing w:after="0" w:line="276" w:lineRule="auto"/>
        <w:rPr>
          <w:sz w:val="20"/>
          <w:szCs w:val="20"/>
          <w:color w:val="auto"/>
        </w:rPr>
      </w:pPr>
      <w:r>
        <w:rPr>
          <w:rFonts w:ascii="Arial" w:cs="Arial" w:eastAsia="Arial" w:hAnsi="Arial"/>
          <w:sz w:val="16"/>
          <w:szCs w:val="16"/>
          <w:color w:val="auto"/>
        </w:rPr>
        <w:t>We believe that our future success is contingent upon the development of our next generation of leaders. We are investing in our people to support both our strategic ambitions and their personal goals. In 2021, we continued the expansion and revamping of our leadership development programs, even while the challenges of the pandemic continued. These advancements and investments are intended to develop the capabilities of our leaders at a time when leadership is increasingly complex. Our learning and development programming now includes segments extending to Accelerated Leadership, Strategic Leadership and our Future Leaders high-potential program as well as continued development of our current leaders. On completion of our leadership programs, the majority of participants make positive career moves – 60% after one year and 68% within two years.</w:t>
      </w:r>
    </w:p>
    <w:p>
      <w:pPr>
        <w:spacing w:after="0" w:line="148" w:lineRule="exact"/>
        <w:rPr>
          <w:sz w:val="20"/>
          <w:szCs w:val="20"/>
          <w:color w:val="auto"/>
        </w:rPr>
      </w:pPr>
    </w:p>
    <w:p>
      <w:pPr>
        <w:jc w:val="both"/>
        <w:ind w:left="240"/>
        <w:spacing w:after="0" w:line="261" w:lineRule="auto"/>
        <w:rPr>
          <w:sz w:val="20"/>
          <w:szCs w:val="20"/>
          <w:color w:val="auto"/>
        </w:rPr>
      </w:pPr>
      <w:r>
        <w:rPr>
          <w:rFonts w:ascii="Arial" w:cs="Arial" w:eastAsia="Arial" w:hAnsi="Arial"/>
          <w:sz w:val="18"/>
          <w:szCs w:val="18"/>
          <w:color w:val="auto"/>
        </w:rPr>
        <w:t>In 2021, we also increased our focus on learning through investment in the development of our Sales Academies and our Talent Agent program, training more than 3,700 recruiters and over 2,000 salespeople, while curating new online micro-courses for all employees.</w:t>
      </w: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Evolving our Culture</w:t>
      </w:r>
    </w:p>
    <w:p>
      <w:pPr>
        <w:spacing w:after="0" w:line="198" w:lineRule="exact"/>
        <w:rPr>
          <w:sz w:val="20"/>
          <w:szCs w:val="20"/>
          <w:color w:val="auto"/>
        </w:rPr>
      </w:pPr>
    </w:p>
    <w:p>
      <w:pPr>
        <w:jc w:val="both"/>
        <w:ind w:left="240"/>
        <w:spacing w:after="0" w:line="248" w:lineRule="auto"/>
        <w:rPr>
          <w:sz w:val="20"/>
          <w:szCs w:val="20"/>
          <w:color w:val="auto"/>
        </w:rPr>
      </w:pPr>
      <w:r>
        <w:rPr>
          <w:rFonts w:ascii="Arial" w:cs="Arial" w:eastAsia="Arial" w:hAnsi="Arial"/>
          <w:sz w:val="18"/>
          <w:szCs w:val="18"/>
          <w:color w:val="auto"/>
        </w:rPr>
        <w:t>Through our listening strategy, we are committed to hearing the voice of our people more than ever. We continue to track engagement and leadership effectiveness through our ManpowerGroup Annual People Survey (MAPS) and have seen year over year improvements in both response and overall favorability ratings.</w:t>
      </w:r>
    </w:p>
    <w:p>
      <w:pPr>
        <w:spacing w:after="0" w:line="168" w:lineRule="exact"/>
        <w:rPr>
          <w:sz w:val="20"/>
          <w:szCs w:val="20"/>
          <w:color w:val="auto"/>
        </w:rPr>
      </w:pPr>
    </w:p>
    <w:p>
      <w:pPr>
        <w:jc w:val="both"/>
        <w:ind w:left="240"/>
        <w:spacing w:after="0" w:line="241" w:lineRule="auto"/>
        <w:rPr>
          <w:sz w:val="20"/>
          <w:szCs w:val="20"/>
          <w:color w:val="auto"/>
        </w:rPr>
      </w:pPr>
      <w:r>
        <w:rPr>
          <w:rFonts w:ascii="Arial" w:cs="Arial" w:eastAsia="Arial" w:hAnsi="Arial"/>
          <w:sz w:val="18"/>
          <w:szCs w:val="18"/>
          <w:color w:val="auto"/>
        </w:rPr>
        <w:t>In 2021, we launched our Culture Matters initiative. In this initiative, we are focused on corporate culture as an enabler of our strategy. We believe that further enhancing our employees’ engagement will enhance our business performance, will enable us to achieve strategic growth, and will benefit the communities in which we operate. As part of this initiative, we have reaffirmed our core values of People, Knowledge and Innovation, which we believe are important to our workforce. We continue to commit to our PeopleFirst approach, which we believe has been a distinguishing feature of our company since its founding.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of the factors that could cause actual results to differ materially from estimates contained in our forward-looking statements: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Risks Related to COVID-19 Pandemic</w:t>
      </w:r>
    </w:p>
    <w:p>
      <w:pPr>
        <w:spacing w:after="0" w:line="185" w:lineRule="exact"/>
        <w:rPr>
          <w:sz w:val="20"/>
          <w:szCs w:val="20"/>
          <w:color w:val="auto"/>
        </w:rPr>
      </w:pPr>
    </w:p>
    <w:p>
      <w:pPr>
        <w:ind w:left="38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impact of the coronavirus pandemic on our business and financial results may be difficult to predict.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Company and Operational Risks</w:t>
      </w:r>
    </w:p>
    <w:p>
      <w:pPr>
        <w:spacing w:after="0" w:line="171" w:lineRule="exact"/>
        <w:rPr>
          <w:sz w:val="20"/>
          <w:szCs w:val="20"/>
          <w:color w:val="auto"/>
        </w:rPr>
      </w:pPr>
    </w:p>
    <w:p>
      <w:pPr>
        <w:ind w:left="600" w:hanging="21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volatile, negative, or uncertain economic conditions;</w:t>
      </w:r>
    </w:p>
    <w:p>
      <w:pPr>
        <w:spacing w:after="0" w:line="11" w:lineRule="exact"/>
        <w:rPr>
          <w:rFonts w:ascii="Arial" w:cs="Arial" w:eastAsia="Arial" w:hAnsi="Arial"/>
          <w:sz w:val="18"/>
          <w:szCs w:val="18"/>
          <w:color w:val="auto"/>
        </w:rPr>
      </w:pP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economic recovery may be short-lived and uneven, and may not result in increased demand for our services;</w:t>
      </w: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timely respond to the needs of our clients;</w:t>
      </w: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worldwide employment services industry limiting our ability to maintain or increase market share or profitability;</w:t>
      </w:r>
    </w:p>
    <w:p>
      <w:pPr>
        <w:ind w:left="600" w:hanging="218"/>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cyberattack or improper disclosure or loss of sensitive or confidential company, employee, associate or client data, including personal data;</w:t>
      </w:r>
    </w:p>
    <w:p>
      <w:pPr>
        <w:spacing w:after="0" w:line="7" w:lineRule="exact"/>
        <w:rPr>
          <w:rFonts w:ascii="Arial" w:cs="Arial" w:eastAsia="Arial" w:hAnsi="Arial"/>
          <w:sz w:val="17"/>
          <w:szCs w:val="17"/>
          <w:color w:val="auto"/>
        </w:rPr>
      </w:pP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increased costs, and reputational risk from outsourcing various aspects of our business;</w:t>
      </w: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loss or reduction in revenues from one or more large clients;</w:t>
      </w: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key personnel;</w:t>
      </w: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labor markets limiting our ability to attract, train and retain the personnel necessary to meet our clients’ staffing needs;</w:t>
      </w: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unrest, natural disasters, health crises, infrastructure disruptions, and other risks beyond our control;</w:t>
      </w: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preserve our reputation in the marketplace;</w:t>
      </w:r>
    </w:p>
    <w:p>
      <w:pPr>
        <w:ind w:left="600" w:hanging="218"/>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client attitudes toward the use of our services; and</w:t>
      </w:r>
    </w:p>
    <w:p>
      <w:pPr>
        <w:ind w:left="600" w:hanging="21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ability to protect our thought leadership and other intellectual property.</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Strategic Risks</w:t>
      </w:r>
    </w:p>
    <w:p>
      <w:pPr>
        <w:spacing w:after="0" w:line="185" w:lineRule="exact"/>
        <w:rPr>
          <w:sz w:val="20"/>
          <w:szCs w:val="20"/>
          <w:color w:val="auto"/>
        </w:rPr>
      </w:pPr>
    </w:p>
    <w:p>
      <w:pPr>
        <w:ind w:left="600" w:hanging="21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effectively implement our business strategy or achieve our objectives;</w:t>
      </w:r>
    </w:p>
    <w:p>
      <w:pPr>
        <w:spacing w:after="0" w:line="11" w:lineRule="exact"/>
        <w:rPr>
          <w:rFonts w:ascii="Arial" w:cs="Arial" w:eastAsia="Arial" w:hAnsi="Arial"/>
          <w:sz w:val="18"/>
          <w:szCs w:val="18"/>
          <w:color w:val="auto"/>
        </w:rPr>
      </w:pPr>
    </w:p>
    <w:p>
      <w:pPr>
        <w:ind w:left="600" w:hanging="218"/>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to keep pace with technological change and marketplace demand in the development and implementation of our services and solutions;</w:t>
      </w:r>
    </w:p>
    <w:p>
      <w:pPr>
        <w:spacing w:after="0" w:line="18" w:lineRule="exact"/>
        <w:rPr>
          <w:rFonts w:ascii="Arial" w:cs="Arial" w:eastAsia="Arial" w:hAnsi="Arial"/>
          <w:sz w:val="16"/>
          <w:szCs w:val="16"/>
          <w:color w:val="auto"/>
        </w:rPr>
      </w:pPr>
    </w:p>
    <w:p>
      <w:pPr>
        <w:ind w:left="600" w:hanging="218"/>
        <w:spacing w:after="0" w:line="234"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implement strategic technology investments;</w:t>
      </w:r>
    </w:p>
    <w:p>
      <w:pPr>
        <w:ind w:left="600" w:hanging="218"/>
        <w:spacing w:after="0" w:line="234"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or disruptions resulting from acquisitions we complete; and</w:t>
      </w:r>
    </w:p>
    <w:p>
      <w:pPr>
        <w:ind w:left="600" w:hanging="21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dispositions we may undertake via sales, franchises, joint ventures or other exit activities.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ind w:left="380"/>
        <w:spacing w:after="0"/>
        <w:rPr>
          <w:sz w:val="20"/>
          <w:szCs w:val="20"/>
          <w:color w:val="auto"/>
        </w:rPr>
      </w:pPr>
      <w:r>
        <w:rPr>
          <w:rFonts w:ascii="Arial" w:cs="Arial" w:eastAsia="Arial" w:hAnsi="Arial"/>
          <w:sz w:val="18"/>
          <w:szCs w:val="18"/>
          <w:b w:val="1"/>
          <w:bCs w:val="1"/>
          <w:i w:val="1"/>
          <w:iCs w:val="1"/>
          <w:u w:val="single" w:color="auto"/>
          <w:color w:val="auto"/>
        </w:rPr>
        <w:t>Financial and Market Risks</w:t>
      </w:r>
    </w:p>
    <w:p>
      <w:pPr>
        <w:spacing w:after="0" w:line="171" w:lineRule="exact"/>
        <w:rPr>
          <w:sz w:val="20"/>
          <w:szCs w:val="20"/>
          <w:color w:val="auto"/>
        </w:rPr>
      </w:pPr>
    </w:p>
    <w:p>
      <w:pPr>
        <w:ind w:left="600" w:hanging="2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11" w:lineRule="exact"/>
        <w:rPr>
          <w:rFonts w:ascii="Arial" w:cs="Arial" w:eastAsia="Arial" w:hAnsi="Arial"/>
          <w:sz w:val="18"/>
          <w:szCs w:val="18"/>
          <w:color w:val="auto"/>
        </w:rPr>
      </w:pPr>
    </w:p>
    <w:p>
      <w:pPr>
        <w:ind w:left="600" w:hanging="218"/>
        <w:spacing w:after="0" w:line="23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meet our working capital needs;</w:t>
      </w:r>
    </w:p>
    <w:p>
      <w:pPr>
        <w:ind w:left="600" w:hanging="218"/>
        <w:spacing w:after="0" w:line="23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maintain effective internal controls;</w:t>
      </w:r>
    </w:p>
    <w:p>
      <w:pPr>
        <w:ind w:left="600" w:hanging="218"/>
        <w:spacing w:after="0" w:line="23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adverse effects on our operating flexibility resulting from our debt levels;</w:t>
      </w:r>
    </w:p>
    <w:p>
      <w:pPr>
        <w:ind w:left="600" w:hanging="218"/>
        <w:spacing w:after="0" w:line="23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comply with restrictive covenants under our revolving credit facilities and other debt instruments;</w:t>
      </w:r>
    </w:p>
    <w:p>
      <w:pPr>
        <w:ind w:left="600" w:hanging="218"/>
        <w:spacing w:after="0" w:line="23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obtain credit on terms acceptable to us or at all;</w:t>
      </w:r>
    </w:p>
    <w:p>
      <w:pPr>
        <w:ind w:left="600" w:hanging="218"/>
        <w:spacing w:after="0" w:line="23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our subsidiaries and their ability to distribute cash to our parent company, ManpowerGroup, may vary;</w:t>
      </w:r>
    </w:p>
    <w:p>
      <w:pPr>
        <w:ind w:left="600" w:hanging="218"/>
        <w:spacing w:after="0" w:line="23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guarantees or letters of credit on acceptable terms;</w:t>
      </w:r>
    </w:p>
    <w:p>
      <w:pPr>
        <w:ind w:left="600" w:hanging="218"/>
        <w:spacing w:after="0" w:line="234"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legislation; and</w:t>
      </w:r>
    </w:p>
    <w:p>
      <w:pPr>
        <w:ind w:left="600" w:hanging="2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 of our stock price.</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Regulatory and Legal Risks</w:t>
      </w:r>
    </w:p>
    <w:p>
      <w:pPr>
        <w:spacing w:after="0" w:line="185" w:lineRule="exact"/>
        <w:rPr>
          <w:sz w:val="20"/>
          <w:szCs w:val="20"/>
          <w:color w:val="auto"/>
        </w:rPr>
      </w:pPr>
    </w:p>
    <w:p>
      <w:pPr>
        <w:ind w:left="600" w:hanging="21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meeting contractual obligations if we or third parties fail to deliver on performance commitments;</w:t>
      </w:r>
    </w:p>
    <w:p>
      <w:pPr>
        <w:spacing w:after="0" w:line="11" w:lineRule="exact"/>
        <w:rPr>
          <w:rFonts w:ascii="Arial" w:cs="Arial" w:eastAsia="Arial" w:hAnsi="Arial"/>
          <w:sz w:val="18"/>
          <w:szCs w:val="18"/>
          <w:color w:val="auto"/>
        </w:rPr>
      </w:pPr>
    </w:p>
    <w:p>
      <w:pPr>
        <w:ind w:left="600" w:hanging="218"/>
        <w:spacing w:after="0" w:line="23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comply with the legal regulations in places we do business or the regulatory prohibition or restriction of employment services or the imposition of additional licensing or tax requirements;</w:t>
      </w:r>
    </w:p>
    <w:p>
      <w:pPr>
        <w:spacing w:after="0" w:line="1" w:lineRule="exact"/>
        <w:rPr>
          <w:rFonts w:ascii="Arial" w:cs="Arial" w:eastAsia="Arial" w:hAnsi="Arial"/>
          <w:sz w:val="18"/>
          <w:szCs w:val="18"/>
          <w:color w:val="auto"/>
        </w:rPr>
      </w:pPr>
    </w:p>
    <w:p>
      <w:pPr>
        <w:ind w:left="600" w:hanging="218"/>
        <w:spacing w:after="0" w:line="23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comply with anti-corruption and bribery laws;</w:t>
      </w:r>
    </w:p>
    <w:p>
      <w:pPr>
        <w:ind w:left="600" w:hanging="218"/>
        <w:spacing w:after="0" w:line="23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claims, including employment-related claims, from clients or third parties;</w:t>
      </w:r>
    </w:p>
    <w:p>
      <w:pPr>
        <w:ind w:left="600" w:hanging="218"/>
        <w:spacing w:after="0" w:line="23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liability resulting from competition law;</w:t>
      </w:r>
    </w:p>
    <w:p>
      <w:pPr>
        <w:ind w:left="600" w:hanging="218"/>
        <w:spacing w:after="0" w:line="23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under Wisconsin law and our articles of incorporation and bylaws could make the takeover of our Company more difficult;</w:t>
      </w:r>
    </w:p>
    <w:p>
      <w:pPr>
        <w:ind w:left="600" w:hanging="218"/>
        <w:spacing w:after="0" w:line="23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ind w:left="600" w:hanging="21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COVID-19 Pandemic</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results of operations and financial condition have been adversely impacted by the coronavirus pandemic. The extent to which we will continue to be adversely impacted could be material and difficult to predict.</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coronavirus pandemic (“COVID-19”) and the actions taken by businesses, including our clients, as well as by governments and individuals in response to COVID-19 have adversely impacted our business, operations and financials result.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7"/>
          <w:szCs w:val="17"/>
          <w:color w:val="auto"/>
        </w:rPr>
        <w:t>We expect that our business, operations and financial results will continue to be adversely impacted by COVID-19. We cannot predict the extent or nature of these effects, which are dependent on numerous factors that are continuing to evolve. These include: the emergence of the highly-transmissible Omicron variant; the potential that Omicron or new variants will result in additional outbreaks that could be severe; the availability and effectiveness of vaccines and booster shot protocols and the willingness of individuals to become and remain fully vaccinated; the development and effectiveness of treatments for COVID-19; the actions or inactions of governments in response to COVID-19 and the effectiveness of the policies they adopt, which may continue to include declared states of emergency and quarantine, and “shelter in place” or similar lockdown orders; the effect COVID-19 will have on our clients and their demand for our services, including full or partial closure of client facilities; and a decline in our productivity and our ability to provide our services to our clients if COVID-19 outbreaks continue to result in some workers being unable or unwilling to perform their jobs because of illness, positive test results, fear of infection, family responsibilities or for other reasons. In addition, COVID-19, and the related transition to remote work for many of our employees at the onset of the pandemic, has resulted in a significant change in their work and social environment. There is a risk that this, as well as other sources of disruption or stress, including those related to individual financial and family situations, may adversely affect our employees’ productivity, engagement, retention and personal well-being.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cannot accurately predict the ultimate effects of COVID-19 on our business, operations and financial results, which may be material.</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Any of the effects resulting from COVID-19 could also cause, contribute to or magnify the other risks and uncertainties described below.</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and Operational Risks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have been and may in the future be materially adversely affected by volatile, negative, or uncertain economic conditions.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business is sensitive to changes in global macroeconomic conditions. We have at times experienced uncertainty and volatility in global economic conditions, including in rates of growth or decline in the markets we serve. Our operating countries and regions, which are increasingly interdependent, have experienced periods of volatile growth patterns or declines, and we expect that global conditions will continue to be characterized by instability and unpredictability. Such conditions have and may continue to cause our clients to reduce or defer their spending on new projects that require our solutions which could decrease demand for our various staffing services. While we experienced some recovery from COVID-19 related economic declines in many of our markets in 2021, the economic impact of COVID-19 continues to be uncertain and unpredictable, and there can be no assurances when and whether growth rates would return to pre-pandemic levels. If growth is slow, as a result of the pandemic or otherwise, or if it contracts for an extended period of time, this could have a material adverse effect on our business and results of operations.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profitability is sensitive to decreases in demand. When demand drops or remains low, our operating profit is impacted unfavorably as we experience a deleveraging of our selling and administrative expense base as expenses do not decline as quickly as revenues. In periods of decline, we may not be able to reduce selling and administrative expenses without negatively impacting the long-term potential of our branch network and brands. Additionally, some clients may slow the rate at which they pay us, or become unable to pay their obligations and our cash flow and profitability may suffer.</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Economic conditions in the countries and territories where we do business may be affected by recent or emerging events, such as the rise of populism, political volatility, civil violence and unrest, election results or other changes in ruling parties or governmental leadership, trade disputes, protectionism or changes in global trade policies, the global refugee crisis, social justice movements, COVID-19 and other global health crises, changes in immigration policy, the impact of supply chain challenges on our clients, changes in employment policy, rising interest rates, inflation, the impact of terrorist activity, or by other political or economic developments. In addition, there is a risk the current inflationary environment could have an impact on the countries and territories where we do business. We are particularly susceptible to changes in demand patterns and economic conditions in Europe, which represents two of our operating segments and 68% of our revenue.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There is a risk that economic conditions in European markets may continue to be negatively impacted by events in recent years which, in addition to COVID-19, have included labor unrest, civil protest, heightened trade tensions, and uncertainty around the impacts of the exit of the United Kingdom from the European Union. Any of these events or trends could have a material adverse effect on our business and operating results.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Even without uncertainty and volatility, it is difficult for us to forecast future demand for our services due to the inherent difficulty in forecasting the direction and strength of economic cycles, and the short-term nature of many of our staffing assignments. When it is difficult for us to accurately forecast future demand, we may not be able to determine the optimal level of personnel and office investments necessary to profitably operate our business or take advantage of growth opportunities.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lack the speed and agility to respond to the needs of our clients.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30,000 employees based out of over 2,200 offices in 75 countries and territories, may make it difficult for us to effectively manage our resources, to maintain our corporate culture throughout the organization,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global competitors, including The Adecco Group and Randstad,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18"/>
          <w:szCs w:val="18"/>
          <w:b w:val="1"/>
          <w:bCs w:val="1"/>
          <w:color w:val="auto"/>
        </w:rPr>
        <w:t>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connection with the operation of our business, we store, process and transmit a large amount of data, including personnel and payment data, about our employees, clients, associates and candidates, a portion of which is personal data and/or confidential data. We expect our use of data to increase, including through the use of analytics, artificial intelligence (AI) and machine learning (ML). In engaging in these data-related activities, we rely on our own technology systems and software, and those of third-party vendors we use for a variety of processes, including, but not limited to cloud-based technology and systems, mobile technologies and social media. Unauthorized access to, disclosure, modification, use or loss of personal data and/or confidential data may occur through a variety of methods. These include, but are not limited to, ransomware, systems failure, employee negligence or malfeasance, fraud or misappropriation, or unauthorized access to or through our information systems, whether by our employees, vendors or third parties, including a cyberattack by hackers, members of organized crime and/or state-sponsored organizations, who may develop and deploy supply chain interruptions, social engineering attacks, viruses, worms or other malicious software programs, or obtain credentials to our systems through other unrelated cyberattacks.</w:t>
      </w: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 and/or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 data. In a recent evaluation, vulnerabilities were identified that could facilitate or contribute to a security incident involving personal data. The assessment firm was able to penetrate defensive protections adopted by us, as well as protections that we obtain from third party providers. We are prioritizing the resolution of security gaps that could lead to a loss of personal data or to other damage. Despite our efforts to identify and address vulnerabilities in our systems, vulnerabilities in software products used by us are disclosed by our software providers on a daily basis, and attackers grow continuously more sophisticated in their attack methods, making it impossible to give assurance that our cybersecurity efforts will be successful.</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There is a risk that our and our third-party vendors’ preventative security controls and practices will be inadequate to prevent unauthorized access to, disclosure of, or loss of personal and/or confidential data, or fraudulent activity, especially given that third party attacks have become more common. In the past, our data has been exposed due to data security breaches at our third party vendors, but to date none of these incidents have had a material impact on our operations or financial results. Any such future events, such as unauthorized access or fraudulent activity with our third parties could have a material adverse effect on our business and financial results.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a result of the COVID-19 pandemic, more of our employees are working from their homes or other remote locations than at any other time in our history. This transition, which occurred quickly beginning in March 2020, makes it more difficult for us to monitor their activities, the security of their work locations, insider threats, and data exfiltration. This has increased the risk of security incidents, which could include unauthorized access to, disclosure of, or loss of personal and/or confidential data, as well as other types of fraudulent activity. Any such unauthorized access or fraudulent activity could have a material adverse effect on our business and financial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jc w:val="both"/>
        <w:spacing w:after="0" w:line="252" w:lineRule="auto"/>
        <w:rPr>
          <w:sz w:val="20"/>
          <w:szCs w:val="20"/>
          <w:color w:val="auto"/>
        </w:rPr>
      </w:pPr>
      <w:r>
        <w:rPr>
          <w:rFonts w:ascii="Arial" w:cs="Arial" w:eastAsia="Arial" w:hAnsi="Arial"/>
          <w:sz w:val="17"/>
          <w:szCs w:val="17"/>
          <w:color w:val="auto"/>
        </w:rPr>
        <w:t>The potential risk of security breaches, fraud and cyberattacks may increase as we continue to introduce services and offerings, whether mobile, cloud, or otherwise. Any additional services and offerings inevitably increase the potential for a cyberattack against us. Further, data privacy and cybersecurity are subject to frequently changing laws and regulations, including the European Union’s General Data Protection Regulation (the “GDPR”), the EU Court of Justice’s opinion in the “Schrems II” decision (which invalidated the EU-US Privacy Shield) and the California Privacy Rights Act (the “CPRA”), as well as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the CPRA impose significant compliance obligations that add costs and operational burdens to our business with respect to our collection, use, storage and retention of personal data. Compliance with these obligations could reduce operational efficiency and increase our regulatory compliance costs,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CPRA. In addition, our liability insurance might not be sufficient in scope or amount to cover us against claims and losses related to violations of data privacy and cybersecurity laws or security breaches, social engineering, cyberattacks and other related data disclosure, loss or breach.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outsourced aspects of our business, which could result in disruption, increased costs, and reputational risk.</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increasingly outsourced important processes of our business to third party vendors, which exposes us to other risks, including increased costs, supply chain interruptions,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 adversely affected if we needed to replace one of our critical vendors for performance or economic reasons.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A successful breach of the security of our technology systems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 loss or reduction in revenues from large client accounts could have a material adverse effect on our business.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client mix consists of both small- and medium-size businesses, which are based upon a local or regional relationship with our presence in each market, and large national and multinational client relationships. These large national and multinational clients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 needs.</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business depends on our ability to attract and retain qualified associates who possess the skills and experience necessary to meet the requirements of our clients. In many markets, we have been experiencing an unusually tight labor market, with historically low levels of unemployment, and there is a risk that we may be unable to meet our clients’ requirements in identifying an adequate number of associates. These labor shortages have been exacerbated by the COVID-19 pandemic, which has led to large numbers of employees and potential employees leaving the labor market due to burn-out, resignation, early retirement, immigration challenges, workplace safety concerns, vaccine mandates, and childcare responsibilities. Workers have also impacted the labor market through increasing demands for change in employment conditions, such as demands for higher wages, remote work, and additional flexibility in work schedule. We must continually evaluate and upgrade our base of available qualified personnel through recruiting and training programs to keep pace with changing client needs and emerging technologies. This is especially acute for individuals with IT and other technology skills, as competition for such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operations subject us to certain risks beyond our control.</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operations in 75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terrorism, international conflict, severe weather conditions, pandemics, including COVID-19, and other global health emergencies, disruptions of infrastructure and utilities, cyberattacks, and other events beyond our control.</w:t>
      </w:r>
    </w:p>
    <w:p>
      <w:pPr>
        <w:spacing w:after="0" w:line="1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Although it is not possible to predict such events or their consequences, these events could materially adversely affect our reputation, business and financial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Our ability to attract and retain business and employees may depend on our reputation in the marketplace.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example, our brand and reputation could be associated with our position (either public commitment or silence) regarding various corporate environmental, social and governance (ESG) initiatives, including our goals for sustainability, diversity, equity, and inclusion. Our positions and disclosures on these matters, or failure to achieve our commitments, could harm our reputation and adversely affect our relationship with certain groups of current or potential clients and employees. Reputation concerns could cause us to examine our relationships with certain clients and vendors, and choose not to conduct business with certain partners, which could negatively affect our performance or operational efficiency.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sentiment toward the staffing industry could affect the marketplace for our services.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only a limited ability to protect our thought leadership and other intellectual property, which is important to our success.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patent, copyright, and trademark laws to protect our intellectual property rights. We cannot be certain that the legal steps we are taking around the world are sufficient to protect our intellectual property rights and may not be adequate to prevent or deter infringement or other misappropriation of our intellectual property by competitors, former employees or other third parties. In addition, our intellectual property rights may not prevent competitors from independently developing products, services and solutions similar to ours. Failure to adequately protect our intellectual property rights, or changes in law that diminish or remove our current legal protections could have a material adverse impact on our business and financial results.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u w:val="single" w:color="auto"/>
          <w:color w:val="auto"/>
        </w:rPr>
        <w:t>Strategic Risks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effectively implement our business strategy, and there can be no assurance that we will achieve our objectives.</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 strategy that this counter-cyclical effect would help cushion our results in the event of a future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business strategy also includes continuing efforts to transform how we use personnel and technology to enhance our delivery of services. Our goal is to become a more agile and effective competitor, to reduce the cost of operating our business and to increase our operating profit and operating profit margin. These efforts to transform how we do business may not be successful, and we may not succeed at reducing our operating costs or preventing the return of any costs that are eliminated. Additionally, reductions in personnel and other changes could materially adversely affect our ability to effectively operate our business. If, for these or other reasons, we are not successful in implementing our business strategy or achieving the anticipated results, our business, financial condition and results of operations could be materially adversely affected.</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success depends on our ability to keep pace with rapid technological changes in the development and implementation of our services and solutions. For example, rapid changes in the use of artificial intelligence and robotics are having a significant impact on some of the industries we serve and could have significant and unforeseen consequences for the workforce services industry and for our business. There is a risk that these, or other developments, could result in significant rapid disruption to our business model, and that we will be unprepared to compete effectively.</w:t>
      </w:r>
    </w:p>
    <w:p>
      <w:pPr>
        <w:spacing w:after="0" w:line="1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These and similar risks could have a negative effect on our services and solutions, our results of operations, and our ability to develop and maintain a competitive advantage in the marketplace.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Our acquisition strategy may be unsuccessful and may introduce unexpected costs.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From time to time, we make acquisitions of other companies or operating assets, including, in 2021, a significant acquisition of ettain group. These activities involve significant strategic and operational risks, including:</w:t>
      </w:r>
    </w:p>
    <w:p>
      <w:pPr>
        <w:spacing w:after="0" w:line="130" w:lineRule="exact"/>
        <w:rPr>
          <w:sz w:val="20"/>
          <w:szCs w:val="20"/>
          <w:color w:val="auto"/>
        </w:rPr>
      </w:pPr>
    </w:p>
    <w:p>
      <w:pPr>
        <w:ind w:left="420" w:hanging="203"/>
        <w:spacing w:after="0" w:line="24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fail to achieve our strategic objectives or fail to meet our performance expectations, including as a result of challenges integrating the acquired company and assimilating their corporate culture;</w:t>
      </w:r>
    </w:p>
    <w:p>
      <w:pPr>
        <w:ind w:left="420" w:hanging="203"/>
        <w:spacing w:after="0" w:line="23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over-valuation by us of any companies or assets that we acquire;</w:t>
      </w:r>
    </w:p>
    <w:p>
      <w:pPr>
        <w:ind w:left="420" w:hanging="203"/>
        <w:spacing w:after="0"/>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have difficulties integrating the operations, leadership, personnel, financial reporting, services or other functions of acquired companies;</w:t>
      </w:r>
    </w:p>
    <w:p>
      <w:pPr>
        <w:spacing w:after="0" w:line="7" w:lineRule="exact"/>
        <w:rPr>
          <w:rFonts w:ascii="Arial" w:cs="Arial" w:eastAsia="Arial" w:hAnsi="Arial"/>
          <w:sz w:val="17"/>
          <w:szCs w:val="17"/>
          <w:color w:val="auto"/>
        </w:rPr>
      </w:pPr>
    </w:p>
    <w:p>
      <w:pPr>
        <w:ind w:left="420" w:hanging="203"/>
        <w:spacing w:after="0" w:line="23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disputes that arise with the sellers;</w:t>
      </w:r>
    </w:p>
    <w:p>
      <w:pPr>
        <w:ind w:left="420" w:hanging="203"/>
        <w:spacing w:after="0" w:line="23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effectively monitor compliance with corporate policies as well as regulatory requirements;</w:t>
      </w:r>
    </w:p>
    <w:p>
      <w:pPr>
        <w:ind w:left="420" w:hanging="203"/>
        <w:spacing w:after="0" w:line="23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face unanticipated risks and liabilities in connection with the acquired company's operations;</w:t>
      </w:r>
    </w:p>
    <w:p>
      <w:pPr>
        <w:ind w:left="420" w:hanging="203"/>
        <w:spacing w:after="0"/>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obtain insufficient indemnification from the selling parties for liabilities incurred by the acquired companies prior to the acquisitions; and</w:t>
      </w:r>
    </w:p>
    <w:p>
      <w:pPr>
        <w:spacing w:after="0" w:line="7" w:lineRule="exact"/>
        <w:rPr>
          <w:rFonts w:ascii="Arial" w:cs="Arial" w:eastAsia="Arial" w:hAnsi="Arial"/>
          <w:sz w:val="17"/>
          <w:szCs w:val="17"/>
          <w:color w:val="auto"/>
        </w:rPr>
      </w:pPr>
    </w:p>
    <w:p>
      <w:pPr>
        <w:ind w:left="420" w:hanging="203"/>
        <w:spacing w:after="0" w:line="24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transactions, and the integration of acquired entities, may result in a diversion of our management’s attention from other business concerns.</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risks could have a material adverse effect on our business because they may result in substantial costs to us and disrupt our business. The integration of prior acquisitions, including ettain group, as well as entry into future acquisition transactions, could materially adversely affect our business, financial condition, results of operations and liquidity. We could also incur impairment losses on goodwill and intangible assets with an indefinite life or restructuring charges as a result of acquisitions we make.</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From time to time, we undertake dispositions via sales, franchises, joint ventures or other exit activities, and we may face risks related to such transactions.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Occasionally, we dispose of parts of our operations in order to optimize our global strategic and geographic footprint and synergies. We have engaged in such dispositions in the past, including our recent disposition of Russia in 2022, and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 The reputational risks include the risk that marketplace participants, including clients, candidates and the media, may believe that we continue to control the operations of a divested or franchised business that operates utilizing our name or other trademarks.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and Market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certain foreign countries, such as Argentina in 2018, can result in foreign currency devaluation, which may also negatively impact our reported financial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jc w:val="both"/>
        <w:spacing w:after="0" w:line="274" w:lineRule="auto"/>
        <w:rPr>
          <w:sz w:val="20"/>
          <w:szCs w:val="20"/>
          <w:color w:val="auto"/>
        </w:rPr>
      </w:pPr>
      <w:r>
        <w:rPr>
          <w:rFonts w:ascii="Arial" w:cs="Arial" w:eastAsia="Arial" w:hAnsi="Arial"/>
          <w:sz w:val="16"/>
          <w:szCs w:val="16"/>
          <w:color w:val="auto"/>
        </w:rPr>
        <w:t>During 2021, approximately 87% of our revenues were generated outside of the United States, the majority of which were generated in Europe. Furthermore, $1,043.3 million of our outstanding indebtedness as of December 31, 2021, was denominated in foreign currencies, including $1,019.6 million related to our Euro-denominated notes (€900.0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seek to mitigate our exposure to foreign currency fluctuations by utilizing net investment hedges and, from time to time, foreign currency forward exchange contracts and cross-currency swaps. A portion of our Euro-denominated notes has been designated as a hedge of our net investment in subsidiaries with a Euro-functional currency as of December 31, 2021,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liquidity could be adversely impacted by economic conditions affecting our clients.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working capital is primarily in the form of trade receivables which generally increase as sales increase. One of the ways in which we measure our working capital is in terms of working capital as a percent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and share price could be materially adversely affected if we are unable to maintain effective internal controls.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levels could materially adversely affect our operating flexibility and put us at a competitive disadvantage.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we had $1,118.3 million of total debt. Our level of debt and the limitations imposed on us by our credit agreements could have important consequences for investors, including the following:</w:t>
      </w:r>
    </w:p>
    <w:p>
      <w:pPr>
        <w:spacing w:after="0" w:line="130" w:lineRule="exact"/>
        <w:rPr>
          <w:sz w:val="20"/>
          <w:szCs w:val="20"/>
          <w:color w:val="auto"/>
        </w:rPr>
      </w:pPr>
    </w:p>
    <w:p>
      <w:pPr>
        <w:ind w:left="420" w:hanging="203"/>
        <w:spacing w:after="0" w:line="24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significant acquisition opportunities, or other corporate purposes or may have to pay more for such financing;</w:t>
      </w:r>
    </w:p>
    <w:p>
      <w:pPr>
        <w:ind w:left="420" w:hanging="203"/>
        <w:spacing w:after="0"/>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borrowings under our revolving credit facilities are at a variable interest rate, making us more vulnerable to increases in interest rates; and</w:t>
      </w:r>
    </w:p>
    <w:p>
      <w:pPr>
        <w:spacing w:after="0" w:line="7" w:lineRule="exact"/>
        <w:rPr>
          <w:rFonts w:ascii="Arial" w:cs="Arial" w:eastAsia="Arial" w:hAnsi="Arial"/>
          <w:sz w:val="17"/>
          <w:szCs w:val="17"/>
          <w:color w:val="auto"/>
        </w:rPr>
      </w:pPr>
    </w:p>
    <w:p>
      <w:pPr>
        <w:ind w:left="420" w:hanging="203"/>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jc w:val="both"/>
        <w:spacing w:after="0" w:line="266"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lenders under our and our subsidiaries’ credit facilities may be unwilling or unable to extend credit to us on acceptable terms or at all.</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inability to secure guarantees or letters of credit on acceptable terms may substantially increase our cost of doing business in various countries.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2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could be subject to changes in tax rates, adoption of new United States or international tax legislation or tax audits that could result in additional income tax liabilities.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6"/>
          <w:szCs w:val="16"/>
          <w:color w:val="auto"/>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the Organization for Economic Co-operation and Development (“OECD”), which represents a coalition of member countries, recently released the so-called Pillar One and Pillar Two proposals which includes a global minimum tax mechanism. It is not yet known when or how these proposals may be implemented. The United States was also considering significant corporate tax changes in the proposed Build Back Better legislation, and it is unclear whether these tax law changes will be adopted in future legislation. These possible changes in tax laws, treaties or regulations, or their interpretation or enforcement, could have an adverse impact on our current or future tax positions.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market price for our common stock may be subject to significant volatility. For example, during 2021, the price of our common stock as reported on the New York Stock Exchange ranged from a high of $125.07 to a low of $85.97. Our stock price can fluctuate as a result of a variety of factors, including factors listed in these “Risk Factors” and others, many of which are beyond our control. These factors include:</w:t>
      </w:r>
    </w:p>
    <w:p>
      <w:pPr>
        <w:spacing w:after="0" w:line="18" w:lineRule="exact"/>
        <w:rPr>
          <w:sz w:val="20"/>
          <w:szCs w:val="20"/>
          <w:color w:val="auto"/>
        </w:rPr>
      </w:pPr>
    </w:p>
    <w:p>
      <w:pPr>
        <w:ind w:left="420" w:hanging="203"/>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ind w:left="420" w:hanging="203"/>
        <w:spacing w:after="0" w:line="23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ind w:left="420" w:hanging="203"/>
        <w:spacing w:after="0" w:line="23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ind w:left="420" w:hanging="203"/>
        <w:spacing w:after="0" w:line="23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ind w:left="420" w:hanging="203"/>
        <w:spacing w:after="0" w:line="23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ind w:left="420" w:hanging="203"/>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investor sentiment regarding the company arising from these or other events, or the economy in general.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and Legal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on contracts may be materially adversely affected if we or third parties fail to deliver on commitments.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contracts are increasingly complex and, in most instances, require that we partner with other parties or subcontractors to provide the workforce solutions required by our clients. Our clients have become more sophisticated in their contractual negotiation process and more detailed in defining their operational requirements, including requirements to use the client's form of agreement. Our ability to deliver these solutions and provide the services required by our clients is dependent on our and our partners’ ability to meet our clients’ delivery</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requirements and schedules. If we or our partners fail to deliver services on time and in accordance with contractual performance obligations, including as a result of delivery challenges arising from the COVID-19 pandemic, then our ability to successfully complete our contracts may be affected, which may have a material and adverse impact on our client relations, revenues and profitability. Additionally, we may incur liability for the actions or omissions of our partners, subcontractors or vendors and we may face challenges or be unable to enforce these obligations against those partners.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many jurisdictions in which we operate, such as France, Italy, Germany, Japan and Mexico the employment services industry is heavily regulated and scrutinized. For example, in April 2021, new legislation was adopted in Mexico that affects many types of temporary placements under the country’s labor laws. The new law broadly prohibits the provision of our traditional temporary staffing services, only allowing outsourced worker assignments for special, deliverables-based projects outside of the client’s core business activity. This has had a material adverse impact on our business in Mexico.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to our revenues, costs, and operating margins as we and customers adjust to these new regulations.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countries and territories in which we operate may, among other things:</w:t>
      </w:r>
    </w:p>
    <w:p>
      <w:pPr>
        <w:spacing w:after="0" w:line="185" w:lineRule="exact"/>
        <w:rPr>
          <w:sz w:val="20"/>
          <w:szCs w:val="20"/>
          <w:color w:val="auto"/>
        </w:rPr>
      </w:pPr>
    </w:p>
    <w:p>
      <w:pPr>
        <w:ind w:left="420" w:hanging="203"/>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or categories of job roles that we may provide;</w:t>
      </w:r>
    </w:p>
    <w:p>
      <w:pPr>
        <w:spacing w:after="0" w:line="11" w:lineRule="exact"/>
        <w:rPr>
          <w:rFonts w:ascii="Arial" w:cs="Arial" w:eastAsia="Arial" w:hAnsi="Arial"/>
          <w:sz w:val="18"/>
          <w:szCs w:val="18"/>
          <w:color w:val="auto"/>
        </w:rPr>
      </w:pPr>
    </w:p>
    <w:p>
      <w:pPr>
        <w:ind w:left="420" w:hanging="203"/>
        <w:spacing w:after="0" w:line="23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ind w:left="420" w:hanging="203"/>
        <w:spacing w:after="0" w:line="23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pay parity for our associates or impose mandatory thresholds for employee diversity;</w:t>
      </w:r>
    </w:p>
    <w:p>
      <w:pPr>
        <w:ind w:left="420" w:hanging="203"/>
        <w:spacing w:after="0" w:line="23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regulate the period of time for which we may or may not employ our workers, including maximum term limits or minimum time requirements for associates on assignment at our clients;</w:t>
      </w:r>
    </w:p>
    <w:p>
      <w:pPr>
        <w:spacing w:after="0" w:line="1" w:lineRule="exact"/>
        <w:rPr>
          <w:rFonts w:ascii="Arial" w:cs="Arial" w:eastAsia="Arial" w:hAnsi="Arial"/>
          <w:sz w:val="18"/>
          <w:szCs w:val="18"/>
          <w:color w:val="auto"/>
        </w:rPr>
      </w:pPr>
    </w:p>
    <w:p>
      <w:pPr>
        <w:ind w:left="420" w:hanging="203"/>
        <w:spacing w:after="0" w:line="23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 COVID-19 regulations that impact our business;</w:t>
      </w:r>
    </w:p>
    <w:p>
      <w:pPr>
        <w:ind w:left="420" w:hanging="203"/>
        <w:spacing w:after="0" w:line="23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ind w:left="420" w:hanging="203"/>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taxes, such as sales or value-added taxes.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types of future regulation may have a material adverse effect on our business and financial results by making it more difficult or expensive for us to continue to provide employment services, particularly if we cannot pass along increases in costs to our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antibribery and corruption laws could materially adversely affect our business.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prohibited by our policies and these laws and regulations. Any such violations could materially adversely affect our business.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exposed to legal claims, including employment-related claims that could materially adversely affect our business, financial condition and results of operations.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in the business of employing people and placing them in the workplaces of other businesses. Risks relating to these activities could include possible claims of or relating to:</w:t>
      </w:r>
    </w:p>
    <w:p>
      <w:pPr>
        <w:spacing w:after="0" w:line="130" w:lineRule="exact"/>
        <w:rPr>
          <w:sz w:val="20"/>
          <w:szCs w:val="20"/>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discrimination or harassment;</w:t>
      </w:r>
    </w:p>
    <w:p>
      <w:pPr>
        <w:spacing w:after="0" w:line="11" w:lineRule="exact"/>
        <w:rPr>
          <w:rFonts w:ascii="Arial" w:cs="Arial" w:eastAsia="Arial" w:hAnsi="Arial"/>
          <w:sz w:val="18"/>
          <w:szCs w:val="18"/>
          <w:color w:val="auto"/>
        </w:rPr>
      </w:pPr>
    </w:p>
    <w:p>
      <w:pPr>
        <w:ind w:left="420" w:hanging="203"/>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pay, including wage and hour requirements;</w:t>
      </w:r>
    </w:p>
    <w:p>
      <w:pPr>
        <w:ind w:left="420" w:hanging="203"/>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wrongful termination or retaliation;</w:t>
      </w:r>
    </w:p>
    <w:p>
      <w:pPr>
        <w:ind w:left="420" w:hanging="203"/>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or inactions of our workers, including matters for which we may have to indemnify a client;</w:t>
      </w:r>
    </w:p>
    <w:p>
      <w:pPr>
        <w:ind w:left="420" w:hanging="203"/>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employment screening and privacy;</w:t>
      </w:r>
    </w:p>
    <w:p>
      <w:pPr>
        <w:ind w:left="420" w:hanging="203"/>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classification of workers as employees or independent contractors;</w:t>
      </w:r>
    </w:p>
    <w:p>
      <w:pPr>
        <w:ind w:left="420" w:hanging="203"/>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of undocumented or illegal workers;</w:t>
      </w:r>
    </w:p>
    <w:p>
      <w:pPr>
        <w:ind w:left="420" w:hanging="203"/>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relating to health and safety, including workers’ compensation;</w:t>
      </w:r>
    </w:p>
    <w:p>
      <w:pPr>
        <w:ind w:left="420" w:hanging="203"/>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benefits, including leave and healthcare coverage;</w:t>
      </w:r>
    </w:p>
    <w:p>
      <w:pPr>
        <w:ind w:left="420" w:hanging="203"/>
        <w:spacing w:after="0"/>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errors and omissions relating to the performance of professional roles such as IT professionals, accountants, engineers and the like; and</w:t>
      </w:r>
    </w:p>
    <w:p>
      <w:pPr>
        <w:spacing w:after="0" w:line="7" w:lineRule="exact"/>
        <w:rPr>
          <w:rFonts w:ascii="Arial" w:cs="Arial" w:eastAsia="Arial" w:hAnsi="Arial"/>
          <w:sz w:val="17"/>
          <w:szCs w:val="17"/>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workers’ misuse of proprietary information, misappropriation of funds, other criminal activity or torts or other similar claims.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7"/>
          <w:szCs w:val="17"/>
          <w:color w:val="auto"/>
        </w:rPr>
        <w:t>We may incur fines and other losses or negative publicity with respect to the above risks.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often sued by plaintiffs in various other employment-related matters, including those seeking class action status in the US. It is likely we will continue to experience similar claims in the future, which may increase in number as a result of remote working assignments during the COVID-19 pandemic as well as increasing employment regulation at the state and local level.</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exposes us to competition law risk.</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subject to antitrust and competition law in the United States, the European Union, and many other regions in which we operate. Some of our business models may carry a heightened risk of regulatory inquiry under relevant</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competition laws. Although we have put in place safeguards designed to maintain compliance with applicable competition laws, there can be no assurance these protections will be adequate. Competition law authorities have investigated our business practices in the past in France and in other countries, and there continues to be a risk of such inquiries in the future. There is no assurance we would successfully defend against any such regulatory inquiries, and they could consume substantial amounts of our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55" w:lineRule="exact"/>
        <w:rPr>
          <w:sz w:val="20"/>
          <w:szCs w:val="20"/>
          <w:color w:val="auto"/>
        </w:rPr>
      </w:pPr>
    </w:p>
    <w:p>
      <w:pPr>
        <w:ind w:left="420" w:hanging="203"/>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11" w:lineRule="exact"/>
        <w:rPr>
          <w:rFonts w:ascii="Arial" w:cs="Arial" w:eastAsia="Arial" w:hAnsi="Arial"/>
          <w:sz w:val="18"/>
          <w:szCs w:val="18"/>
          <w:color w:val="auto"/>
        </w:rPr>
      </w:pPr>
    </w:p>
    <w:p>
      <w:pPr>
        <w:ind w:left="420" w:hanging="203"/>
        <w:spacing w:after="0" w:line="23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ind w:left="420" w:hanging="203"/>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are involved in litigation of a routine nature and various legal matters, which are being defended and handled in the ordinary course of business.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9260" w:type="dxa"/>
            <w:vAlign w:val="bottom"/>
          </w:tcPr>
          <w:p>
            <w:pPr>
              <w:jc w:val="center"/>
              <w:ind w:right="1890"/>
              <w:spacing w:after="0"/>
              <w:rPr>
                <w:sz w:val="20"/>
                <w:szCs w:val="20"/>
                <w:color w:val="auto"/>
              </w:rPr>
            </w:pPr>
            <w:r>
              <w:rPr>
                <w:rFonts w:ascii="Arial" w:cs="Arial" w:eastAsia="Arial" w:hAnsi="Arial"/>
                <w:sz w:val="18"/>
                <w:szCs w:val="18"/>
                <w:b w:val="1"/>
                <w:bCs w:val="1"/>
                <w:color w:val="auto"/>
              </w:rPr>
              <w:t>EXECUTIVE OFFICERS OF MANPOWERGROUP</w:t>
            </w:r>
          </w:p>
        </w:tc>
      </w:tr>
      <w:tr>
        <w:trPr>
          <w:trHeight w:val="234"/>
        </w:trPr>
        <w:tc>
          <w:tcPr>
            <w:tcW w:w="1980" w:type="dxa"/>
            <w:vAlign w:val="bottom"/>
          </w:tcPr>
          <w:p>
            <w:pPr>
              <w:spacing w:after="0"/>
              <w:rPr>
                <w:sz w:val="20"/>
                <w:szCs w:val="20"/>
                <w:color w:val="auto"/>
              </w:rPr>
            </w:pPr>
          </w:p>
        </w:tc>
        <w:tc>
          <w:tcPr>
            <w:tcW w:w="926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(as of February 16, 2022)</w:t>
            </w:r>
          </w:p>
        </w:tc>
      </w:tr>
      <w:tr>
        <w:trPr>
          <w:trHeight w:val="398"/>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Officer</w:t>
            </w:r>
          </w:p>
        </w:tc>
        <w:tc>
          <w:tcPr>
            <w:tcW w:w="92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Office</w:t>
            </w:r>
          </w:p>
        </w:tc>
      </w:tr>
      <w:tr>
        <w:trPr>
          <w:trHeight w:val="365"/>
        </w:trPr>
        <w:tc>
          <w:tcPr>
            <w:tcW w:w="1980" w:type="dxa"/>
            <w:vAlign w:val="bottom"/>
          </w:tcPr>
          <w:p>
            <w:pPr>
              <w:ind w:left="20"/>
              <w:spacing w:after="0"/>
              <w:rPr>
                <w:sz w:val="20"/>
                <w:szCs w:val="20"/>
                <w:color w:val="auto"/>
              </w:rPr>
            </w:pPr>
            <w:r>
              <w:rPr>
                <w:rFonts w:ascii="Arial" w:cs="Arial" w:eastAsia="Arial" w:hAnsi="Arial"/>
                <w:sz w:val="18"/>
                <w:szCs w:val="18"/>
                <w:color w:val="auto"/>
              </w:rPr>
              <w:t>Jonas Prising</w:t>
            </w:r>
          </w:p>
        </w:tc>
        <w:tc>
          <w:tcPr>
            <w:tcW w:w="9260" w:type="dxa"/>
            <w:vAlign w:val="bottom"/>
          </w:tcPr>
          <w:p>
            <w:pPr>
              <w:ind w:left="400"/>
              <w:spacing w:after="0"/>
              <w:rPr>
                <w:sz w:val="20"/>
                <w:szCs w:val="20"/>
                <w:color w:val="auto"/>
              </w:rPr>
            </w:pPr>
            <w:r>
              <w:rPr>
                <w:rFonts w:ascii="Arial" w:cs="Arial" w:eastAsia="Arial" w:hAnsi="Arial"/>
                <w:sz w:val="18"/>
                <w:szCs w:val="18"/>
                <w:color w:val="auto"/>
                <w:w w:val="94"/>
              </w:rPr>
              <w:t>Chairman of ManpowerGroup as of December 31, 2015. Chief Executive Officer of ManpowerGroup since May 2014.</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color w:val="auto"/>
              </w:rPr>
              <w:t>Age 57</w:t>
            </w:r>
          </w:p>
        </w:tc>
        <w:tc>
          <w:tcPr>
            <w:tcW w:w="9260" w:type="dxa"/>
            <w:vAlign w:val="bottom"/>
          </w:tcPr>
          <w:p>
            <w:pPr>
              <w:ind w:left="400"/>
              <w:spacing w:after="0" w:line="176" w:lineRule="exact"/>
              <w:rPr>
                <w:sz w:val="20"/>
                <w:szCs w:val="20"/>
                <w:color w:val="auto"/>
              </w:rPr>
            </w:pPr>
            <w:r>
              <w:rPr>
                <w:rFonts w:ascii="Arial" w:cs="Arial" w:eastAsia="Arial" w:hAnsi="Arial"/>
                <w:sz w:val="18"/>
                <w:szCs w:val="18"/>
                <w:color w:val="auto"/>
                <w:w w:val="92"/>
              </w:rPr>
              <w:t>ManpowerGroup President from November 2012 to May 2014. Executive Vice President, President of ManpowerGroup -</w:t>
            </w:r>
          </w:p>
        </w:tc>
      </w:tr>
      <w:tr>
        <w:trPr>
          <w:trHeight w:val="176"/>
        </w:trPr>
        <w:tc>
          <w:tcPr>
            <w:tcW w:w="1980" w:type="dxa"/>
            <w:vAlign w:val="bottom"/>
          </w:tcPr>
          <w:p>
            <w:pPr>
              <w:spacing w:after="0"/>
              <w:rPr>
                <w:sz w:val="15"/>
                <w:szCs w:val="15"/>
                <w:color w:val="auto"/>
              </w:rPr>
            </w:pPr>
          </w:p>
        </w:tc>
        <w:tc>
          <w:tcPr>
            <w:tcW w:w="9260" w:type="dxa"/>
            <w:vAlign w:val="bottom"/>
          </w:tcPr>
          <w:p>
            <w:pPr>
              <w:ind w:left="400"/>
              <w:spacing w:after="0" w:line="176" w:lineRule="exact"/>
              <w:rPr>
                <w:sz w:val="20"/>
                <w:szCs w:val="20"/>
                <w:color w:val="auto"/>
              </w:rPr>
            </w:pPr>
            <w:r>
              <w:rPr>
                <w:rFonts w:ascii="Arial" w:cs="Arial" w:eastAsia="Arial" w:hAnsi="Arial"/>
                <w:sz w:val="18"/>
                <w:szCs w:val="18"/>
                <w:color w:val="auto"/>
                <w:w w:val="94"/>
              </w:rPr>
              <w:t>the Americas from January 2009 to October 2012. Executive Vice President, President – United States and Canadian</w:t>
            </w:r>
          </w:p>
        </w:tc>
      </w:tr>
      <w:tr>
        <w:trPr>
          <w:trHeight w:val="175"/>
        </w:trPr>
        <w:tc>
          <w:tcPr>
            <w:tcW w:w="1980" w:type="dxa"/>
            <w:vAlign w:val="bottom"/>
          </w:tcPr>
          <w:p>
            <w:pPr>
              <w:spacing w:after="0"/>
              <w:rPr>
                <w:sz w:val="15"/>
                <w:szCs w:val="15"/>
                <w:color w:val="auto"/>
              </w:rPr>
            </w:pPr>
          </w:p>
        </w:tc>
        <w:tc>
          <w:tcPr>
            <w:tcW w:w="9260" w:type="dxa"/>
            <w:vAlign w:val="bottom"/>
          </w:tcPr>
          <w:p>
            <w:pPr>
              <w:ind w:left="400"/>
              <w:spacing w:after="0" w:line="176" w:lineRule="exact"/>
              <w:rPr>
                <w:sz w:val="20"/>
                <w:szCs w:val="20"/>
                <w:color w:val="auto"/>
              </w:rPr>
            </w:pPr>
            <w:r>
              <w:rPr>
                <w:rFonts w:ascii="Arial" w:cs="Arial" w:eastAsia="Arial" w:hAnsi="Arial"/>
                <w:sz w:val="18"/>
                <w:szCs w:val="18"/>
                <w:color w:val="auto"/>
                <w:w w:val="97"/>
              </w:rPr>
              <w:t>Operations from January 2006 to December 2008. A director of ManpowerGroup since May 2014. An employee of</w:t>
            </w:r>
          </w:p>
        </w:tc>
      </w:tr>
      <w:tr>
        <w:trPr>
          <w:trHeight w:val="230"/>
        </w:trPr>
        <w:tc>
          <w:tcPr>
            <w:tcW w:w="198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ManpowerGroup since May 1999. A director of Kohl's Corporation since August 2015.</w:t>
            </w:r>
          </w:p>
        </w:tc>
      </w:tr>
      <w:tr>
        <w:trPr>
          <w:trHeight w:val="350"/>
        </w:trPr>
        <w:tc>
          <w:tcPr>
            <w:tcW w:w="1980" w:type="dxa"/>
            <w:vAlign w:val="bottom"/>
          </w:tcPr>
          <w:p>
            <w:pPr>
              <w:ind w:left="20"/>
              <w:spacing w:after="0"/>
              <w:rPr>
                <w:sz w:val="20"/>
                <w:szCs w:val="20"/>
                <w:color w:val="auto"/>
              </w:rPr>
            </w:pPr>
            <w:r>
              <w:rPr>
                <w:rFonts w:ascii="Arial" w:cs="Arial" w:eastAsia="Arial" w:hAnsi="Arial"/>
                <w:sz w:val="18"/>
                <w:szCs w:val="18"/>
                <w:color w:val="auto"/>
              </w:rPr>
              <w:t>John T. McGinnis</w:t>
            </w:r>
          </w:p>
        </w:tc>
        <w:tc>
          <w:tcPr>
            <w:tcW w:w="9260" w:type="dxa"/>
            <w:vAlign w:val="bottom"/>
          </w:tcPr>
          <w:p>
            <w:pPr>
              <w:ind w:left="400"/>
              <w:spacing w:after="0"/>
              <w:rPr>
                <w:sz w:val="20"/>
                <w:szCs w:val="20"/>
                <w:color w:val="auto"/>
              </w:rPr>
            </w:pPr>
            <w:r>
              <w:rPr>
                <w:rFonts w:ascii="Arial" w:cs="Arial" w:eastAsia="Arial" w:hAnsi="Arial"/>
                <w:sz w:val="18"/>
                <w:szCs w:val="18"/>
                <w:color w:val="auto"/>
                <w:w w:val="93"/>
              </w:rPr>
              <w:t>Executive Vice President, Chief Financial Officer of ManpowerGroup since February 2016. Global Controller of Morgan</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color w:val="auto"/>
              </w:rPr>
              <w:t>Age 55</w:t>
            </w:r>
          </w:p>
        </w:tc>
        <w:tc>
          <w:tcPr>
            <w:tcW w:w="9260" w:type="dxa"/>
            <w:vAlign w:val="bottom"/>
          </w:tcPr>
          <w:p>
            <w:pPr>
              <w:ind w:left="400"/>
              <w:spacing w:after="0" w:line="176" w:lineRule="exact"/>
              <w:rPr>
                <w:sz w:val="20"/>
                <w:szCs w:val="20"/>
                <w:color w:val="auto"/>
              </w:rPr>
            </w:pPr>
            <w:r>
              <w:rPr>
                <w:rFonts w:ascii="Arial" w:cs="Arial" w:eastAsia="Arial" w:hAnsi="Arial"/>
                <w:sz w:val="18"/>
                <w:szCs w:val="18"/>
                <w:color w:val="auto"/>
                <w:w w:val="94"/>
              </w:rPr>
              <w:t>Stanley from January 2014 to February 2016. Chief Financial Officer, HSBC North America from July 2012 to January</w:t>
            </w:r>
          </w:p>
        </w:tc>
      </w:tr>
      <w:tr>
        <w:trPr>
          <w:trHeight w:val="176"/>
        </w:trPr>
        <w:tc>
          <w:tcPr>
            <w:tcW w:w="1980" w:type="dxa"/>
            <w:vAlign w:val="bottom"/>
          </w:tcPr>
          <w:p>
            <w:pPr>
              <w:spacing w:after="0"/>
              <w:rPr>
                <w:sz w:val="15"/>
                <w:szCs w:val="15"/>
                <w:color w:val="auto"/>
              </w:rPr>
            </w:pPr>
          </w:p>
        </w:tc>
        <w:tc>
          <w:tcPr>
            <w:tcW w:w="9260" w:type="dxa"/>
            <w:vAlign w:val="bottom"/>
          </w:tcPr>
          <w:p>
            <w:pPr>
              <w:ind w:left="400"/>
              <w:spacing w:after="0" w:line="176" w:lineRule="exact"/>
              <w:rPr>
                <w:sz w:val="20"/>
                <w:szCs w:val="20"/>
                <w:color w:val="auto"/>
              </w:rPr>
            </w:pPr>
            <w:r>
              <w:rPr>
                <w:rFonts w:ascii="Arial" w:cs="Arial" w:eastAsia="Arial" w:hAnsi="Arial"/>
                <w:sz w:val="18"/>
                <w:szCs w:val="18"/>
                <w:color w:val="auto"/>
                <w:w w:val="92"/>
              </w:rPr>
              <w:t>2014. Chief Financial Officer, HSBC Bank USA from July 2010 to January 2014. An employee of ManpowerGroup since</w:t>
            </w:r>
          </w:p>
        </w:tc>
      </w:tr>
      <w:tr>
        <w:trPr>
          <w:trHeight w:val="230"/>
        </w:trPr>
        <w:tc>
          <w:tcPr>
            <w:tcW w:w="198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February 2016.</w:t>
            </w:r>
          </w:p>
        </w:tc>
      </w:tr>
      <w:tr>
        <w:trPr>
          <w:trHeight w:val="350"/>
        </w:trPr>
        <w:tc>
          <w:tcPr>
            <w:tcW w:w="1980" w:type="dxa"/>
            <w:vAlign w:val="bottom"/>
          </w:tcPr>
          <w:p>
            <w:pPr>
              <w:ind w:left="20"/>
              <w:spacing w:after="0"/>
              <w:rPr>
                <w:sz w:val="20"/>
                <w:szCs w:val="20"/>
                <w:color w:val="auto"/>
              </w:rPr>
            </w:pPr>
            <w:r>
              <w:rPr>
                <w:rFonts w:ascii="Arial" w:cs="Arial" w:eastAsia="Arial" w:hAnsi="Arial"/>
                <w:sz w:val="18"/>
                <w:szCs w:val="18"/>
                <w:color w:val="auto"/>
              </w:rPr>
              <w:t>Michelle S. Nettles</w:t>
            </w:r>
          </w:p>
        </w:tc>
        <w:tc>
          <w:tcPr>
            <w:tcW w:w="9260" w:type="dxa"/>
            <w:vAlign w:val="bottom"/>
          </w:tcPr>
          <w:p>
            <w:pPr>
              <w:ind w:left="400"/>
              <w:spacing w:after="0"/>
              <w:rPr>
                <w:sz w:val="20"/>
                <w:szCs w:val="20"/>
                <w:color w:val="auto"/>
              </w:rPr>
            </w:pPr>
            <w:r>
              <w:rPr>
                <w:rFonts w:ascii="Arial" w:cs="Arial" w:eastAsia="Arial" w:hAnsi="Arial"/>
                <w:sz w:val="18"/>
                <w:szCs w:val="18"/>
                <w:color w:val="auto"/>
                <w:w w:val="92"/>
              </w:rPr>
              <w:t>Chief People and Culture Officer since July 2019. Chief People and Diversity Officer of Molson Coors Brewing Company</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color w:val="auto"/>
              </w:rPr>
              <w:t>Age 50</w:t>
            </w:r>
          </w:p>
        </w:tc>
        <w:tc>
          <w:tcPr>
            <w:tcW w:w="9260" w:type="dxa"/>
            <w:vAlign w:val="bottom"/>
          </w:tcPr>
          <w:p>
            <w:pPr>
              <w:ind w:left="400"/>
              <w:spacing w:after="0" w:line="176" w:lineRule="exact"/>
              <w:rPr>
                <w:sz w:val="20"/>
                <w:szCs w:val="20"/>
                <w:color w:val="auto"/>
              </w:rPr>
            </w:pPr>
            <w:r>
              <w:rPr>
                <w:rFonts w:ascii="Arial" w:cs="Arial" w:eastAsia="Arial" w:hAnsi="Arial"/>
                <w:sz w:val="18"/>
                <w:szCs w:val="18"/>
                <w:color w:val="auto"/>
                <w:w w:val="95"/>
              </w:rPr>
              <w:t>from October 2016 to July 2019. Chief Human Resources Officer of MillerCoors from October 2014 to October 2016.</w:t>
            </w:r>
          </w:p>
        </w:tc>
      </w:tr>
      <w:tr>
        <w:trPr>
          <w:trHeight w:val="230"/>
        </w:trPr>
        <w:tc>
          <w:tcPr>
            <w:tcW w:w="198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Prior thereto, held other positions at MillerCoors since 2009. An employee of ManpowerGroup since July 2019.</w:t>
            </w:r>
          </w:p>
        </w:tc>
      </w:tr>
      <w:tr>
        <w:trPr>
          <w:trHeight w:val="350"/>
        </w:trPr>
        <w:tc>
          <w:tcPr>
            <w:tcW w:w="1980" w:type="dxa"/>
            <w:vAlign w:val="bottom"/>
          </w:tcPr>
          <w:p>
            <w:pPr>
              <w:ind w:left="20"/>
              <w:spacing w:after="0"/>
              <w:rPr>
                <w:sz w:val="20"/>
                <w:szCs w:val="20"/>
                <w:color w:val="auto"/>
              </w:rPr>
            </w:pPr>
            <w:r>
              <w:rPr>
                <w:rFonts w:ascii="Arial" w:cs="Arial" w:eastAsia="Arial" w:hAnsi="Arial"/>
                <w:sz w:val="18"/>
                <w:szCs w:val="18"/>
                <w:color w:val="auto"/>
              </w:rPr>
              <w:t>Richard D. Buchband</w:t>
            </w:r>
          </w:p>
        </w:tc>
        <w:tc>
          <w:tcPr>
            <w:tcW w:w="9260" w:type="dxa"/>
            <w:vAlign w:val="bottom"/>
          </w:tcPr>
          <w:p>
            <w:pPr>
              <w:ind w:left="400"/>
              <w:spacing w:after="0"/>
              <w:rPr>
                <w:sz w:val="20"/>
                <w:szCs w:val="20"/>
                <w:color w:val="auto"/>
              </w:rPr>
            </w:pPr>
            <w:r>
              <w:rPr>
                <w:rFonts w:ascii="Arial" w:cs="Arial" w:eastAsia="Arial" w:hAnsi="Arial"/>
                <w:sz w:val="18"/>
                <w:szCs w:val="18"/>
                <w:color w:val="auto"/>
                <w:w w:val="93"/>
              </w:rPr>
              <w:t>Senior Vice President, General Counsel and Secretary of ManpowerGroup since January 2013. Partner and Associate</w:t>
            </w: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Age 58</w:t>
            </w:r>
          </w:p>
        </w:tc>
        <w:tc>
          <w:tcPr>
            <w:tcW w:w="9260" w:type="dxa"/>
            <w:vAlign w:val="bottom"/>
          </w:tcPr>
          <w:p>
            <w:pPr>
              <w:ind w:left="400"/>
              <w:spacing w:after="0"/>
              <w:rPr>
                <w:sz w:val="20"/>
                <w:szCs w:val="20"/>
                <w:color w:val="auto"/>
              </w:rPr>
            </w:pPr>
            <w:r>
              <w:rPr>
                <w:rFonts w:ascii="Arial" w:cs="Arial" w:eastAsia="Arial" w:hAnsi="Arial"/>
                <w:sz w:val="18"/>
                <w:szCs w:val="18"/>
                <w:color w:val="auto"/>
              </w:rPr>
              <w:t>General Counsel for Accenture plc from 2006 to 2011. An employee of ManpowerGroup since January 2013.</w:t>
            </w:r>
          </w:p>
        </w:tc>
      </w:tr>
      <w:tr>
        <w:trPr>
          <w:trHeight w:val="620"/>
        </w:trPr>
        <w:tc>
          <w:tcPr>
            <w:tcW w:w="1980" w:type="dxa"/>
            <w:vAlign w:val="bottom"/>
          </w:tcPr>
          <w:p>
            <w:pPr>
              <w:spacing w:after="0"/>
              <w:rPr>
                <w:sz w:val="24"/>
                <w:szCs w:val="24"/>
                <w:color w:val="auto"/>
              </w:rPr>
            </w:pPr>
          </w:p>
        </w:tc>
        <w:tc>
          <w:tcPr>
            <w:tcW w:w="9260" w:type="dxa"/>
            <w:vAlign w:val="bottom"/>
          </w:tcPr>
          <w:p>
            <w:pPr>
              <w:jc w:val="center"/>
              <w:ind w:right="1870"/>
              <w:spacing w:after="0"/>
              <w:rPr>
                <w:sz w:val="20"/>
                <w:szCs w:val="20"/>
                <w:color w:val="auto"/>
              </w:rPr>
            </w:pPr>
            <w:r>
              <w:rPr>
                <w:rFonts w:ascii="Arial" w:cs="Arial" w:eastAsia="Arial" w:hAnsi="Arial"/>
                <w:sz w:val="18"/>
                <w:szCs w:val="18"/>
                <w:color w:val="auto"/>
                <w:w w:val="89"/>
              </w:rPr>
              <w:t>27</w:t>
            </w:r>
          </w:p>
        </w:tc>
      </w:tr>
      <w:tr>
        <w:trPr>
          <w:trHeight w:val="102"/>
        </w:trPr>
        <w:tc>
          <w:tcPr>
            <w:tcW w:w="1980" w:type="dxa"/>
            <w:vAlign w:val="bottom"/>
            <w:tcBorders>
              <w:bottom w:val="single" w:sz="8" w:color="9A9A9A"/>
            </w:tcBorders>
          </w:tcPr>
          <w:p>
            <w:pPr>
              <w:spacing w:after="0"/>
              <w:rPr>
                <w:sz w:val="8"/>
                <w:szCs w:val="8"/>
                <w:color w:val="auto"/>
              </w:rPr>
            </w:pPr>
          </w:p>
        </w:tc>
        <w:tc>
          <w:tcPr>
            <w:tcW w:w="9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7" w:name="page28"/>
    <w:bookmarkEnd w:id="27"/>
    <w:p>
      <w:pPr>
        <w:ind w:left="4620"/>
        <w:spacing w:after="0"/>
        <w:rPr>
          <w:sz w:val="20"/>
          <w:szCs w:val="20"/>
          <w:color w:val="auto"/>
        </w:rPr>
      </w:pPr>
      <w:r>
        <w:rPr>
          <w:rFonts w:ascii="Arial" w:cs="Arial" w:eastAsia="Arial" w:hAnsi="Arial"/>
          <w:sz w:val="18"/>
          <w:szCs w:val="18"/>
          <w:b w:val="1"/>
          <w:b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in 2021:</w:t>
      </w:r>
    </w:p>
    <w:p>
      <w:pPr>
        <w:spacing w:after="0" w:line="130"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196" w:lineRule="exact"/>
        <w:rPr>
          <w:rFonts w:ascii="Arial" w:cs="Arial" w:eastAsia="Arial" w:hAnsi="Arial"/>
          <w:sz w:val="17"/>
          <w:szCs w:val="17"/>
          <w:color w:val="auto"/>
        </w:rPr>
      </w:pPr>
    </w:p>
    <w:p>
      <w:pPr>
        <w:ind w:left="52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30"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Listing and Trading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for trading on the New York Stock Exchange under the symbol MAN.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 of Record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16, 2022, the Company's common stock was held by approximately 2,700 record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August 2021, the Board of Directors authorized the repurchase of 4.0 million shares of our common stock. This authorization is in addition to the August 2019 Board authorizations to repurchase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fourth quarter of 2021. As of December 31, 2021, there were 4.0 million and 1.9 million shares remaining authorized for repurchase under the 2021 authorization and 2019 authorization,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number of</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restart"/>
          </w:tcPr>
          <w:p>
            <w:pPr>
              <w:jc w:val="center"/>
              <w:ind w:right="330"/>
              <w:spacing w:after="0"/>
              <w:rPr>
                <w:sz w:val="20"/>
                <w:szCs w:val="20"/>
                <w:color w:val="auto"/>
              </w:rPr>
            </w:pPr>
            <w:r>
              <w:rPr>
                <w:rFonts w:ascii="Arial" w:cs="Arial" w:eastAsia="Arial" w:hAnsi="Arial"/>
                <w:sz w:val="18"/>
                <w:szCs w:val="18"/>
                <w:b w:val="1"/>
                <w:bCs w:val="1"/>
                <w:color w:val="auto"/>
                <w:w w:val="90"/>
              </w:rPr>
              <w:t>Average</w:t>
            </w:r>
          </w:p>
        </w:tc>
        <w:tc>
          <w:tcPr>
            <w:tcW w:w="200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6"/>
              </w:rPr>
              <w:t>shares purchased</w:t>
            </w: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of shares that may</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8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 number of</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0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as part of publicly</w:t>
            </w: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350"/>
              <w:spacing w:after="0" w:line="176" w:lineRule="exact"/>
              <w:rPr>
                <w:sz w:val="20"/>
                <w:szCs w:val="20"/>
                <w:color w:val="auto"/>
              </w:rPr>
            </w:pPr>
            <w:r>
              <w:rPr>
                <w:rFonts w:ascii="Arial" w:cs="Arial" w:eastAsia="Arial" w:hAnsi="Arial"/>
                <w:sz w:val="18"/>
                <w:szCs w:val="18"/>
                <w:b w:val="1"/>
                <w:bCs w:val="1"/>
                <w:color w:val="auto"/>
                <w:w w:val="91"/>
              </w:rPr>
              <w:t>price paid</w:t>
            </w:r>
          </w:p>
        </w:tc>
        <w:tc>
          <w:tcPr>
            <w:tcW w:w="20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announced plan or</w:t>
            </w: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under the plan or</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6"/>
              </w:rPr>
              <w:t>shares purchased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center"/>
              <w:ind w:right="330"/>
              <w:spacing w:after="0" w:line="202" w:lineRule="exact"/>
              <w:rPr>
                <w:sz w:val="20"/>
                <w:szCs w:val="20"/>
                <w:color w:val="auto"/>
              </w:rPr>
            </w:pPr>
            <w:r>
              <w:rPr>
                <w:rFonts w:ascii="Arial" w:cs="Arial" w:eastAsia="Arial" w:hAnsi="Arial"/>
                <w:sz w:val="18"/>
                <w:szCs w:val="18"/>
                <w:b w:val="1"/>
                <w:bCs w:val="1"/>
                <w:color w:val="auto"/>
                <w:w w:val="88"/>
              </w:rPr>
              <w:t>per share</w:t>
            </w:r>
          </w:p>
        </w:tc>
        <w:tc>
          <w:tcPr>
            <w:tcW w:w="20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89"/>
              </w:rPr>
              <w:t>programs</w:t>
            </w: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196"/>
        </w:trPr>
        <w:tc>
          <w:tcPr>
            <w:tcW w:w="3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1 - 31, 2021</w:t>
            </w:r>
          </w:p>
        </w:tc>
        <w:tc>
          <w:tcPr>
            <w:tcW w:w="18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1,385</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5,865,738</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November 1 - 30, 2021</w:t>
            </w:r>
          </w:p>
        </w:tc>
        <w:tc>
          <w:tcPr>
            <w:tcW w:w="18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5,865,738</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1 - 31, 2021</w:t>
            </w:r>
          </w:p>
        </w:tc>
        <w:tc>
          <w:tcPr>
            <w:tcW w:w="18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643,098</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93.29</w:t>
            </w:r>
          </w:p>
        </w:tc>
        <w:tc>
          <w:tcPr>
            <w:tcW w:w="20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643,098</w:t>
            </w:r>
          </w:p>
        </w:tc>
        <w:tc>
          <w:tcPr>
            <w:tcW w:w="21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5,222,640</w:t>
            </w:r>
          </w:p>
        </w:tc>
        <w:tc>
          <w:tcPr>
            <w:tcW w:w="0" w:type="dxa"/>
            <w:vAlign w:val="bottom"/>
          </w:tcPr>
          <w:p>
            <w:pPr>
              <w:spacing w:after="0"/>
              <w:rPr>
                <w:sz w:val="1"/>
                <w:szCs w:val="1"/>
                <w:color w:val="auto"/>
              </w:rPr>
            </w:pPr>
          </w:p>
        </w:tc>
      </w:tr>
      <w:tr>
        <w:trPr>
          <w:trHeight w:val="196"/>
        </w:trPr>
        <w:tc>
          <w:tcPr>
            <w:tcW w:w="3280" w:type="dxa"/>
            <w:vAlign w:val="bottom"/>
          </w:tcPr>
          <w:p>
            <w:pPr>
              <w:ind w:left="200"/>
              <w:spacing w:after="0" w:line="182"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644,483</w:t>
            </w:r>
          </w:p>
        </w:tc>
        <w:tc>
          <w:tcPr>
            <w:tcW w:w="300" w:type="dxa"/>
            <w:vAlign w:val="bottom"/>
          </w:tcPr>
          <w:p>
            <w:pPr>
              <w:spacing w:after="0"/>
              <w:rPr>
                <w:sz w:val="17"/>
                <w:szCs w:val="17"/>
                <w:color w:val="auto"/>
              </w:rPr>
            </w:pPr>
          </w:p>
        </w:tc>
        <w:tc>
          <w:tcPr>
            <w:tcW w:w="2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50"/>
              <w:spacing w:after="0" w:line="182" w:lineRule="exact"/>
              <w:rPr>
                <w:sz w:val="20"/>
                <w:szCs w:val="20"/>
                <w:color w:val="auto"/>
              </w:rPr>
            </w:pPr>
            <w:r>
              <w:rPr>
                <w:rFonts w:ascii="Arial" w:cs="Arial" w:eastAsia="Arial" w:hAnsi="Arial"/>
                <w:sz w:val="18"/>
                <w:szCs w:val="18"/>
                <w:color w:val="auto"/>
              </w:rPr>
              <w:t>93.29</w:t>
            </w:r>
          </w:p>
        </w:tc>
        <w:tc>
          <w:tcPr>
            <w:tcW w:w="20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643,098</w:t>
            </w:r>
          </w:p>
        </w:tc>
        <w:tc>
          <w:tcPr>
            <w:tcW w:w="2180" w:type="dxa"/>
            <w:vAlign w:val="bottom"/>
          </w:tcPr>
          <w:p>
            <w:pPr>
              <w:jc w:val="right"/>
              <w:spacing w:after="0" w:line="182" w:lineRule="exact"/>
              <w:rPr>
                <w:sz w:val="20"/>
                <w:szCs w:val="20"/>
                <w:color w:val="auto"/>
              </w:rPr>
            </w:pPr>
            <w:r>
              <w:rPr>
                <w:rFonts w:ascii="Arial" w:cs="Arial" w:eastAsia="Arial" w:hAnsi="Arial"/>
                <w:sz w:val="18"/>
                <w:szCs w:val="18"/>
                <w:color w:val="auto"/>
              </w:rPr>
              <w:t>5,222,640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-159385</wp:posOffset>
            </wp:positionV>
            <wp:extent cx="21463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32" w:lineRule="exact"/>
        <w:rPr>
          <w:sz w:val="20"/>
          <w:szCs w:val="20"/>
          <w:color w:val="auto"/>
        </w:rPr>
      </w:pPr>
    </w:p>
    <w:p>
      <w:pPr>
        <w:ind w:firstLine="8"/>
        <w:spacing w:after="0" w:line="258" w:lineRule="auto"/>
        <w:tabs>
          <w:tab w:leader="none" w:pos="23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shares of common stock withheld by ManpowerGroup to satisfy tax withholding obligations on shares acquired by certain officers in settlement of restricted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Performance Graph</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Set forth below is a graph for the periods ending December 31, 2016-2021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15% of the total market capitalization of the companies included in the index. The graph assumes a $100 investment on December 31, 2016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111760</wp:posOffset>
            </wp:positionV>
            <wp:extent cx="4526280" cy="1826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2628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ManpowerGroup</w:t>
            </w:r>
          </w:p>
        </w:tc>
        <w:tc>
          <w:tcPr>
            <w:tcW w:w="5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100</w:t>
            </w:r>
          </w:p>
        </w:tc>
        <w:tc>
          <w:tcPr>
            <w:tcW w:w="4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142</w:t>
            </w:r>
          </w:p>
        </w:tc>
        <w:tc>
          <w:tcPr>
            <w:tcW w:w="4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73</w:t>
            </w:r>
          </w:p>
        </w:tc>
        <w:tc>
          <w:tcPr>
            <w:tcW w:w="4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109</w:t>
            </w:r>
          </w:p>
        </w:tc>
        <w:tc>
          <w:tcPr>
            <w:tcW w:w="4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101</w:t>
            </w:r>
          </w:p>
        </w:tc>
        <w:tc>
          <w:tcPr>
            <w:tcW w:w="4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S&amp;P 400 Midcap Stock Index</w:t>
            </w:r>
          </w:p>
        </w:tc>
        <w:tc>
          <w:tcPr>
            <w:tcW w:w="520" w:type="dxa"/>
            <w:vAlign w:val="bottom"/>
          </w:tcPr>
          <w:p>
            <w:pPr>
              <w:spacing w:after="0"/>
              <w:rPr>
                <w:sz w:val="17"/>
                <w:szCs w:val="17"/>
                <w:color w:val="auto"/>
              </w:rPr>
            </w:pPr>
          </w:p>
        </w:tc>
        <w:tc>
          <w:tcPr>
            <w:tcW w:w="7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44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420" w:type="dxa"/>
            <w:vAlign w:val="bottom"/>
          </w:tcPr>
          <w:p>
            <w:pPr>
              <w:spacing w:after="0"/>
              <w:rPr>
                <w:sz w:val="17"/>
                <w:szCs w:val="17"/>
                <w:color w:val="auto"/>
              </w:rPr>
            </w:pP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420" w:type="dxa"/>
            <w:vAlign w:val="bottom"/>
          </w:tcPr>
          <w:p>
            <w:pPr>
              <w:spacing w:after="0"/>
              <w:rPr>
                <w:sz w:val="17"/>
                <w:szCs w:val="17"/>
                <w:color w:val="auto"/>
              </w:rPr>
            </w:pPr>
          </w:p>
        </w:tc>
        <w:tc>
          <w:tcPr>
            <w:tcW w:w="6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124</w:t>
            </w:r>
          </w:p>
        </w:tc>
        <w:tc>
          <w:tcPr>
            <w:tcW w:w="42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w:t>
            </w:r>
          </w:p>
        </w:tc>
        <w:tc>
          <w:tcPr>
            <w:tcW w:w="420" w:type="dxa"/>
            <w:vAlign w:val="bottom"/>
          </w:tcPr>
          <w:p>
            <w:pPr>
              <w:spacing w:after="0"/>
              <w:rPr>
                <w:sz w:val="17"/>
                <w:szCs w:val="17"/>
                <w:color w:val="auto"/>
              </w:rPr>
            </w:pP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62"/>
        </w:trPr>
        <w:tc>
          <w:tcPr>
            <w:tcW w:w="44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4"/>
              </w:rPr>
              <w:t>S&amp;P Supercomposite Human Resources and Employment</w:t>
            </w:r>
          </w:p>
        </w:tc>
        <w:tc>
          <w:tcPr>
            <w:tcW w:w="52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42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Services Index</w:t>
            </w:r>
          </w:p>
        </w:tc>
        <w:tc>
          <w:tcPr>
            <w:tcW w:w="5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0" w:name="page31"/>
    <w:bookmarkEnd w:id="30"/>
    <w:p>
      <w:pPr>
        <w:ind w:right="3820"/>
        <w:spacing w:after="0" w:line="44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u w:val="single" w:color="auto"/>
          <w:color w:val="auto"/>
        </w:rPr>
        <w:t>Financial Measures — Constant Currency And Organic Constant Currency</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5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Constant currency and organic constant currency percent variances, along with a reconciliation of these amounts to certain of our reported results, see the Financial Measures section found in Item 7. "Management's Discussion and Analysis of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 For Years of Operation Ending December 31, 2021 and 2020</w:t>
      </w:r>
    </w:p>
    <w:p>
      <w:pPr>
        <w:spacing w:after="0" w:line="185" w:lineRule="exact"/>
        <w:rPr>
          <w:sz w:val="20"/>
          <w:szCs w:val="20"/>
          <w:color w:val="auto"/>
        </w:rPr>
      </w:pPr>
    </w:p>
    <w:p>
      <w:pPr>
        <w:jc w:val="both"/>
        <w:spacing w:after="0" w:line="261" w:lineRule="auto"/>
        <w:rPr>
          <w:rFonts w:ascii="Arial" w:cs="Arial" w:eastAsia="Arial" w:hAnsi="Arial"/>
          <w:sz w:val="18"/>
          <w:szCs w:val="18"/>
          <w:color w:val="0563C1"/>
        </w:rPr>
      </w:pPr>
      <w:r>
        <w:rPr>
          <w:rFonts w:ascii="Arial" w:cs="Arial" w:eastAsia="Arial" w:hAnsi="Arial"/>
          <w:sz w:val="18"/>
          <w:szCs w:val="18"/>
          <w:color w:val="auto"/>
        </w:rPr>
        <w:t xml:space="preserve">The financial discussion that follows focuses on 2021 results compared to 2020. For a discussion of 2020 results compared to 2019, see the company’s </w:t>
      </w:r>
      <w:hyperlink r:id="rId43">
        <w:r>
          <w:rPr>
            <w:rFonts w:ascii="Arial" w:cs="Arial" w:eastAsia="Arial" w:hAnsi="Arial"/>
            <w:sz w:val="18"/>
            <w:szCs w:val="18"/>
            <w:u w:val="single" w:color="auto"/>
            <w:color w:val="0563C1"/>
          </w:rPr>
          <w:t>Annual Report on Form 10-K for the year ended December 31, 2020</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3140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140710" cy="8890"/>
                    </a:xfrm>
                    <a:prstGeom prst="rect">
                      <a:avLst/>
                    </a:prstGeom>
                    <a:noFill/>
                  </pic:spPr>
                </pic:pic>
              </a:graphicData>
            </a:graphic>
          </wp:anchor>
        </w:drawing>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2021, we experienced recovery in the majority of our markets as we anniversaried the COVID-19 related declines in our results that occurred in 2020. Revenues increased 15.1% in 2021 compared to 2020. Our 2021 results reflected the global economic recovery with strong hiring demand from our clients due to vaccine rollouts throughout the year and the easing of pandemic-related restrictions in many countries resulting in increased demand for our services in most of our key markets. However, this recovery we experienced was not uniform, with some markets, particularly in Europe, continuing to experience COVID-19 related challenges. These challenges included the imposition of additional or extended lockdowns or other restrictions, mostly occurring during the first and second quarters, which impaired the rate of recovery. During the second half of 2021, we experienced a slowing rate of recovery, particularly in Europe, that was not only impacted by COVID-19 related challenges but also included additional challenges that impacted client demand for our services. These additional challenges included supply chain issues as well as labor shortages. We believe certain parts of the workforce did not return to the labor market in many industries and markets over concerns about the COVID-19 Delta and Omicron variants. Although we experienced strengthening demand across most geographies and industries during 2021 compared to 2020, uncertainty remains as to the future impact of the pandemic on global and local economies. See Part 1, Item 1A, of this Annual Report on Form 10-K for an additional discussion of risks related to COVID-19.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7"/>
          <w:szCs w:val="17"/>
          <w:color w:val="auto"/>
        </w:rPr>
        <w:t>In addition to the impact from COVID-19 discussed above, results for the year were impacted by currency. During 2021, the United States dollar was weaker, on average, relative to the currencies in our European markets, which therefore had a favorable impact on our reported results. The changes in the foreign currency exchange rates had a 3.0% favorable impact on revenues from services and an approximately $0.17 per share favorable impact on net earnings per share – diluted in 2021.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2021, we experienced the following quarterly changes to our consolidated revenues compared to 2020: first quarter revenue increase of 6.6% reflecting recovery in the majority of our markets as we began to anniversary the significant COVID-19 related declines in our results that occurred during the last two weeks of the first quarter of 2020; a significant revenue increase of 41.0% in the second quarter as COVID-19 had a significant impact on the entire second quarter of 2020, especially in April and May; 12.1% increase in revenues in the third quarter reflecting a slowing in the rate of recovery in a number of key markets compared to the second quarter; and ending the year with a 6.5% revenue increase in the fourth quarter of 2021 reflecting the further slowing of our recovery rate primarily due to the anniversary of significant revenue recovery in the prior year quarter and ongoing COVID-19 uncertainty.</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2021 compared to 2020, most of our markets experienced revenue increases as the global recovery continued and as we anniversaried the revenue declines due to the COVID-19 crisis. We experienced a 19.0% revenue increase in Southern Europe, mainly driven by the increased demand in France and Italy. We experienced a 17.4% revenue increase in Northern Europe primarily due to the increased demand for our staffing/interim services, mostly in the United Kingdom and the Nordics. Revenues increased 12.4% in the Americas driven primarily by the increase in demand for our staffing/interim services, increased demand for our RPO and MSP offerings in the United States and the additional revenues as result of the acquisition of ettain group in October 2021. We experienced a 4.4% revenue increase in APME primarily due to the increase in our Experis business.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From a brand perspective, we experienced revenue increases in all of our brands during 2021 compared to 2020. The revenue increase in our Manpower brand was primarily due to improved demand for our staffing services and an increase in our permanent recruitment business. In our Experis brand, the revenue increase was primarily due to the improved demand for our interim services, an increase in our permanent recruitment business and increased demand for our managed services, primarily in Southern Europe, and the additional revenues as a result of the acquisition of ettain group. On an overall basis, the revenue increase in our Talent Solutions brand, which includes Recruitment Process Outsourcing (RPO), TAPFIN - Managed Service Provider (MSP) and our Right Management offerings, was driven mostly by increased demand for our RPO and MSP services, partially offset by the decline in our Right Management career transition business. As workplaces reopened across our geographies and workers returned in phased approaches, we saw increased client demand for our HR skills within our RPO business due to significant hiring activity. Our MSP business has remained resilient during the pandemic and we experienced growth during 2021 as we assisted more clients to develop customized workforce solutions.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gross profit margin improved in 2021 compared to 2020 primarily due to a favorable change in business mix as our higher-margin permanent recruitment business, which experienced a 45.5% increase (41.7% in constant currency and 41.4% in organic constant currency) during 2021 as a result of stronger hiring activity, represented a higher percentage of the revenue mix in our largest markets during 2021 compared to 2020. The increase was also due to the improvement in our staffing/interim margins in the Americas, Southern Europe and APME, margin improvement in our Experis managed services business in Europe, and a higher percentage of revenue mix coming from our higher-margin consulting and MSP services. These increases were partially offset a lower mix of revenues coming from our higher-margin Right Management career transition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8"/>
          <w:szCs w:val="18"/>
          <w:color w:val="auto"/>
        </w:rPr>
        <w:t>We recorded transaction and integration costs of $18.8 million in 2021 relating to our acquisition of ettain group in the fourth quarter of 2021. We recorded restructuring costs of $15.2 million in 2021 related to the Americas and Northern Europe. We also recognized a one-time gain of $10.0 million related to a long-term obligation in Northern Europe.</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profit margin increased 212.0% in 2021 while our operating profit margin increased 180 basis points compared to 2020. Excluding acquisition transaction and integration costs incurred in 2021, the one-time gain related to a Northern Europe long-term obligation, restructuring costs incurred in 2021 of $15.2 million and $110.7 million in 2020, $72.8 million of goodwill and other impairment charges incurred in 2020,</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and a loss of $5.8 million from the disposition of subsidiaries incurred in 2020, our operating profit was up 61.7% while operating profit margin was up 80 basis points compared to 2020. The operating profit margin increased mostly due to the improvement in our gross profit margin and our ability to support an increase in revenues without a similar increase in selling and administrative expenses.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 - 2021 compared to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2021 as compared to 2020.</w:t>
      </w:r>
    </w:p>
    <w:tbl>
      <w:tblPr>
        <w:tblLayout w:type="fixed"/>
        <w:tblInd w:w="0" w:type="dxa"/>
        <w:tblCellMar>
          <w:top w:w="0" w:type="dxa"/>
          <w:left w:w="0" w:type="dxa"/>
          <w:bottom w:w="0" w:type="dxa"/>
          <w:right w:w="0" w:type="dxa"/>
        </w:tblCellMar>
      </w:tblPr>
      <w:tr>
        <w:trPr>
          <w:trHeight w:val="153"/>
        </w:trPr>
        <w:tc>
          <w:tcPr>
            <w:tcW w:w="4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jc w:val="right"/>
              <w:ind w:right="179"/>
              <w:spacing w:after="0" w:line="153" w:lineRule="exact"/>
              <w:rPr>
                <w:sz w:val="20"/>
                <w:szCs w:val="20"/>
                <w:color w:val="auto"/>
              </w:rPr>
            </w:pPr>
            <w:r>
              <w:rPr>
                <w:rFonts w:ascii="Arial" w:cs="Arial" w:eastAsia="Arial" w:hAnsi="Arial"/>
                <w:sz w:val="14"/>
                <w:szCs w:val="14"/>
                <w:color w:val="auto"/>
              </w:rPr>
              <w:t>Variance in</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jc w:val="right"/>
              <w:ind w:right="295"/>
              <w:spacing w:after="0" w:line="149" w:lineRule="exact"/>
              <w:rPr>
                <w:sz w:val="20"/>
                <w:szCs w:val="20"/>
                <w:color w:val="auto"/>
              </w:rPr>
            </w:pPr>
            <w:r>
              <w:rPr>
                <w:rFonts w:ascii="Arial" w:cs="Arial" w:eastAsia="Arial" w:hAnsi="Arial"/>
                <w:sz w:val="14"/>
                <w:szCs w:val="14"/>
                <w:color w:val="auto"/>
              </w:rPr>
              <w:t>Variance in</w:t>
            </w:r>
          </w:p>
        </w:tc>
        <w:tc>
          <w:tcPr>
            <w:tcW w:w="1120" w:type="dxa"/>
            <w:vAlign w:val="bottom"/>
          </w:tcPr>
          <w:p>
            <w:pPr>
              <w:jc w:val="right"/>
              <w:ind w:right="179"/>
              <w:spacing w:after="0" w:line="149" w:lineRule="exact"/>
              <w:rPr>
                <w:sz w:val="20"/>
                <w:szCs w:val="20"/>
                <w:color w:val="auto"/>
              </w:rPr>
            </w:pPr>
            <w:r>
              <w:rPr>
                <w:rFonts w:ascii="Arial" w:cs="Arial" w:eastAsia="Arial" w:hAnsi="Arial"/>
                <w:sz w:val="14"/>
                <w:szCs w:val="14"/>
                <w:color w:val="auto"/>
              </w:rPr>
              <w:t>Organic</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373"/>
              <w:spacing w:after="0" w:line="149" w:lineRule="exact"/>
              <w:rPr>
                <w:sz w:val="20"/>
                <w:szCs w:val="20"/>
                <w:color w:val="auto"/>
              </w:rPr>
            </w:pPr>
            <w:r>
              <w:rPr>
                <w:rFonts w:ascii="Arial" w:cs="Arial" w:eastAsia="Arial" w:hAnsi="Arial"/>
                <w:sz w:val="14"/>
                <w:szCs w:val="14"/>
                <w:color w:val="auto"/>
              </w:rPr>
              <w:t>Reported</w:t>
            </w:r>
          </w:p>
        </w:tc>
        <w:tc>
          <w:tcPr>
            <w:tcW w:w="1240" w:type="dxa"/>
            <w:vAlign w:val="bottom"/>
          </w:tcPr>
          <w:p>
            <w:pPr>
              <w:jc w:val="right"/>
              <w:ind w:right="295"/>
              <w:spacing w:after="0" w:line="149" w:lineRule="exact"/>
              <w:rPr>
                <w:sz w:val="20"/>
                <w:szCs w:val="20"/>
                <w:color w:val="auto"/>
              </w:rPr>
            </w:pPr>
            <w:r>
              <w:rPr>
                <w:rFonts w:ascii="Arial" w:cs="Arial" w:eastAsia="Arial" w:hAnsi="Arial"/>
                <w:sz w:val="14"/>
                <w:szCs w:val="14"/>
                <w:color w:val="auto"/>
              </w:rPr>
              <w:t>Constant</w:t>
            </w:r>
          </w:p>
        </w:tc>
        <w:tc>
          <w:tcPr>
            <w:tcW w:w="1120" w:type="dxa"/>
            <w:vAlign w:val="bottom"/>
          </w:tcPr>
          <w:p>
            <w:pPr>
              <w:jc w:val="right"/>
              <w:ind w:right="179"/>
              <w:spacing w:after="0" w:line="149" w:lineRule="exact"/>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81"/>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2020</w:t>
            </w: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Variance</w:t>
            </w: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Currency</w:t>
            </w: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6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20,724.4</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71"/>
              <w:spacing w:after="0" w:line="196" w:lineRule="exact"/>
              <w:rPr>
                <w:sz w:val="20"/>
                <w:szCs w:val="20"/>
                <w:color w:val="auto"/>
              </w:rPr>
            </w:pPr>
            <w:r>
              <w:rPr>
                <w:rFonts w:ascii="Arial" w:cs="Arial" w:eastAsia="Arial" w:hAnsi="Arial"/>
                <w:sz w:val="18"/>
                <w:szCs w:val="18"/>
                <w:color w:val="auto"/>
              </w:rPr>
              <w:t>18,001.0</w:t>
            </w:r>
          </w:p>
        </w:tc>
        <w:tc>
          <w:tcPr>
            <w:tcW w:w="1280" w:type="dxa"/>
            <w:vAlign w:val="bottom"/>
            <w:shd w:val="clear" w:color="auto" w:fill="CFF0FC"/>
          </w:tcPr>
          <w:p>
            <w:pPr>
              <w:jc w:val="right"/>
              <w:ind w:right="193"/>
              <w:spacing w:after="0" w:line="196" w:lineRule="exact"/>
              <w:rPr>
                <w:sz w:val="20"/>
                <w:szCs w:val="20"/>
                <w:color w:val="auto"/>
              </w:rPr>
            </w:pPr>
            <w:r>
              <w:rPr>
                <w:rFonts w:ascii="Arial" w:cs="Arial" w:eastAsia="Arial" w:hAnsi="Arial"/>
                <w:sz w:val="18"/>
                <w:szCs w:val="18"/>
                <w:color w:val="auto"/>
              </w:rPr>
              <w:t>15.1 %</w:t>
            </w:r>
          </w:p>
        </w:tc>
        <w:tc>
          <w:tcPr>
            <w:tcW w:w="1240" w:type="dxa"/>
            <w:vAlign w:val="bottom"/>
            <w:shd w:val="clear" w:color="auto" w:fill="CFF0FC"/>
          </w:tcPr>
          <w:p>
            <w:pPr>
              <w:jc w:val="right"/>
              <w:ind w:right="115"/>
              <w:spacing w:after="0" w:line="196" w:lineRule="exact"/>
              <w:rPr>
                <w:sz w:val="20"/>
                <w:szCs w:val="20"/>
                <w:color w:val="auto"/>
              </w:rPr>
            </w:pPr>
            <w:r>
              <w:rPr>
                <w:rFonts w:ascii="Arial" w:cs="Arial" w:eastAsia="Arial" w:hAnsi="Arial"/>
                <w:sz w:val="18"/>
                <w:szCs w:val="18"/>
                <w:color w:val="auto"/>
              </w:rPr>
              <w:t>12.1 %</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17,316.9</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71"/>
              <w:spacing w:after="0" w:line="202" w:lineRule="exact"/>
              <w:rPr>
                <w:sz w:val="20"/>
                <w:szCs w:val="20"/>
                <w:color w:val="auto"/>
              </w:rPr>
            </w:pPr>
            <w:r>
              <w:rPr>
                <w:rFonts w:ascii="Arial" w:cs="Arial" w:eastAsia="Arial" w:hAnsi="Arial"/>
                <w:sz w:val="18"/>
                <w:szCs w:val="18"/>
                <w:color w:val="auto"/>
              </w:rPr>
              <w:t>15,176.3</w:t>
            </w:r>
          </w:p>
        </w:tc>
        <w:tc>
          <w:tcPr>
            <w:tcW w:w="128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14.1</w:t>
            </w:r>
          </w:p>
        </w:tc>
        <w:tc>
          <w:tcPr>
            <w:tcW w:w="1240" w:type="dxa"/>
            <w:vAlign w:val="bottom"/>
            <w:tcBorders>
              <w:bottom w:val="single" w:sz="8" w:color="auto"/>
            </w:tcBorders>
          </w:tcPr>
          <w:p>
            <w:pPr>
              <w:jc w:val="right"/>
              <w:ind w:right="295"/>
              <w:spacing w:after="0" w:line="202" w:lineRule="exact"/>
              <w:rPr>
                <w:sz w:val="20"/>
                <w:szCs w:val="20"/>
                <w:color w:val="auto"/>
              </w:rPr>
            </w:pPr>
            <w:r>
              <w:rPr>
                <w:rFonts w:ascii="Arial" w:cs="Arial" w:eastAsia="Arial" w:hAnsi="Arial"/>
                <w:sz w:val="18"/>
                <w:szCs w:val="18"/>
                <w:color w:val="auto"/>
              </w:rPr>
              <w:t>11.1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3,407.5</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71"/>
              <w:spacing w:after="0" w:line="196" w:lineRule="exact"/>
              <w:rPr>
                <w:sz w:val="20"/>
                <w:szCs w:val="20"/>
                <w:color w:val="auto"/>
              </w:rPr>
            </w:pPr>
            <w:r>
              <w:rPr>
                <w:rFonts w:ascii="Arial" w:cs="Arial" w:eastAsia="Arial" w:hAnsi="Arial"/>
                <w:sz w:val="18"/>
                <w:szCs w:val="18"/>
                <w:color w:val="auto"/>
              </w:rPr>
              <w:t>2,824.7</w:t>
            </w:r>
          </w:p>
        </w:tc>
        <w:tc>
          <w:tcPr>
            <w:tcW w:w="1280" w:type="dxa"/>
            <w:vAlign w:val="bottom"/>
            <w:shd w:val="clear" w:color="auto" w:fill="CFF0FC"/>
          </w:tcPr>
          <w:p>
            <w:pPr>
              <w:jc w:val="right"/>
              <w:ind w:right="373"/>
              <w:spacing w:after="0" w:line="196" w:lineRule="exact"/>
              <w:rPr>
                <w:sz w:val="20"/>
                <w:szCs w:val="20"/>
                <w:color w:val="auto"/>
              </w:rPr>
            </w:pPr>
            <w:r>
              <w:rPr>
                <w:rFonts w:ascii="Arial" w:cs="Arial" w:eastAsia="Arial" w:hAnsi="Arial"/>
                <w:sz w:val="18"/>
                <w:szCs w:val="18"/>
                <w:color w:val="auto"/>
              </w:rPr>
              <w:t>20.6</w:t>
            </w:r>
          </w:p>
        </w:tc>
        <w:tc>
          <w:tcPr>
            <w:tcW w:w="1240" w:type="dxa"/>
            <w:vAlign w:val="bottom"/>
            <w:shd w:val="clear" w:color="auto" w:fill="CFF0FC"/>
          </w:tcPr>
          <w:p>
            <w:pPr>
              <w:jc w:val="right"/>
              <w:ind w:right="295"/>
              <w:spacing w:after="0" w:line="196" w:lineRule="exact"/>
              <w:rPr>
                <w:sz w:val="20"/>
                <w:szCs w:val="20"/>
                <w:color w:val="auto"/>
              </w:rPr>
            </w:pPr>
            <w:r>
              <w:rPr>
                <w:rFonts w:ascii="Arial" w:cs="Arial" w:eastAsia="Arial" w:hAnsi="Arial"/>
                <w:sz w:val="18"/>
                <w:szCs w:val="18"/>
                <w:color w:val="auto"/>
              </w:rPr>
              <w:t>17.9</w:t>
            </w:r>
          </w:p>
        </w:tc>
        <w:tc>
          <w:tcPr>
            <w:tcW w:w="1120" w:type="dxa"/>
            <w:vAlign w:val="bottom"/>
            <w:shd w:val="clear" w:color="auto" w:fill="CFF0FC"/>
          </w:tcPr>
          <w:p>
            <w:pPr>
              <w:jc w:val="right"/>
              <w:ind w:right="179"/>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Gross profit margin</w:t>
            </w:r>
          </w:p>
        </w:tc>
        <w:tc>
          <w:tcPr>
            <w:tcW w:w="6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16.4 %</w:t>
            </w:r>
          </w:p>
        </w:tc>
        <w:tc>
          <w:tcPr>
            <w:tcW w:w="280" w:type="dxa"/>
            <w:vAlign w:val="bottom"/>
          </w:tcPr>
          <w:p>
            <w:pPr>
              <w:spacing w:after="0"/>
              <w:rPr>
                <w:sz w:val="17"/>
                <w:szCs w:val="17"/>
                <w:color w:val="auto"/>
              </w:rPr>
            </w:pPr>
          </w:p>
        </w:tc>
        <w:tc>
          <w:tcPr>
            <w:tcW w:w="1200" w:type="dxa"/>
            <w:vAlign w:val="bottom"/>
          </w:tcPr>
          <w:p>
            <w:pPr>
              <w:jc w:val="right"/>
              <w:ind w:right="191"/>
              <w:spacing w:after="0" w:line="202" w:lineRule="exact"/>
              <w:rPr>
                <w:sz w:val="20"/>
                <w:szCs w:val="20"/>
                <w:color w:val="auto"/>
              </w:rPr>
            </w:pPr>
            <w:r>
              <w:rPr>
                <w:rFonts w:ascii="Arial" w:cs="Arial" w:eastAsia="Arial" w:hAnsi="Arial"/>
                <w:sz w:val="18"/>
                <w:szCs w:val="18"/>
                <w:i w:val="1"/>
                <w:iCs w:val="1"/>
                <w:color w:val="auto"/>
              </w:rPr>
              <w:t>15.7 %</w:t>
            </w: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Selling and administrative expenses, excluding goodwill</w:t>
            </w:r>
          </w:p>
        </w:tc>
        <w:tc>
          <w:tcPr>
            <w:tcW w:w="6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ind w:right="171"/>
              <w:spacing w:after="0"/>
              <w:rPr>
                <w:sz w:val="20"/>
                <w:szCs w:val="20"/>
                <w:color w:val="auto"/>
              </w:rPr>
            </w:pPr>
            <w:r>
              <w:rPr>
                <w:rFonts w:ascii="Arial" w:cs="Arial" w:eastAsia="Arial" w:hAnsi="Arial"/>
                <w:sz w:val="18"/>
                <w:szCs w:val="18"/>
                <w:color w:val="auto"/>
              </w:rPr>
              <w:t>2,822.1</w:t>
            </w:r>
          </w:p>
        </w:tc>
        <w:tc>
          <w:tcPr>
            <w:tcW w:w="2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ind w:right="371"/>
              <w:spacing w:after="0"/>
              <w:rPr>
                <w:sz w:val="20"/>
                <w:szCs w:val="20"/>
                <w:color w:val="auto"/>
              </w:rPr>
            </w:pPr>
            <w:r>
              <w:rPr>
                <w:rFonts w:ascii="Arial" w:cs="Arial" w:eastAsia="Arial" w:hAnsi="Arial"/>
                <w:sz w:val="18"/>
                <w:szCs w:val="18"/>
                <w:color w:val="auto"/>
              </w:rPr>
              <w:t>2,570.3</w:t>
            </w:r>
          </w:p>
        </w:tc>
        <w:tc>
          <w:tcPr>
            <w:tcW w:w="1280" w:type="dxa"/>
            <w:vAlign w:val="bottom"/>
            <w:vMerge w:val="restart"/>
            <w:shd w:val="clear" w:color="auto" w:fill="CFF0FC"/>
          </w:tcPr>
          <w:p>
            <w:pPr>
              <w:jc w:val="right"/>
              <w:ind w:right="373"/>
              <w:spacing w:after="0"/>
              <w:rPr>
                <w:sz w:val="20"/>
                <w:szCs w:val="20"/>
                <w:color w:val="auto"/>
              </w:rPr>
            </w:pPr>
            <w:r>
              <w:rPr>
                <w:rFonts w:ascii="Arial" w:cs="Arial" w:eastAsia="Arial" w:hAnsi="Arial"/>
                <w:sz w:val="18"/>
                <w:szCs w:val="18"/>
                <w:color w:val="auto"/>
              </w:rPr>
              <w:t>9.8</w:t>
            </w:r>
          </w:p>
        </w:tc>
        <w:tc>
          <w:tcPr>
            <w:tcW w:w="1240" w:type="dxa"/>
            <w:vAlign w:val="bottom"/>
            <w:vMerge w:val="restart"/>
            <w:shd w:val="clear" w:color="auto" w:fill="CFF0FC"/>
          </w:tcPr>
          <w:p>
            <w:pPr>
              <w:jc w:val="right"/>
              <w:ind w:right="295"/>
              <w:spacing w:after="0"/>
              <w:rPr>
                <w:sz w:val="20"/>
                <w:szCs w:val="20"/>
                <w:color w:val="auto"/>
              </w:rPr>
            </w:pPr>
            <w:r>
              <w:rPr>
                <w:rFonts w:ascii="Arial" w:cs="Arial" w:eastAsia="Arial" w:hAnsi="Arial"/>
                <w:sz w:val="18"/>
                <w:szCs w:val="18"/>
                <w:color w:val="auto"/>
              </w:rPr>
              <w:t>7.2</w:t>
            </w: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charges</w:t>
            </w:r>
          </w:p>
        </w:tc>
        <w:tc>
          <w:tcPr>
            <w:tcW w:w="6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Goodwill impairment charges</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71"/>
              <w:spacing w:after="0" w:line="202" w:lineRule="exact"/>
              <w:rPr>
                <w:sz w:val="20"/>
                <w:szCs w:val="20"/>
                <w:color w:val="auto"/>
              </w:rPr>
            </w:pPr>
            <w:r>
              <w:rPr>
                <w:rFonts w:ascii="Arial" w:cs="Arial" w:eastAsia="Arial" w:hAnsi="Arial"/>
                <w:sz w:val="18"/>
                <w:szCs w:val="18"/>
                <w:color w:val="auto"/>
              </w:rPr>
              <w:t>66.8</w:t>
            </w:r>
          </w:p>
        </w:tc>
        <w:tc>
          <w:tcPr>
            <w:tcW w:w="1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Selling and administrative expenses</w:t>
            </w: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2,822.1</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71"/>
              <w:spacing w:after="0" w:line="196" w:lineRule="exact"/>
              <w:rPr>
                <w:sz w:val="20"/>
                <w:szCs w:val="20"/>
                <w:color w:val="auto"/>
              </w:rPr>
            </w:pPr>
            <w:r>
              <w:rPr>
                <w:rFonts w:ascii="Arial" w:cs="Arial" w:eastAsia="Arial" w:hAnsi="Arial"/>
                <w:sz w:val="18"/>
                <w:szCs w:val="18"/>
                <w:color w:val="auto"/>
              </w:rPr>
              <w:t>2,637.1</w:t>
            </w:r>
          </w:p>
        </w:tc>
        <w:tc>
          <w:tcPr>
            <w:tcW w:w="1280" w:type="dxa"/>
            <w:vAlign w:val="bottom"/>
            <w:shd w:val="clear" w:color="auto" w:fill="CFF0FC"/>
          </w:tcPr>
          <w:p>
            <w:pPr>
              <w:jc w:val="right"/>
              <w:ind w:right="373"/>
              <w:spacing w:after="0" w:line="196" w:lineRule="exact"/>
              <w:rPr>
                <w:sz w:val="20"/>
                <w:szCs w:val="20"/>
                <w:color w:val="auto"/>
              </w:rPr>
            </w:pPr>
            <w:r>
              <w:rPr>
                <w:rFonts w:ascii="Arial" w:cs="Arial" w:eastAsia="Arial" w:hAnsi="Arial"/>
                <w:sz w:val="18"/>
                <w:szCs w:val="18"/>
                <w:color w:val="auto"/>
              </w:rPr>
              <w:t>7.0</w:t>
            </w:r>
          </w:p>
        </w:tc>
        <w:tc>
          <w:tcPr>
            <w:tcW w:w="1240" w:type="dxa"/>
            <w:vAlign w:val="bottom"/>
            <w:shd w:val="clear" w:color="auto" w:fill="CFF0FC"/>
          </w:tcPr>
          <w:p>
            <w:pPr>
              <w:jc w:val="right"/>
              <w:ind w:right="295"/>
              <w:spacing w:after="0" w:line="196" w:lineRule="exact"/>
              <w:rPr>
                <w:sz w:val="20"/>
                <w:szCs w:val="20"/>
                <w:color w:val="auto"/>
              </w:rPr>
            </w:pPr>
            <w:r>
              <w:rPr>
                <w:rFonts w:ascii="Arial" w:cs="Arial" w:eastAsia="Arial" w:hAnsi="Arial"/>
                <w:sz w:val="18"/>
                <w:szCs w:val="18"/>
                <w:color w:val="auto"/>
              </w:rPr>
              <w:t>4.5</w:t>
            </w:r>
          </w:p>
        </w:tc>
        <w:tc>
          <w:tcPr>
            <w:tcW w:w="1120" w:type="dxa"/>
            <w:vAlign w:val="bottom"/>
            <w:shd w:val="clear" w:color="auto" w:fill="CFF0FC"/>
          </w:tcPr>
          <w:p>
            <w:pPr>
              <w:jc w:val="right"/>
              <w:ind w:right="179"/>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auto"/>
                <w:w w:val="99"/>
              </w:rPr>
              <w:t>Selling and administrative expenses as a % of revenues</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i w:val="1"/>
                <w:iCs w:val="1"/>
                <w:color w:val="auto"/>
              </w:rPr>
              <w:t>13.6 %</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i w:val="1"/>
                <w:iCs w:val="1"/>
                <w:color w:val="auto"/>
              </w:rPr>
              <w:t>14.6 %</w:t>
            </w:r>
          </w:p>
        </w:tc>
        <w:tc>
          <w:tcPr>
            <w:tcW w:w="1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profit</w:t>
            </w: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585.4</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71"/>
              <w:spacing w:after="0" w:line="196" w:lineRule="exact"/>
              <w:rPr>
                <w:sz w:val="20"/>
                <w:szCs w:val="20"/>
                <w:color w:val="auto"/>
              </w:rPr>
            </w:pPr>
            <w:r>
              <w:rPr>
                <w:rFonts w:ascii="Arial" w:cs="Arial" w:eastAsia="Arial" w:hAnsi="Arial"/>
                <w:sz w:val="18"/>
                <w:szCs w:val="18"/>
                <w:color w:val="auto"/>
              </w:rPr>
              <w:t>187.6</w:t>
            </w:r>
          </w:p>
        </w:tc>
        <w:tc>
          <w:tcPr>
            <w:tcW w:w="1280" w:type="dxa"/>
            <w:vAlign w:val="bottom"/>
            <w:shd w:val="clear" w:color="auto" w:fill="CFF0FC"/>
          </w:tcPr>
          <w:p>
            <w:pPr>
              <w:jc w:val="right"/>
              <w:ind w:right="373"/>
              <w:spacing w:after="0" w:line="196" w:lineRule="exact"/>
              <w:rPr>
                <w:sz w:val="20"/>
                <w:szCs w:val="20"/>
                <w:color w:val="auto"/>
              </w:rPr>
            </w:pPr>
            <w:r>
              <w:rPr>
                <w:rFonts w:ascii="Arial" w:cs="Arial" w:eastAsia="Arial" w:hAnsi="Arial"/>
                <w:sz w:val="18"/>
                <w:szCs w:val="18"/>
                <w:color w:val="auto"/>
              </w:rPr>
              <w:t>212.0</w:t>
            </w:r>
          </w:p>
        </w:tc>
        <w:tc>
          <w:tcPr>
            <w:tcW w:w="1240" w:type="dxa"/>
            <w:vAlign w:val="bottom"/>
            <w:shd w:val="clear" w:color="auto" w:fill="CFF0FC"/>
          </w:tcPr>
          <w:p>
            <w:pPr>
              <w:jc w:val="right"/>
              <w:ind w:right="295"/>
              <w:spacing w:after="0" w:line="196" w:lineRule="exact"/>
              <w:rPr>
                <w:sz w:val="20"/>
                <w:szCs w:val="20"/>
                <w:color w:val="auto"/>
              </w:rPr>
            </w:pPr>
            <w:r>
              <w:rPr>
                <w:rFonts w:ascii="Arial" w:cs="Arial" w:eastAsia="Arial" w:hAnsi="Arial"/>
                <w:sz w:val="18"/>
                <w:szCs w:val="18"/>
                <w:color w:val="auto"/>
              </w:rPr>
              <w:t>205.5</w:t>
            </w:r>
          </w:p>
        </w:tc>
        <w:tc>
          <w:tcPr>
            <w:tcW w:w="1120" w:type="dxa"/>
            <w:vAlign w:val="bottom"/>
            <w:shd w:val="clear" w:color="auto" w:fill="CFF0FC"/>
          </w:tcPr>
          <w:p>
            <w:pPr>
              <w:jc w:val="right"/>
              <w:ind w:right="179"/>
              <w:spacing w:after="0" w:line="196" w:lineRule="exact"/>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Operating profit margin</w:t>
            </w:r>
          </w:p>
        </w:tc>
        <w:tc>
          <w:tcPr>
            <w:tcW w:w="6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2.8 %</w:t>
            </w:r>
          </w:p>
        </w:tc>
        <w:tc>
          <w:tcPr>
            <w:tcW w:w="280" w:type="dxa"/>
            <w:vAlign w:val="bottom"/>
          </w:tcPr>
          <w:p>
            <w:pPr>
              <w:spacing w:after="0"/>
              <w:rPr>
                <w:sz w:val="17"/>
                <w:szCs w:val="17"/>
                <w:color w:val="auto"/>
              </w:rPr>
            </w:pPr>
          </w:p>
        </w:tc>
        <w:tc>
          <w:tcPr>
            <w:tcW w:w="1200" w:type="dxa"/>
            <w:vAlign w:val="bottom"/>
          </w:tcPr>
          <w:p>
            <w:pPr>
              <w:jc w:val="right"/>
              <w:ind w:right="191"/>
              <w:spacing w:after="0" w:line="202" w:lineRule="exact"/>
              <w:rPr>
                <w:sz w:val="20"/>
                <w:szCs w:val="20"/>
                <w:color w:val="auto"/>
              </w:rPr>
            </w:pPr>
            <w:r>
              <w:rPr>
                <w:rFonts w:ascii="Arial" w:cs="Arial" w:eastAsia="Arial" w:hAnsi="Arial"/>
                <w:sz w:val="18"/>
                <w:szCs w:val="18"/>
                <w:i w:val="1"/>
                <w:iCs w:val="1"/>
                <w:color w:val="auto"/>
              </w:rPr>
              <w:t>1.0 %</w:t>
            </w: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interest expense</w:t>
            </w: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26.8</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71"/>
              <w:spacing w:after="0" w:line="202" w:lineRule="exact"/>
              <w:rPr>
                <w:sz w:val="20"/>
                <w:szCs w:val="20"/>
                <w:color w:val="auto"/>
              </w:rPr>
            </w:pPr>
            <w:r>
              <w:rPr>
                <w:rFonts w:ascii="Arial" w:cs="Arial" w:eastAsia="Arial" w:hAnsi="Arial"/>
                <w:sz w:val="18"/>
                <w:szCs w:val="18"/>
                <w:color w:val="auto"/>
              </w:rPr>
              <w:t>30.2</w:t>
            </w:r>
          </w:p>
        </w:tc>
        <w:tc>
          <w:tcPr>
            <w:tcW w:w="12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expenses (income), net</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(9.5 )</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71"/>
              <w:spacing w:after="0" w:line="202" w:lineRule="exact"/>
              <w:rPr>
                <w:sz w:val="20"/>
                <w:szCs w:val="20"/>
                <w:color w:val="auto"/>
              </w:rPr>
            </w:pPr>
            <w:r>
              <w:rPr>
                <w:rFonts w:ascii="Arial" w:cs="Arial" w:eastAsia="Arial" w:hAnsi="Arial"/>
                <w:sz w:val="18"/>
                <w:szCs w:val="18"/>
                <w:color w:val="auto"/>
              </w:rPr>
              <w:t>9.7</w:t>
            </w:r>
          </w:p>
        </w:tc>
        <w:tc>
          <w:tcPr>
            <w:tcW w:w="1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Earnings before income taxes</w:t>
            </w: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568.1</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71"/>
              <w:spacing w:after="0" w:line="196" w:lineRule="exact"/>
              <w:rPr>
                <w:sz w:val="20"/>
                <w:szCs w:val="20"/>
                <w:color w:val="auto"/>
              </w:rPr>
            </w:pPr>
            <w:r>
              <w:rPr>
                <w:rFonts w:ascii="Arial" w:cs="Arial" w:eastAsia="Arial" w:hAnsi="Arial"/>
                <w:sz w:val="18"/>
                <w:szCs w:val="18"/>
                <w:color w:val="auto"/>
              </w:rPr>
              <w:t>147.7</w:t>
            </w:r>
          </w:p>
        </w:tc>
        <w:tc>
          <w:tcPr>
            <w:tcW w:w="1280" w:type="dxa"/>
            <w:vAlign w:val="bottom"/>
            <w:shd w:val="clear" w:color="auto" w:fill="CFF0FC"/>
          </w:tcPr>
          <w:p>
            <w:pPr>
              <w:jc w:val="right"/>
              <w:ind w:right="373"/>
              <w:spacing w:after="0" w:line="196" w:lineRule="exact"/>
              <w:rPr>
                <w:sz w:val="20"/>
                <w:szCs w:val="20"/>
                <w:color w:val="auto"/>
              </w:rPr>
            </w:pPr>
            <w:r>
              <w:rPr>
                <w:rFonts w:ascii="Arial" w:cs="Arial" w:eastAsia="Arial" w:hAnsi="Arial"/>
                <w:sz w:val="18"/>
                <w:szCs w:val="18"/>
                <w:color w:val="auto"/>
              </w:rPr>
              <w:t>284.6</w:t>
            </w:r>
          </w:p>
        </w:tc>
        <w:tc>
          <w:tcPr>
            <w:tcW w:w="1240" w:type="dxa"/>
            <w:vAlign w:val="bottom"/>
            <w:shd w:val="clear" w:color="auto" w:fill="CFF0FC"/>
          </w:tcPr>
          <w:p>
            <w:pPr>
              <w:jc w:val="right"/>
              <w:ind w:right="295"/>
              <w:spacing w:after="0" w:line="196" w:lineRule="exact"/>
              <w:rPr>
                <w:sz w:val="20"/>
                <w:szCs w:val="20"/>
                <w:color w:val="auto"/>
              </w:rPr>
            </w:pPr>
            <w:r>
              <w:rPr>
                <w:rFonts w:ascii="Arial" w:cs="Arial" w:eastAsia="Arial" w:hAnsi="Arial"/>
                <w:sz w:val="18"/>
                <w:szCs w:val="18"/>
                <w:color w:val="auto"/>
              </w:rPr>
              <w:t>275.2</w:t>
            </w: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7"/>
                <w:szCs w:val="17"/>
                <w:color w:val="auto"/>
              </w:rPr>
            </w:pPr>
          </w:p>
        </w:tc>
        <w:tc>
          <w:tcPr>
            <w:tcW w:w="10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185.7</w:t>
            </w:r>
          </w:p>
        </w:tc>
        <w:tc>
          <w:tcPr>
            <w:tcW w:w="280" w:type="dxa"/>
            <w:vAlign w:val="bottom"/>
          </w:tcPr>
          <w:p>
            <w:pPr>
              <w:spacing w:after="0"/>
              <w:rPr>
                <w:sz w:val="17"/>
                <w:szCs w:val="17"/>
                <w:color w:val="auto"/>
              </w:rPr>
            </w:pPr>
          </w:p>
        </w:tc>
        <w:tc>
          <w:tcPr>
            <w:tcW w:w="1200" w:type="dxa"/>
            <w:vAlign w:val="bottom"/>
          </w:tcPr>
          <w:p>
            <w:pPr>
              <w:jc w:val="right"/>
              <w:ind w:right="371"/>
              <w:spacing w:after="0" w:line="202" w:lineRule="exact"/>
              <w:rPr>
                <w:sz w:val="20"/>
                <w:szCs w:val="20"/>
                <w:color w:val="auto"/>
              </w:rPr>
            </w:pPr>
            <w:r>
              <w:rPr>
                <w:rFonts w:ascii="Arial" w:cs="Arial" w:eastAsia="Arial" w:hAnsi="Arial"/>
                <w:sz w:val="18"/>
                <w:szCs w:val="18"/>
                <w:color w:val="auto"/>
              </w:rPr>
              <w:t>123.9</w:t>
            </w:r>
          </w:p>
        </w:tc>
        <w:tc>
          <w:tcPr>
            <w:tcW w:w="128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49.9</w:t>
            </w: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i w:val="1"/>
                <w:iCs w:val="1"/>
                <w:color w:val="auto"/>
              </w:rPr>
              <w:t>Effective income tax rate</w:t>
            </w:r>
          </w:p>
        </w:tc>
        <w:tc>
          <w:tcPr>
            <w:tcW w:w="6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i w:val="1"/>
                <w:iCs w:val="1"/>
                <w:color w:val="auto"/>
              </w:rPr>
              <w:t>32.7 %</w:t>
            </w:r>
          </w:p>
        </w:tc>
        <w:tc>
          <w:tcPr>
            <w:tcW w:w="2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1"/>
              <w:spacing w:after="0" w:line="202" w:lineRule="exact"/>
              <w:rPr>
                <w:sz w:val="20"/>
                <w:szCs w:val="20"/>
                <w:color w:val="auto"/>
              </w:rPr>
            </w:pPr>
            <w:r>
              <w:rPr>
                <w:rFonts w:ascii="Arial" w:cs="Arial" w:eastAsia="Arial" w:hAnsi="Arial"/>
                <w:sz w:val="18"/>
                <w:szCs w:val="18"/>
                <w:i w:val="1"/>
                <w:iCs w:val="1"/>
                <w:color w:val="auto"/>
              </w:rPr>
              <w:t>83.9 %</w:t>
            </w:r>
          </w:p>
        </w:tc>
        <w:tc>
          <w:tcPr>
            <w:tcW w:w="12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earnings</w:t>
            </w:r>
          </w:p>
        </w:tc>
        <w:tc>
          <w:tcPr>
            <w:tcW w:w="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382.4</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71"/>
              <w:spacing w:after="0" w:line="196" w:lineRule="exact"/>
              <w:rPr>
                <w:sz w:val="20"/>
                <w:szCs w:val="20"/>
                <w:color w:val="auto"/>
              </w:rPr>
            </w:pPr>
            <w:r>
              <w:rPr>
                <w:rFonts w:ascii="Arial" w:cs="Arial" w:eastAsia="Arial" w:hAnsi="Arial"/>
                <w:sz w:val="18"/>
                <w:szCs w:val="18"/>
                <w:color w:val="auto"/>
              </w:rPr>
              <w:t>23.8</w:t>
            </w:r>
          </w:p>
        </w:tc>
        <w:tc>
          <w:tcPr>
            <w:tcW w:w="1280" w:type="dxa"/>
            <w:vAlign w:val="bottom"/>
            <w:tcBorders>
              <w:bottom w:val="single" w:sz="8" w:color="auto"/>
            </w:tcBorders>
          </w:tcPr>
          <w:p>
            <w:pPr>
              <w:jc w:val="right"/>
              <w:ind w:right="373"/>
              <w:spacing w:after="0" w:line="196" w:lineRule="exact"/>
              <w:rPr>
                <w:sz w:val="20"/>
                <w:szCs w:val="20"/>
                <w:color w:val="auto"/>
              </w:rPr>
            </w:pPr>
            <w:r>
              <w:rPr>
                <w:rFonts w:ascii="Arial" w:cs="Arial" w:eastAsia="Arial" w:hAnsi="Arial"/>
                <w:sz w:val="18"/>
                <w:szCs w:val="18"/>
                <w:color w:val="auto"/>
              </w:rPr>
              <w:t>1,504.6</w:t>
            </w:r>
          </w:p>
        </w:tc>
        <w:tc>
          <w:tcPr>
            <w:tcW w:w="1240" w:type="dxa"/>
            <w:vAlign w:val="bottom"/>
            <w:tcBorders>
              <w:bottom w:val="single" w:sz="8" w:color="auto"/>
            </w:tcBorders>
          </w:tcPr>
          <w:p>
            <w:pPr>
              <w:jc w:val="right"/>
              <w:ind w:right="295"/>
              <w:spacing w:after="0" w:line="196" w:lineRule="exact"/>
              <w:rPr>
                <w:sz w:val="20"/>
                <w:szCs w:val="20"/>
                <w:color w:val="auto"/>
              </w:rPr>
            </w:pPr>
            <w:r>
              <w:rPr>
                <w:rFonts w:ascii="Arial" w:cs="Arial" w:eastAsia="Arial" w:hAnsi="Arial"/>
                <w:sz w:val="18"/>
                <w:szCs w:val="18"/>
                <w:color w:val="auto"/>
              </w:rPr>
              <w:t>1,465.2</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per share - diluted</w:t>
            </w:r>
          </w:p>
        </w:tc>
        <w:tc>
          <w:tcPr>
            <w:tcW w:w="6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6.91</w:t>
            </w:r>
          </w:p>
        </w:tc>
        <w:tc>
          <w:tcPr>
            <w:tcW w:w="2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371"/>
              <w:spacing w:after="0" w:line="196" w:lineRule="exact"/>
              <w:rPr>
                <w:sz w:val="20"/>
                <w:szCs w:val="20"/>
                <w:color w:val="auto"/>
              </w:rPr>
            </w:pPr>
            <w:r>
              <w:rPr>
                <w:rFonts w:ascii="Arial" w:cs="Arial" w:eastAsia="Arial" w:hAnsi="Arial"/>
                <w:sz w:val="18"/>
                <w:szCs w:val="18"/>
                <w:color w:val="auto"/>
              </w:rPr>
              <w:t>0.41</w:t>
            </w:r>
          </w:p>
        </w:tc>
        <w:tc>
          <w:tcPr>
            <w:tcW w:w="1280" w:type="dxa"/>
            <w:vAlign w:val="bottom"/>
            <w:tcBorders>
              <w:bottom w:val="single" w:sz="8" w:color="auto"/>
            </w:tcBorders>
            <w:shd w:val="clear" w:color="auto" w:fill="CFF0FC"/>
          </w:tcPr>
          <w:p>
            <w:pPr>
              <w:jc w:val="right"/>
              <w:ind w:right="373"/>
              <w:spacing w:after="0" w:line="196" w:lineRule="exact"/>
              <w:rPr>
                <w:sz w:val="20"/>
                <w:szCs w:val="20"/>
                <w:color w:val="auto"/>
              </w:rPr>
            </w:pPr>
            <w:r>
              <w:rPr>
                <w:rFonts w:ascii="Arial" w:cs="Arial" w:eastAsia="Arial" w:hAnsi="Arial"/>
                <w:sz w:val="18"/>
                <w:szCs w:val="18"/>
                <w:color w:val="auto"/>
              </w:rPr>
              <w:t>1,585.4</w:t>
            </w:r>
          </w:p>
        </w:tc>
        <w:tc>
          <w:tcPr>
            <w:tcW w:w="1240" w:type="dxa"/>
            <w:vAlign w:val="bottom"/>
            <w:tcBorders>
              <w:bottom w:val="single" w:sz="8" w:color="auto"/>
            </w:tcBorders>
            <w:shd w:val="clear" w:color="auto" w:fill="CFF0FC"/>
          </w:tcPr>
          <w:p>
            <w:pPr>
              <w:jc w:val="right"/>
              <w:ind w:right="295"/>
              <w:spacing w:after="0" w:line="196" w:lineRule="exact"/>
              <w:rPr>
                <w:sz w:val="20"/>
                <w:szCs w:val="20"/>
                <w:color w:val="auto"/>
              </w:rPr>
            </w:pPr>
            <w:r>
              <w:rPr>
                <w:rFonts w:ascii="Arial" w:cs="Arial" w:eastAsia="Arial" w:hAnsi="Arial"/>
                <w:sz w:val="18"/>
                <w:szCs w:val="18"/>
                <w:color w:val="auto"/>
              </w:rPr>
              <w:t>1,543.9</w:t>
            </w:r>
          </w:p>
        </w:tc>
        <w:tc>
          <w:tcPr>
            <w:tcW w:w="11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Weighted average shares - diluted</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55.4</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71"/>
              <w:spacing w:after="0" w:line="196" w:lineRule="exact"/>
              <w:rPr>
                <w:sz w:val="20"/>
                <w:szCs w:val="20"/>
                <w:color w:val="auto"/>
              </w:rPr>
            </w:pPr>
            <w:r>
              <w:rPr>
                <w:rFonts w:ascii="Arial" w:cs="Arial" w:eastAsia="Arial" w:hAnsi="Arial"/>
                <w:sz w:val="18"/>
                <w:szCs w:val="18"/>
                <w:color w:val="auto"/>
              </w:rPr>
              <w:t>58.3</w:t>
            </w:r>
          </w:p>
        </w:tc>
        <w:tc>
          <w:tcPr>
            <w:tcW w:w="12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(5.0 )%</w:t>
            </w: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4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The year-over-year increase in revenues from services of 15.1% (12.1% in constant currency and 11.3% in organic constant currency) was attributed to:</w:t>
      </w:r>
    </w:p>
    <w:p>
      <w:pPr>
        <w:spacing w:after="0" w:line="194" w:lineRule="exact"/>
        <w:rPr>
          <w:sz w:val="20"/>
          <w:szCs w:val="20"/>
          <w:color w:val="auto"/>
        </w:rPr>
      </w:pPr>
    </w:p>
    <w:p>
      <w:pPr>
        <w:jc w:val="both"/>
        <w:ind w:left="760" w:hanging="378"/>
        <w:spacing w:after="0" w:line="257"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revenue increase in Southern Europe of 19.0% (15.0% in constant currency). France, the largest market in Southern Europe, experienced a revenue increase of 19.2% (15.3% in constant currency), which was primarily due to the increased demand for our Manpower staffing services, a 34.2% increase (29.2% in constant currency) in the permanent recruitment business and the favorable impact of changes in currency exchange rates. Italy, also part of Southern Europe, experienced a revenue increase of 31.0% (26.7% in constant currency), which was primarily due to the increased demand for our Manpower staffing services, a 69.2% increase (63.9% in constant currency) in the permanent recruitment business and the favorable impact of changes in currency exchange rates;</w:t>
      </w:r>
    </w:p>
    <w:p>
      <w:pPr>
        <w:spacing w:after="0" w:line="148" w:lineRule="exact"/>
        <w:rPr>
          <w:rFonts w:ascii="Arial" w:cs="Arial" w:eastAsia="Arial" w:hAnsi="Arial"/>
          <w:sz w:val="17"/>
          <w:szCs w:val="17"/>
          <w:color w:val="auto"/>
        </w:rPr>
      </w:pPr>
    </w:p>
    <w:p>
      <w:pPr>
        <w:jc w:val="both"/>
        <w:ind w:left="760" w:hanging="378"/>
        <w:spacing w:after="0" w:line="284"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revenue increase in Northern Europe of 17.4% (11.4% in constant currency), primarily due to the increased demand for our Manpower staffing services, the 45.5% increase (38.7% in constant currency) in the permanent recruitment business and the favorable impact of changes in currency exchange rates. We experienced revenue increases in the United Kingdom, the Nordics, Germany, the Netherlands and Belgium of 23.5%, 20.9%, 6.1%, 4.5% and 9.6%, respectively (15.2%, 12.4%, 2.4%, 0.9% and 6.2%, respectively, in constant currency);</w:t>
      </w:r>
    </w:p>
    <w:p>
      <w:pPr>
        <w:spacing w:after="0" w:line="114" w:lineRule="exact"/>
        <w:rPr>
          <w:rFonts w:ascii="Arial" w:cs="Arial" w:eastAsia="Arial" w:hAnsi="Arial"/>
          <w:sz w:val="16"/>
          <w:szCs w:val="16"/>
          <w:color w:val="auto"/>
        </w:rPr>
      </w:pPr>
    </w:p>
    <w:p>
      <w:pPr>
        <w:jc w:val="both"/>
        <w:ind w:left="760" w:hanging="378"/>
        <w:spacing w:after="0" w:line="24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increase in the United States of 17.9% (9.3% on an organic basis) primarily driven by increased demand for our Manpower staffing services, an increase in our permanent recruitment business of 67.6% (63.5% on an organic basis), including our RPO offering, increased demand for our MSP offering and the ettain group acquisition;</w:t>
      </w:r>
    </w:p>
    <w:p>
      <w:pPr>
        <w:spacing w:after="0" w:line="141"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revenue increase in APME of 4.4% (4.2% in constant currency) primarily due to the increase in our Experis business, the 19.3% increase (14.1% in constant currency) in the permanent recruitment business and the favorable impact of changes in currency exchange rates; and</w:t>
      </w:r>
    </w:p>
    <w:p>
      <w:pPr>
        <w:spacing w:after="0" w:line="119" w:lineRule="exact"/>
        <w:rPr>
          <w:rFonts w:ascii="Arial" w:cs="Arial" w:eastAsia="Arial" w:hAnsi="Arial"/>
          <w:sz w:val="17"/>
          <w:szCs w:val="17"/>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3.0% increase due to the impact of changes in currency exchange rates in markets within Europe and APME.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70 basis point increase in gross profit margin was primarily attributed to:</w:t>
      </w:r>
    </w:p>
    <w:p>
      <w:pPr>
        <w:spacing w:after="0" w:line="171" w:lineRule="exact"/>
        <w:rPr>
          <w:sz w:val="20"/>
          <w:szCs w:val="20"/>
          <w:color w:val="auto"/>
        </w:rPr>
      </w:pPr>
    </w:p>
    <w:p>
      <w:pPr>
        <w:ind w:left="760" w:right="2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50 basis point favorable change in business mix as the higher-margin permanent recruitment business represented a higher percentage of the revenue mix;</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30 basis point favorable impact from the improvement in the staffing/interim margins in the Americas, Southern Europe and APME;</w:t>
      </w:r>
    </w:p>
    <w:p>
      <w:pPr>
        <w:spacing w:after="0" w:line="196" w:lineRule="exact"/>
        <w:rPr>
          <w:rFonts w:ascii="Arial" w:cs="Arial" w:eastAsia="Arial" w:hAnsi="Arial"/>
          <w:sz w:val="17"/>
          <w:szCs w:val="17"/>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favorable impact from the margin improvement in our Experis managed services business in Europe; and</w:t>
      </w:r>
    </w:p>
    <w:p>
      <w:pPr>
        <w:spacing w:after="0" w:line="17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favorable change in business mix as our higher-margin consulting and MSP services represented a higher percentage of the revenue mix; partially offset by</w:t>
      </w:r>
    </w:p>
    <w:p>
      <w:pPr>
        <w:spacing w:after="0" w:line="13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basis point unfavorable change in business mix as the higher-margin Right Management career transition business represented a lower percentage of the revenue mix; and</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unfavorable impact from changes in currency exchange rates.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line="261" w:lineRule="auto"/>
        <w:rPr>
          <w:sz w:val="20"/>
          <w:szCs w:val="20"/>
          <w:color w:val="auto"/>
        </w:rPr>
      </w:pPr>
      <w:r>
        <w:rPr>
          <w:rFonts w:ascii="Arial" w:cs="Arial" w:eastAsia="Arial" w:hAnsi="Arial"/>
          <w:sz w:val="18"/>
          <w:szCs w:val="18"/>
          <w:color w:val="auto"/>
        </w:rPr>
        <w:t>The 7.0% increase in selling and administrative expenses in the year ended December 31, 2021 (4.5% in constant currency; 3.7% in organic constant currency) was primarily attributed to:</w:t>
      </w:r>
    </w:p>
    <w:p>
      <w:pPr>
        <w:spacing w:after="0" w:line="144" w:lineRule="exact"/>
        <w:rPr>
          <w:sz w:val="20"/>
          <w:szCs w:val="20"/>
          <w:color w:val="auto"/>
        </w:rPr>
      </w:pPr>
    </w:p>
    <w:p>
      <w:pPr>
        <w:jc w:val="both"/>
        <w:ind w:left="760" w:hanging="378"/>
        <w:spacing w:after="0" w:line="284"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17.7% increase (15.0% in constant currency and 13.9% in organic constant currency) in personnel costs due to the increase in salary costs related to additional headcount as we invested in incremental recruiters and sales talent based on increased market activity. The increase in salary costs was also due to an increase in variable incentive costs as a result of increased profitability in most markets and the decrease in benefits related to the transition of employees onto government temporary unemployment programs that occurred in the year ended December 31, 2020;</w:t>
      </w:r>
    </w:p>
    <w:p>
      <w:pPr>
        <w:spacing w:after="0" w:line="114" w:lineRule="exact"/>
        <w:rPr>
          <w:rFonts w:ascii="Arial" w:cs="Arial" w:eastAsia="Arial" w:hAnsi="Arial"/>
          <w:sz w:val="16"/>
          <w:szCs w:val="16"/>
          <w:color w:val="auto"/>
        </w:rPr>
      </w:pPr>
    </w:p>
    <w:p>
      <w:pPr>
        <w:jc w:val="both"/>
        <w:ind w:left="760" w:hanging="378"/>
        <w:spacing w:after="0" w:line="248"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3.9% increase (6.2% in constant currency and 6.0% in organic constant currency) in non-personnel related costs, excluding acquisition transaction and integration costs, restructuring costs, goodwill and other impairment charges, loss on disposition of subsidiaries and gain related to a long-term obligation in Northern Europe, primarily to support the increase in revenues;</w:t>
      </w:r>
    </w:p>
    <w:p>
      <w:pPr>
        <w:spacing w:after="0" w:line="14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$18.8 million of acquisition transaction and integration costs incurred in the year ended December 31, 2021;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2.5% increase due to the impact of changes in currency exchange rates in markets within Europe and APME; partially offset by</w:t>
      </w:r>
    </w:p>
    <w:p>
      <w:pPr>
        <w:spacing w:after="0" w:line="17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restructuring costs to $15.2 million incurred in the year ended December 31, 2021 from $110.7 million in the year ended December 31, 2020;</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goodwill and other impairment charges of $72.8 million incurred in the year ended December 31, 2020;</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gain of $10.0 million related to a long-term obligation in Northern Europe; and</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$5.8 million loss on the disposition of subsidiaries incurred in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expenses as a percent of revenues decreased 100 basis points in the year ended December 31, 2021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due primarily to:</w:t>
      </w:r>
    </w:p>
    <w:p>
      <w:pPr>
        <w:spacing w:after="0" w:line="169"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40 basis point favorable impact as a result of the decrease in goodwill and other impairment charges;</w:t>
      </w:r>
    </w:p>
    <w:p>
      <w:pPr>
        <w:spacing w:after="0" w:line="171"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60 basis point favorable impact as a result of the decrease in restructuring costs in the year ended December 31, 2021 compared to the year ended December 31, 2020; and</w:t>
      </w:r>
    </w:p>
    <w:p>
      <w:pPr>
        <w:spacing w:after="0" w:line="130" w:lineRule="exact"/>
        <w:rPr>
          <w:rFonts w:ascii="Arial" w:cs="Arial" w:eastAsia="Arial" w:hAnsi="Arial"/>
          <w:sz w:val="18"/>
          <w:szCs w:val="18"/>
          <w:color w:val="auto"/>
        </w:rPr>
      </w:pPr>
    </w:p>
    <w:p>
      <w:pPr>
        <w:ind w:left="760" w:right="20" w:hanging="378"/>
        <w:spacing w:after="0" w:line="324"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20 basis point favorable impact as we were able to support an increase in revenues without a similar increase in non-personnel related costs, excluding acquisition transaction and integration costs, restructuring costs and goodwill and other impairment charges; partially offset by</w:t>
      </w:r>
    </w:p>
    <w:p>
      <w:pPr>
        <w:spacing w:after="0" w:line="97"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10 basis point unfavorable impact from the acquisition transaction and integration costs incurred in the year ended December 31, 2021; and</w:t>
      </w:r>
    </w:p>
    <w:p>
      <w:pPr>
        <w:spacing w:after="0" w:line="194"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unfavorable impact from changes in currency exchange rates.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jc w:val="both"/>
        <w:spacing w:after="0" w:line="228"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noncontrolling interests. Interest and other expenses, net was $17.3 million in 2021 compared to $39.9 million in 2020. Miscellaneous income was $14.7 million in 2021 compared to miscellaneous expense of $4.8 million in 2020. The change is primarily due to the pension settlement expenses of $10.2 million recorded in 2020 related to the settlement of our United States qualified retirement plan liability and the increase in income from our equity investment in ManpowerGroup Greater China Limited.</w:t>
      </w:r>
    </w:p>
    <w:p>
      <w:pPr>
        <w:spacing w:after="0" w:line="15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recorded income tax expense at an effective rate of 32.7% for 2021, as compared to an effective rate of 83.9% for 2020. The 2021 rate was favorably impacted by the scheduled reduction in the French corporate tax rate to 27.5%, the enacted 50% reduction in the French business tax rate, and a higher level of pre-tax earnings. The 32.7% effective tax rate for 2021 was higher than the United States Federal statutory rate of 21% primarily due to the French business tax, tax losses in certain countries for which we did not recognize a corresponding tax benefit due to valuation allowances, and the overall mix of earnings. The 2020 rate was unfavorably impacted by the relatively low level and mix of pre-tax earnings, the recognition of discrete valuation allowances in Germany and the Netherlands, the non-deductible goodwill impairment charge in Germany and the French business tax. The French business tax had a more significant unfavorable impact in 2020 due to French pre-tax earnings decreasing at a greater rate than revenues, which is the primary basis for the tax calculation.</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Net earnings per share - diluted was earnings of $6.91 in 2021 compared to $0.41 in 2020. Foreign currency exchange rates favorably impacted net earnings per share - diluted by approximately $0.17 per share in 2021. Restructuring costs recorded in 2021 and 2020 negatively impacted net earnings per share - diluted by approximately $0.07 and $1.56 per share, net of tax, in 2021 and 2020, respectively. The acquisition transaction and integration costs in 2021 negatively impacted net earnings per share - diluted by approximately $0.27, net of tax, in 2021. Goodwill and other impairment charges recorded in 2020 negatively impacted net loss per share - diluted by approximately $1.14 in 2020. The pension settlement expense recorded in 2020 negatively impacted net loss per share - diluted by approximately $0.11, net of tax, in 2020. The loss from the disposition of subsidiaries in 2020 negatively impacted net loss per share - diluted by approximately $0.09, net of tax, in 2020.</w:t>
      </w:r>
    </w:p>
    <w:p>
      <w:pPr>
        <w:spacing w:after="0" w:line="1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Weighted average shares - diluted decreased to 55.4 million in 2021 from 58.3 million in 2020. This decrease was due to the impact of share repurchases completed since 2020 and the full weighting of the repurchases completed in 2020, partially offset by shares issued as a result of exercises and vesting of share-based awards since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Americas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Americas, revenues from services increased 12.4% (13.0% in constant currency and 7.8% in organic constant currency) in 2021 compared to 2020. In the United States, revenues from services increased 17.9% (9.3% on an organic basis) in 2021 compared to 2020, primarily driven by increased demand for our Manpower staffing services, an increase in our permanent recruitment business of 67.6% (63.5% on an organic basis), including our RPO offering, and increased demand for our MSP offering, partially offset by the unfavorable impact of one fewer billing day. In Other Americas, revenues from services increased 3.8% (5.3% in constant currency) in 2021 compared to 2020 primarily due to increased demand for our staffing/interim services, an increase in our permanent recruitment business of 95.9% (103.2% in constant currency), partially offset by the unfavorable impact of four fewer billing days. This improvement was driven by increases in Canada, Argentina, Colombia, Peru and Brazil of 22.0%, 31.1%, 16.9%, 6.6% and 6.6%, respectively (14.1%, 76.7%, 19.0%, 18.4% and 13.1%, respectively, in constant currency), with the increase in Argentina being primarily due to inflation. The increases were partially offset by a decrease in Mexico of 22.2% (26.5% in constant currency) primarily due to the new labor legislation, implemented in July 2021, that prohibits the provision of traditional temporary staffing services, only allowing outsourced worker assignments for specialized services outside of the client’s core business activity. Although we believe the new labor legislation will result in significant revenue reductions in Mexico over the next few quarters, we believe the mix shift towards more specialized staffing will improve the margins of our Mexico business over time. Our Mexico operations generated approximately 1.9% and 2.8% of our consolidated global revenues for the years ended December 31, 2021 and 2020, respectively.</w:t>
      </w:r>
    </w:p>
    <w:p>
      <w:pPr>
        <w:spacing w:after="0" w:line="13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Gross profit margin increased in 2021 compared to 2020 primarily due to the improvements in the staffing/interim margins, which were partly due to favorable direct cost adjustments incurred in 2021 in a market within Other Americas. The improvements were also due to the increases in our permanent recruitment business, and increases in revenues from our higher-margin MSP and RPO offerings in the United States. These improvements were partially offset by the unfavorable changes in business mix as the higher-margin Right Management career transition business represented a lower percentage of the revenue mix.</w:t>
      </w:r>
    </w:p>
    <w:p>
      <w:pPr>
        <w:spacing w:after="0" w:line="13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2021, selling and administrative expenses increased 11.3% (11.7% in constant currency and 7.9% in organic constant currency), primarily due to the increase in salary-related costs due to higher headcount to support an increase in revenues in 2021 and an increase in variable incentive costs as a result of an increase in profitability in certain markets. The increase was also due to acquisition transaction and integration costs of $18.8 million incurred in 2021 and an increase in consulting costs related to certain technology initiatives. The increases were partially offset by the decrease in restructuring costs to $5.2 million in 2021 compared to $29.5 million in 2020, the decrease in software impairment charges and a decline in office-related expenses driven by a decrease in the number of offices.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Operating Unit Profit (“OUP”) margin in the Americas was 4.6% and 3.1% for 2021 and 2020, respectively. In the United States, OUP margin increased to 5.0% in 2021 from 2.6% in 2020 primarily due to decrease in restructuring costs, the decrease in software impairment charges, our ability to increase revenues without a similar increase in expenses, and an increase in the gross profit margin. The increase was partially offset by the acquisition transaction and integration costs incurred in 2021. Other Americas OUP margin increased to 3.9% in 2021 from 3.8% in 2020 primarily due to the gross profit margin improvement, partially offset by an increase in restructuring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Southern Europe, which includes operations in France and Italy, revenues from services increased 19.0% (15.0% in constant currency and 15.6% in organic constant currency) in 2021 compared to 2020. In 2021, revenues from services increased 19.2% (15.3% in constant currency) in France and increased 31.0% (26.7% in constant currency) in Italy. The increase in France is primarily due to the increased demand for our Manpower staffing services, a 34.2% increase (29.2% in constant currency) in the permanent recruitment business and the favorable impact of changes in currency exchange rates. The increase in Italy was primarily due to the increased demand for our Manpower staffing services, a 69.2% increase (63.9% in constant currency) in the permanent recruitment business and the favorable impact of changes in currency exchange rates. In Other Southern Europe, revenues from services increased 10.9% (7.1% in constant currency and 9.2% in organic constant currency) during 2021 compared to 2020, due to increased demand for our Manpower staffing services and an increase in our permanent recruitment business of 33.0% (28.7% in constant currency and 34.4% in organic constant currency), partially offset by the disposition of subsidiaries in Other Southern Europe in 2020.</w:t>
      </w:r>
    </w:p>
    <w:p>
      <w:pPr>
        <w:spacing w:after="0" w:line="13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Gross profit margin increased in 2021 compared to 2020. The increases were primarily due to the increases of 42.7% (37.8% in constant currency) in the permanent recruitment business. The increase in 2021 compared to 2020 was partially offset by the decrease in the Manpower staffing margin as lower margin enterprise clients represented a larger percentage of revenues during 2021 compared to 2020.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jc w:val="both"/>
        <w:spacing w:after="0" w:line="235" w:lineRule="auto"/>
        <w:rPr>
          <w:sz w:val="20"/>
          <w:szCs w:val="20"/>
          <w:color w:val="auto"/>
        </w:rPr>
      </w:pPr>
      <w:r>
        <w:rPr>
          <w:rFonts w:ascii="Arial" w:cs="Arial" w:eastAsia="Arial" w:hAnsi="Arial"/>
          <w:sz w:val="18"/>
          <w:szCs w:val="18"/>
          <w:color w:val="auto"/>
        </w:rPr>
        <w:t>Selling and administrative expenses increased 8.4% (4.6% in constant currency) during 2021 compared to 2020 primarily due to the increase in salary-related costs due to higher headcount to support an increase in revenues in the quarter, an increase in variable incentive costs as a result of increased profitability in certain markets, and the</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decrease in benefits related to the transition of full-time equivalent employees onto government temporary unemployment programs that occurred in 2020. The increase was also due to the unfavorable impact of changes in currency exchange rates. These increases were partially offset by the decrease in restructuring costs to zero in 2021 from $24.5 million in 2020.</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OUP margin in Southern Europe was 4.5% for 2021 compared to 3.0% for 2020. In France, the OUP margin increased to 4.5% for 2021 from 3.4% in 2020 primarily due to our ability to increase revenues without a similar increase in expenses and the increase in the gross profit margin. In Italy, the OUP margin increased to 6.4% for 2021 from 4.7% for 2020 primarily due to the decrease in restructuring costs to zero in 2021 from $3.4 million in 2020, our ability to increase revenues without a similar increase in expenses and the increase in the gross profit margin. Other Southern Europe’s OUP margin increased to 2.8% in 2021 from 1.1% in 2020, primarily due to the decrease in restructuring costs to zero in 2021 from $17.3 million in 2020, our ability to increase revenues without a similar increase in expenses, the increase in the gross profit margin and the loss on disposition of subsidiaries incurred in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Northern Europe, which includes operations in the United Kingdom, the Nordics, Germany, the Netherlands and Belgium (comprising 37%, 22%, 14%, 10%, and 7%, respectively, of Northern Europe’s revenues), revenues from services increased 17.4% (11.4% in constant currency) in 2021 compared to 2020. We experienced revenue increases in the United Kingdom, the Nordics, Germany, the Netherlands and Belgium of 23.5%, 20.9%, 6.1%, 4.5% and 9.6%, respectively (15.2%, 12.4%, 2.4%, 0.9% and 6.2%, respectively, in constant currency). The revenue increase in Northern Europe was primarily due to the increased demand for our Manpower staffing services, the 45.5% increase (38.7% in constant currency) in the permanent recruitment business and the favorable impact of changes in currency exchange rates, partially offset by the unfavorable impact of approximately one fewer billing day.</w:t>
      </w:r>
    </w:p>
    <w:p>
      <w:pPr>
        <w:spacing w:after="0" w:line="12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Gross profit margin increased in 2021 compared to 2020 due to the increases in our permanent recruitment business, partially offset by the declines in the Manpower staffing margin due to client mix changes, as a higher percentage of revenues consisted of revenues from our lower-margin enterprise clients.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8" w:name="page39"/>
    <w:bookmarkEnd w:id="38"/>
    <w:p>
      <w:pPr>
        <w:jc w:val="both"/>
        <w:spacing w:after="0" w:line="227" w:lineRule="auto"/>
        <w:rPr>
          <w:sz w:val="20"/>
          <w:szCs w:val="20"/>
          <w:color w:val="auto"/>
        </w:rPr>
      </w:pPr>
      <w:r>
        <w:rPr>
          <w:rFonts w:ascii="Arial" w:cs="Arial" w:eastAsia="Arial" w:hAnsi="Arial"/>
          <w:sz w:val="18"/>
          <w:szCs w:val="18"/>
          <w:color w:val="auto"/>
        </w:rPr>
        <w:t>Selling and administrative expenses increased 5.6% (0.5% in constant currency) in 2021 compared to 2020. The increases are primarily due to the increases in salary-related costs due to higher headcount to support increases in revenues and increases in variable incentive costs as a result of increases in profitability in certain markets. The increases were also due to the increases in non-personnel related costs to support the increases in revenues, and the decrease in benefits related to the transition of full-time equivalent employees onto government temporary unemployment programs that occurred in 2020. The increases were partially offset by the decrease in restructuring costs to $10.0 million in 2021 from $52.4 million in 2020 and a one-time gain of $10.0 million incurred in 2021 related to a long-term obligation.</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OUP margin for Northern Europe was 1.5% in 2021 compared to an operating unit loss margin of (0.7%) in 2020. The increases were primarily due to our ability to increase revenues without a similar increase in expenses, increases in the gross profit margin and the decreases in restructuring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Revenues from services increased 4.4% (4.2% in constant currency) in 2021 compared to 2020. In Japan (which represents 47% of APME's revenues), revenues from services increased 8.7% (12.0% in constant currency) due to the increase in our Experis business, increased demand for our Manpower staffing services, the 19.3% increase (14.1% in constant currency) in our permanent recruitment business and the favorable impact of approximately one additional billing day. In Australia (which represents 14% of APME's revenues), revenues from services decreased 11.4% (19.6% in constant currency) due to the decreased demand for our Manpower staffing services and the unfavorable impact of approximately seven fewer billing days, partially offset by the 13.2% increase (3.9% in constant currency) in our permanent recruitment business and the favorable impact of changes in currency exchange rates. The revenue increase in the remaining markets in APME is due to the increase in demand for our Talent-Based Outsourcing services within our Manpower business, the 51.9% increase (50.5% in constant currency) in our permanent recruitment business and the favorable impact of changes in currency exchange rates, partially offset by the unfavorable impact of one fewer billing day.</w:t>
      </w:r>
    </w:p>
    <w:p>
      <w:pPr>
        <w:spacing w:after="0" w:line="15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Gross profit margin increased in 2021 compared to 2020 primarily due to the increases in our staffing/interim margins and the increases of 8.4% and 19.3%, respectively, (9.6% and 14.1% in constant currency, respectively) in our permanent recruitment business.</w:t>
      </w:r>
    </w:p>
    <w:p>
      <w:pPr>
        <w:spacing w:after="0" w:line="1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Selling and administrative expenses increased 11.2% (9.7% in constant currency) in 2021 compared to 2020. The increases are primarily due to the increases in salary-related costs due to higher headcount to support an increase in revenues and increases in variable incentive costs as a result of increases in profitability in certain markets, and the increases in non-personnel related costs to support the increases in revenues. The increase for 2021 compared to 2020 was also due to the unfavorable impact of changes in currency exchange rates. The increases were partially offset by the decreases in restructuring costs to zero in 2021 from $4.1 million in 2020.</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OUP margin increased to 3.4% in 2021 from 2.9% in 2020 due to the improvements in the gross profit margins and decreases in restructuring costs.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Certain constant currency and organic constant currency percent variances are discussed throughout this report. A reconciliation of these Non-GAAP percent variances to the percent variances calculated based on our annual GAAP financial results is provided below. (See Constant Currency and Organic Constant Currency on page 31 for information.)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Impact of</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179"/>
              <w:spacing w:after="0" w:line="162" w:lineRule="exact"/>
              <w:rPr>
                <w:sz w:val="20"/>
                <w:szCs w:val="20"/>
                <w:color w:val="auto"/>
              </w:rPr>
            </w:pPr>
            <w:r>
              <w:rPr>
                <w:rFonts w:ascii="Arial" w:cs="Arial" w:eastAsia="Arial" w:hAnsi="Arial"/>
                <w:sz w:val="16"/>
                <w:szCs w:val="16"/>
                <w:color w:val="auto"/>
              </w:rPr>
              <w:t>Acquisitions</w:t>
            </w:r>
          </w:p>
        </w:tc>
        <w:tc>
          <w:tcPr>
            <w:tcW w:w="126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Organic</w:t>
            </w:r>
          </w:p>
        </w:tc>
        <w:tc>
          <w:tcPr>
            <w:tcW w:w="0" w:type="dxa"/>
            <w:vAlign w:val="bottom"/>
          </w:tcPr>
          <w:p>
            <w:pPr>
              <w:spacing w:after="0"/>
              <w:rPr>
                <w:sz w:val="1"/>
                <w:szCs w:val="1"/>
                <w:color w:val="auto"/>
              </w:rPr>
            </w:pPr>
          </w:p>
        </w:tc>
      </w:tr>
      <w:tr>
        <w:trPr>
          <w:trHeight w:val="162"/>
        </w:trPr>
        <w:tc>
          <w:tcPr>
            <w:tcW w:w="3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Amounts represent 2021</w:t>
            </w:r>
          </w:p>
        </w:tc>
        <w:tc>
          <w:tcPr>
            <w:tcW w:w="60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Reported</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Variance in</w:t>
            </w:r>
          </w:p>
        </w:tc>
        <w:tc>
          <w:tcPr>
            <w:tcW w:w="1440" w:type="dxa"/>
            <w:vAlign w:val="bottom"/>
            <w:gridSpan w:val="2"/>
          </w:tcPr>
          <w:p>
            <w:pPr>
              <w:jc w:val="right"/>
              <w:ind w:right="219"/>
              <w:spacing w:after="0" w:line="162" w:lineRule="exact"/>
              <w:rPr>
                <w:sz w:val="20"/>
                <w:szCs w:val="20"/>
                <w:color w:val="auto"/>
              </w:rPr>
            </w:pPr>
            <w:r>
              <w:rPr>
                <w:rFonts w:ascii="Arial" w:cs="Arial" w:eastAsia="Arial" w:hAnsi="Arial"/>
                <w:sz w:val="16"/>
                <w:szCs w:val="16"/>
                <w:color w:val="auto"/>
              </w:rPr>
              <w:t>and</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30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Reported</w:t>
            </w:r>
          </w:p>
        </w:tc>
        <w:tc>
          <w:tcPr>
            <w:tcW w:w="1200" w:type="dxa"/>
            <w:vAlign w:val="bottom"/>
            <w:gridSpan w:val="2"/>
            <w:vMerge w:val="restart"/>
          </w:tcPr>
          <w:p>
            <w:pPr>
              <w:jc w:val="right"/>
              <w:ind w:right="179"/>
              <w:spacing w:after="0"/>
              <w:rPr>
                <w:sz w:val="20"/>
                <w:szCs w:val="20"/>
                <w:color w:val="auto"/>
              </w:rPr>
            </w:pPr>
            <w:r>
              <w:rPr>
                <w:rFonts w:ascii="Arial" w:cs="Arial" w:eastAsia="Arial" w:hAnsi="Arial"/>
                <w:sz w:val="16"/>
                <w:szCs w:val="16"/>
                <w:color w:val="auto"/>
              </w:rPr>
              <w:t>Impact of</w:t>
            </w:r>
          </w:p>
        </w:tc>
        <w:tc>
          <w:tcPr>
            <w:tcW w:w="1380" w:type="dxa"/>
            <w:vAlign w:val="bottom"/>
            <w:gridSpan w:val="2"/>
            <w:vMerge w:val="continue"/>
          </w:tcPr>
          <w:p>
            <w:pPr>
              <w:spacing w:after="0"/>
              <w:rPr>
                <w:sz w:val="13"/>
                <w:szCs w:val="13"/>
                <w:color w:val="auto"/>
              </w:rPr>
            </w:pPr>
          </w:p>
        </w:tc>
        <w:tc>
          <w:tcPr>
            <w:tcW w:w="1440" w:type="dxa"/>
            <w:vAlign w:val="bottom"/>
            <w:gridSpan w:val="2"/>
          </w:tcPr>
          <w:p>
            <w:pPr>
              <w:jc w:val="right"/>
              <w:ind w:right="179"/>
              <w:spacing w:after="0" w:line="158" w:lineRule="exact"/>
              <w:rPr>
                <w:sz w:val="20"/>
                <w:szCs w:val="20"/>
                <w:color w:val="auto"/>
              </w:rPr>
            </w:pPr>
            <w:r>
              <w:rPr>
                <w:rFonts w:ascii="Arial" w:cs="Arial" w:eastAsia="Arial" w:hAnsi="Arial"/>
                <w:sz w:val="16"/>
                <w:szCs w:val="16"/>
                <w:color w:val="auto"/>
              </w:rPr>
              <w:t>Dispositions</w:t>
            </w:r>
          </w:p>
        </w:tc>
        <w:tc>
          <w:tcPr>
            <w:tcW w:w="1260" w:type="dxa"/>
            <w:vAlign w:val="bottom"/>
            <w:gridSpan w:val="2"/>
          </w:tcPr>
          <w:p>
            <w:pPr>
              <w:jc w:val="right"/>
              <w:ind w:right="179"/>
              <w:spacing w:after="0" w:line="158"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Percentages represent 2021 compared</w:t>
            </w:r>
          </w:p>
        </w:tc>
        <w:tc>
          <w:tcPr>
            <w:tcW w:w="60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Amount</w:t>
            </w:r>
          </w:p>
        </w:tc>
        <w:tc>
          <w:tcPr>
            <w:tcW w:w="13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tcPr>
          <w:p>
            <w:pPr>
              <w:jc w:val="right"/>
              <w:ind w:right="179"/>
              <w:spacing w:after="0" w:line="162" w:lineRule="exact"/>
              <w:rPr>
                <w:sz w:val="20"/>
                <w:szCs w:val="20"/>
                <w:color w:val="auto"/>
              </w:rPr>
            </w:pPr>
            <w:r>
              <w:rPr>
                <w:rFonts w:ascii="Arial" w:cs="Arial" w:eastAsia="Arial" w:hAnsi="Arial"/>
                <w:sz w:val="16"/>
                <w:szCs w:val="16"/>
                <w:color w:val="auto"/>
              </w:rPr>
              <w:t>Constant</w:t>
            </w:r>
          </w:p>
        </w:tc>
        <w:tc>
          <w:tcPr>
            <w:tcW w:w="1440" w:type="dxa"/>
            <w:vAlign w:val="bottom"/>
            <w:gridSpan w:val="2"/>
          </w:tcPr>
          <w:p>
            <w:pPr>
              <w:jc w:val="right"/>
              <w:ind w:right="179"/>
              <w:spacing w:after="0" w:line="162" w:lineRule="exact"/>
              <w:rPr>
                <w:sz w:val="20"/>
                <w:szCs w:val="20"/>
                <w:color w:val="auto"/>
              </w:rPr>
            </w:pPr>
            <w:r>
              <w:rPr>
                <w:rFonts w:ascii="Arial" w:cs="Arial" w:eastAsia="Arial" w:hAnsi="Arial"/>
                <w:sz w:val="16"/>
                <w:szCs w:val="16"/>
                <w:color w:val="auto"/>
              </w:rPr>
              <w:t>(in Constant</w:t>
            </w:r>
          </w:p>
        </w:tc>
        <w:tc>
          <w:tcPr>
            <w:tcW w:w="1260" w:type="dxa"/>
            <w:vAlign w:val="bottom"/>
            <w:gridSpan w:val="2"/>
          </w:tcPr>
          <w:p>
            <w:pPr>
              <w:jc w:val="right"/>
              <w:ind w:right="17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6"/>
                <w:szCs w:val="16"/>
                <w:b w:val="1"/>
                <w:bCs w:val="1"/>
                <w:color w:val="auto"/>
              </w:rPr>
              <w:t>to 2020</w:t>
            </w:r>
          </w:p>
        </w:tc>
        <w:tc>
          <w:tcPr>
            <w:tcW w:w="6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(in millions)</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Variance</w:t>
            </w: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Currency</w:t>
            </w:r>
          </w:p>
        </w:tc>
        <w:tc>
          <w:tcPr>
            <w:tcW w:w="1380" w:type="dxa"/>
            <w:vAlign w:val="bottom"/>
            <w:gridSpan w:val="2"/>
          </w:tcPr>
          <w:p>
            <w:pPr>
              <w:jc w:val="right"/>
              <w:ind w:right="179"/>
              <w:spacing w:after="0"/>
              <w:rPr>
                <w:sz w:val="20"/>
                <w:szCs w:val="20"/>
                <w:color w:val="auto"/>
              </w:rPr>
            </w:pPr>
            <w:r>
              <w:rPr>
                <w:rFonts w:ascii="Arial" w:cs="Arial" w:eastAsia="Arial" w:hAnsi="Arial"/>
                <w:sz w:val="16"/>
                <w:szCs w:val="16"/>
                <w:color w:val="auto"/>
              </w:rPr>
              <w:t>Currency</w:t>
            </w: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Currency)</w:t>
            </w:r>
          </w:p>
        </w:tc>
        <w:tc>
          <w:tcPr>
            <w:tcW w:w="1260" w:type="dxa"/>
            <w:vAlign w:val="bottom"/>
            <w:gridSpan w:val="2"/>
          </w:tcPr>
          <w:p>
            <w:pPr>
              <w:jc w:val="right"/>
              <w:ind w:right="179"/>
              <w:spacing w:after="0"/>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183"/>
        </w:trPr>
        <w:tc>
          <w:tcPr>
            <w:tcW w:w="304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Revenues from Services</w:t>
            </w:r>
          </w:p>
        </w:tc>
        <w:tc>
          <w:tcPr>
            <w:tcW w:w="6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Americas:</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United States</w:t>
            </w:r>
          </w:p>
        </w:tc>
        <w:tc>
          <w:tcPr>
            <w:tcW w:w="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2,743.3</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17.9 %</w:t>
            </w: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 %</w:t>
            </w:r>
          </w:p>
        </w:tc>
        <w:tc>
          <w:tcPr>
            <w:tcW w:w="13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17.9 %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8.6 %</w:t>
            </w:r>
          </w:p>
        </w:tc>
        <w:tc>
          <w:tcPr>
            <w:tcW w:w="12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189"/>
        </w:trPr>
        <w:tc>
          <w:tcPr>
            <w:tcW w:w="304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1,520.4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6"/>
                <w:szCs w:val="16"/>
                <w:color w:val="auto"/>
              </w:rPr>
            </w:pP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(1.5 )</w:t>
            </w: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6"/>
                <w:szCs w:val="16"/>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4,263.7</w:t>
            </w: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12.4</w:t>
            </w:r>
          </w:p>
        </w:tc>
        <w:tc>
          <w:tcPr>
            <w:tcW w:w="2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(0.6</w:t>
            </w:r>
          </w:p>
        </w:tc>
        <w:tc>
          <w:tcPr>
            <w:tcW w:w="240" w:type="dxa"/>
            <w:vAlign w:val="bottom"/>
            <w:tcBorders>
              <w:bottom w:val="single" w:sz="8" w:color="CFF0FC"/>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13.0</w:t>
            </w:r>
          </w:p>
        </w:tc>
        <w:tc>
          <w:tcPr>
            <w:tcW w:w="24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w:t>
            </w:r>
          </w:p>
        </w:tc>
        <w:tc>
          <w:tcPr>
            <w:tcW w:w="2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w:t>
            </w:r>
          </w:p>
        </w:tc>
        <w:tc>
          <w:tcPr>
            <w:tcW w:w="2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20"/>
              <w:spacing w:after="0" w:line="183" w:lineRule="exact"/>
              <w:rPr>
                <w:sz w:val="20"/>
                <w:szCs w:val="20"/>
                <w:color w:val="auto"/>
              </w:rPr>
            </w:pPr>
            <w:r>
              <w:rPr>
                <w:rFonts w:ascii="Arial" w:cs="Arial" w:eastAsia="Arial" w:hAnsi="Arial"/>
                <w:sz w:val="16"/>
                <w:szCs w:val="16"/>
                <w:color w:val="auto"/>
              </w:rPr>
              <w:t>Southern Europe:</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6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5,171.3</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0"/>
              <w:spacing w:after="0"/>
              <w:rPr>
                <w:sz w:val="20"/>
                <w:szCs w:val="20"/>
                <w:color w:val="auto"/>
              </w:rPr>
            </w:pPr>
            <w:r>
              <w:rPr>
                <w:rFonts w:ascii="Arial" w:cs="Arial" w:eastAsia="Arial" w:hAnsi="Arial"/>
                <w:sz w:val="16"/>
                <w:szCs w:val="16"/>
                <w:color w:val="auto"/>
              </w:rPr>
              <w:t>Italy</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1,795.4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26.7</w:t>
            </w:r>
          </w:p>
        </w:tc>
        <w:tc>
          <w:tcPr>
            <w:tcW w:w="240" w:type="dxa"/>
            <w:vAlign w:val="bottom"/>
          </w:tcPr>
          <w:p>
            <w:pPr>
              <w:spacing w:after="0"/>
              <w:rPr>
                <w:sz w:val="16"/>
                <w:szCs w:val="16"/>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6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2,380.1</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(2.1 )</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9,346.8</w:t>
            </w:r>
          </w:p>
        </w:tc>
        <w:tc>
          <w:tcPr>
            <w:tcW w:w="10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19.0</w:t>
            </w: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24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15.0</w:t>
            </w:r>
          </w:p>
        </w:tc>
        <w:tc>
          <w:tcPr>
            <w:tcW w:w="240" w:type="dxa"/>
            <w:vAlign w:val="bottom"/>
          </w:tcPr>
          <w:p>
            <w:pPr>
              <w:spacing w:after="0"/>
              <w:rPr>
                <w:sz w:val="15"/>
                <w:szCs w:val="15"/>
                <w:color w:val="auto"/>
              </w:rPr>
            </w:pPr>
          </w:p>
        </w:tc>
        <w:tc>
          <w:tcPr>
            <w:tcW w:w="144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(0.6 )</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15.6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top w:val="single" w:sz="8" w:color="auto"/>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Northern Europe</w:t>
            </w:r>
          </w:p>
        </w:tc>
        <w:tc>
          <w:tcPr>
            <w:tcW w:w="6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4,670.5</w:t>
            </w:r>
          </w:p>
        </w:tc>
        <w:tc>
          <w:tcPr>
            <w:tcW w:w="10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17.4</w:t>
            </w:r>
          </w:p>
        </w:tc>
        <w:tc>
          <w:tcPr>
            <w:tcW w:w="26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w:t>
            </w:r>
          </w:p>
        </w:tc>
        <w:tc>
          <w:tcPr>
            <w:tcW w:w="24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11.4</w:t>
            </w:r>
          </w:p>
        </w:tc>
        <w:tc>
          <w:tcPr>
            <w:tcW w:w="24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11.4</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APME</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2,481.1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20,762.1</w:t>
            </w: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20"/>
              <w:spacing w:after="0" w:line="183" w:lineRule="exact"/>
              <w:rPr>
                <w:sz w:val="20"/>
                <w:szCs w:val="20"/>
                <w:color w:val="auto"/>
              </w:rPr>
            </w:pPr>
            <w:r>
              <w:rPr>
                <w:rFonts w:ascii="Arial" w:cs="Arial" w:eastAsia="Arial" w:hAnsi="Arial"/>
                <w:sz w:val="16"/>
                <w:szCs w:val="16"/>
                <w:color w:val="auto"/>
              </w:rPr>
              <w:t>Intercompany Eliminations</w:t>
            </w:r>
          </w:p>
        </w:tc>
        <w:tc>
          <w:tcPr>
            <w:tcW w:w="600" w:type="dxa"/>
            <w:vAlign w:val="bottom"/>
          </w:tcPr>
          <w:p>
            <w:pPr>
              <w:spacing w:after="0"/>
              <w:rPr>
                <w:sz w:val="15"/>
                <w:szCs w:val="15"/>
                <w:color w:val="auto"/>
              </w:rPr>
            </w:pPr>
          </w:p>
        </w:tc>
        <w:tc>
          <w:tcPr>
            <w:tcW w:w="10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(37.7 )</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ManpowerGroup</w:t>
            </w:r>
          </w:p>
        </w:tc>
        <w:tc>
          <w:tcPr>
            <w:tcW w:w="6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20,724.4</w:t>
            </w: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15.1</w:t>
            </w:r>
          </w:p>
        </w:tc>
        <w:tc>
          <w:tcPr>
            <w:tcW w:w="260" w:type="dxa"/>
            <w:vAlign w:val="bottom"/>
            <w:tcBorders>
              <w:bottom w:val="single" w:sz="8" w:color="CFF0FC"/>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98"/>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w:t>
            </w:r>
          </w:p>
        </w:tc>
        <w:tc>
          <w:tcPr>
            <w:tcW w:w="240" w:type="dxa"/>
            <w:vAlign w:val="bottom"/>
            <w:tcBorders>
              <w:bottom w:val="single" w:sz="8" w:color="CFF0FC"/>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4"/>
              </w:rPr>
              <w:t>%</w:t>
            </w:r>
          </w:p>
        </w:tc>
        <w:tc>
          <w:tcPr>
            <w:tcW w:w="1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12.1</w:t>
            </w:r>
          </w:p>
        </w:tc>
        <w:tc>
          <w:tcPr>
            <w:tcW w:w="240" w:type="dxa"/>
            <w:vAlign w:val="bottom"/>
            <w:tcBorders>
              <w:bottom w:val="single" w:sz="8" w:color="CFF0FC"/>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4"/>
              </w:rPr>
              <w:t>%</w:t>
            </w: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c>
          <w:tcPr>
            <w:tcW w:w="2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8"/>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11.3</w:t>
            </w:r>
          </w:p>
        </w:tc>
        <w:tc>
          <w:tcPr>
            <w:tcW w:w="240" w:type="dxa"/>
            <w:vAlign w:val="bottom"/>
            <w:tcBorders>
              <w:bottom w:val="single" w:sz="8" w:color="CFF0FC"/>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Gross Profit - ManpowerGroup</w:t>
            </w:r>
          </w:p>
        </w:tc>
        <w:tc>
          <w:tcPr>
            <w:tcW w:w="6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3,407.5</w:t>
            </w:r>
          </w:p>
        </w:tc>
        <w:tc>
          <w:tcPr>
            <w:tcW w:w="100" w:type="dxa"/>
            <w:vAlign w:val="bottom"/>
          </w:tcPr>
          <w:p>
            <w:pPr>
              <w:spacing w:after="0"/>
              <w:rPr>
                <w:sz w:val="15"/>
                <w:szCs w:val="15"/>
                <w:color w:val="auto"/>
              </w:rPr>
            </w:pPr>
          </w:p>
        </w:tc>
        <w:tc>
          <w:tcPr>
            <w:tcW w:w="130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20.6 %</w:t>
            </w:r>
          </w:p>
        </w:tc>
        <w:tc>
          <w:tcPr>
            <w:tcW w:w="120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2.7 %</w:t>
            </w:r>
          </w:p>
        </w:tc>
        <w:tc>
          <w:tcPr>
            <w:tcW w:w="138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17.9 %</w:t>
            </w:r>
          </w:p>
        </w:tc>
        <w:tc>
          <w:tcPr>
            <w:tcW w:w="14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1.4 %</w:t>
            </w:r>
          </w:p>
        </w:tc>
        <w:tc>
          <w:tcPr>
            <w:tcW w:w="126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Unit Profit (Loss)</w:t>
            </w:r>
          </w:p>
        </w:tc>
        <w:tc>
          <w:tcPr>
            <w:tcW w:w="6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Americas:</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United States</w:t>
            </w:r>
          </w:p>
        </w:tc>
        <w:tc>
          <w:tcPr>
            <w:tcW w:w="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123.3 %</w:t>
            </w: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 %</w:t>
            </w:r>
          </w:p>
        </w:tc>
        <w:tc>
          <w:tcPr>
            <w:tcW w:w="13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123.3 %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32.2 %</w:t>
            </w:r>
          </w:p>
        </w:tc>
        <w:tc>
          <w:tcPr>
            <w:tcW w:w="12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91.1 %</w:t>
            </w:r>
          </w:p>
        </w:tc>
        <w:tc>
          <w:tcPr>
            <w:tcW w:w="0" w:type="dxa"/>
            <w:vAlign w:val="bottom"/>
          </w:tcPr>
          <w:p>
            <w:pPr>
              <w:spacing w:after="0"/>
              <w:rPr>
                <w:sz w:val="1"/>
                <w:szCs w:val="1"/>
                <w:color w:val="auto"/>
              </w:rPr>
            </w:pPr>
          </w:p>
        </w:tc>
      </w:tr>
      <w:tr>
        <w:trPr>
          <w:trHeight w:val="189"/>
        </w:trPr>
        <w:tc>
          <w:tcPr>
            <w:tcW w:w="304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260" w:type="dxa"/>
            <w:vAlign w:val="bottom"/>
          </w:tcPr>
          <w:p>
            <w:pPr>
              <w:spacing w:after="0"/>
              <w:rPr>
                <w:sz w:val="16"/>
                <w:szCs w:val="16"/>
                <w:color w:val="auto"/>
              </w:rPr>
            </w:pP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(4.0 )</w:t>
            </w:r>
          </w:p>
        </w:tc>
        <w:tc>
          <w:tcPr>
            <w:tcW w:w="1140" w:type="dxa"/>
            <w:vAlign w:val="bottom"/>
          </w:tcPr>
          <w:p>
            <w:pPr>
              <w:jc w:val="right"/>
              <w:spacing w:after="0"/>
              <w:rPr>
                <w:sz w:val="20"/>
                <w:szCs w:val="20"/>
                <w:color w:val="auto"/>
              </w:rPr>
            </w:pPr>
            <w:r>
              <w:rPr>
                <w:rFonts w:ascii="Arial" w:cs="Arial" w:eastAsia="Arial" w:hAnsi="Arial"/>
                <w:sz w:val="16"/>
                <w:szCs w:val="16"/>
                <w:color w:val="auto"/>
              </w:rPr>
              <w:t>11.5</w:t>
            </w:r>
          </w:p>
        </w:tc>
        <w:tc>
          <w:tcPr>
            <w:tcW w:w="240" w:type="dxa"/>
            <w:vAlign w:val="bottom"/>
          </w:tcPr>
          <w:p>
            <w:pPr>
              <w:spacing w:after="0"/>
              <w:rPr>
                <w:sz w:val="16"/>
                <w:szCs w:val="16"/>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195.2</w:t>
            </w: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68.2</w:t>
            </w:r>
          </w:p>
        </w:tc>
        <w:tc>
          <w:tcPr>
            <w:tcW w:w="2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240" w:type="dxa"/>
            <w:vAlign w:val="bottom"/>
            <w:tcBorders>
              <w:bottom w:val="single" w:sz="8" w:color="CFF0FC"/>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70.2</w:t>
            </w:r>
          </w:p>
        </w:tc>
        <w:tc>
          <w:tcPr>
            <w:tcW w:w="24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16.8</w:t>
            </w:r>
          </w:p>
        </w:tc>
        <w:tc>
          <w:tcPr>
            <w:tcW w:w="2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53.4</w:t>
            </w:r>
          </w:p>
        </w:tc>
        <w:tc>
          <w:tcPr>
            <w:tcW w:w="2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20"/>
              <w:spacing w:after="0" w:line="183" w:lineRule="exact"/>
              <w:rPr>
                <w:sz w:val="20"/>
                <w:szCs w:val="20"/>
                <w:color w:val="auto"/>
              </w:rPr>
            </w:pPr>
            <w:r>
              <w:rPr>
                <w:rFonts w:ascii="Arial" w:cs="Arial" w:eastAsia="Arial" w:hAnsi="Arial"/>
                <w:sz w:val="16"/>
                <w:szCs w:val="16"/>
                <w:color w:val="auto"/>
              </w:rPr>
              <w:t>Southern Europe:</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6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233.5</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0"/>
              <w:spacing w:after="0"/>
              <w:rPr>
                <w:sz w:val="20"/>
                <w:szCs w:val="20"/>
                <w:color w:val="auto"/>
              </w:rPr>
            </w:pPr>
            <w:r>
              <w:rPr>
                <w:rFonts w:ascii="Arial" w:cs="Arial" w:eastAsia="Arial" w:hAnsi="Arial"/>
                <w:sz w:val="16"/>
                <w:szCs w:val="16"/>
                <w:color w:val="auto"/>
              </w:rPr>
              <w:t>Italy</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79.7</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74.7</w:t>
            </w:r>
          </w:p>
        </w:tc>
        <w:tc>
          <w:tcPr>
            <w:tcW w:w="240" w:type="dxa"/>
            <w:vAlign w:val="bottom"/>
          </w:tcPr>
          <w:p>
            <w:pPr>
              <w:spacing w:after="0"/>
              <w:rPr>
                <w:sz w:val="16"/>
                <w:szCs w:val="16"/>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6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183.5</w:t>
            </w:r>
          </w:p>
        </w:tc>
        <w:tc>
          <w:tcPr>
            <w:tcW w:w="2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175.6</w:t>
            </w:r>
          </w:p>
        </w:tc>
        <w:tc>
          <w:tcPr>
            <w:tcW w:w="24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132.2</w:t>
            </w:r>
          </w:p>
        </w:tc>
        <w:tc>
          <w:tcPr>
            <w:tcW w:w="2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416.3</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75.7</w:t>
            </w:r>
          </w:p>
        </w:tc>
        <w:tc>
          <w:tcPr>
            <w:tcW w:w="2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70.6</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Northern Europe</w:t>
            </w:r>
          </w:p>
        </w:tc>
        <w:tc>
          <w:tcPr>
            <w:tcW w:w="6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67.8</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N/A</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N/A</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N/A</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N/A</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N/A</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APME</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Pr>
          <w:p>
            <w:pPr>
              <w:spacing w:after="0"/>
              <w:rPr>
                <w:sz w:val="16"/>
                <w:szCs w:val="16"/>
                <w:color w:val="auto"/>
              </w:rPr>
            </w:pP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(1.9 )</w:t>
            </w:r>
          </w:p>
        </w:tc>
        <w:tc>
          <w:tcPr>
            <w:tcW w:w="1140" w:type="dxa"/>
            <w:vAlign w:val="bottom"/>
          </w:tcPr>
          <w:p>
            <w:pPr>
              <w:jc w:val="right"/>
              <w:spacing w:after="0"/>
              <w:rPr>
                <w:sz w:val="20"/>
                <w:szCs w:val="20"/>
                <w:color w:val="auto"/>
              </w:rPr>
            </w:pPr>
            <w:r>
              <w:rPr>
                <w:rFonts w:ascii="Arial" w:cs="Arial" w:eastAsia="Arial" w:hAnsi="Arial"/>
                <w:sz w:val="16"/>
                <w:szCs w:val="16"/>
                <w:color w:val="auto"/>
              </w:rPr>
              <w:t>22.8</w:t>
            </w:r>
          </w:p>
        </w:tc>
        <w:tc>
          <w:tcPr>
            <w:tcW w:w="240" w:type="dxa"/>
            <w:vAlign w:val="bottom"/>
          </w:tcPr>
          <w:p>
            <w:pPr>
              <w:spacing w:after="0"/>
              <w:rPr>
                <w:sz w:val="16"/>
                <w:szCs w:val="16"/>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Profit - ManpowerGroup</w:t>
            </w:r>
          </w:p>
        </w:tc>
        <w:tc>
          <w:tcPr>
            <w:tcW w:w="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763.9</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212.0 %</w:t>
            </w: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6.5 %</w:t>
            </w:r>
          </w:p>
        </w:tc>
        <w:tc>
          <w:tcPr>
            <w:tcW w:w="13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205.5 %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15.1 %</w:t>
            </w:r>
          </w:p>
        </w:tc>
        <w:tc>
          <w:tcPr>
            <w:tcW w:w="12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190.4 %</w:t>
            </w: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-2979420</wp:posOffset>
            </wp:positionV>
            <wp:extent cx="603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-2979420</wp:posOffset>
            </wp:positionV>
            <wp:extent cx="16256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-2979420</wp:posOffset>
            </wp:positionV>
            <wp:extent cx="1543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-2979420</wp:posOffset>
            </wp:positionV>
            <wp:extent cx="1543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-2979420</wp:posOffset>
            </wp:positionV>
            <wp:extent cx="1543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-2979420</wp:posOffset>
            </wp:positionV>
            <wp:extent cx="1543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-2491105</wp:posOffset>
            </wp:positionV>
            <wp:extent cx="603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-2491105</wp:posOffset>
            </wp:positionV>
            <wp:extent cx="1625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-2491105</wp:posOffset>
            </wp:positionV>
            <wp:extent cx="15430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-2491105</wp:posOffset>
            </wp:positionV>
            <wp:extent cx="1543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-2491105</wp:posOffset>
            </wp:positionV>
            <wp:extent cx="1543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-2491105</wp:posOffset>
            </wp:positionV>
            <wp:extent cx="1543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-1985010</wp:posOffset>
            </wp:positionV>
            <wp:extent cx="60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-1985010</wp:posOffset>
            </wp:positionV>
            <wp:extent cx="16256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-1985010</wp:posOffset>
            </wp:positionV>
            <wp:extent cx="1543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-1985010</wp:posOffset>
            </wp:positionV>
            <wp:extent cx="1543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-1985010</wp:posOffset>
            </wp:positionV>
            <wp:extent cx="1543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-1985010</wp:posOffset>
            </wp:positionV>
            <wp:extent cx="1543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-1727835</wp:posOffset>
            </wp:positionV>
            <wp:extent cx="603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-1727835</wp:posOffset>
            </wp:positionV>
            <wp:extent cx="1625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-1727835</wp:posOffset>
            </wp:positionV>
            <wp:extent cx="1543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-1727835</wp:posOffset>
            </wp:positionV>
            <wp:extent cx="1543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-1727835</wp:posOffset>
            </wp:positionV>
            <wp:extent cx="1543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-1727835</wp:posOffset>
            </wp:positionV>
            <wp:extent cx="1543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-990600</wp:posOffset>
            </wp:positionV>
            <wp:extent cx="603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-990600</wp:posOffset>
            </wp:positionV>
            <wp:extent cx="1625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-990600</wp:posOffset>
            </wp:positionV>
            <wp:extent cx="1543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-990600</wp:posOffset>
            </wp:positionV>
            <wp:extent cx="15430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-990600</wp:posOffset>
            </wp:positionV>
            <wp:extent cx="15430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-990600</wp:posOffset>
            </wp:positionV>
            <wp:extent cx="15430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-502285</wp:posOffset>
            </wp:positionV>
            <wp:extent cx="6032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-502285</wp:posOffset>
            </wp:positionV>
            <wp:extent cx="1625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-502285</wp:posOffset>
            </wp:positionV>
            <wp:extent cx="1543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-502285</wp:posOffset>
            </wp:positionV>
            <wp:extent cx="15430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-502285</wp:posOffset>
            </wp:positionV>
            <wp:extent cx="15430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-502285</wp:posOffset>
            </wp:positionV>
            <wp:extent cx="15430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-5080</wp:posOffset>
            </wp:positionV>
            <wp:extent cx="6032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-5080</wp:posOffset>
            </wp:positionV>
            <wp:extent cx="1625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-5080</wp:posOffset>
            </wp:positionV>
            <wp:extent cx="1543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-5080</wp:posOffset>
            </wp:positionV>
            <wp:extent cx="1543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-5080</wp:posOffset>
            </wp:positionV>
            <wp:extent cx="1543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-5080</wp:posOffset>
            </wp:positionV>
            <wp:extent cx="1543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Cash Sources and Uses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2021, we had $769.4 million of cash held by foreign subsidiaries. We have historically made and anticipate future cash repatriations to the United States from certain foreign subsidiaries to fund corporate activities. As of December 31, 2021, deferred taxes related to non-United States withholding and other taxes were provided on $1,473.3 million of unremitted earnings of non-United States subsidiaries that may be remitted to the United States. As of December 31, 2021 and 2020, we have recorded a deferred tax liability of $16.1 million and $10.0 million, respectively, related to these non-United States earnings that may be remitted. As of December 31, 2021, we had an additional $343.8 million of unremitted earnings of non-United States subsidiaries for which we have not currently provided deferred taxes as amounts are deemed indefinitely reinvested. We have not estimated the deferred tax liability on these earnings as such estimation is not practicable to determine or immaterial to the financial statements.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Cash provided by operating activities was $644.8 million, $936.4 million and $814.4 million for 2021, 2020 and 2019, respectively. Changes in operating assets and liabilities generated $135.6 million, $703.6 million and $313.2 million of cash in 2021, 2020 and 2019, respectively. The change in 2021 from 2020 was primarily attributable to an increase in accounts receivable due to the stronger market environment as the impact of the COVID-19 crisis has stabilized in many parts of the world, offset by an increase in accounts payable due to timing. The change in 2020 from 2019 was primarily attributable to a decrease in accounts receivable, due to collections and the receivables not being replaced at the same level as a result of a decrease in demand for our services, and the benefit of certain government payment deferral measures introduced as part of the COVID-19 crisis. These improvements in our cash flows were partially offset by the decrease in our payroll-related liabilities due to lower activity.</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CICE payroll tax credits are creditable against our current French income tax payable, with any remaining amount being paid after three years. In April 2019, we sold a portion of our CICE earned in 2018 for net proceeds of $103.5 million (€92.0 million) with the remaining amount to be used against future tax payments. We derecognized these receivables upon the sale as the terms of the agreement are such that the transaction qualifies for sale treatment according to the accounting guidance on the transfer and servicing of assets. The discount on the sale of these receivables was recorded as a reduction of the payroll tax credits earned in the respective years in cost of services.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increased to $5,448.2 million as of December 31, 2021 from $4,912.4 million as of December 31, 2020. This increase was partially offset by the impact of changes in currency exchange rates. Days Sales Outstanding ("DSO") increased by one day from December 31, 2020 to 55 days as of December 31, 2021 due to unfavorable mix changes, with higher growth in countries with a higher average DSO.</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Capital expenditures were $64.2 million, $50.7 million and $52.9 million during 2021, 2020 and 2019, respectively. These expenditures were primarily comprised of purchases of computer equipment, office furniture and other costs related to office openings and refurbishments, as well as capitalized software costs of $26.9 million in 2021, $14.0 million in 2020 and $2.0 million in 2019. The higher expenditures in 2021 compared to 2020 was primarily due to additional technology investment and the timing of capital expenditures. The lower expenditures in 2020 compared to 2019 are primarily due to overall scale-back of activities in 2020 due to the COVID-19 crisis, completion of a software development project in 2019, and the timing of capital expenditures, partially offset by additional technology investments.</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debt borrowings were $70.3 million in 2021 as compared to net debt payments of $38.5 million in 2020 and net debt borrowings of $19.5 million in 2019. We drew $150.0 million as of October 1, 2021 in conjunction with the funding of the ettain group acquisition and $75.0 million remains outstanding as of December 31, 2021. We intend to repay the outstanding balance during 2022.</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jc w:val="both"/>
        <w:spacing w:after="0" w:line="274" w:lineRule="auto"/>
        <w:rPr>
          <w:sz w:val="20"/>
          <w:szCs w:val="20"/>
          <w:color w:val="auto"/>
        </w:rPr>
      </w:pPr>
      <w:r>
        <w:rPr>
          <w:rFonts w:ascii="Arial" w:cs="Arial" w:eastAsia="Arial" w:hAnsi="Arial"/>
          <w:sz w:val="16"/>
          <w:szCs w:val="16"/>
          <w:color w:val="auto"/>
        </w:rPr>
        <w:t>The Board of Directors authorized the repurchase of 4.0 million, 6.0 million and 6.0 million shares of our common stock in August 2021, August 2019 and August 2018. Share repurchases may be made from time to time through a variety of methods, including open market purchases, block transactions, privately negotiated transactions or similar facilities. In 2021, we repurchased a total of 2.1 million shares under the 2019 authorization at a total cost of $210.0 million. In 2020, we repurchased a total of 3.4 million shares comprised of 0.8 million shares under the 2018 authorization and 2.6 million shares under the 2019 authorization, at a total cost of $264.7 million. In 2019, we repurchased a total of 2.4 million shares at a total cost of $203.0 million under the 2018 authorization. As of December 31, 2021, there were 4.0 million and 1.2 million shares remaining authorized for repurchase under the 2021 authorization and 2019 authorization, respectively, and no shares remaining authorized for repurchase under the 2018 authorization.</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2021, 2020 and 2019, the Board of Directors declared total cash dividends of $2.52, $2.26 and $2.18 per share, respectively, resulting in total dividend payments of $136.6 million, $129.1 million and $129.3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have aggregate commitments of $2,100.0 million related to debt, operating leases, severances and office closure costs, transition tax resulting from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Tax Act and certain other commitments,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2023–2024</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2025–2026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Thereafter</w:t>
            </w:r>
          </w:p>
        </w:tc>
      </w:tr>
      <w:tr>
        <w:trPr>
          <w:trHeight w:val="196"/>
        </w:trPr>
        <w:tc>
          <w:tcPr>
            <w:tcW w:w="4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debt including interest</w:t>
            </w:r>
          </w:p>
        </w:tc>
        <w:tc>
          <w:tcPr>
            <w:tcW w:w="13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1,077.7</w:t>
            </w:r>
          </w:p>
        </w:tc>
        <w:tc>
          <w:tcPr>
            <w:tcW w:w="4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472.9</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19.8</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585.0</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Short-term borrowings</w:t>
            </w:r>
          </w:p>
        </w:tc>
        <w:tc>
          <w:tcPr>
            <w:tcW w:w="136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98.2</w:t>
            </w:r>
          </w:p>
        </w:tc>
        <w:tc>
          <w:tcPr>
            <w:tcW w:w="46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98.2</w:t>
            </w: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13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416.7</w:t>
            </w:r>
          </w:p>
        </w:tc>
        <w:tc>
          <w:tcPr>
            <w:tcW w:w="4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119.0</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156.6</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73.4</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67.7</w:t>
            </w: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Severance and other costs</w:t>
            </w:r>
          </w:p>
        </w:tc>
        <w:tc>
          <w:tcPr>
            <w:tcW w:w="136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23.3</w:t>
            </w:r>
          </w:p>
        </w:tc>
        <w:tc>
          <w:tcPr>
            <w:tcW w:w="46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19.9</w:t>
            </w: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0.1</w:t>
            </w:r>
          </w:p>
        </w:tc>
        <w:tc>
          <w:tcPr>
            <w:tcW w:w="28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Transition tax resulting from the Tax Act</w:t>
            </w:r>
          </w:p>
        </w:tc>
        <w:tc>
          <w:tcPr>
            <w:tcW w:w="13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101.2</w:t>
            </w:r>
          </w:p>
        </w:tc>
        <w:tc>
          <w:tcPr>
            <w:tcW w:w="4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52.1</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37.2</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383.0</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190.7</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135.6</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13.3</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43.4</w:t>
            </w:r>
          </w:p>
        </w:tc>
      </w:tr>
      <w:tr>
        <w:trPr>
          <w:trHeight w:val="196"/>
        </w:trPr>
        <w:tc>
          <w:tcPr>
            <w:tcW w:w="40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2,100.1</w:t>
            </w:r>
          </w:p>
        </w:tc>
        <w:tc>
          <w:tcPr>
            <w:tcW w:w="4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912.6</w:t>
            </w:r>
          </w:p>
        </w:tc>
        <w:tc>
          <w:tcPr>
            <w:tcW w:w="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367.4</w:t>
            </w:r>
          </w:p>
        </w:tc>
        <w:tc>
          <w:tcPr>
            <w:tcW w:w="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709.0</w:t>
            </w: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111.1</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liability for unrecognized tax benefits, including related interest and penalties, of $56.6 million is excluded from the commitments above as we cannot determine the years in which these positions might ultimately be settled.</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recorded net restructuring costs of $15.2 million, $110.7 million and $42.0 million during 2021, 2020 and 2019, respectively, in selling and administrative expenses, primarily related to severances and office closures and consolidations in multiple countries and territories. As a result of the adoption of the new accounting guidance on leases as of January 1, 2019, the office closure costs of $27.3 million during 2020 were recorded as an impairment to the operating lease right-of-use asset and, thus, are not included in the restructuring reserve balance as of December 31, 2020. The costs paid or utilized out of our restructuring reserve were $38.0 million during 2021.</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entered into guarantee contracts and stand-by letters of credit that total $769.3 million as of December 31, 2021 ($717.7 million for guarantees and $51.6 million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$1.8 million for 2021.</w:t>
      </w:r>
    </w:p>
    <w:p>
      <w:pPr>
        <w:spacing w:after="0" w:line="14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capitalization as of December 31, 2021 was $3,650.0 million, comprised of $1,118.3 million in debt and $2,531.7 million in equity. Debt as a percentage of total capitalization was 31%, 31% and 28% as of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million. Of the total consideration paid, $925.0 million was for the acquired interests and the remaining $5.9 million was for excess working capital and cash. The transaction was funded through cash on hand and a $150.0 million draw on our revolving debt facility on October 1, 2021. We expect to finalize the net working capital adjustments in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2" w:name="page43"/>
    <w:bookmarkEnd w:id="42"/>
    <w:p>
      <w:pPr>
        <w:jc w:val="both"/>
        <w:spacing w:after="0" w:line="244" w:lineRule="auto"/>
        <w:rPr>
          <w:sz w:val="20"/>
          <w:szCs w:val="20"/>
          <w:color w:val="auto"/>
        </w:rPr>
      </w:pPr>
      <w:r>
        <w:rPr>
          <w:rFonts w:ascii="Arial" w:cs="Arial" w:eastAsia="Arial" w:hAnsi="Arial"/>
          <w:sz w:val="18"/>
          <w:szCs w:val="18"/>
          <w:color w:val="auto"/>
        </w:rPr>
        <w:t>The acquisition of ettain group was accounted for as a business combination, and the assets and liabilities of ettain group were included in the Consolidated Balance Sheets as of the acquisition date and the results of its operations</w:t>
      </w:r>
    </w:p>
    <w:p>
      <w:pPr>
        <w:jc w:val="both"/>
        <w:spacing w:after="0" w:line="283" w:lineRule="auto"/>
        <w:rPr>
          <w:sz w:val="20"/>
          <w:szCs w:val="20"/>
          <w:color w:val="auto"/>
        </w:rPr>
      </w:pPr>
      <w:r>
        <w:rPr>
          <w:rFonts w:ascii="Arial" w:cs="Arial" w:eastAsia="Arial" w:hAnsi="Arial"/>
          <w:sz w:val="16"/>
          <w:szCs w:val="16"/>
          <w:color w:val="auto"/>
        </w:rPr>
        <w:t>have been included in the Consolidated Statements of Operations subsequent to the acquisition date. The customer relationship intangible asset will be amortized over a 15 year useful life. The customer relationship intangible asset and goodwill from the acquisition are partially deductible for income tax purposes. As of December 31, 2021, the carrying value of intangible assets and goodwill was $354.0 million and $519.6 million, respectively.</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million and was funded through cash on hand. Of the total consideration paid, $58.3 million was for the acquired interests and the remaining $161.2 million was for cash and cash equivalents. The aggregate cash consideration paid reflects a post-closing settlement of net debt and net working capital adjustments of $6.8 million, which we paid out during the third quarter of 2019. The acquisition of the remaining interest of Experis AG was accounted for as an equity transaction as we previously consolidated the entity.</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(income), net on the Consolidated Statements of Operations. The acquisition of the remaining controlling interest in Manpower Switzerland was accounted for as a business combination, and the assets and liabilities of Manpower Switzerland were included in the Consolidated Balance Sheets as of the acquisition date and the results of its operations have been included in the Consolidated Statements of Operations subsequent to the acquisition date.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aggregate of the consideration paid and the fair value of previously held equity interest totaled $415.1 million, or $97.6 million net of cash acquired. In connection with the business combination, we recognized a one-time, non-cash gain on the disposition of our previously held equity interest in Manpower Switzerland of $80.4 million, which is included within interest and other expenses (income), net on the Consolidated Statements of Operations. Of the $80.4 million, $32.5 million represented the reclassification of foreign currency translation adjustments related to the previously held equity interest, from accumulated other comprehensive loss. As of December 31, 2019, the carrying value of intangible assets and goodwill resulting from the Manpower Switzerland acquisition was $44.5 million and $34.2 million, respectively.</w:t>
      </w:r>
    </w:p>
    <w:p>
      <w:pPr>
        <w:spacing w:after="0" w:line="162"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excluding ettain group, Manpower Switzerland and Experis AG, net of cash acquired, for the years ended December 31, 2021, 2020 and 2019 was $8.1 million, $2.6 million and $47.7 million, respectively. The 2021, 2020 and 2019 balances include consideration payments for franchises in the United States and contingent consideration payments related to previous acquisitions, of which $6.3 million, $1.9 million and $13.0 million, respectively, had been recognized as a liability at the acquisition date.</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goodwill and intangible assets resulting from the 2021 acquisitions, excluding ettain group, were $3.1 million and $0.6 million, respectively. No goodwill and intangible assets resulted from acquisitions in 2020. As of December 31, 2019, goodwill and intangible assets resulting from the 2019 acquisitions, excluding Manpower Switzerland, were $14.2 million and $9.0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Occasionally, we dispose of parts of our operations to optimize our global strategic and geographic footprint and synergies. On January 17, 2022, we disposed of our Russia business in our Northern Europe segment for $4.0 million, consisting of upfront cash proceeds received of $3.2 million and $0.8 million of deferred consideration. We simultaneously entered into a franchise agreement with the new ownership of the Russia business. In connection with the disposition, we anticipate recognizing a one-time loss on disposition of approximately $8.0 million during the first quarter of 2022. We will finalize our accounting for the disposition during the first quarter of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jc w:val="both"/>
        <w:spacing w:after="0" w:line="324" w:lineRule="auto"/>
        <w:rPr>
          <w:sz w:val="20"/>
          <w:szCs w:val="20"/>
          <w:color w:val="auto"/>
        </w:rPr>
      </w:pPr>
      <w:r>
        <w:rPr>
          <w:rFonts w:ascii="Arial" w:cs="Arial" w:eastAsia="Arial" w:hAnsi="Arial"/>
          <w:sz w:val="16"/>
          <w:szCs w:val="16"/>
          <w:color w:val="auto"/>
        </w:rPr>
        <w:t>In November 2021, we disposed of our Tunisia business in our Southern Europe segment and recognized a one-time loss on disposition of $1.2 million, which was included in selling and administrative expenses in the Consolidated Statements of Operations in the year ended December 31, 2021.</w:t>
      </w:r>
    </w:p>
    <w:p>
      <w:pPr>
        <w:spacing w:after="0" w:line="1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September 30, 2020, we disposed of four businesses (Serbia, Croatia, Slovenia, Bulgaria) in our Southern Europe segment for $5.8 million, subject to normal post close working capital adjustments, and simultaneously entered into franchise agreements with the new ownership of these businesses. In connection with the disposition, we recognized a one-time loss on disposition of $5.8 million, which was included in the selling and administrative expenses in the Consolidated Statements of Operations for the year ended December 31, 2020.</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our remaining interest under the equity method of accounting and record our share of equity income or loss in interest and other expenses (income), net in the Consolidated Statements of Operations. In connection with the deconsolidation of the joint venture, we recognized a one-time non-cash gain of $30.4 million, which was included in selling and administrative expenses in the Consolidated Statements of Operations in the year ended December 31, 2019. Included in the $30.4 million was foreign currency translation adjustment losses of $6.2 million related to the joint venture from accumulated other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Notes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June 22, 2018, we offered and sold €500.0 million aggregate principal amount of the Company’s 1.750% notes due June 22, 2026 (the “€500.0 million notes”). The net proceeds from the €500.0 million notes of €495.7 million were used to repay our €350.0 million notes due June 22, 2018, with the remaining balance used for general corporate purposes, which included share repurchases. The €500.0 million notes were issued at a price of 99.564% to yield an effective interest rate of 1.809%. Interest on the €500.0 million notes is payable in arrears on June 22 of each year. The €500.0 million notes are unsecured senior obligations and rank equally with all of the Company’s existing and future senior unsecured debt and other liabilities.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€400.0 million aggregate principal amount 1.875% notes (the "€400.0 million notes") are due September 2022.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upon replacement of either the €500.0 million notes or the €400.0 million notes.</w:t>
      </w:r>
    </w:p>
    <w:p>
      <w:pPr>
        <w:spacing w:after="0" w:line="1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Both the €500.0 million notes and €400.0 million notes contain certain customary non-financial restrictive covenants and events of default and are unsecured senior obligations and rank equally with all of our existing and future senior unsecured debt and other liabilities. A portion of these notes has been designated as a hedge of our net investment in our foreign subsidiaries with Euro-functional currency as of December 31, 2021. For this portion of the Euro-denominated notes, since our net investment in these subsidiaries exceeds the respective amount of the designated borrowings, both net of taxes, the related translation gains or losses are included as a component of accumulated other comprehensive loss. (See the Significant Matters Affecting Results of Operations section and Notes 8 and 12 to the Consolidated Financial Statements found in Item 8. "Financial Statements and Supplementary Data" for further information.)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Revolving Credit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a Five-Year Credit Agreement with a syndicate of commercial banks through June 18, 2023. The Credit Agreement allows for borrowing of $600.0 million in various currencies, and up to $150.0 million may be used for the issuance of stand-by letters of credit, with an option to request an increase to the total availability by an additional $200.0 million and each lender may participate in the requested increase at their discretion. We had $75.0 million borrowed under this facility as of December 31, 2021, and no borrowings as of December 31, 2020. Outstanding letters of credit issued under the Credit Agreement totaled $0.5 million as of both December 31, 2021 and 2020. Additional borrowings of $524.5 million and $599.5 million were available to us under the facility as of December 31, 2021 and 2020, respectively.</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 A downgrade from both credit agencies would unfavorably impact our interest and facility fees and result in additional costs ranging from approximately $0.3 million to $1.2 million annually.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In the Credit Agreement, Net Debt is defined as total debt less cash in excess of $400.0 million.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defined in the Credit Agreement, we had a net Debt-to-EBITDA ratio of 0.97 to 1 (compared to the maximum allowable ratio of 3.5 to 1) and a Fixed Charge Coverage ratio of 5.12 to 1 (compared to the minimum required ratio of 1.5 to 1) as of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December 31, 2021, such uncommitted credit lines totaled $338.6 million, of which $314.9 million was unused. Under the Credit Agreement, total subsidiary borrowings cannot exceed $300.0 million in the first, second and fourth quarters, and $600.0 million in the third quarter of each year. Due to these limitations, additional borrowings of $276.3 million could have been made under these lines as of December 31, 2021.</w:t>
      </w:r>
    </w:p>
    <w:p>
      <w:pPr>
        <w:spacing w:after="0" w:line="12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long-term debt has a rating of Baa1 from Moody's Investor Services and BBB from Standard and Poor's, both with a stable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58"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have assessed what impact the COVID-19 crisis has had or may have on our liquidity position as of December 31, 2021 and for the near future. As of December 31, 2021, our cash and cash equivalents balance was $847.8 million. We also have access to the previously mentioned revolving credit facility that could immediately provide us with up to $600.0 million of additional cash, of which just $75.0 million was used as of December 31, 2021, and we have an option to request an increase to the total availability under the revolving credit facility by an additional $200.0 million and each lender may participate in the requested increase at their discretion. In addition, we have access to the previously mentioned credit lines of up to $300.0 million ($600.0 million in the third quarter) to meet the working capital needs of our subsidiaries, of which $276.3 million was available to use as of December 31, 2021. Our €500.0 million notes and €400.0 million notes that total $1,019.6 million as of December 31, 2021 mature in June 2026 and September 2022, and we plan to refinance the €400.0 million note in 2022; thus, there will be no payments due in the very near term except for annual interest payments. Based on the above, notwithstanding the cash used to fund the ettain group acquisition on October 1, 2021, we believe we have sufficient liquidity and capital resources to satisfy future requirements and meet our obligations currently and in the near future should the COVID-19 crisis cause any additional cash flow needs.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200" w:lineRule="exact"/>
        <w:rPr>
          <w:sz w:val="20"/>
          <w:szCs w:val="20"/>
          <w:color w:val="auto"/>
        </w:rPr>
      </w:pP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requires management to make estimates, which are based on all available information and in some cases assumptions with respect to the timing and amount of future revenues and expenses associated with an asset. On October 1, 2021, we acquired ettain group (see Note 4 to the Consolidated Financial Statements for further information). As part of the accounting for the acquisition, we identified and recorded a customer relationship intangible asset of $360.0 million which will be amortized over a 15 year useful life. We utilized the discounted cash flow method to estimate the fair value of the customer relationship asset, which required management to make significant assumptions in the model, but was calculated based on the historical customer sales of the acquired company. A change in the customer attrition rate of 250 basis points would result in a decrease of $66.0 million or an increase of $87.0 million in intangible assets, respectively, but would not result in a material change to future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28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Defined Benefit Pension Plans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sponsor several qualified and nonqualified pension plans covering permanent employees. The most significant plans are located in Switzerland, the United Kingdom, the Netherlands, Germany and France. Annual expense relating to these plans was $22.2 million, $34.1 million and $17.2 million in 2021, 2020 and 2019, respectively. The decrease in 2021 pension expense is primarily due to the settlement of a U.S. pension plan in the first quarter of 2020. Pension expense is estimated to be approximately $17.0 million in 2022.</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determining the estimated 2022 pension expense for non-United States plans, we used a weighted-average discount rate of 1.0% compared to 0.6% for 2021, reflecting the current interest rate environment. We have selected a weighted-average expected return on plan assets of 1.7% for the non-United States plans in determining the 2022 estimated pension expense compared to 1.5% used for the calculation of the 2021 pension expense. Absent any other changes, a 25 basis point increase and decrease in the weighted-average discount rate would decrease or increase our 2022 consolidated pension expense by $0.6 million. Absent any other changes, a 25 basis point increase or decrease in the weighted-average expected return on plan assets would decrease or increase our 2022 consolidated pension expense by $1.8 million.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found in Item 8. "Financial Statements and Supplementary Data" for further information.)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exceed the 50% threshold, will not be recognized in the financial statements.</w:t>
      </w:r>
    </w:p>
    <w:p>
      <w:pPr>
        <w:spacing w:after="0" w:line="13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Impairment</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performed our annual impairment test of our goodwill during the third quarter of 2021 and determined that there was no impairment.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our reporting units’ estimated fair values and carrying values, determined as part of our annual goodwill impairment test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gridSpan w:val="11"/>
          </w:tcPr>
          <w:p>
            <w:pPr>
              <w:spacing w:after="0"/>
              <w:rPr>
                <w:sz w:val="20"/>
                <w:szCs w:val="20"/>
                <w:color w:val="auto"/>
              </w:rPr>
            </w:pPr>
            <w:r>
              <w:rPr>
                <w:rFonts w:ascii="Arial" w:cs="Arial" w:eastAsia="Arial" w:hAnsi="Arial"/>
                <w:sz w:val="18"/>
                <w:szCs w:val="18"/>
                <w:color w:val="auto"/>
                <w:w w:val="96"/>
              </w:rPr>
              <w:t>performed in the third quarter, representing approximately 80% of our consolidated goodwill balance as of September 30, 2021.</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France</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United States</w:t>
            </w: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United Kingdom</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Canada</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Sweden</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Netherlands</w:t>
            </w:r>
          </w:p>
        </w:tc>
      </w:tr>
      <w:tr>
        <w:trPr>
          <w:trHeight w:val="196"/>
        </w:trPr>
        <w:tc>
          <w:tcPr>
            <w:tcW w:w="2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Estimated fair values</w:t>
            </w:r>
          </w:p>
        </w:tc>
        <w:tc>
          <w:tcPr>
            <w:tcW w:w="7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3,130.8</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1,480.2</w:t>
            </w:r>
          </w:p>
        </w:tc>
        <w:tc>
          <w:tcPr>
            <w:tcW w:w="6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412.0</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203.5</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150.1</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130.5</w:t>
            </w:r>
          </w:p>
        </w:tc>
      </w:tr>
      <w:tr>
        <w:trPr>
          <w:trHeight w:val="203"/>
        </w:trPr>
        <w:tc>
          <w:tcPr>
            <w:tcW w:w="20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Carrying values</w:t>
            </w: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1,358.2</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912.4</w:t>
            </w: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335.4</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103.9</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85.4</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123.7</w:t>
            </w: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July 1, 2021, the fair value of each reporting unit was at least 20% in excess of the respective reporting unit’s carrying value with the exception of the Netherlands reporting unit, which is part of the Northern Europe segment. The Netherlands reporting unit had a fair value that exceeded its carrying value by approximately 5.5%. Key assumptions included in the Netherlands discounted cash flow valuation performed during the third quarter of 2021 were a discount rate of 10.4%, revenue growth for the next three years ranging from 3.0%-5.0%, a terminal value revenue growth rate of 2.0%, and a terminal value OUP margin of 3.5%. If the Netherlands reporting cannot meet its operating targets and/or recover from the deteriorated macroeconomic, industry, and market conditions, it may not achieve the growth and margin assumptions noted above and some or all of the recorded goodwill for the Netherlands reporting unit, which was $112.2 million as of December 31, 2021, could be subject to impairment.</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given the uncertainty of the financial impacts from the COVID-19 pandemic, there could be significant further decreases in the operating results of our reporting units for a sustained period, which may result in a recognition of goodwill impairment that could be material to the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Matters Affecting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Approximately 87% of our revenues and profits are generated outside of the United States, with 47%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United States dollar weakened in 2021 on average, whereas it strengthened in the first half of 2020 and weakened in the second half of 2020 against many of the currencies of our major markets. Revenues from services in constant currency were 3.0% and 0.2% lower than reported revenues in 2021 and 2020, respectively. A change in the strength of the United States dollar by an additional 10% would have impacted our revenues from services by approximately 8.7% from the amounts reported in both 2021 and 2020.</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strengthened relative to many foreign currencies as of December 31, 2021 compared to December 31, 2020, particularly in Euro- and GBP-functional currencies. Consequently, shareholders’ equity decreased by $46.9 million as a result of the foreign currency translation as of December 31, 2021. If the United States dollar had strengthened an additional 10% as of December 31, 2021, resulting translation adjustments recorded in shareholders’ equity would have decreased by approximately $80.0 million from the amounts reported.</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December 31, 2020, the United States dollar weakened relative to many foreign currencies compared to December 31, 2019, particularly in Euro- and GBP-functional currencies. Consequently, shareholders’ equity increased by $82.3 million as a result of the foreign currency translation as of December 31, 2020. If the United States dollar had weakened an additional 10% as of December 31, 2020, resulting translation adjustments recorded in shareholders’ equity would have increased by approximately $124.0 million from the amounts reported.</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both"/>
        <w:spacing w:after="0" w:line="241" w:lineRule="auto"/>
        <w:rPr>
          <w:sz w:val="20"/>
          <w:szCs w:val="20"/>
          <w:color w:val="auto"/>
        </w:rPr>
      </w:pPr>
      <w:r>
        <w:rPr>
          <w:rFonts w:ascii="Arial" w:cs="Arial" w:eastAsia="Arial" w:hAnsi="Arial"/>
          <w:sz w:val="18"/>
          <w:szCs w:val="18"/>
          <w:color w:val="auto"/>
        </w:rPr>
        <w:t>As of December 31, 2021, we had outstanding $1,019.6 million in principal amount of Euro-denominated notes (€900.0 million). These notes have been designated as a hedge of our net investment in subsidiaries with a Euro-functional currency as of December 31, 2021. Since our net investment in these subsidiaries exceeds the respective amount of the designated borrowings, both net of tax, the related translation gains or losses are included as a component of accumulated other comprehensive loss. Shareholders’ equity increased by $59.0 million, net of tax, due to changes in accumulated other comprehensive loss during 2021, due to the currency impact on these designated borrowings.</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hypothetical impact of the stated change in rates on 2021 total other comprehensive income (loss) for the Euro Notes and forward contracts is as follows:</w:t>
      </w:r>
    </w:p>
    <w:tbl>
      <w:tblPr>
        <w:tblLayout w:type="fixed"/>
        <w:tblInd w:w="0" w:type="dxa"/>
        <w:tblCellMar>
          <w:top w:w="0" w:type="dxa"/>
          <w:left w:w="0" w:type="dxa"/>
          <w:bottom w:w="0" w:type="dxa"/>
          <w:right w:w="0" w:type="dxa"/>
        </w:tblCellMar>
      </w:tblPr>
      <w:tr>
        <w:trPr>
          <w:trHeight w:val="160"/>
        </w:trPr>
        <w:tc>
          <w:tcPr>
            <w:tcW w:w="5360" w:type="dxa"/>
            <w:vAlign w:val="bottom"/>
            <w:gridSpan w:val="2"/>
          </w:tcPr>
          <w:p>
            <w:pPr>
              <w:ind w:left="20"/>
              <w:spacing w:after="0" w:line="161"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18"/>
                <w:szCs w:val="18"/>
                <w:i w:val="1"/>
                <w:iCs w:val="1"/>
                <w:color w:val="auto"/>
              </w:rPr>
              <w:t>(in millions)</w:t>
            </w:r>
          </w:p>
        </w:tc>
        <w:tc>
          <w:tcPr>
            <w:tcW w:w="4080" w:type="dxa"/>
            <w:vAlign w:val="bottom"/>
            <w:gridSpan w:val="2"/>
          </w:tcPr>
          <w:p>
            <w:pPr>
              <w:ind w:left="2300"/>
              <w:spacing w:after="0" w:line="161" w:lineRule="exact"/>
              <w:rPr>
                <w:sz w:val="20"/>
                <w:szCs w:val="20"/>
                <w:color w:val="auto"/>
              </w:rPr>
            </w:pPr>
            <w:r>
              <w:rPr>
                <w:rFonts w:ascii="Arial" w:cs="Arial" w:eastAsia="Arial" w:hAnsi="Arial"/>
                <w:sz w:val="18"/>
                <w:szCs w:val="18"/>
                <w:color w:val="auto"/>
              </w:rPr>
              <w:t>10% Depreciation in</w:t>
            </w:r>
          </w:p>
        </w:tc>
        <w:tc>
          <w:tcPr>
            <w:tcW w:w="1800" w:type="dxa"/>
            <w:vAlign w:val="bottom"/>
            <w:gridSpan w:val="2"/>
          </w:tcPr>
          <w:p>
            <w:pPr>
              <w:ind w:left="160"/>
              <w:spacing w:after="0" w:line="161" w:lineRule="exact"/>
              <w:rPr>
                <w:sz w:val="20"/>
                <w:szCs w:val="20"/>
                <w:color w:val="auto"/>
              </w:rPr>
            </w:pPr>
            <w:r>
              <w:rPr>
                <w:rFonts w:ascii="Arial" w:cs="Arial" w:eastAsia="Arial" w:hAnsi="Arial"/>
                <w:sz w:val="18"/>
                <w:szCs w:val="18"/>
                <w:color w:val="auto"/>
              </w:rPr>
              <w:t>10% Appreciation in</w:t>
            </w:r>
          </w:p>
        </w:tc>
      </w:tr>
      <w:tr>
        <w:trPr>
          <w:trHeight w:val="216"/>
        </w:trPr>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Market Sensitive Instrument</w:t>
            </w:r>
          </w:p>
        </w:tc>
        <w:tc>
          <w:tcPr>
            <w:tcW w:w="2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Exchange Rates</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Exchange Rates</w:t>
            </w:r>
          </w:p>
        </w:tc>
      </w:tr>
      <w:tr>
        <w:trPr>
          <w:trHeight w:val="196"/>
        </w:trPr>
        <w:tc>
          <w:tcPr>
            <w:tcW w:w="1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Euro Notes:</w:t>
            </w:r>
          </w:p>
        </w:tc>
        <w:tc>
          <w:tcPr>
            <w:tcW w:w="426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29"/>
        </w:trPr>
        <w:tc>
          <w:tcPr>
            <w:tcW w:w="1100" w:type="dxa"/>
            <w:vAlign w:val="bottom"/>
          </w:tcPr>
          <w:p>
            <w:pPr>
              <w:ind w:left="20"/>
              <w:spacing w:after="0"/>
              <w:rPr>
                <w:sz w:val="20"/>
                <w:szCs w:val="20"/>
                <w:color w:val="auto"/>
              </w:rPr>
            </w:pPr>
            <w:r>
              <w:rPr>
                <w:rFonts w:ascii="Arial" w:cs="Arial" w:eastAsia="Arial" w:hAnsi="Arial"/>
                <w:sz w:val="18"/>
                <w:szCs w:val="18"/>
                <w:color w:val="auto"/>
                <w:w w:val="91"/>
              </w:rPr>
              <w:t>€500.0, 1.81%</w:t>
            </w:r>
          </w:p>
        </w:tc>
        <w:tc>
          <w:tcPr>
            <w:tcW w:w="4260" w:type="dxa"/>
            <w:vAlign w:val="bottom"/>
          </w:tcPr>
          <w:p>
            <w:pPr>
              <w:ind w:left="20"/>
              <w:spacing w:after="0"/>
              <w:rPr>
                <w:sz w:val="20"/>
                <w:szCs w:val="20"/>
                <w:color w:val="auto"/>
              </w:rPr>
            </w:pPr>
            <w:r>
              <w:rPr>
                <w:rFonts w:ascii="Arial" w:cs="Arial" w:eastAsia="Arial" w:hAnsi="Arial"/>
                <w:sz w:val="18"/>
                <w:szCs w:val="18"/>
                <w:color w:val="auto"/>
              </w:rPr>
              <w:t>Notes due June 2026</w:t>
            </w:r>
          </w:p>
        </w:tc>
        <w:tc>
          <w:tcPr>
            <w:tcW w:w="2540" w:type="dxa"/>
            <w:vAlign w:val="bottom"/>
          </w:tcPr>
          <w:p>
            <w:pPr>
              <w:ind w:left="22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56.8</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(56.8 )</w:t>
            </w:r>
          </w:p>
        </w:tc>
      </w:tr>
      <w:tr>
        <w:trPr>
          <w:trHeight w:val="203"/>
        </w:trPr>
        <w:tc>
          <w:tcPr>
            <w:tcW w:w="1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1"/>
              </w:rPr>
              <w:t>€400.0, 1.91%</w:t>
            </w:r>
          </w:p>
        </w:tc>
        <w:tc>
          <w:tcPr>
            <w:tcW w:w="4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 due September 2022</w:t>
            </w:r>
          </w:p>
        </w:tc>
        <w:tc>
          <w:tcPr>
            <w:tcW w:w="25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45.5</w:t>
            </w: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(45.5 )</w:t>
            </w: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Forward contracts:</w:t>
            </w:r>
          </w:p>
        </w:tc>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53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£(5.7) to $(7.8)</w:t>
            </w:r>
          </w:p>
        </w:tc>
        <w:tc>
          <w:tcPr>
            <w:tcW w:w="2540" w:type="dxa"/>
            <w:vAlign w:val="bottom"/>
            <w:shd w:val="clear" w:color="auto" w:fill="CFF0FC"/>
          </w:tcPr>
          <w:p>
            <w:pPr>
              <w:ind w:left="228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0.8</w:t>
            </w:r>
          </w:p>
        </w:tc>
        <w:tc>
          <w:tcPr>
            <w:tcW w:w="4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(0.8 )</w:t>
            </w: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€(147.3) to $(174.2)</w:t>
            </w:r>
          </w:p>
        </w:tc>
        <w:tc>
          <w:tcPr>
            <w:tcW w:w="254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(16.9 )</w:t>
            </w:r>
          </w:p>
        </w:tc>
      </w:tr>
      <w:tr>
        <w:trPr>
          <w:trHeight w:val="203"/>
        </w:trPr>
        <w:tc>
          <w:tcPr>
            <w:tcW w:w="110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92"/>
              </w:rPr>
              <w:t>¥228.0 to $2.0</w:t>
            </w:r>
          </w:p>
        </w:tc>
        <w:tc>
          <w:tcPr>
            <w:tcW w:w="4260" w:type="dxa"/>
            <w:vAlign w:val="bottom"/>
            <w:tcBorders>
              <w:bottom w:val="single" w:sz="8" w:color="auto"/>
            </w:tcBorders>
            <w:shd w:val="clear" w:color="auto" w:fill="CFF0FC"/>
          </w:tcPr>
          <w:p>
            <w:pPr>
              <w:spacing w:after="0"/>
              <w:rPr>
                <w:sz w:val="17"/>
                <w:szCs w:val="17"/>
                <w:color w:val="auto"/>
              </w:rPr>
            </w:pPr>
          </w:p>
        </w:tc>
        <w:tc>
          <w:tcPr>
            <w:tcW w:w="25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(0.2 )</w:t>
            </w: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0.2</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exposure to market risk for changes in interest rates relates primarily to our variable rate long-term debt obligations. We have historically managed interest rates through the use of a combination of fixed- and variable-rate borrowings. As of December 31, 2021, we had the following fixed- and variable-rate borrowings:</w:t>
      </w:r>
    </w:p>
    <w:tbl>
      <w:tblPr>
        <w:tblLayout w:type="fixed"/>
        <w:tblInd w:w="0" w:type="dxa"/>
        <w:tblCellMar>
          <w:top w:w="0" w:type="dxa"/>
          <w:left w:w="0" w:type="dxa"/>
          <w:bottom w:w="0" w:type="dxa"/>
          <w:right w:w="0" w:type="dxa"/>
        </w:tblCellMar>
      </w:tblPr>
      <w:tr>
        <w:trPr>
          <w:trHeight w:val="163"/>
        </w:trPr>
        <w:tc>
          <w:tcPr>
            <w:tcW w:w="4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jc w:val="right"/>
              <w:ind w:right="130"/>
              <w:spacing w:after="0" w:line="163" w:lineRule="exact"/>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175"/>
        </w:trPr>
        <w:tc>
          <w:tcPr>
            <w:tcW w:w="4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420" w:type="dxa"/>
            <w:vAlign w:val="bottom"/>
          </w:tcPr>
          <w:p>
            <w:pPr>
              <w:spacing w:after="0"/>
              <w:rPr>
                <w:sz w:val="15"/>
                <w:szCs w:val="15"/>
                <w:color w:val="auto"/>
              </w:rPr>
            </w:pPr>
          </w:p>
        </w:tc>
        <w:tc>
          <w:tcPr>
            <w:tcW w:w="1420" w:type="dxa"/>
            <w:vAlign w:val="bottom"/>
            <w:vMerge w:val="restart"/>
          </w:tcPr>
          <w:p>
            <w:pPr>
              <w:jc w:val="right"/>
              <w:ind w:right="310"/>
              <w:spacing w:after="0"/>
              <w:rPr>
                <w:sz w:val="20"/>
                <w:szCs w:val="20"/>
                <w:color w:val="auto"/>
              </w:rPr>
            </w:pPr>
            <w:r>
              <w:rPr>
                <w:rFonts w:ascii="Arial" w:cs="Arial" w:eastAsia="Arial" w:hAnsi="Arial"/>
                <w:sz w:val="18"/>
                <w:szCs w:val="18"/>
                <w:color w:val="auto"/>
              </w:rPr>
              <w:t>Amount</w:t>
            </w:r>
          </w:p>
        </w:tc>
        <w:tc>
          <w:tcPr>
            <w:tcW w:w="170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vMerge w:val="continue"/>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tcPr>
          <w:p>
            <w:pPr>
              <w:jc w:val="right"/>
              <w:ind w:right="130"/>
              <w:spacing w:after="0" w:line="216" w:lineRule="exact"/>
              <w:rPr>
                <w:sz w:val="20"/>
                <w:szCs w:val="20"/>
                <w:color w:val="auto"/>
              </w:rPr>
            </w:pPr>
            <w:r>
              <w:rPr>
                <w:rFonts w:ascii="Arial" w:cs="Arial" w:eastAsia="Arial" w:hAnsi="Arial"/>
                <w:sz w:val="18"/>
                <w:szCs w:val="18"/>
                <w:color w:val="auto"/>
              </w:rPr>
              <w:t>Interest Rate</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Variable-rate borrowings</w:t>
            </w:r>
          </w:p>
        </w:tc>
        <w:tc>
          <w:tcPr>
            <w:tcW w:w="342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16.8</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Fixed-rate borrowings</w:t>
            </w:r>
          </w:p>
        </w:tc>
        <w:tc>
          <w:tcPr>
            <w:tcW w:w="3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1,101.5</w:t>
            </w: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debt</w:t>
            </w:r>
          </w:p>
        </w:tc>
        <w:tc>
          <w:tcPr>
            <w:tcW w:w="342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1,118.3</w:t>
            </w:r>
          </w:p>
        </w:tc>
        <w:tc>
          <w:tcPr>
            <w:tcW w:w="170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282A32"/>
        </w:rPr>
        <w:t>(1) The rates are impacted by currency exchange rate movements.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Economic Conditions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 found in Item 8. "Financial Statements and Supplementary Data."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91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6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jc w:val="center"/>
              <w:ind w:left="750"/>
              <w:spacing w:after="0"/>
              <w:rPr>
                <w:sz w:val="20"/>
                <w:szCs w:val="20"/>
                <w:color w:val="auto"/>
              </w:rPr>
            </w:pPr>
            <w:r>
              <w:rPr>
                <w:rFonts w:ascii="Arial" w:cs="Arial" w:eastAsia="Arial" w:hAnsi="Arial"/>
                <w:sz w:val="18"/>
                <w:szCs w:val="18"/>
                <w:b w:val="1"/>
                <w:bCs w:val="1"/>
                <w:color w:val="auto"/>
                <w:w w:val="91"/>
              </w:rPr>
              <w:t>Page Number</w:t>
            </w:r>
          </w:p>
        </w:tc>
      </w:tr>
      <w:tr>
        <w:trPr>
          <w:trHeight w:val="203"/>
        </w:trPr>
        <w:tc>
          <w:tcPr>
            <w:tcW w:w="9180" w:type="dxa"/>
            <w:vAlign w:val="bottom"/>
            <w:gridSpan w:val="8"/>
            <w:shd w:val="clear" w:color="auto" w:fill="CFF0FC"/>
          </w:tcPr>
          <w:p>
            <w:pPr>
              <w:ind w:left="20"/>
              <w:spacing w:after="0" w:line="202" w:lineRule="exact"/>
              <w:rPr>
                <w:sz w:val="20"/>
                <w:szCs w:val="20"/>
                <w:color w:val="auto"/>
              </w:rPr>
            </w:pPr>
            <w:r>
              <w:rPr>
                <w:rFonts w:ascii="Arial" w:cs="Arial" w:eastAsia="Arial" w:hAnsi="Arial"/>
                <w:sz w:val="18"/>
                <w:szCs w:val="18"/>
                <w:color w:val="auto"/>
              </w:rPr>
              <w:t>Index to Consolidated Financial Statements:</w:t>
            </w:r>
          </w:p>
        </w:tc>
        <w:tc>
          <w:tcPr>
            <w:tcW w:w="2060" w:type="dxa"/>
            <w:vAlign w:val="bottom"/>
            <w:shd w:val="clear" w:color="auto" w:fill="CFF0FC"/>
          </w:tcPr>
          <w:p>
            <w:pPr>
              <w:spacing w:after="0"/>
              <w:rPr>
                <w:sz w:val="17"/>
                <w:szCs w:val="17"/>
                <w:color w:val="auto"/>
              </w:rPr>
            </w:pPr>
          </w:p>
        </w:tc>
      </w:tr>
      <w:tr>
        <w:trPr>
          <w:trHeight w:val="183"/>
        </w:trPr>
        <w:tc>
          <w:tcPr>
            <w:tcW w:w="460" w:type="dxa"/>
            <w:vAlign w:val="bottom"/>
          </w:tcPr>
          <w:p>
            <w:pPr>
              <w:spacing w:after="0"/>
              <w:rPr>
                <w:sz w:val="15"/>
                <w:szCs w:val="15"/>
                <w:color w:val="auto"/>
              </w:rPr>
            </w:pPr>
          </w:p>
        </w:tc>
        <w:tc>
          <w:tcPr>
            <w:tcW w:w="4220" w:type="dxa"/>
            <w:vAlign w:val="bottom"/>
            <w:tcBorders>
              <w:bottom w:val="single" w:sz="8" w:color="0000FF"/>
            </w:tcBorders>
            <w:gridSpan w:val="2"/>
          </w:tcPr>
          <w:p>
            <w:pPr>
              <w:spacing w:after="0" w:line="176"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Report of Independent Registered Public Accounting Firm</w:t>
              </w:r>
            </w:hyperlink>
          </w:p>
        </w:tc>
        <w:tc>
          <w:tcPr>
            <w:tcW w:w="4500" w:type="dxa"/>
            <w:vAlign w:val="bottom"/>
            <w:gridSpan w:val="5"/>
          </w:tcPr>
          <w:p>
            <w:pPr>
              <w:spacing w:after="0"/>
              <w:rPr>
                <w:sz w:val="15"/>
                <w:szCs w:val="15"/>
                <w:color w:val="auto"/>
              </w:rPr>
            </w:pPr>
          </w:p>
        </w:tc>
        <w:tc>
          <w:tcPr>
            <w:tcW w:w="206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51</w:t>
            </w:r>
          </w:p>
        </w:tc>
      </w:tr>
      <w:tr>
        <w:trPr>
          <w:trHeight w:val="183"/>
        </w:trPr>
        <w:tc>
          <w:tcPr>
            <w:tcW w:w="460" w:type="dxa"/>
            <w:vAlign w:val="bottom"/>
            <w:tcBorders>
              <w:bottom w:val="single" w:sz="8" w:color="CFF0FC"/>
            </w:tcBorders>
            <w:shd w:val="clear" w:color="auto" w:fill="CFF0FC"/>
          </w:tcPr>
          <w:p>
            <w:pPr>
              <w:spacing w:after="0"/>
              <w:rPr>
                <w:sz w:val="15"/>
                <w:szCs w:val="15"/>
                <w:color w:val="auto"/>
              </w:rPr>
            </w:pPr>
          </w:p>
        </w:tc>
        <w:tc>
          <w:tcPr>
            <w:tcW w:w="6900" w:type="dxa"/>
            <w:vAlign w:val="bottom"/>
            <w:tcBorders>
              <w:bottom w:val="single" w:sz="8" w:color="0000FF"/>
              <w:right w:val="single" w:sz="8" w:color="CFF0FC"/>
            </w:tcBorders>
            <w:gridSpan w:val="4"/>
            <w:shd w:val="clear" w:color="auto" w:fill="CFF0FC"/>
          </w:tcPr>
          <w:p>
            <w:pPr>
              <w:spacing w:after="0" w:line="17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Consolidated Statements of Operations for the years ended December 31, 2021, 2020 and 2019</w:t>
              </w:r>
            </w:hyperlink>
          </w:p>
        </w:tc>
        <w:tc>
          <w:tcPr>
            <w:tcW w:w="1820" w:type="dxa"/>
            <w:vAlign w:val="bottom"/>
            <w:tcBorders>
              <w:bottom w:val="single" w:sz="8" w:color="CFF0FC"/>
            </w:tcBorders>
            <w:gridSpan w:val="3"/>
            <w:shd w:val="clear" w:color="auto" w:fill="CFF0FC"/>
          </w:tcPr>
          <w:p>
            <w:pPr>
              <w:spacing w:after="0"/>
              <w:rPr>
                <w:sz w:val="15"/>
                <w:szCs w:val="15"/>
                <w:color w:val="auto"/>
              </w:rPr>
            </w:pPr>
          </w:p>
        </w:tc>
        <w:tc>
          <w:tcPr>
            <w:tcW w:w="2060" w:type="dxa"/>
            <w:vAlign w:val="bottom"/>
            <w:tcBorders>
              <w:bottom w:val="single" w:sz="8" w:color="CFF0FC"/>
            </w:tcBorders>
            <w:shd w:val="clear" w:color="auto" w:fill="CFF0FC"/>
          </w:tcPr>
          <w:p>
            <w:pPr>
              <w:jc w:val="center"/>
              <w:ind w:left="750"/>
              <w:spacing w:after="0" w:line="176" w:lineRule="exact"/>
              <w:rPr>
                <w:sz w:val="20"/>
                <w:szCs w:val="20"/>
                <w:color w:val="auto"/>
              </w:rPr>
            </w:pPr>
            <w:r>
              <w:rPr>
                <w:rFonts w:ascii="Arial" w:cs="Arial" w:eastAsia="Arial" w:hAnsi="Arial"/>
                <w:sz w:val="18"/>
                <w:szCs w:val="18"/>
                <w:color w:val="auto"/>
                <w:w w:val="89"/>
              </w:rPr>
              <w:t>55</w:t>
            </w:r>
          </w:p>
        </w:tc>
      </w:tr>
      <w:tr>
        <w:trPr>
          <w:trHeight w:val="183"/>
        </w:trPr>
        <w:tc>
          <w:tcPr>
            <w:tcW w:w="460" w:type="dxa"/>
            <w:vAlign w:val="bottom"/>
          </w:tcPr>
          <w:p>
            <w:pPr>
              <w:spacing w:after="0"/>
              <w:rPr>
                <w:sz w:val="15"/>
                <w:szCs w:val="15"/>
                <w:color w:val="auto"/>
              </w:rPr>
            </w:pPr>
          </w:p>
        </w:tc>
        <w:tc>
          <w:tcPr>
            <w:tcW w:w="7780" w:type="dxa"/>
            <w:vAlign w:val="bottom"/>
            <w:tcBorders>
              <w:bottom w:val="single" w:sz="8" w:color="0000FF"/>
            </w:tcBorders>
            <w:gridSpan w:val="6"/>
          </w:tcPr>
          <w:p>
            <w:pPr>
              <w:spacing w:after="0" w:line="17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Consolidated Statements of Comprehensive Income for the years ended December 31, 2021, 2020 and 2019</w:t>
              </w:r>
            </w:hyperlink>
          </w:p>
        </w:tc>
        <w:tc>
          <w:tcPr>
            <w:tcW w:w="940" w:type="dxa"/>
            <w:vAlign w:val="bottom"/>
          </w:tcPr>
          <w:p>
            <w:pPr>
              <w:spacing w:after="0"/>
              <w:rPr>
                <w:sz w:val="15"/>
                <w:szCs w:val="15"/>
                <w:color w:val="auto"/>
              </w:rPr>
            </w:pPr>
          </w:p>
        </w:tc>
        <w:tc>
          <w:tcPr>
            <w:tcW w:w="206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55</w:t>
            </w:r>
          </w:p>
        </w:tc>
      </w:tr>
      <w:tr>
        <w:trPr>
          <w:trHeight w:val="175"/>
        </w:trPr>
        <w:tc>
          <w:tcPr>
            <w:tcW w:w="460" w:type="dxa"/>
            <w:vAlign w:val="bottom"/>
            <w:shd w:val="clear" w:color="auto" w:fill="CFF0FC"/>
          </w:tcPr>
          <w:p>
            <w:pPr>
              <w:spacing w:after="0"/>
              <w:rPr>
                <w:sz w:val="15"/>
                <w:szCs w:val="15"/>
                <w:color w:val="auto"/>
              </w:rPr>
            </w:pPr>
          </w:p>
        </w:tc>
        <w:tc>
          <w:tcPr>
            <w:tcW w:w="8720" w:type="dxa"/>
            <w:vAlign w:val="bottom"/>
            <w:gridSpan w:val="7"/>
            <w:shd w:val="clear" w:color="auto" w:fill="CFF0FC"/>
          </w:tcPr>
          <w:p>
            <w:pPr>
              <w:spacing w:after="0" w:line="176" w:lineRule="exact"/>
              <w:rPr>
                <w:rFonts w:ascii="Arial" w:cs="Arial" w:eastAsia="Arial" w:hAnsi="Arial"/>
                <w:sz w:val="18"/>
                <w:szCs w:val="18"/>
                <w:color w:val="0000FF"/>
              </w:rPr>
            </w:pPr>
            <w:hyperlink w:anchor="page56">
              <w:r>
                <w:rPr>
                  <w:rFonts w:ascii="Arial" w:cs="Arial" w:eastAsia="Arial" w:hAnsi="Arial"/>
                  <w:sz w:val="18"/>
                  <w:szCs w:val="18"/>
                  <w:color w:val="0000FF"/>
                </w:rPr>
                <w:t>Consolidated Balance Sheets as of December 31, 2021 and 2020</w:t>
              </w:r>
            </w:hyperlink>
          </w:p>
        </w:tc>
        <w:tc>
          <w:tcPr>
            <w:tcW w:w="2060" w:type="dxa"/>
            <w:vAlign w:val="bottom"/>
            <w:shd w:val="clear" w:color="auto" w:fill="CFF0FC"/>
          </w:tcPr>
          <w:p>
            <w:pPr>
              <w:jc w:val="center"/>
              <w:ind w:left="750"/>
              <w:spacing w:after="0" w:line="176" w:lineRule="exact"/>
              <w:rPr>
                <w:sz w:val="20"/>
                <w:szCs w:val="20"/>
                <w:color w:val="auto"/>
              </w:rPr>
            </w:pPr>
            <w:r>
              <w:rPr>
                <w:rFonts w:ascii="Arial" w:cs="Arial" w:eastAsia="Arial" w:hAnsi="Arial"/>
                <w:sz w:val="18"/>
                <w:szCs w:val="18"/>
                <w:color w:val="auto"/>
                <w:w w:val="89"/>
              </w:rPr>
              <w:t>56</w:t>
            </w:r>
          </w:p>
        </w:tc>
      </w:tr>
      <w:tr>
        <w:trPr>
          <w:trHeight w:val="27"/>
        </w:trPr>
        <w:tc>
          <w:tcPr>
            <w:tcW w:w="460" w:type="dxa"/>
            <w:vAlign w:val="bottom"/>
            <w:shd w:val="clear" w:color="auto" w:fill="CFF0FC"/>
          </w:tcPr>
          <w:p>
            <w:pPr>
              <w:spacing w:after="0"/>
              <w:rPr>
                <w:sz w:val="2"/>
                <w:szCs w:val="2"/>
                <w:color w:val="auto"/>
              </w:rPr>
            </w:pPr>
          </w:p>
        </w:tc>
        <w:tc>
          <w:tcPr>
            <w:tcW w:w="31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60" w:type="dxa"/>
            <w:vAlign w:val="bottom"/>
            <w:tcBorders>
              <w:right w:val="single" w:sz="8" w:color="CFF0FC"/>
            </w:tcBorders>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060" w:type="dxa"/>
            <w:vAlign w:val="bottom"/>
            <w:shd w:val="clear" w:color="auto" w:fill="CFF0FC"/>
          </w:tcPr>
          <w:p>
            <w:pPr>
              <w:spacing w:after="0"/>
              <w:rPr>
                <w:sz w:val="2"/>
                <w:szCs w:val="2"/>
                <w:color w:val="auto"/>
              </w:rPr>
            </w:pPr>
          </w:p>
        </w:tc>
      </w:tr>
      <w:tr>
        <w:trPr>
          <w:trHeight w:val="175"/>
        </w:trPr>
        <w:tc>
          <w:tcPr>
            <w:tcW w:w="460" w:type="dxa"/>
            <w:vAlign w:val="bottom"/>
          </w:tcPr>
          <w:p>
            <w:pPr>
              <w:spacing w:after="0"/>
              <w:rPr>
                <w:sz w:val="15"/>
                <w:szCs w:val="15"/>
                <w:color w:val="auto"/>
              </w:rPr>
            </w:pPr>
          </w:p>
        </w:tc>
        <w:tc>
          <w:tcPr>
            <w:tcW w:w="8720" w:type="dxa"/>
            <w:vAlign w:val="bottom"/>
            <w:gridSpan w:val="7"/>
          </w:tcPr>
          <w:p>
            <w:pPr>
              <w:spacing w:after="0" w:line="176" w:lineRule="exact"/>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Cash Flows for the years ended December 31, 2021, 2020 and 2019</w:t>
              </w:r>
            </w:hyperlink>
          </w:p>
        </w:tc>
        <w:tc>
          <w:tcPr>
            <w:tcW w:w="206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57</w:t>
            </w:r>
          </w:p>
        </w:tc>
      </w:tr>
      <w:tr>
        <w:trPr>
          <w:trHeight w:val="27"/>
        </w:trPr>
        <w:tc>
          <w:tcPr>
            <w:tcW w:w="460" w:type="dxa"/>
            <w:vAlign w:val="bottom"/>
          </w:tcPr>
          <w:p>
            <w:pPr>
              <w:spacing w:after="0"/>
              <w:rPr>
                <w:sz w:val="2"/>
                <w:szCs w:val="2"/>
                <w:color w:val="auto"/>
              </w:rPr>
            </w:pPr>
          </w:p>
        </w:tc>
        <w:tc>
          <w:tcPr>
            <w:tcW w:w="31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26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83"/>
        </w:trPr>
        <w:tc>
          <w:tcPr>
            <w:tcW w:w="460" w:type="dxa"/>
            <w:vAlign w:val="bottom"/>
            <w:shd w:val="clear" w:color="auto" w:fill="CFF0FC"/>
          </w:tcPr>
          <w:p>
            <w:pPr>
              <w:spacing w:after="0"/>
              <w:rPr>
                <w:sz w:val="15"/>
                <w:szCs w:val="15"/>
                <w:color w:val="auto"/>
              </w:rPr>
            </w:pPr>
          </w:p>
        </w:tc>
        <w:tc>
          <w:tcPr>
            <w:tcW w:w="8720" w:type="dxa"/>
            <w:vAlign w:val="bottom"/>
            <w:gridSpan w:val="7"/>
            <w:shd w:val="clear" w:color="auto" w:fill="CFF0FC"/>
          </w:tcPr>
          <w:p>
            <w:pPr>
              <w:spacing w:after="0" w:line="176" w:lineRule="exact"/>
              <w:rPr>
                <w:rFonts w:ascii="Arial" w:cs="Arial" w:eastAsia="Arial" w:hAnsi="Arial"/>
                <w:sz w:val="18"/>
                <w:szCs w:val="18"/>
                <w:color w:val="0000FF"/>
              </w:rPr>
            </w:pPr>
            <w:hyperlink w:anchor="page58">
              <w:r>
                <w:rPr>
                  <w:rFonts w:ascii="Arial" w:cs="Arial" w:eastAsia="Arial" w:hAnsi="Arial"/>
                  <w:sz w:val="18"/>
                  <w:szCs w:val="18"/>
                  <w:color w:val="0000FF"/>
                </w:rPr>
                <w:t>Consolidated Statements of Shareholders’ Equity for the years ended December 31, 2021, 2020 and 2019</w:t>
              </w:r>
            </w:hyperlink>
          </w:p>
        </w:tc>
        <w:tc>
          <w:tcPr>
            <w:tcW w:w="2060" w:type="dxa"/>
            <w:vAlign w:val="bottom"/>
            <w:shd w:val="clear" w:color="auto" w:fill="CFF0FC"/>
          </w:tcPr>
          <w:p>
            <w:pPr>
              <w:jc w:val="center"/>
              <w:ind w:left="750"/>
              <w:spacing w:after="0" w:line="176" w:lineRule="exact"/>
              <w:rPr>
                <w:sz w:val="20"/>
                <w:szCs w:val="20"/>
                <w:color w:val="auto"/>
              </w:rPr>
            </w:pPr>
            <w:r>
              <w:rPr>
                <w:rFonts w:ascii="Arial" w:cs="Arial" w:eastAsia="Arial" w:hAnsi="Arial"/>
                <w:sz w:val="18"/>
                <w:szCs w:val="18"/>
                <w:color w:val="auto"/>
                <w:w w:val="89"/>
              </w:rPr>
              <w:t>58</w:t>
            </w:r>
          </w:p>
        </w:tc>
      </w:tr>
      <w:tr>
        <w:trPr>
          <w:trHeight w:val="175"/>
        </w:trPr>
        <w:tc>
          <w:tcPr>
            <w:tcW w:w="460" w:type="dxa"/>
            <w:vAlign w:val="bottom"/>
            <w:tcBorders>
              <w:top w:val="single" w:sz="8" w:color="CFF0FC"/>
            </w:tcBorders>
          </w:tcPr>
          <w:p>
            <w:pPr>
              <w:spacing w:after="0"/>
              <w:rPr>
                <w:sz w:val="15"/>
                <w:szCs w:val="15"/>
                <w:color w:val="auto"/>
              </w:rPr>
            </w:pPr>
          </w:p>
        </w:tc>
        <w:tc>
          <w:tcPr>
            <w:tcW w:w="3160" w:type="dxa"/>
            <w:vAlign w:val="bottom"/>
            <w:tcBorders>
              <w:top w:val="single" w:sz="8" w:color="0000FF"/>
              <w:bottom w:val="single" w:sz="8" w:color="0000FF"/>
            </w:tcBorders>
          </w:tcPr>
          <w:p>
            <w:pPr>
              <w:spacing w:after="0" w:line="176"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Notes to Consolidated Financial Statements</w:t>
              </w:r>
            </w:hyperlink>
          </w:p>
        </w:tc>
        <w:tc>
          <w:tcPr>
            <w:tcW w:w="4420" w:type="dxa"/>
            <w:vAlign w:val="bottom"/>
            <w:tcBorders>
              <w:top w:val="single" w:sz="8" w:color="0000FF"/>
            </w:tcBorders>
            <w:gridSpan w:val="4"/>
          </w:tcPr>
          <w:p>
            <w:pPr>
              <w:spacing w:after="0"/>
              <w:rPr>
                <w:sz w:val="15"/>
                <w:szCs w:val="15"/>
                <w:color w:val="auto"/>
              </w:rPr>
            </w:pPr>
          </w:p>
        </w:tc>
        <w:tc>
          <w:tcPr>
            <w:tcW w:w="1140" w:type="dxa"/>
            <w:vAlign w:val="bottom"/>
            <w:tcBorders>
              <w:top w:val="single" w:sz="8" w:color="CFF0FC"/>
            </w:tcBorders>
            <w:gridSpan w:val="2"/>
          </w:tcPr>
          <w:p>
            <w:pPr>
              <w:spacing w:after="0"/>
              <w:rPr>
                <w:sz w:val="15"/>
                <w:szCs w:val="15"/>
                <w:color w:val="auto"/>
              </w:rPr>
            </w:pPr>
          </w:p>
        </w:tc>
        <w:tc>
          <w:tcPr>
            <w:tcW w:w="2060" w:type="dxa"/>
            <w:vAlign w:val="bottom"/>
            <w:tcBorders>
              <w:top w:val="single" w:sz="8" w:color="CFF0FC"/>
            </w:tcBorders>
          </w:tcPr>
          <w:p>
            <w:pPr>
              <w:jc w:val="center"/>
              <w:ind w:left="750"/>
              <w:spacing w:after="0" w:line="176" w:lineRule="exact"/>
              <w:rPr>
                <w:sz w:val="20"/>
                <w:szCs w:val="20"/>
                <w:color w:val="auto"/>
              </w:rPr>
            </w:pPr>
            <w:r>
              <w:rPr>
                <w:rFonts w:ascii="Arial" w:cs="Arial" w:eastAsia="Arial" w:hAnsi="Arial"/>
                <w:sz w:val="18"/>
                <w:szCs w:val="18"/>
                <w:color w:val="auto"/>
                <w:w w:val="89"/>
              </w:rPr>
              <w:t>59</w:t>
            </w:r>
          </w:p>
        </w:tc>
      </w:tr>
      <w:tr>
        <w:trPr>
          <w:trHeight w:val="817"/>
        </w:trPr>
        <w:tc>
          <w:tcPr>
            <w:tcW w:w="7360" w:type="dxa"/>
            <w:vAlign w:val="bottom"/>
            <w:gridSpan w:val="5"/>
          </w:tcPr>
          <w:p>
            <w:pPr>
              <w:jc w:val="right"/>
              <w:ind w:right="1640"/>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02"/>
        </w:trPr>
        <w:tc>
          <w:tcPr>
            <w:tcW w:w="46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0" w:name="page51"/>
    <w:bookmarkEnd w:id="50"/>
    <w:p>
      <w:pPr>
        <w:ind w:right="5080"/>
        <w:spacing w:after="0" w:line="44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ManpowerGroup Inc. </w:t>
      </w:r>
      <w:r>
        <w:rPr>
          <w:rFonts w:ascii="Arial" w:cs="Arial" w:eastAsia="Arial" w:hAnsi="Arial"/>
          <w:sz w:val="18"/>
          <w:szCs w:val="18"/>
          <w:b w:val="1"/>
          <w:bCs w:val="1"/>
          <w:color w:val="auto"/>
        </w:rPr>
        <w:t>Opinion on Internal Control over Financial Reporting</w:t>
      </w:r>
    </w:p>
    <w:p>
      <w:pPr>
        <w:jc w:val="both"/>
        <w:spacing w:after="0" w:line="262" w:lineRule="auto"/>
        <w:rPr>
          <w:sz w:val="20"/>
          <w:szCs w:val="20"/>
          <w:color w:val="auto"/>
        </w:rPr>
      </w:pPr>
      <w:r>
        <w:rPr>
          <w:rFonts w:ascii="Arial" w:cs="Arial" w:eastAsia="Arial" w:hAnsi="Arial"/>
          <w:sz w:val="17"/>
          <w:szCs w:val="17"/>
          <w:color w:val="auto"/>
        </w:rPr>
        <w:t>We have audited the internal control over financial reporting of ManpowerGroup Inc. and subsidiaries (the “Company”) as of December 31, 2021, based on criteria established in I</w:t>
      </w:r>
      <w:r>
        <w:rPr>
          <w:rFonts w:ascii="Arial" w:cs="Arial" w:eastAsia="Arial" w:hAnsi="Arial"/>
          <w:sz w:val="17"/>
          <w:szCs w:val="17"/>
          <w:i w:val="1"/>
          <w:iCs w:val="1"/>
          <w:color w:val="auto"/>
        </w:rPr>
        <w:t>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Internal Control — Integrated Framework (2013) issued by COSO.</w:t>
      </w:r>
    </w:p>
    <w:p>
      <w:pPr>
        <w:spacing w:after="0" w:line="13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described in Management's Report on Internal Control over Financial Reporting, management excluded from its assessment the internal control over financial reporting at ettain group, which was acquired on October 1, 2021, and whose financial statements constitute 10% of total assets and 1% of revenues of the financial statements amounts as of and for the year ended December 31, 2021. Accordingly, our audit did not include the internal control over financial reporting at ettain group.</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18, 2022, expressed an unqualified opinion on those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ind w:right="5060"/>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ManpowerGroup Inc. </w:t>
      </w:r>
      <w:r>
        <w:rPr>
          <w:rFonts w:ascii="Arial" w:cs="Arial" w:eastAsia="Arial" w:hAnsi="Arial"/>
          <w:sz w:val="18"/>
          <w:szCs w:val="18"/>
          <w:b w:val="1"/>
          <w:bCs w:val="1"/>
          <w:color w:val="auto"/>
        </w:rPr>
        <w:t>Opinion on the Financial Statements</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ManpowerGroup Inc. and subsidiaries (the "Company") as of December 31, 2021 and December 31, 2020, the related consolidated statements of operations, comprehensive income, shareholders' equity, and cash flows for each of the three years in the period ended December 31, 2021, and the related notes and the schedule listed in the Index at Item 15(a)(2) (collectively referred to as the "financial statements"). In our opinion, the financial statements present fairly, in all material respects, the financial position of the Company as of December 31, 2021 and December 31, 2020, and the results of its operations and its cash flows for each of the three years in the period ended December 31, 2021, in conformity with accounting principles generally accepted in the United States of America.</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18, 2022,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matters or on the accounts or disclosures to which they relate.</w:t>
      </w:r>
    </w:p>
    <w:p>
      <w:pPr>
        <w:spacing w:after="0" w:line="120" w:lineRule="exact"/>
        <w:rPr>
          <w:sz w:val="20"/>
          <w:szCs w:val="20"/>
          <w:color w:val="auto"/>
        </w:rPr>
      </w:pPr>
    </w:p>
    <w:p>
      <w:pPr>
        <w:ind w:right="2840"/>
        <w:spacing w:after="0" w:line="414" w:lineRule="auto"/>
        <w:rPr>
          <w:sz w:val="20"/>
          <w:szCs w:val="20"/>
          <w:color w:val="auto"/>
        </w:rPr>
      </w:pPr>
      <w:r>
        <w:rPr>
          <w:rFonts w:ascii="Arial" w:cs="Arial" w:eastAsia="Arial" w:hAnsi="Arial"/>
          <w:sz w:val="18"/>
          <w:szCs w:val="18"/>
          <w:b w:val="1"/>
          <w:bCs w:val="1"/>
          <w:i w:val="1"/>
          <w:iCs w:val="1"/>
          <w:color w:val="auto"/>
        </w:rPr>
        <w:t xml:space="preserve">Goodwill - United Kingdom and Netherlands Reporting Units – Refer to Notes 1 and 7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evaluation of goodwill for impairment involves the comparison of the estimated fair value of each reporting unit to its carrying value. The annual impairment test of goodwill at a reporting unit level is performed annually during the third quarter, or more frequently if events or circumstances indicate the fair value of a reporting unit may be below its respective carrying value. The Company used the discounted cash flow model to estimate fair value, which requires management to make significant estimates and assumptions related to discount rates and forecasts of future revenues and operating unit profit margins. Changes in these assumptions could have a significant impact on either the fair value, the amount of any goodwill impairment charge, or both.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both"/>
        <w:spacing w:after="0" w:line="255" w:lineRule="auto"/>
        <w:rPr>
          <w:sz w:val="20"/>
          <w:szCs w:val="20"/>
          <w:color w:val="auto"/>
        </w:rPr>
      </w:pPr>
      <w:r>
        <w:rPr>
          <w:rFonts w:ascii="Arial" w:cs="Arial" w:eastAsia="Arial" w:hAnsi="Arial"/>
          <w:sz w:val="18"/>
          <w:szCs w:val="18"/>
          <w:color w:val="auto"/>
        </w:rPr>
        <w:t>Given that forecasted revenues and operating unit profit margins for the Netherlands and United Kingdom reporting units are highly sensitive to changes in demand and efficiency of operations, and considering the low excess fair value of these reporting units, auditing these estimates and assumptions including the selected discount rates involved especially subjective judgment. As a result, we identified the Company’s evaluation of goodwill impairment for the Netherlands and United Kingdom reporting units as a critical audit matter due to the high degree of auditor judgment and the increased extent of effort that was required when performing audit procedures to evaluate the reasonableness of management’s significant estimates and assumptions, including the need to involve our fair value specialists.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forecasts of future revenues and operating unit profit margins, and the selection of discount rates for the Netherlands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reporting units included the following, among others:</w:t>
      </w:r>
    </w:p>
    <w:p>
      <w:pPr>
        <w:spacing w:after="0" w:line="143" w:lineRule="exact"/>
        <w:rPr>
          <w:sz w:val="20"/>
          <w:szCs w:val="20"/>
          <w:color w:val="auto"/>
        </w:rPr>
      </w:pPr>
    </w:p>
    <w:p>
      <w:pPr>
        <w:ind w:left="760" w:hanging="378"/>
        <w:spacing w:after="0" w:line="258"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tested the effectiveness of controls over goodwill, including controls over the forecasts related to revenue and operating unit profit margin and selection of discount rates.</w:t>
      </w:r>
    </w:p>
    <w:p>
      <w:pPr>
        <w:spacing w:after="0" w:line="1" w:lineRule="exact"/>
        <w:rPr>
          <w:rFonts w:ascii="Arial" w:cs="Arial" w:eastAsia="Arial" w:hAnsi="Arial"/>
          <w:sz w:val="18"/>
          <w:szCs w:val="18"/>
          <w:color w:val="auto"/>
        </w:rPr>
      </w:pPr>
    </w:p>
    <w:p>
      <w:pPr>
        <w:ind w:left="760" w:hanging="378"/>
        <w:spacing w:after="0" w:line="250"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revenue and operating unit margins by performing a retrospective comparison of prior forecasts to actual results.</w:t>
      </w:r>
    </w:p>
    <w:p>
      <w:pPr>
        <w:jc w:val="both"/>
        <w:ind w:left="760" w:hanging="378"/>
        <w:spacing w:after="0" w:line="250"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evaluated the reasonableness of management’s current revenue and operating unit margin forecasts by comparing the forecasts to (1) historical results (2) internal communications to management and the Board of Directors, and (3) forecasted information included in Company press releases, analyst and industry reports of the Company and companies in its peer group.</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management’s fair value estimate by:</w:t>
      </w:r>
    </w:p>
    <w:p>
      <w:pPr>
        <w:spacing w:after="0" w:line="143" w:lineRule="exact"/>
        <w:rPr>
          <w:sz w:val="20"/>
          <w:szCs w:val="20"/>
          <w:color w:val="auto"/>
        </w:rPr>
      </w:pPr>
    </w:p>
    <w:p>
      <w:pPr>
        <w:ind w:left="1500" w:hanging="369"/>
        <w:spacing w:after="0" w:line="258" w:lineRule="auto"/>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an independent range of fair values based on market multiples of similar companies and comparing this to the company’s estimated fair values.</w:t>
      </w:r>
    </w:p>
    <w:p>
      <w:pPr>
        <w:spacing w:after="0" w:line="1" w:lineRule="exact"/>
        <w:rPr>
          <w:rFonts w:ascii="Arial" w:cs="Arial" w:eastAsia="Arial" w:hAnsi="Arial"/>
          <w:sz w:val="18"/>
          <w:szCs w:val="18"/>
          <w:color w:val="auto"/>
        </w:rPr>
      </w:pPr>
    </w:p>
    <w:p>
      <w:pPr>
        <w:ind w:left="1500" w:hanging="369"/>
        <w:spacing w:after="0"/>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Testing the source information underlying the determination of the discount rate and the mathematical accuracy of the calculation.</w:t>
      </w:r>
    </w:p>
    <w:p>
      <w:pPr>
        <w:spacing w:after="0" w:line="32" w:lineRule="exact"/>
        <w:rPr>
          <w:rFonts w:ascii="Arial" w:cs="Arial" w:eastAsia="Arial" w:hAnsi="Arial"/>
          <w:sz w:val="16"/>
          <w:szCs w:val="16"/>
          <w:color w:val="auto"/>
        </w:rPr>
      </w:pPr>
    </w:p>
    <w:p>
      <w:pPr>
        <w:ind w:left="1500" w:hanging="369"/>
        <w:spacing w:after="0"/>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Developing a range of independent estimates of discount rates and comparing those to the discount rates selected by management.</w:t>
      </w:r>
    </w:p>
    <w:p>
      <w:pPr>
        <w:spacing w:after="0" w:line="234" w:lineRule="exact"/>
        <w:rPr>
          <w:sz w:val="20"/>
          <w:szCs w:val="20"/>
          <w:color w:val="auto"/>
        </w:rPr>
      </w:pPr>
    </w:p>
    <w:p>
      <w:pPr>
        <w:ind w:right="1880"/>
        <w:spacing w:after="0" w:line="434" w:lineRule="auto"/>
        <w:rPr>
          <w:sz w:val="20"/>
          <w:szCs w:val="20"/>
          <w:color w:val="auto"/>
        </w:rPr>
      </w:pPr>
      <w:r>
        <w:rPr>
          <w:rFonts w:ascii="Arial" w:cs="Arial" w:eastAsia="Arial" w:hAnsi="Arial"/>
          <w:sz w:val="18"/>
          <w:szCs w:val="18"/>
          <w:b w:val="1"/>
          <w:bCs w:val="1"/>
          <w:i w:val="1"/>
          <w:iCs w:val="1"/>
          <w:color w:val="auto"/>
        </w:rPr>
        <w:t xml:space="preserve">Acquisitions - ettain group (Valuation of Customer Relationship Intangible Asset) – Refer to Note 4 to the financial statements </w:t>
      </w:r>
      <w:r>
        <w:rPr>
          <w:rFonts w:ascii="Arial" w:cs="Arial" w:eastAsia="Arial" w:hAnsi="Arial"/>
          <w:sz w:val="18"/>
          <w:szCs w:val="18"/>
          <w:i w:val="1"/>
          <w:iCs w:val="1"/>
          <w:color w:val="auto"/>
        </w:rPr>
        <w:t>Critical Audit Matter Description</w:t>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October 2021, the Company completed the acquisition of ettain group. The Company accounted for the acquisition under the acquisition method of accounting for business combinations. Accordingly, the purchase price was allocated to the assets acquired and liabilities assumed based on their respective fair values, including identified intangible assets of $360 million, all of which related to a customer relationship asset. The Company used the discounted cash flow method to estimate the fair value of the customer relationship asset, which required management to make significant estimates and assumptions in developing forecasted cash flows attributable to the existing customers, the customer attrition rate, and discount rate.</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identified the fair value of the customer relationship intangible asset on the acquisition date as a critical audit matter due to the high degree of auditor judgment required to evaluate the significant estimates made in determining fair value, including the need to involve our fair value specialists, when performing audit procedures to evaluate the reasonableness of management's key assumptions and estimates related to the customer attrition rate and discount rate.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fair value of the customer relationship intangible asset for ettain group included the following, among others:</w:t>
      </w:r>
    </w:p>
    <w:p>
      <w:pPr>
        <w:spacing w:after="0" w:line="115" w:lineRule="exact"/>
        <w:rPr>
          <w:sz w:val="20"/>
          <w:szCs w:val="20"/>
          <w:color w:val="auto"/>
        </w:rPr>
      </w:pPr>
    </w:p>
    <w:p>
      <w:pPr>
        <w:jc w:val="both"/>
        <w:ind w:left="102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effectiveness of controls over the valuation of the customer relationship intangible asset, including management's controls over the key judgements in developing forecasts of future cash flows attributable to existing customers, the customer attrition rate, and discount rate.</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cash flows attributable to existing customers by comparing the projections to (1) historical results, (2) industry data, and (3) certain peer companies.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Evaluated the reasonableness of the selected valuation methodology for the customer relationship.</w:t>
      </w:r>
    </w:p>
    <w:p>
      <w:pPr>
        <w:spacing w:after="0" w:line="103" w:lineRule="exact"/>
        <w:rPr>
          <w:rFonts w:ascii="Arial" w:cs="Arial" w:eastAsia="Arial" w:hAnsi="Arial"/>
          <w:sz w:val="18"/>
          <w:szCs w:val="18"/>
          <w:color w:val="auto"/>
        </w:rPr>
      </w:pPr>
    </w:p>
    <w:p>
      <w:pPr>
        <w:ind w:left="1540" w:hanging="509"/>
        <w:spacing w:after="0" w:line="248" w:lineRule="auto"/>
        <w:rPr>
          <w:rFonts w:ascii="Arial" w:cs="Arial" w:eastAsia="Arial" w:hAnsi="Arial"/>
          <w:sz w:val="18"/>
          <w:szCs w:val="18"/>
          <w:color w:val="auto"/>
        </w:rPr>
      </w:pPr>
      <w:r>
        <w:rPr>
          <w:rFonts w:ascii="Arial" w:cs="Arial" w:eastAsia="Arial" w:hAnsi="Arial"/>
          <w:sz w:val="18"/>
          <w:szCs w:val="18"/>
          <w:color w:val="auto"/>
        </w:rPr>
        <w:t>oEvaluated the reasonableness of the customer attrition rate by testing the mathematical accuracy of the calculation of the rate used, as well as the mathematical accuracy of its application in the valuation of the customer relationship intangible; and testing the completeness and accuracy of the underlying data supporting the attrition rate assumption.</w:t>
      </w:r>
    </w:p>
    <w:p>
      <w:pPr>
        <w:spacing w:after="0" w:line="73" w:lineRule="exact"/>
        <w:rPr>
          <w:rFonts w:ascii="Arial" w:cs="Arial" w:eastAsia="Arial" w:hAnsi="Arial"/>
          <w:sz w:val="18"/>
          <w:szCs w:val="18"/>
          <w:color w:val="auto"/>
        </w:rPr>
      </w:pPr>
    </w:p>
    <w:p>
      <w:pPr>
        <w:ind w:left="1540" w:hanging="509"/>
        <w:spacing w:after="0" w:line="248" w:lineRule="auto"/>
        <w:rPr>
          <w:rFonts w:ascii="Arial" w:cs="Arial" w:eastAsia="Arial" w:hAnsi="Arial"/>
          <w:sz w:val="18"/>
          <w:szCs w:val="18"/>
          <w:color w:val="auto"/>
        </w:rPr>
      </w:pPr>
      <w:r>
        <w:rPr>
          <w:rFonts w:ascii="Arial" w:cs="Arial" w:eastAsia="Arial" w:hAnsi="Arial"/>
          <w:sz w:val="18"/>
          <w:szCs w:val="18"/>
          <w:color w:val="auto"/>
        </w:rPr>
        <w:t>oEvaluated the reasonableness of the discount rate, which included testing the source information underlying the determination of the discount rate, testing the mathematical accuracy of the calculations, and developing a range of independent estimates and comparing those to the discount rate selected by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282A32"/>
        </w:rPr>
        <w:t>CONSOLIDATED STATEMENTS OF OPERATIONS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82A32"/>
        </w:rPr>
        <w:t>in millions,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196"/>
        </w:trPr>
        <w:tc>
          <w:tcPr>
            <w:tcW w:w="6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9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20,724.4</w:t>
            </w:r>
          </w:p>
        </w:tc>
        <w:tc>
          <w:tcPr>
            <w:tcW w:w="52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18,001.0</w:t>
            </w:r>
          </w:p>
        </w:tc>
        <w:tc>
          <w:tcPr>
            <w:tcW w:w="52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20,863.5</w:t>
            </w:r>
          </w:p>
        </w:tc>
      </w:tr>
      <w:tr>
        <w:trPr>
          <w:trHeight w:val="203"/>
        </w:trPr>
        <w:tc>
          <w:tcPr>
            <w:tcW w:w="60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17,316.9</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15,176.3</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17,488.4</w:t>
            </w:r>
          </w:p>
        </w:tc>
      </w:tr>
      <w:tr>
        <w:trPr>
          <w:trHeight w:val="196"/>
        </w:trPr>
        <w:tc>
          <w:tcPr>
            <w:tcW w:w="60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9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3,407.5</w:t>
            </w: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2,824.7</w:t>
            </w: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3,375.1</w:t>
            </w:r>
          </w:p>
        </w:tc>
      </w:tr>
      <w:tr>
        <w:trPr>
          <w:trHeight w:val="203"/>
        </w:trPr>
        <w:tc>
          <w:tcPr>
            <w:tcW w:w="6060" w:type="dxa"/>
            <w:vAlign w:val="bottom"/>
          </w:tcPr>
          <w:p>
            <w:pPr>
              <w:ind w:left="20"/>
              <w:spacing w:after="0" w:line="202" w:lineRule="exact"/>
              <w:rPr>
                <w:sz w:val="20"/>
                <w:szCs w:val="20"/>
                <w:color w:val="auto"/>
              </w:rPr>
            </w:pPr>
            <w:r>
              <w:rPr>
                <w:rFonts w:ascii="Arial" w:cs="Arial" w:eastAsia="Arial" w:hAnsi="Arial"/>
                <w:sz w:val="18"/>
                <w:szCs w:val="18"/>
                <w:color w:val="auto"/>
                <w:w w:val="99"/>
              </w:rPr>
              <w:t>Selling and administrative expenses, excluding goodwill impairment charges</w:t>
            </w:r>
          </w:p>
        </w:tc>
        <w:tc>
          <w:tcPr>
            <w:tcW w:w="940" w:type="dxa"/>
            <w:vAlign w:val="bottom"/>
          </w:tcPr>
          <w:p>
            <w:pPr>
              <w:spacing w:after="0"/>
              <w:rPr>
                <w:sz w:val="17"/>
                <w:szCs w:val="17"/>
                <w:color w:val="auto"/>
              </w:rPr>
            </w:pPr>
          </w:p>
        </w:tc>
        <w:tc>
          <w:tcPr>
            <w:tcW w:w="11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2,822.1</w:t>
            </w:r>
          </w:p>
        </w:tc>
        <w:tc>
          <w:tcPr>
            <w:tcW w:w="52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2,570.3</w:t>
            </w:r>
          </w:p>
        </w:tc>
        <w:tc>
          <w:tcPr>
            <w:tcW w:w="52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2,666.2</w:t>
            </w:r>
          </w:p>
        </w:tc>
      </w:tr>
      <w:tr>
        <w:trPr>
          <w:trHeight w:val="203"/>
        </w:trPr>
        <w:tc>
          <w:tcPr>
            <w:tcW w:w="606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 impairment charges</w:t>
            </w:r>
          </w:p>
        </w:tc>
        <w:tc>
          <w:tcPr>
            <w:tcW w:w="9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66.8</w:t>
            </w:r>
          </w:p>
        </w:tc>
        <w:tc>
          <w:tcPr>
            <w:tcW w:w="5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64.0</w:t>
            </w:r>
          </w:p>
        </w:tc>
      </w:tr>
      <w:tr>
        <w:trPr>
          <w:trHeight w:val="196"/>
        </w:trPr>
        <w:tc>
          <w:tcPr>
            <w:tcW w:w="60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Selling and administrative expenses</w:t>
            </w: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2,822.1</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2,637.1</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2,730.2</w:t>
            </w:r>
          </w:p>
        </w:tc>
      </w:tr>
      <w:tr>
        <w:trPr>
          <w:trHeight w:val="196"/>
        </w:trPr>
        <w:tc>
          <w:tcPr>
            <w:tcW w:w="60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profit</w:t>
            </w:r>
          </w:p>
        </w:tc>
        <w:tc>
          <w:tcPr>
            <w:tcW w:w="9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585.4</w:t>
            </w: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187.6</w:t>
            </w: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644.9</w:t>
            </w:r>
          </w:p>
        </w:tc>
      </w:tr>
      <w:tr>
        <w:trPr>
          <w:trHeight w:val="203"/>
        </w:trPr>
        <w:tc>
          <w:tcPr>
            <w:tcW w:w="60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Interest and other expenses (income), net</w:t>
            </w: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17.3</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39.9</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(40.6 )</w:t>
            </w:r>
          </w:p>
        </w:tc>
      </w:tr>
      <w:tr>
        <w:trPr>
          <w:trHeight w:val="196"/>
        </w:trPr>
        <w:tc>
          <w:tcPr>
            <w:tcW w:w="60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Earnings before income taxes</w:t>
            </w:r>
          </w:p>
        </w:tc>
        <w:tc>
          <w:tcPr>
            <w:tcW w:w="9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568.1</w:t>
            </w: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147.7</w:t>
            </w: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685.5</w:t>
            </w:r>
          </w:p>
        </w:tc>
      </w:tr>
      <w:tr>
        <w:trPr>
          <w:trHeight w:val="203"/>
        </w:trPr>
        <w:tc>
          <w:tcPr>
            <w:tcW w:w="60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185.7</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123.9</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219.8</w:t>
            </w:r>
          </w:p>
        </w:tc>
      </w:tr>
      <w:tr>
        <w:trPr>
          <w:trHeight w:val="196"/>
        </w:trPr>
        <w:tc>
          <w:tcPr>
            <w:tcW w:w="6060" w:type="dxa"/>
            <w:vAlign w:val="bottom"/>
            <w:tcBorders>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earnings</w:t>
            </w:r>
          </w:p>
        </w:tc>
        <w:tc>
          <w:tcPr>
            <w:tcW w:w="9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382.4</w:t>
            </w:r>
          </w:p>
        </w:tc>
        <w:tc>
          <w:tcPr>
            <w:tcW w:w="52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23.8</w:t>
            </w:r>
          </w:p>
        </w:tc>
        <w:tc>
          <w:tcPr>
            <w:tcW w:w="52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465.7</w:t>
            </w:r>
          </w:p>
        </w:tc>
      </w:tr>
      <w:tr>
        <w:trPr>
          <w:trHeight w:val="196"/>
        </w:trPr>
        <w:tc>
          <w:tcPr>
            <w:tcW w:w="60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earnings per share - basic</w:t>
            </w:r>
          </w:p>
        </w:tc>
        <w:tc>
          <w:tcPr>
            <w:tcW w:w="9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7.01</w:t>
            </w:r>
          </w:p>
        </w:tc>
        <w:tc>
          <w:tcPr>
            <w:tcW w:w="5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0.41</w:t>
            </w:r>
          </w:p>
        </w:tc>
        <w:tc>
          <w:tcPr>
            <w:tcW w:w="5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7.78</w:t>
            </w:r>
          </w:p>
        </w:tc>
      </w:tr>
      <w:tr>
        <w:trPr>
          <w:trHeight w:val="196"/>
        </w:trPr>
        <w:tc>
          <w:tcPr>
            <w:tcW w:w="60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per share - diluted</w:t>
            </w:r>
          </w:p>
        </w:tc>
        <w:tc>
          <w:tcPr>
            <w:tcW w:w="9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6.91</w:t>
            </w:r>
          </w:p>
        </w:tc>
        <w:tc>
          <w:tcPr>
            <w:tcW w:w="52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0.41</w:t>
            </w:r>
          </w:p>
        </w:tc>
        <w:tc>
          <w:tcPr>
            <w:tcW w:w="52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7.72</w:t>
            </w:r>
          </w:p>
        </w:tc>
      </w:tr>
      <w:tr>
        <w:trPr>
          <w:trHeight w:val="196"/>
        </w:trPr>
        <w:tc>
          <w:tcPr>
            <w:tcW w:w="60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Weighted average shares - basic</w:t>
            </w: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54.5</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58.0</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59.9</w:t>
            </w:r>
          </w:p>
        </w:tc>
      </w:tr>
      <w:tr>
        <w:trPr>
          <w:trHeight w:val="196"/>
        </w:trPr>
        <w:tc>
          <w:tcPr>
            <w:tcW w:w="60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shares - diluted</w:t>
            </w:r>
          </w:p>
        </w:tc>
        <w:tc>
          <w:tcPr>
            <w:tcW w:w="9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55.4</w:t>
            </w:r>
          </w:p>
        </w:tc>
        <w:tc>
          <w:tcPr>
            <w:tcW w:w="5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58.3</w:t>
            </w:r>
          </w:p>
        </w:tc>
        <w:tc>
          <w:tcPr>
            <w:tcW w:w="5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60.3</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82A32"/>
        </w:rPr>
        <w:t>CONSOLIDATED STATEMENTS OF COMPREHENSIVE INCOME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ind w:left="5220"/>
              <w:spacing w:after="0"/>
              <w:rPr>
                <w:sz w:val="20"/>
                <w:szCs w:val="20"/>
                <w:color w:val="auto"/>
              </w:rPr>
            </w:pPr>
            <w:r>
              <w:rPr>
                <w:rFonts w:ascii="Arial" w:cs="Arial" w:eastAsia="Arial" w:hAnsi="Arial"/>
                <w:sz w:val="18"/>
                <w:szCs w:val="18"/>
                <w:b w:val="1"/>
                <w:bCs w:val="1"/>
                <w:i w:val="1"/>
                <w:iCs w:val="1"/>
                <w:color w:val="282A32"/>
              </w:rPr>
              <w:t>in millions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8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382.4</w:t>
            </w:r>
          </w:p>
        </w:tc>
        <w:tc>
          <w:tcPr>
            <w:tcW w:w="32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23.8</w:t>
            </w:r>
          </w:p>
        </w:tc>
        <w:tc>
          <w:tcPr>
            <w:tcW w:w="30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(108.7 )</w:t>
            </w: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188.4</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162"/>
        </w:trPr>
        <w:tc>
          <w:tcPr>
            <w:tcW w:w="8160" w:type="dxa"/>
            <w:vAlign w:val="bottom"/>
          </w:tcPr>
          <w:p>
            <w:pPr>
              <w:ind w:left="200"/>
              <w:spacing w:after="0" w:line="162" w:lineRule="exact"/>
              <w:rPr>
                <w:sz w:val="20"/>
                <w:szCs w:val="20"/>
                <w:color w:val="auto"/>
              </w:rPr>
            </w:pPr>
            <w:r>
              <w:rPr>
                <w:rFonts w:ascii="Arial" w:cs="Arial" w:eastAsia="Arial" w:hAnsi="Arial"/>
                <w:sz w:val="18"/>
                <w:szCs w:val="18"/>
                <w:color w:val="auto"/>
              </w:rPr>
              <w:t>Translation adjustments on derivative instruments, net of income taxes of $18.5, $(25.8) and $3.8,</w:t>
            </w:r>
          </w:p>
        </w:tc>
        <w:tc>
          <w:tcPr>
            <w:tcW w:w="32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(94.3 )</w:t>
            </w:r>
          </w:p>
        </w:tc>
        <w:tc>
          <w:tcPr>
            <w:tcW w:w="300" w:type="dxa"/>
            <w:vAlign w:val="bottom"/>
          </w:tcPr>
          <w:p>
            <w:pPr>
              <w:spacing w:after="0"/>
              <w:rPr>
                <w:sz w:val="14"/>
                <w:szCs w:val="14"/>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2"/>
              </w:rPr>
              <w:t>Reclassification of currency translation adjustment to income related to disposition of Manpower Switzerland</w:t>
            </w:r>
          </w:p>
        </w:tc>
        <w:tc>
          <w:tcPr>
            <w:tcW w:w="32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partially held equity interest (see Note 4)</w:t>
            </w:r>
          </w:p>
        </w:tc>
        <w:tc>
          <w:tcPr>
            <w:tcW w:w="32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200"/>
              <w:spacing w:after="0" w:line="162" w:lineRule="exact"/>
              <w:rPr>
                <w:sz w:val="20"/>
                <w:szCs w:val="20"/>
                <w:color w:val="auto"/>
              </w:rPr>
            </w:pPr>
            <w:r>
              <w:rPr>
                <w:rFonts w:ascii="Arial" w:cs="Arial" w:eastAsia="Arial" w:hAnsi="Arial"/>
                <w:sz w:val="18"/>
                <w:szCs w:val="18"/>
                <w:color w:val="auto"/>
                <w:w w:val="97"/>
              </w:rPr>
              <w:t>Reclassification of currency translation adjustment to income related to disposition of ManpowerGroup</w:t>
            </w:r>
          </w:p>
        </w:tc>
        <w:tc>
          <w:tcPr>
            <w:tcW w:w="32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Arial" w:cs="Arial" w:eastAsia="Arial" w:hAnsi="Arial"/>
                <w:sz w:val="18"/>
                <w:szCs w:val="18"/>
                <w:color w:val="auto"/>
              </w:rPr>
              <w:t>Greater China Limited partially held equity interest (see Note 4)</w:t>
            </w: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Translation adjustments on long-term intercompany loans</w:t>
            </w: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(0.3 )</w:t>
            </w: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(11.8 )</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62"/>
        </w:trPr>
        <w:tc>
          <w:tcPr>
            <w:tcW w:w="8160" w:type="dxa"/>
            <w:vAlign w:val="bottom"/>
          </w:tcPr>
          <w:p>
            <w:pPr>
              <w:ind w:left="200"/>
              <w:spacing w:after="0" w:line="162" w:lineRule="exact"/>
              <w:rPr>
                <w:sz w:val="20"/>
                <w:szCs w:val="20"/>
                <w:color w:val="auto"/>
              </w:rPr>
            </w:pPr>
            <w:r>
              <w:rPr>
                <w:rFonts w:ascii="Arial" w:cs="Arial" w:eastAsia="Arial" w:hAnsi="Arial"/>
                <w:sz w:val="18"/>
                <w:szCs w:val="18"/>
                <w:color w:val="auto"/>
                <w:w w:val="92"/>
              </w:rPr>
              <w:t>Defined benefit pension plans and retiree health care plan, net of income taxes of $15.2, $(11.6) and $(8.1),</w:t>
            </w:r>
          </w:p>
        </w:tc>
        <w:tc>
          <w:tcPr>
            <w:tcW w:w="32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(47.9 )</w:t>
            </w:r>
          </w:p>
        </w:tc>
        <w:tc>
          <w:tcPr>
            <w:tcW w:w="3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Pension settlements, net of taxes of $4.5 in 2020</w:t>
            </w:r>
          </w:p>
        </w:tc>
        <w:tc>
          <w:tcPr>
            <w:tcW w:w="3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9.3</w:t>
            </w:r>
          </w:p>
        </w:tc>
        <w:tc>
          <w:tcPr>
            <w:tcW w:w="3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43.7</w:t>
            </w:r>
          </w:p>
        </w:tc>
        <w:tc>
          <w:tcPr>
            <w:tcW w:w="3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390.3</w:t>
            </w:r>
          </w:p>
        </w:tc>
        <w:tc>
          <w:tcPr>
            <w:tcW w:w="32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67.5</w:t>
            </w:r>
          </w:p>
        </w:tc>
        <w:tc>
          <w:tcPr>
            <w:tcW w:w="3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ind w:left="4060"/>
        <w:spacing w:after="0"/>
        <w:rPr>
          <w:sz w:val="20"/>
          <w:szCs w:val="20"/>
          <w:color w:val="auto"/>
        </w:rPr>
      </w:pPr>
      <w:r>
        <w:rPr>
          <w:rFonts w:ascii="Arial" w:cs="Arial" w:eastAsia="Arial" w:hAnsi="Arial"/>
          <w:sz w:val="18"/>
          <w:szCs w:val="18"/>
          <w:b w:val="1"/>
          <w:bCs w:val="1"/>
          <w:color w:val="282A32"/>
        </w:rPr>
        <w:t>CONSOLIDATED BALANCE SHEETS</w:t>
      </w:r>
    </w:p>
    <w:p>
      <w:pPr>
        <w:spacing w:after="0" w:line="108" w:lineRule="exact"/>
        <w:rPr>
          <w:sz w:val="20"/>
          <w:szCs w:val="20"/>
          <w:color w:val="auto"/>
        </w:rPr>
      </w:pPr>
    </w:p>
    <w:p>
      <w:pPr>
        <w:ind w:left="4000"/>
        <w:spacing w:after="0"/>
        <w:rPr>
          <w:sz w:val="20"/>
          <w:szCs w:val="20"/>
          <w:color w:val="auto"/>
        </w:rPr>
      </w:pPr>
      <w:r>
        <w:rPr>
          <w:rFonts w:ascii="Arial" w:cs="Arial" w:eastAsia="Arial" w:hAnsi="Arial"/>
          <w:sz w:val="18"/>
          <w:szCs w:val="18"/>
          <w:b w:val="1"/>
          <w:bCs w:val="1"/>
          <w:i w:val="1"/>
          <w:iCs w:val="1"/>
          <w:color w:val="282A32"/>
        </w:rPr>
        <w:t>in millions, except share and per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847.8</w:t>
            </w:r>
          </w:p>
        </w:tc>
        <w:tc>
          <w:tcPr>
            <w:tcW w:w="64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w w:val="96"/>
              </w:rPr>
              <w:t>Accounts receivable, less allowance for doubtful accounts of $121.6 and $128.1, respectively</w:t>
            </w:r>
          </w:p>
        </w:tc>
        <w:tc>
          <w:tcPr>
            <w:tcW w:w="9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5,448.2</w:t>
            </w:r>
          </w:p>
        </w:tc>
        <w:tc>
          <w:tcPr>
            <w:tcW w:w="6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4,912.4</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Prepaid expenses and other assets</w:t>
            </w:r>
          </w:p>
        </w:tc>
        <w:tc>
          <w:tcPr>
            <w:tcW w:w="9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126.7</w:t>
            </w:r>
          </w:p>
        </w:tc>
        <w:tc>
          <w:tcPr>
            <w:tcW w:w="6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196"/>
        </w:trPr>
        <w:tc>
          <w:tcPr>
            <w:tcW w:w="7280" w:type="dxa"/>
            <w:vAlign w:val="bottom"/>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7"/>
                <w:szCs w:val="17"/>
                <w:color w:val="auto"/>
              </w:rPr>
            </w:pPr>
          </w:p>
        </w:tc>
        <w:tc>
          <w:tcPr>
            <w:tcW w:w="122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6,422.7</w:t>
            </w:r>
          </w:p>
        </w:tc>
        <w:tc>
          <w:tcPr>
            <w:tcW w:w="640" w:type="dxa"/>
            <w:vAlign w:val="bottom"/>
          </w:tcPr>
          <w:p>
            <w:pPr>
              <w:spacing w:after="0"/>
              <w:rPr>
                <w:sz w:val="17"/>
                <w:szCs w:val="17"/>
                <w:color w:val="auto"/>
              </w:rPr>
            </w:pPr>
          </w:p>
        </w:tc>
        <w:tc>
          <w:tcPr>
            <w:tcW w:w="11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6,666.4</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1,722.2</w:t>
            </w:r>
          </w:p>
        </w:tc>
        <w:tc>
          <w:tcPr>
            <w:tcW w:w="6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Intangible assets, less accumulated amortization of $441.3 and $425.4, respectively</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583.6</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right-of-use asset</w:t>
            </w:r>
          </w:p>
        </w:tc>
        <w:tc>
          <w:tcPr>
            <w:tcW w:w="9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373.4</w:t>
            </w:r>
          </w:p>
        </w:tc>
        <w:tc>
          <w:tcPr>
            <w:tcW w:w="6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610.2</w:t>
            </w:r>
          </w:p>
        </w:tc>
        <w:tc>
          <w:tcPr>
            <w:tcW w:w="6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196"/>
        </w:trPr>
        <w:tc>
          <w:tcPr>
            <w:tcW w:w="7280" w:type="dxa"/>
            <w:vAlign w:val="bottom"/>
          </w:tcPr>
          <w:p>
            <w:pPr>
              <w:ind w:left="200"/>
              <w:spacing w:after="0" w:line="196" w:lineRule="exact"/>
              <w:rPr>
                <w:sz w:val="20"/>
                <w:szCs w:val="20"/>
                <w:color w:val="auto"/>
              </w:rPr>
            </w:pPr>
            <w:r>
              <w:rPr>
                <w:rFonts w:ascii="Arial" w:cs="Arial" w:eastAsia="Arial" w:hAnsi="Arial"/>
                <w:sz w:val="18"/>
                <w:szCs w:val="18"/>
                <w:color w:val="auto"/>
              </w:rPr>
              <w:t>Total other assets</w:t>
            </w:r>
          </w:p>
        </w:tc>
        <w:tc>
          <w:tcPr>
            <w:tcW w:w="960" w:type="dxa"/>
            <w:vAlign w:val="bottom"/>
          </w:tcPr>
          <w:p>
            <w:pPr>
              <w:spacing w:after="0"/>
              <w:rPr>
                <w:sz w:val="17"/>
                <w:szCs w:val="17"/>
                <w:color w:val="auto"/>
              </w:rPr>
            </w:pPr>
          </w:p>
        </w:tc>
        <w:tc>
          <w:tcPr>
            <w:tcW w:w="122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3,289.4</w:t>
            </w:r>
          </w:p>
        </w:tc>
        <w:tc>
          <w:tcPr>
            <w:tcW w:w="640" w:type="dxa"/>
            <w:vAlign w:val="bottom"/>
          </w:tcPr>
          <w:p>
            <w:pPr>
              <w:spacing w:after="0"/>
              <w:rPr>
                <w:sz w:val="17"/>
                <w:szCs w:val="17"/>
                <w:color w:val="auto"/>
              </w:rPr>
            </w:pPr>
          </w:p>
        </w:tc>
        <w:tc>
          <w:tcPr>
            <w:tcW w:w="11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2,526.7</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Land, buildings, leasehold improvements and equipment</w:t>
            </w:r>
          </w:p>
        </w:tc>
        <w:tc>
          <w:tcPr>
            <w:tcW w:w="9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594.9</w:t>
            </w:r>
          </w:p>
        </w:tc>
        <w:tc>
          <w:tcPr>
            <w:tcW w:w="6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9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478.1</w:t>
            </w:r>
          </w:p>
        </w:tc>
        <w:tc>
          <w:tcPr>
            <w:tcW w:w="6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property and equipment</w:t>
            </w:r>
          </w:p>
        </w:tc>
        <w:tc>
          <w:tcPr>
            <w:tcW w:w="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116.8</w:t>
            </w: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9,828.9</w:t>
            </w:r>
          </w:p>
        </w:tc>
        <w:tc>
          <w:tcPr>
            <w:tcW w:w="6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9,328.2</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9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3,039.2</w:t>
            </w:r>
          </w:p>
        </w:tc>
        <w:tc>
          <w:tcPr>
            <w:tcW w:w="6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2,527.4</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Employee compensation payable</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299.4</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9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584.7</w:t>
            </w:r>
          </w:p>
        </w:tc>
        <w:tc>
          <w:tcPr>
            <w:tcW w:w="6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Accrued payroll taxes and insurance</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789.1</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Value added taxes payable</w:t>
            </w:r>
          </w:p>
        </w:tc>
        <w:tc>
          <w:tcPr>
            <w:tcW w:w="9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515.5</w:t>
            </w:r>
          </w:p>
        </w:tc>
        <w:tc>
          <w:tcPr>
            <w:tcW w:w="6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Short-term borrowings and current maturities of long-term debt</w:t>
            </w:r>
          </w:p>
        </w:tc>
        <w:tc>
          <w:tcPr>
            <w:tcW w:w="9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552.6</w:t>
            </w:r>
          </w:p>
        </w:tc>
        <w:tc>
          <w:tcPr>
            <w:tcW w:w="6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6"/>
        </w:trPr>
        <w:tc>
          <w:tcPr>
            <w:tcW w:w="7280" w:type="dxa"/>
            <w:vAlign w:val="bottom"/>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960" w:type="dxa"/>
            <w:vAlign w:val="bottom"/>
          </w:tcPr>
          <w:p>
            <w:pPr>
              <w:spacing w:after="0"/>
              <w:rPr>
                <w:sz w:val="17"/>
                <w:szCs w:val="17"/>
                <w:color w:val="auto"/>
              </w:rPr>
            </w:pPr>
          </w:p>
        </w:tc>
        <w:tc>
          <w:tcPr>
            <w:tcW w:w="122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5,780.5</w:t>
            </w:r>
          </w:p>
        </w:tc>
        <w:tc>
          <w:tcPr>
            <w:tcW w:w="640" w:type="dxa"/>
            <w:vAlign w:val="bottom"/>
          </w:tcPr>
          <w:p>
            <w:pPr>
              <w:spacing w:after="0"/>
              <w:rPr>
                <w:sz w:val="17"/>
                <w:szCs w:val="17"/>
                <w:color w:val="auto"/>
              </w:rPr>
            </w:pPr>
          </w:p>
        </w:tc>
        <w:tc>
          <w:tcPr>
            <w:tcW w:w="11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4,684.8</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Long-term debt</w:t>
            </w:r>
          </w:p>
        </w:tc>
        <w:tc>
          <w:tcPr>
            <w:tcW w:w="9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565.7</w:t>
            </w:r>
          </w:p>
        </w:tc>
        <w:tc>
          <w:tcPr>
            <w:tcW w:w="6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1,103.5</w:t>
            </w: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Long-term operating lease liability</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275.8</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675.2</w:t>
            </w: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other liabilities</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1,516.7</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2,189.8</w:t>
            </w:r>
          </w:p>
        </w:tc>
        <w:tc>
          <w:tcPr>
            <w:tcW w:w="0" w:type="dxa"/>
            <w:vAlign w:val="bottom"/>
          </w:tcPr>
          <w:p>
            <w:pPr>
              <w:spacing w:after="0"/>
              <w:rPr>
                <w:sz w:val="1"/>
                <w:szCs w:val="1"/>
                <w:color w:val="auto"/>
              </w:rPr>
            </w:pPr>
          </w:p>
        </w:tc>
      </w:tr>
      <w:tr>
        <w:trPr>
          <w:trHeight w:val="202"/>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Shareholders’ Equity</w:t>
            </w: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Preferred stock, $.01 par value, authorized 25,000,000 shares, none issued</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280" w:type="dxa"/>
            <w:vAlign w:val="bottom"/>
          </w:tcPr>
          <w:p>
            <w:pPr>
              <w:ind w:left="120"/>
              <w:spacing w:after="0" w:line="162" w:lineRule="exact"/>
              <w:rPr>
                <w:sz w:val="20"/>
                <w:szCs w:val="20"/>
                <w:color w:val="auto"/>
              </w:rPr>
            </w:pPr>
            <w:r>
              <w:rPr>
                <w:rFonts w:ascii="Arial" w:cs="Arial" w:eastAsia="Arial" w:hAnsi="Arial"/>
                <w:sz w:val="18"/>
                <w:szCs w:val="18"/>
                <w:color w:val="auto"/>
              </w:rPr>
              <w:t>Common stock, $.01 par value, authorized 125,000,000 shares, issued 117,762,065 and</w:t>
            </w:r>
          </w:p>
        </w:tc>
        <w:tc>
          <w:tcPr>
            <w:tcW w:w="960" w:type="dxa"/>
            <w:vAlign w:val="bottom"/>
          </w:tcPr>
          <w:p>
            <w:pPr>
              <w:spacing w:after="0"/>
              <w:rPr>
                <w:sz w:val="14"/>
                <w:szCs w:val="14"/>
                <w:color w:val="auto"/>
              </w:rPr>
            </w:pPr>
          </w:p>
        </w:tc>
        <w:tc>
          <w:tcPr>
            <w:tcW w:w="1220" w:type="dxa"/>
            <w:vAlign w:val="bottom"/>
            <w:vMerge w:val="restart"/>
          </w:tcPr>
          <w:p>
            <w:pPr>
              <w:jc w:val="right"/>
              <w:ind w:right="11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80" w:type="dxa"/>
            <w:vAlign w:val="bottom"/>
          </w:tcPr>
          <w:p>
            <w:pPr>
              <w:ind w:left="120"/>
              <w:spacing w:after="0"/>
              <w:rPr>
                <w:sz w:val="20"/>
                <w:szCs w:val="20"/>
                <w:color w:val="auto"/>
              </w:rPr>
            </w:pPr>
            <w:r>
              <w:rPr>
                <w:rFonts w:ascii="Arial" w:cs="Arial" w:eastAsia="Arial" w:hAnsi="Arial"/>
                <w:sz w:val="18"/>
                <w:szCs w:val="18"/>
                <w:color w:val="auto"/>
              </w:rPr>
              <w:t>117,555,991 shares, respectively</w:t>
            </w:r>
          </w:p>
        </w:tc>
        <w:tc>
          <w:tcPr>
            <w:tcW w:w="9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Capital in excess of par value</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3,444.7</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03"/>
        </w:trPr>
        <w:tc>
          <w:tcPr>
            <w:tcW w:w="728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3,634.6</w:t>
            </w:r>
          </w:p>
        </w:tc>
        <w:tc>
          <w:tcPr>
            <w:tcW w:w="6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3,388.8</w:t>
            </w:r>
          </w:p>
        </w:tc>
        <w:tc>
          <w:tcPr>
            <w:tcW w:w="0" w:type="dxa"/>
            <w:vAlign w:val="bottom"/>
          </w:tcPr>
          <w:p>
            <w:pPr>
              <w:spacing w:after="0"/>
              <w:rPr>
                <w:sz w:val="1"/>
                <w:szCs w:val="1"/>
                <w:color w:val="auto"/>
              </w:rPr>
            </w:pPr>
          </w:p>
        </w:tc>
      </w:tr>
      <w:tr>
        <w:trPr>
          <w:trHeight w:val="202"/>
        </w:trPr>
        <w:tc>
          <w:tcPr>
            <w:tcW w:w="7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9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(389.4 )</w:t>
            </w:r>
          </w:p>
        </w:tc>
        <w:tc>
          <w:tcPr>
            <w:tcW w:w="6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(397.3 )</w:t>
            </w:r>
          </w:p>
        </w:tc>
        <w:tc>
          <w:tcPr>
            <w:tcW w:w="0" w:type="dxa"/>
            <w:vAlign w:val="bottom"/>
          </w:tcPr>
          <w:p>
            <w:pPr>
              <w:spacing w:after="0"/>
              <w:rPr>
                <w:sz w:val="1"/>
                <w:szCs w:val="1"/>
                <w:color w:val="auto"/>
              </w:rPr>
            </w:pPr>
          </w:p>
        </w:tc>
      </w:tr>
      <w:tr>
        <w:trPr>
          <w:trHeight w:val="203"/>
        </w:trPr>
        <w:tc>
          <w:tcPr>
            <w:tcW w:w="728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Treasury stock at cost, 64,165,136 and 61,990,021 shares, respectively</w:t>
            </w:r>
          </w:p>
        </w:tc>
        <w:tc>
          <w:tcPr>
            <w:tcW w:w="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(4,169.4 )</w:t>
            </w: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(3,954.2 )</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ManpowerGroup shareholders' equity</w:t>
            </w:r>
          </w:p>
        </w:tc>
        <w:tc>
          <w:tcPr>
            <w:tcW w:w="9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2,521.7</w:t>
            </w:r>
          </w:p>
        </w:tc>
        <w:tc>
          <w:tcPr>
            <w:tcW w:w="6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Noncontrolling interests</w:t>
            </w:r>
          </w:p>
        </w:tc>
        <w:tc>
          <w:tcPr>
            <w:tcW w:w="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10.0</w:t>
            </w: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shareholders’ equity</w:t>
            </w:r>
          </w:p>
        </w:tc>
        <w:tc>
          <w:tcPr>
            <w:tcW w:w="9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2,531.7</w:t>
            </w:r>
          </w:p>
        </w:tc>
        <w:tc>
          <w:tcPr>
            <w:tcW w:w="6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9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9,828.9</w:t>
            </w:r>
          </w:p>
        </w:tc>
        <w:tc>
          <w:tcPr>
            <w:tcW w:w="6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9,328.2</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1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Net earnings</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382.4</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23.8</w:t>
            </w: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465.7</w:t>
            </w:r>
          </w:p>
        </w:tc>
      </w:tr>
      <w:tr>
        <w:trPr>
          <w:trHeight w:val="203"/>
        </w:trPr>
        <w:tc>
          <w:tcPr>
            <w:tcW w:w="6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3"/>
        </w:trPr>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73.4</w:t>
            </w:r>
          </w:p>
        </w:tc>
        <w:tc>
          <w:tcPr>
            <w:tcW w:w="30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76.3</w:t>
            </w:r>
          </w:p>
        </w:tc>
        <w:tc>
          <w:tcPr>
            <w:tcW w:w="26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77.2</w:t>
            </w:r>
          </w:p>
        </w:tc>
      </w:tr>
      <w:tr>
        <w:trPr>
          <w:trHeight w:val="203"/>
        </w:trPr>
        <w:tc>
          <w:tcPr>
            <w:tcW w:w="6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Non-cash gain on disposition of previously held equity interest</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(80.4 )</w:t>
            </w:r>
          </w:p>
        </w:tc>
      </w:tr>
      <w:tr>
        <w:trPr>
          <w:trHeight w:val="203"/>
        </w:trPr>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Non-cash gain on disposition of previously held controlling interest</w:t>
            </w:r>
          </w:p>
        </w:tc>
        <w:tc>
          <w:tcPr>
            <w:tcW w:w="12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(30.4 )</w:t>
            </w:r>
          </w:p>
        </w:tc>
      </w:tr>
      <w:tr>
        <w:trPr>
          <w:trHeight w:val="203"/>
        </w:trPr>
        <w:tc>
          <w:tcPr>
            <w:tcW w:w="6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Non-cash goodwill and other impairment charges</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71.3</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64.0</w:t>
            </w:r>
          </w:p>
        </w:tc>
      </w:tr>
      <w:tr>
        <w:trPr>
          <w:trHeight w:val="203"/>
        </w:trPr>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Non-cash operating lease right-of-use assets impairment</w:t>
            </w:r>
          </w:p>
        </w:tc>
        <w:tc>
          <w:tcPr>
            <w:tcW w:w="12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27.3</w:t>
            </w:r>
          </w:p>
        </w:tc>
        <w:tc>
          <w:tcPr>
            <w:tcW w:w="26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(10.4 )</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(43.0 )</w:t>
            </w:r>
          </w:p>
        </w:tc>
      </w:tr>
      <w:tr>
        <w:trPr>
          <w:trHeight w:val="203"/>
        </w:trPr>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Provision for doubtful accounts</w:t>
            </w:r>
          </w:p>
        </w:tc>
        <w:tc>
          <w:tcPr>
            <w:tcW w:w="12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17.9</w:t>
            </w:r>
          </w:p>
        </w:tc>
        <w:tc>
          <w:tcPr>
            <w:tcW w:w="30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w:t>
            </w:r>
          </w:p>
        </w:tc>
        <w:tc>
          <w:tcPr>
            <w:tcW w:w="26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w:t>
            </w:r>
          </w:p>
        </w:tc>
      </w:tr>
      <w:tr>
        <w:trPr>
          <w:trHeight w:val="203"/>
        </w:trPr>
        <w:tc>
          <w:tcPr>
            <w:tcW w:w="6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36.8</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26.3</w:t>
            </w:r>
          </w:p>
        </w:tc>
      </w:tr>
      <w:tr>
        <w:trPr>
          <w:trHeight w:val="203"/>
        </w:trPr>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Change in operating assets and liabilities, excluding the impact of acquisitions:</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9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(640.9 )</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586.9</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(80.2 )</w:t>
            </w:r>
          </w:p>
        </w:tc>
      </w:tr>
      <w:tr>
        <w:trPr>
          <w:trHeight w:val="203"/>
        </w:trPr>
        <w:tc>
          <w:tcPr>
            <w:tcW w:w="6980" w:type="dxa"/>
            <w:vAlign w:val="bottom"/>
          </w:tcPr>
          <w:p>
            <w:pPr>
              <w:ind w:left="200"/>
              <w:spacing w:after="0" w:line="202" w:lineRule="exact"/>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79.0</w:t>
            </w:r>
          </w:p>
        </w:tc>
        <w:tc>
          <w:tcPr>
            <w:tcW w:w="30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29.9</w:t>
            </w:r>
          </w:p>
        </w:tc>
        <w:tc>
          <w:tcPr>
            <w:tcW w:w="26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122.3</w:t>
            </w:r>
          </w:p>
        </w:tc>
      </w:tr>
      <w:tr>
        <w:trPr>
          <w:trHeight w:val="203"/>
        </w:trPr>
        <w:tc>
          <w:tcPr>
            <w:tcW w:w="698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1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697.5</w:t>
            </w: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86.8</w:t>
            </w:r>
          </w:p>
        </w:tc>
        <w:tc>
          <w:tcPr>
            <w:tcW w:w="2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271.1</w:t>
            </w:r>
          </w:p>
        </w:tc>
      </w:tr>
      <w:tr>
        <w:trPr>
          <w:trHeight w:val="196"/>
        </w:trPr>
        <w:tc>
          <w:tcPr>
            <w:tcW w:w="698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Cash provided by operating activities</w:t>
            </w:r>
          </w:p>
        </w:tc>
        <w:tc>
          <w:tcPr>
            <w:tcW w:w="1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644.8</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936.4</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814.4</w:t>
            </w: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(64.2 )</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(50.7 )</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(52.9 )</w:t>
            </w:r>
          </w:p>
        </w:tc>
      </w:tr>
      <w:tr>
        <w:trPr>
          <w:trHeight w:val="203"/>
        </w:trPr>
        <w:tc>
          <w:tcPr>
            <w:tcW w:w="6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Acquisitions of businesses, net of cash acquired</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(924.4 )</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(0.7 )</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77.8</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Impact to cash resulting from deconsolidation of subsidiaries</w:t>
            </w:r>
          </w:p>
        </w:tc>
        <w:tc>
          <w:tcPr>
            <w:tcW w:w="12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(57.9 )</w:t>
            </w:r>
          </w:p>
        </w:tc>
      </w:tr>
      <w:tr>
        <w:trPr>
          <w:trHeight w:val="203"/>
        </w:trPr>
        <w:tc>
          <w:tcPr>
            <w:tcW w:w="69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the sale of subsidiaries, investments, property and equipment</w:t>
            </w:r>
          </w:p>
        </w:tc>
        <w:tc>
          <w:tcPr>
            <w:tcW w:w="1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16.8</w:t>
            </w:r>
          </w:p>
        </w:tc>
      </w:tr>
      <w:tr>
        <w:trPr>
          <w:trHeight w:val="196"/>
        </w:trPr>
        <w:tc>
          <w:tcPr>
            <w:tcW w:w="698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Cash used in investing activities</w:t>
            </w:r>
          </w:p>
        </w:tc>
        <w:tc>
          <w:tcPr>
            <w:tcW w:w="1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(987.0 )</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(42.4 )</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(16.2 )</w:t>
            </w: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Net change in short-term borrowings</w:t>
            </w:r>
          </w:p>
        </w:tc>
        <w:tc>
          <w:tcPr>
            <w:tcW w:w="1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(3.0 )</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(40.8 )</w:t>
            </w:r>
          </w:p>
        </w:tc>
        <w:tc>
          <w:tcPr>
            <w:tcW w:w="26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w:t>
            </w:r>
          </w:p>
        </w:tc>
      </w:tr>
      <w:tr>
        <w:trPr>
          <w:trHeight w:val="203"/>
        </w:trPr>
        <w:tc>
          <w:tcPr>
            <w:tcW w:w="6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proceeds of revolving debt facility</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75.0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Proceeds from long-term debt</w:t>
            </w:r>
          </w:p>
        </w:tc>
        <w:tc>
          <w:tcPr>
            <w:tcW w:w="12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0.5</w:t>
            </w:r>
          </w:p>
        </w:tc>
        <w:tc>
          <w:tcPr>
            <w:tcW w:w="30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w:t>
            </w:r>
          </w:p>
        </w:tc>
        <w:tc>
          <w:tcPr>
            <w:tcW w:w="26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w:t>
            </w:r>
          </w:p>
        </w:tc>
      </w:tr>
      <w:tr>
        <w:trPr>
          <w:trHeight w:val="202"/>
        </w:trPr>
        <w:tc>
          <w:tcPr>
            <w:tcW w:w="6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Repayments of long-term debt</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(0.4 )</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Payments of contingent consideration for acquisitions</w:t>
            </w:r>
          </w:p>
        </w:tc>
        <w:tc>
          <w:tcPr>
            <w:tcW w:w="1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(6.3 )</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(1.9 )</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(22.8 )</w:t>
            </w:r>
          </w:p>
        </w:tc>
      </w:tr>
      <w:tr>
        <w:trPr>
          <w:trHeight w:val="203"/>
        </w:trPr>
        <w:tc>
          <w:tcPr>
            <w:tcW w:w="6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share-based awards and sale of subsidiaries</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7.5</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Payments to noncontrolling interests</w:t>
            </w:r>
          </w:p>
        </w:tc>
        <w:tc>
          <w:tcPr>
            <w:tcW w:w="1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(1.2 )</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(0.8 )</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(2.1 )</w:t>
            </w:r>
          </w:p>
        </w:tc>
      </w:tr>
      <w:tr>
        <w:trPr>
          <w:trHeight w:val="203"/>
        </w:trPr>
        <w:tc>
          <w:tcPr>
            <w:tcW w:w="6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share-based award transactions</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(5.0 )</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(7.6 )</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(7.2 )</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Repurchases of common stock</w:t>
            </w:r>
          </w:p>
        </w:tc>
        <w:tc>
          <w:tcPr>
            <w:tcW w:w="1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(210.0 )</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(264.7 )</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(203.0 )</w:t>
            </w:r>
          </w:p>
        </w:tc>
      </w:tr>
      <w:tr>
        <w:trPr>
          <w:trHeight w:val="203"/>
        </w:trPr>
        <w:tc>
          <w:tcPr>
            <w:tcW w:w="69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Dividends paid</w:t>
            </w:r>
          </w:p>
        </w:tc>
        <w:tc>
          <w:tcPr>
            <w:tcW w:w="1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(136.6 )</w:t>
            </w: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(129.1 )</w:t>
            </w:r>
          </w:p>
        </w:tc>
        <w:tc>
          <w:tcPr>
            <w:tcW w:w="2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(129.3 )</w:t>
            </w:r>
          </w:p>
        </w:tc>
      </w:tr>
      <w:tr>
        <w:trPr>
          <w:trHeight w:val="196"/>
        </w:trPr>
        <w:tc>
          <w:tcPr>
            <w:tcW w:w="6980" w:type="dxa"/>
            <w:vAlign w:val="bottom"/>
          </w:tcPr>
          <w:p>
            <w:pPr>
              <w:ind w:left="300"/>
              <w:spacing w:after="0" w:line="196" w:lineRule="exact"/>
              <w:rPr>
                <w:sz w:val="20"/>
                <w:szCs w:val="20"/>
                <w:color w:val="auto"/>
              </w:rPr>
            </w:pPr>
            <w:r>
              <w:rPr>
                <w:rFonts w:ascii="Arial" w:cs="Arial" w:eastAsia="Arial" w:hAnsi="Arial"/>
                <w:sz w:val="18"/>
                <w:szCs w:val="18"/>
                <w:color w:val="auto"/>
              </w:rPr>
              <w:t>Cash used in financing activities</w:t>
            </w:r>
          </w:p>
        </w:tc>
        <w:tc>
          <w:tcPr>
            <w:tcW w:w="1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(283.7 )</w:t>
            </w:r>
          </w:p>
        </w:tc>
        <w:tc>
          <w:tcPr>
            <w:tcW w:w="3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(435.2 )</w:t>
            </w:r>
          </w:p>
        </w:tc>
        <w:tc>
          <w:tcPr>
            <w:tcW w:w="2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(337.4 )</w:t>
            </w:r>
          </w:p>
        </w:tc>
      </w:tr>
      <w:tr>
        <w:trPr>
          <w:trHeight w:val="202"/>
        </w:trPr>
        <w:tc>
          <w:tcPr>
            <w:tcW w:w="69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1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(93.4 )</w:t>
            </w: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82.5</w:t>
            </w:r>
          </w:p>
        </w:tc>
        <w:tc>
          <w:tcPr>
            <w:tcW w:w="2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(26.9 )</w:t>
            </w:r>
          </w:p>
        </w:tc>
      </w:tr>
      <w:tr>
        <w:trPr>
          <w:trHeight w:val="196"/>
        </w:trPr>
        <w:tc>
          <w:tcPr>
            <w:tcW w:w="6980" w:type="dxa"/>
            <w:vAlign w:val="bottom"/>
          </w:tcPr>
          <w:p>
            <w:pPr>
              <w:ind w:left="20"/>
              <w:spacing w:after="0" w:line="196" w:lineRule="exact"/>
              <w:rPr>
                <w:sz w:val="20"/>
                <w:szCs w:val="20"/>
                <w:color w:val="auto"/>
              </w:rPr>
            </w:pPr>
            <w:r>
              <w:rPr>
                <w:rFonts w:ascii="Arial" w:cs="Arial" w:eastAsia="Arial" w:hAnsi="Arial"/>
                <w:sz w:val="18"/>
                <w:szCs w:val="18"/>
                <w:color w:val="auto"/>
              </w:rPr>
              <w:t>Change in cash and cash equivalents</w:t>
            </w:r>
          </w:p>
        </w:tc>
        <w:tc>
          <w:tcPr>
            <w:tcW w:w="1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(719.3 )</w:t>
            </w:r>
          </w:p>
        </w:tc>
        <w:tc>
          <w:tcPr>
            <w:tcW w:w="300" w:type="dxa"/>
            <w:vAlign w:val="bottom"/>
          </w:tcPr>
          <w:p>
            <w:pPr>
              <w:spacing w:after="0"/>
              <w:rPr>
                <w:sz w:val="17"/>
                <w:szCs w:val="17"/>
                <w:color w:val="auto"/>
              </w:rPr>
            </w:pPr>
          </w:p>
        </w:tc>
        <w:tc>
          <w:tcPr>
            <w:tcW w:w="8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541.3</w:t>
            </w:r>
          </w:p>
        </w:tc>
        <w:tc>
          <w:tcPr>
            <w:tcW w:w="26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433.9</w:t>
            </w:r>
          </w:p>
        </w:tc>
      </w:tr>
      <w:tr>
        <w:trPr>
          <w:trHeight w:val="203"/>
        </w:trPr>
        <w:tc>
          <w:tcPr>
            <w:tcW w:w="69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beginning of year</w:t>
            </w:r>
          </w:p>
        </w:tc>
        <w:tc>
          <w:tcPr>
            <w:tcW w:w="1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1,567.1</w:t>
            </w: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1,025.8</w:t>
            </w:r>
          </w:p>
        </w:tc>
        <w:tc>
          <w:tcPr>
            <w:tcW w:w="2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591.9</w:t>
            </w:r>
          </w:p>
        </w:tc>
      </w:tr>
      <w:tr>
        <w:trPr>
          <w:trHeight w:val="196"/>
        </w:trPr>
        <w:tc>
          <w:tcPr>
            <w:tcW w:w="69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Cash and cash equivalents, end of year</w:t>
            </w:r>
          </w:p>
        </w:tc>
        <w:tc>
          <w:tcPr>
            <w:tcW w:w="1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847.8</w:t>
            </w: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1,567.1</w:t>
            </w:r>
          </w:p>
        </w:tc>
        <w:tc>
          <w:tcPr>
            <w:tcW w:w="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1,025.8</w:t>
            </w: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2"/>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Cash paid during the period for:</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98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w:t>
            </w:r>
          </w:p>
        </w:tc>
        <w:tc>
          <w:tcPr>
            <w:tcW w:w="12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37.0</w:t>
            </w:r>
          </w:p>
        </w:tc>
        <w:tc>
          <w:tcPr>
            <w:tcW w:w="3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40.8</w:t>
            </w:r>
          </w:p>
        </w:tc>
        <w:tc>
          <w:tcPr>
            <w:tcW w:w="2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42.4</w:t>
            </w:r>
          </w:p>
        </w:tc>
      </w:tr>
      <w:tr>
        <w:trPr>
          <w:trHeight w:val="196"/>
        </w:trPr>
        <w:tc>
          <w:tcPr>
            <w:tcW w:w="69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Income taxes, net</w:t>
            </w:r>
          </w:p>
        </w:tc>
        <w:tc>
          <w:tcPr>
            <w:tcW w:w="1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139.7</w:t>
            </w: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149.8</w:t>
            </w:r>
          </w:p>
        </w:tc>
        <w:tc>
          <w:tcPr>
            <w:tcW w:w="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179.2</w:t>
            </w:r>
          </w:p>
        </w:tc>
      </w:tr>
      <w:tr>
        <w:trPr>
          <w:trHeight w:val="196"/>
        </w:trPr>
        <w:tc>
          <w:tcPr>
            <w:tcW w:w="6980" w:type="dxa"/>
            <w:vAlign w:val="bottom"/>
            <w:tcBorders>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lease liabilities</w:t>
            </w:r>
          </w:p>
        </w:tc>
        <w:tc>
          <w:tcPr>
            <w:tcW w:w="1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139.6</w:t>
            </w:r>
          </w:p>
        </w:tc>
        <w:tc>
          <w:tcPr>
            <w:tcW w:w="3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142.0</w:t>
            </w:r>
          </w:p>
        </w:tc>
        <w:tc>
          <w:tcPr>
            <w:tcW w:w="2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150.1</w:t>
            </w:r>
          </w:p>
        </w:tc>
      </w:tr>
      <w:tr>
        <w:trPr>
          <w:trHeight w:val="196"/>
        </w:trPr>
        <w:tc>
          <w:tcPr>
            <w:tcW w:w="6980" w:type="dxa"/>
            <w:vAlign w:val="bottom"/>
          </w:tcPr>
          <w:p>
            <w:pPr>
              <w:ind w:left="20"/>
              <w:spacing w:after="0" w:line="196" w:lineRule="exact"/>
              <w:rPr>
                <w:sz w:val="20"/>
                <w:szCs w:val="20"/>
                <w:color w:val="auto"/>
              </w:rPr>
            </w:pPr>
            <w:r>
              <w:rPr>
                <w:rFonts w:ascii="Arial" w:cs="Arial" w:eastAsia="Arial" w:hAnsi="Arial"/>
                <w:sz w:val="18"/>
                <w:szCs w:val="18"/>
                <w:color w:val="auto"/>
              </w:rPr>
              <w:t>Non-cash operating activity:</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98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12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70.2</w:t>
            </w:r>
          </w:p>
        </w:tc>
        <w:tc>
          <w:tcPr>
            <w:tcW w:w="3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63.6</w:t>
            </w:r>
          </w:p>
        </w:tc>
        <w:tc>
          <w:tcPr>
            <w:tcW w:w="2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129.3</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ManpowerGroup Shareholders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2040" w:type="dxa"/>
            <w:vAlign w:val="bottom"/>
            <w:gridSpan w:val="3"/>
            <w:vMerge w:val="restart"/>
          </w:tcPr>
          <w:p>
            <w:pPr>
              <w:jc w:val="right"/>
              <w:ind w:right="541"/>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jc w:val="center"/>
              <w:ind w:right="2"/>
              <w:spacing w:after="0" w:line="137" w:lineRule="exact"/>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204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1"/>
              <w:spacing w:after="0"/>
              <w:rPr>
                <w:sz w:val="20"/>
                <w:szCs w:val="20"/>
                <w:color w:val="auto"/>
              </w:rPr>
            </w:pPr>
            <w:r>
              <w:rPr>
                <w:rFonts w:ascii="Arial" w:cs="Arial" w:eastAsia="Arial" w:hAnsi="Arial"/>
                <w:sz w:val="14"/>
                <w:szCs w:val="14"/>
                <w:color w:val="auto"/>
                <w:w w:val="99"/>
              </w:rPr>
              <w:t>Capital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222"/>
              <w:spacing w:after="0"/>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w w:val="98"/>
              </w:rPr>
              <w:t>Non-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jc w:val="center"/>
              <w:ind w:right="2"/>
              <w:spacing w:after="0" w:line="137" w:lineRule="exact"/>
              <w:rPr>
                <w:sz w:val="20"/>
                <w:szCs w:val="20"/>
                <w:color w:val="auto"/>
              </w:rPr>
            </w:pPr>
            <w:r>
              <w:rPr>
                <w:rFonts w:ascii="Arial" w:cs="Arial" w:eastAsia="Arial" w:hAnsi="Arial"/>
                <w:sz w:val="14"/>
                <w:szCs w:val="14"/>
                <w:color w:val="auto"/>
                <w:w w:val="91"/>
              </w:rPr>
              <w:t>Comprehensi</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202"/>
              <w:spacing w:after="0" w:line="149" w:lineRule="exact"/>
              <w:rPr>
                <w:sz w:val="20"/>
                <w:szCs w:val="20"/>
                <w:color w:val="auto"/>
              </w:rPr>
            </w:pPr>
            <w:r>
              <w:rPr>
                <w:rFonts w:ascii="Arial" w:cs="Arial" w:eastAsia="Arial" w:hAnsi="Arial"/>
                <w:sz w:val="14"/>
                <w:szCs w:val="14"/>
                <w:color w:val="auto"/>
                <w:w w:val="94"/>
              </w:rPr>
              <w:t>ve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40" w:type="dxa"/>
            <w:vAlign w:val="bottom"/>
          </w:tcPr>
          <w:p>
            <w:pPr>
              <w:jc w:val="right"/>
              <w:ind w:right="301"/>
              <w:spacing w:after="0" w:line="149" w:lineRule="exact"/>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01"/>
              <w:spacing w:after="0" w:line="149" w:lineRule="exact"/>
              <w:rPr>
                <w:sz w:val="20"/>
                <w:szCs w:val="20"/>
                <w:color w:val="auto"/>
              </w:rPr>
            </w:pPr>
            <w:r>
              <w:rPr>
                <w:rFonts w:ascii="Arial" w:cs="Arial" w:eastAsia="Arial" w:hAnsi="Arial"/>
                <w:sz w:val="14"/>
                <w:szCs w:val="14"/>
                <w:color w:val="auto"/>
                <w:w w:val="92"/>
              </w:rPr>
              <w:t>Excess of</w:t>
            </w:r>
          </w:p>
        </w:tc>
        <w:tc>
          <w:tcPr>
            <w:tcW w:w="180" w:type="dxa"/>
            <w:vAlign w:val="bottom"/>
          </w:tcPr>
          <w:p>
            <w:pPr>
              <w:spacing w:after="0"/>
              <w:rPr>
                <w:sz w:val="12"/>
                <w:szCs w:val="12"/>
                <w:color w:val="auto"/>
              </w:rPr>
            </w:pPr>
          </w:p>
        </w:tc>
        <w:tc>
          <w:tcPr>
            <w:tcW w:w="840" w:type="dxa"/>
            <w:vAlign w:val="bottom"/>
          </w:tcPr>
          <w:p>
            <w:pPr>
              <w:jc w:val="right"/>
              <w:ind w:right="201"/>
              <w:spacing w:after="0" w:line="149" w:lineRule="exact"/>
              <w:rPr>
                <w:sz w:val="20"/>
                <w:szCs w:val="20"/>
                <w:color w:val="auto"/>
              </w:rPr>
            </w:pPr>
            <w:r>
              <w:rPr>
                <w:rFonts w:ascii="Arial" w:cs="Arial" w:eastAsia="Arial" w:hAnsi="Arial"/>
                <w:sz w:val="14"/>
                <w:szCs w:val="14"/>
                <w:color w:val="auto"/>
                <w:w w:val="96"/>
              </w:rPr>
              <w:t>Retained</w:t>
            </w:r>
          </w:p>
        </w:tc>
        <w:tc>
          <w:tcPr>
            <w:tcW w:w="220" w:type="dxa"/>
            <w:vAlign w:val="bottom"/>
          </w:tcPr>
          <w:p>
            <w:pPr>
              <w:spacing w:after="0"/>
              <w:rPr>
                <w:sz w:val="12"/>
                <w:szCs w:val="12"/>
                <w:color w:val="auto"/>
              </w:rPr>
            </w:pPr>
          </w:p>
        </w:tc>
        <w:tc>
          <w:tcPr>
            <w:tcW w:w="82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92"/>
              </w:rPr>
              <w:t>(Loss)</w:t>
            </w:r>
          </w:p>
        </w:tc>
        <w:tc>
          <w:tcPr>
            <w:tcW w:w="180" w:type="dxa"/>
            <w:vAlign w:val="bottom"/>
          </w:tcPr>
          <w:p>
            <w:pPr>
              <w:spacing w:after="0"/>
              <w:rPr>
                <w:sz w:val="12"/>
                <w:szCs w:val="12"/>
                <w:color w:val="auto"/>
              </w:rPr>
            </w:pPr>
          </w:p>
        </w:tc>
        <w:tc>
          <w:tcPr>
            <w:tcW w:w="780" w:type="dxa"/>
            <w:vAlign w:val="bottom"/>
          </w:tcPr>
          <w:p>
            <w:pPr>
              <w:jc w:val="right"/>
              <w:ind w:right="161"/>
              <w:spacing w:after="0" w:line="149" w:lineRule="exact"/>
              <w:rPr>
                <w:sz w:val="20"/>
                <w:szCs w:val="20"/>
                <w:color w:val="auto"/>
              </w:rPr>
            </w:pPr>
            <w:r>
              <w:rPr>
                <w:rFonts w:ascii="Arial" w:cs="Arial" w:eastAsia="Arial" w:hAnsi="Arial"/>
                <w:sz w:val="14"/>
                <w:szCs w:val="14"/>
                <w:color w:val="auto"/>
                <w:w w:val="94"/>
              </w:rPr>
              <w:t>Treasury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02"/>
              <w:spacing w:after="0" w:line="149" w:lineRule="exact"/>
              <w:rPr>
                <w:sz w:val="20"/>
                <w:szCs w:val="20"/>
                <w:color w:val="auto"/>
              </w:rPr>
            </w:pPr>
            <w:r>
              <w:rPr>
                <w:rFonts w:ascii="Arial" w:cs="Arial" w:eastAsia="Arial" w:hAnsi="Arial"/>
                <w:sz w:val="14"/>
                <w:szCs w:val="14"/>
                <w:color w:val="auto"/>
              </w:rPr>
              <w:t>controlling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Issued</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w w:val="87"/>
              </w:rPr>
              <w:t>Par Value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w w:val="91"/>
              </w:rPr>
              <w:t>Par Value</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w w:val="97"/>
              </w:rPr>
              <w:t>Earnings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color w:val="auto"/>
                <w:w w:val="95"/>
              </w:rPr>
              <w:t>Income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89"/>
              </w:rPr>
              <w:t>Interests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6"/>
        </w:trPr>
        <w:tc>
          <w:tcPr>
            <w:tcW w:w="304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 January 1, 2019</w:t>
            </w:r>
          </w:p>
        </w:tc>
        <w:tc>
          <w:tcPr>
            <w:tcW w:w="1040" w:type="dxa"/>
            <w:vAlign w:val="bottom"/>
            <w:shd w:val="clear" w:color="auto" w:fill="CFF0FC"/>
          </w:tcPr>
          <w:p>
            <w:pPr>
              <w:jc w:val="right"/>
              <w:ind w:right="41"/>
              <w:spacing w:after="0" w:line="146" w:lineRule="exact"/>
              <w:rPr>
                <w:sz w:val="20"/>
                <w:szCs w:val="20"/>
                <w:color w:val="auto"/>
              </w:rPr>
            </w:pPr>
            <w:r>
              <w:rPr>
                <w:rFonts w:ascii="Arial" w:cs="Arial" w:eastAsia="Arial" w:hAnsi="Arial"/>
                <w:sz w:val="16"/>
                <w:szCs w:val="16"/>
                <w:color w:val="auto"/>
              </w:rPr>
              <w:t>116,795,89</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vMerge w:val="restart"/>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3,337.5</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3,157.7</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color w:val="auto"/>
              </w:rPr>
              <w:t>(399.8 )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(3,471.7 )</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ind w:right="22"/>
              <w:spacing w:after="0"/>
              <w:rPr>
                <w:sz w:val="20"/>
                <w:szCs w:val="20"/>
                <w:color w:val="auto"/>
              </w:rPr>
            </w:pPr>
            <w:r>
              <w:rPr>
                <w:rFonts w:ascii="Arial" w:cs="Arial" w:eastAsia="Arial" w:hAnsi="Arial"/>
                <w:sz w:val="16"/>
                <w:szCs w:val="16"/>
                <w:color w:val="auto"/>
              </w:rPr>
              <w:t>73.6</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2,698.5</w:t>
            </w:r>
          </w:p>
        </w:tc>
        <w:tc>
          <w:tcPr>
            <w:tcW w:w="0" w:type="dxa"/>
            <w:vAlign w:val="bottom"/>
          </w:tcPr>
          <w:p>
            <w:pPr>
              <w:spacing w:after="0"/>
              <w:rPr>
                <w:sz w:val="1"/>
                <w:szCs w:val="1"/>
                <w:color w:val="auto"/>
              </w:rPr>
            </w:pPr>
          </w:p>
        </w:tc>
      </w:tr>
      <w:tr>
        <w:trPr>
          <w:trHeight w:val="199"/>
        </w:trPr>
        <w:tc>
          <w:tcPr>
            <w:tcW w:w="3040" w:type="dxa"/>
            <w:vAlign w:val="bottom"/>
            <w:vMerge w:val="continue"/>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w:t>
            </w:r>
          </w:p>
        </w:tc>
        <w:tc>
          <w:tcPr>
            <w:tcW w:w="200" w:type="dxa"/>
            <w:vAlign w:val="bottom"/>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280" w:type="dxa"/>
            <w:vAlign w:val="bottom"/>
            <w:gridSpan w:val="2"/>
            <w:vMerge w:val="continue"/>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465.7</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465.7</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loss</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(41.2 )</w:t>
            </w: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(41.2 )</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Issuances under equity plans</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394,984</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26.3</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Dividends ($2.18 per share)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(129.3 )</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(129.3 )</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Repurchases of common stock</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(203.0 )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(203.0 )</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(55.1 )</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(55.3 )</w:t>
            </w:r>
          </w:p>
        </w:tc>
        <w:tc>
          <w:tcPr>
            <w:tcW w:w="0" w:type="dxa"/>
            <w:vAlign w:val="bottom"/>
          </w:tcPr>
          <w:p>
            <w:pPr>
              <w:spacing w:after="0"/>
              <w:rPr>
                <w:sz w:val="1"/>
                <w:szCs w:val="1"/>
                <w:color w:val="auto"/>
              </w:rPr>
            </w:pPr>
          </w:p>
        </w:tc>
      </w:tr>
      <w:tr>
        <w:trPr>
          <w:trHeight w:val="146"/>
        </w:trPr>
        <w:tc>
          <w:tcPr>
            <w:tcW w:w="304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 December 31, 2019</w:t>
            </w:r>
          </w:p>
        </w:tc>
        <w:tc>
          <w:tcPr>
            <w:tcW w:w="1040" w:type="dxa"/>
            <w:vAlign w:val="bottom"/>
            <w:shd w:val="clear" w:color="auto" w:fill="CFF0FC"/>
          </w:tcPr>
          <w:p>
            <w:pPr>
              <w:jc w:val="right"/>
              <w:ind w:right="41"/>
              <w:spacing w:after="0" w:line="146" w:lineRule="exact"/>
              <w:rPr>
                <w:sz w:val="20"/>
                <w:szCs w:val="20"/>
                <w:color w:val="auto"/>
              </w:rPr>
            </w:pPr>
            <w:r>
              <w:rPr>
                <w:rFonts w:ascii="Arial" w:cs="Arial" w:eastAsia="Arial" w:hAnsi="Arial"/>
                <w:sz w:val="16"/>
                <w:szCs w:val="16"/>
                <w:color w:val="auto"/>
              </w:rPr>
              <w:t>117,190,88</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3,370.6</w:t>
            </w:r>
          </w:p>
        </w:tc>
        <w:tc>
          <w:tcPr>
            <w:tcW w:w="18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3,494.1</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color w:val="auto"/>
              </w:rPr>
              <w:t>(441.0 )</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(3,681.9 )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2"/>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2,761.5</w:t>
            </w:r>
          </w:p>
        </w:tc>
        <w:tc>
          <w:tcPr>
            <w:tcW w:w="0" w:type="dxa"/>
            <w:vAlign w:val="bottom"/>
          </w:tcPr>
          <w:p>
            <w:pPr>
              <w:spacing w:after="0"/>
              <w:rPr>
                <w:sz w:val="1"/>
                <w:szCs w:val="1"/>
                <w:color w:val="auto"/>
              </w:rPr>
            </w:pPr>
          </w:p>
        </w:tc>
      </w:tr>
      <w:tr>
        <w:trPr>
          <w:trHeight w:val="199"/>
        </w:trPr>
        <w:tc>
          <w:tcPr>
            <w:tcW w:w="3040" w:type="dxa"/>
            <w:vAlign w:val="bottom"/>
            <w:vMerge w:val="continue"/>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23.8</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gain</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43.7</w:t>
            </w: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Issuances under equity plans</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365,108</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24.2</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Dividends ($2.26 per share)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(129.1 )</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(129.1 )</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Repurchases of common stock</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(264.7 )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(264.7 )</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146"/>
        </w:trPr>
        <w:tc>
          <w:tcPr>
            <w:tcW w:w="304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 December 31, 2020</w:t>
            </w:r>
          </w:p>
        </w:tc>
        <w:tc>
          <w:tcPr>
            <w:tcW w:w="1040" w:type="dxa"/>
            <w:vAlign w:val="bottom"/>
            <w:shd w:val="clear" w:color="auto" w:fill="CFF0FC"/>
          </w:tcPr>
          <w:p>
            <w:pPr>
              <w:jc w:val="right"/>
              <w:ind w:right="41"/>
              <w:spacing w:after="0" w:line="146" w:lineRule="exact"/>
              <w:rPr>
                <w:sz w:val="20"/>
                <w:szCs w:val="20"/>
                <w:color w:val="auto"/>
              </w:rPr>
            </w:pPr>
            <w:r>
              <w:rPr>
                <w:rFonts w:ascii="Arial" w:cs="Arial" w:eastAsia="Arial" w:hAnsi="Arial"/>
                <w:sz w:val="16"/>
                <w:szCs w:val="16"/>
                <w:color w:val="auto"/>
              </w:rPr>
              <w:t>117,555,99</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3,402.5</w:t>
            </w:r>
          </w:p>
        </w:tc>
        <w:tc>
          <w:tcPr>
            <w:tcW w:w="18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3,388.8</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color w:val="auto"/>
              </w:rPr>
              <w:t>(397.3 )</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(3,954.2 )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2"/>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2,453.6</w:t>
            </w:r>
          </w:p>
        </w:tc>
        <w:tc>
          <w:tcPr>
            <w:tcW w:w="0" w:type="dxa"/>
            <w:vAlign w:val="bottom"/>
          </w:tcPr>
          <w:p>
            <w:pPr>
              <w:spacing w:after="0"/>
              <w:rPr>
                <w:sz w:val="1"/>
                <w:szCs w:val="1"/>
                <w:color w:val="auto"/>
              </w:rPr>
            </w:pPr>
          </w:p>
        </w:tc>
      </w:tr>
      <w:tr>
        <w:trPr>
          <w:trHeight w:val="199"/>
        </w:trPr>
        <w:tc>
          <w:tcPr>
            <w:tcW w:w="3040" w:type="dxa"/>
            <w:vAlign w:val="bottom"/>
            <w:vMerge w:val="continue"/>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382.4</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gain</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7.9</w:t>
            </w: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Issuances under equity plans</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206,074</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36.8</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89"/>
        </w:trPr>
        <w:tc>
          <w:tcPr>
            <w:tcW w:w="3040" w:type="dxa"/>
            <w:vAlign w:val="bottom"/>
          </w:tcPr>
          <w:p>
            <w:pPr>
              <w:ind w:left="120"/>
              <w:spacing w:after="0"/>
              <w:rPr>
                <w:sz w:val="20"/>
                <w:szCs w:val="20"/>
                <w:color w:val="auto"/>
              </w:rPr>
            </w:pPr>
            <w:r>
              <w:rPr>
                <w:rFonts w:ascii="Arial" w:cs="Arial" w:eastAsia="Arial" w:hAnsi="Arial"/>
                <w:sz w:val="16"/>
                <w:szCs w:val="16"/>
                <w:color w:val="auto"/>
              </w:rPr>
              <w:t>Dividends ($2.52 per share)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(136.6 )</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(136.6 )</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Repurchases of common stock</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(210.0 )</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146"/>
        </w:trPr>
        <w:tc>
          <w:tcPr>
            <w:tcW w:w="304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 December 31, 2021</w:t>
            </w:r>
          </w:p>
        </w:tc>
        <w:tc>
          <w:tcPr>
            <w:tcW w:w="1040" w:type="dxa"/>
            <w:vAlign w:val="bottom"/>
            <w:shd w:val="clear" w:color="auto" w:fill="CFF0FC"/>
          </w:tcPr>
          <w:p>
            <w:pPr>
              <w:jc w:val="right"/>
              <w:ind w:right="41"/>
              <w:spacing w:after="0" w:line="146" w:lineRule="exact"/>
              <w:rPr>
                <w:sz w:val="20"/>
                <w:szCs w:val="20"/>
                <w:color w:val="auto"/>
              </w:rPr>
            </w:pPr>
            <w:r>
              <w:rPr>
                <w:rFonts w:ascii="Arial" w:cs="Arial" w:eastAsia="Arial" w:hAnsi="Arial"/>
                <w:sz w:val="16"/>
                <w:szCs w:val="16"/>
                <w:color w:val="auto"/>
              </w:rPr>
              <w:t>117,762,06</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vMerge w:val="restart"/>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3,444.7</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rPr>
              <w:t>3,634.6</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color w:val="auto"/>
              </w:rPr>
              <w:t>(389.4 )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(4,169.4 )</w:t>
            </w:r>
          </w:p>
        </w:tc>
        <w:tc>
          <w:tcPr>
            <w:tcW w:w="12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FF0FC"/>
          </w:tcPr>
          <w:p>
            <w:pPr>
              <w:jc w:val="right"/>
              <w:ind w:right="22"/>
              <w:spacing w:after="0"/>
              <w:rPr>
                <w:sz w:val="20"/>
                <w:szCs w:val="20"/>
                <w:color w:val="auto"/>
              </w:rPr>
            </w:pPr>
            <w:r>
              <w:rPr>
                <w:rFonts w:ascii="Arial" w:cs="Arial" w:eastAsia="Arial" w:hAnsi="Arial"/>
                <w:sz w:val="16"/>
                <w:szCs w:val="16"/>
                <w:color w:val="auto"/>
              </w:rPr>
              <w:t>10.0</w:t>
            </w:r>
          </w:p>
        </w:tc>
        <w:tc>
          <w:tcPr>
            <w:tcW w:w="100" w:type="dxa"/>
            <w:vAlign w:val="bottom"/>
            <w:vMerge w:val="restart"/>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2,531.7</w:t>
            </w:r>
          </w:p>
        </w:tc>
        <w:tc>
          <w:tcPr>
            <w:tcW w:w="0" w:type="dxa"/>
            <w:vAlign w:val="bottom"/>
          </w:tcPr>
          <w:p>
            <w:pPr>
              <w:spacing w:after="0"/>
              <w:rPr>
                <w:sz w:val="1"/>
                <w:szCs w:val="1"/>
                <w:color w:val="auto"/>
              </w:rPr>
            </w:pPr>
          </w:p>
        </w:tc>
      </w:tr>
      <w:tr>
        <w:trPr>
          <w:trHeight w:val="199"/>
        </w:trPr>
        <w:tc>
          <w:tcPr>
            <w:tcW w:w="3040" w:type="dxa"/>
            <w:vAlign w:val="bottom"/>
            <w:tcBorders>
              <w:bottom w:val="single" w:sz="8" w:color="auto"/>
            </w:tcBorders>
            <w:vMerge w:val="continue"/>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84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8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7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00" w:type="dxa"/>
            <w:vAlign w:val="bottom"/>
            <w:tcBorders>
              <w:bottom w:val="single" w:sz="8" w:color="auto"/>
            </w:tcBorders>
            <w:vMerge w:val="continue"/>
            <w:shd w:val="clear" w:color="auto" w:fill="CFF0FC"/>
          </w:tcPr>
          <w:p>
            <w:pPr>
              <w:spacing w:after="0"/>
              <w:rPr>
                <w:sz w:val="17"/>
                <w:szCs w:val="17"/>
                <w:color w:val="auto"/>
              </w:rPr>
            </w:pPr>
          </w:p>
        </w:tc>
        <w:tc>
          <w:tcPr>
            <w:tcW w:w="8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-5080</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-5080</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182" w:lineRule="exact"/>
        <w:rPr>
          <w:sz w:val="20"/>
          <w:szCs w:val="20"/>
          <w:color w:val="auto"/>
        </w:rPr>
      </w:pPr>
    </w:p>
    <w:p>
      <w:pPr>
        <w:ind w:left="440" w:hanging="37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ManpowerGroup Inc. is a world leader in the innovative workforce solutions and services industry. Our global network of over 2,200 offices in 75 countries and territories allows us to meet the needs of our global, multinational and local clients across all major industry segments. Our largest operations, based on revenues, are located in France, the United States, the United Kingdom and Italy.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global spread of COVID-19, which was declared a global pandemic by the World Health Organization in March 2020, has created significant volatility, uncertainty and global macroeconomic disruption. The COVID-19 crisis began to negatively impact our business, operations and consolidated financial statements during the last two weeks of March 2020, with significant lockdown measures implemented by the end of March 2020 in our main markets in Europe and North America, as well as in certain other countries. We continued to experience the negative impacts of the COVID-19 crisis in 2021, particularly related to the impact on supply chains and labor shortages as we believe certain parts of the workforce did not return to the labor market in many industries and markets over concerns about the COVID -19 Delta and Omicron variants. Although many markets strengthened throughout 2021, the COVID-19 crisis had an adverse effect of curtailing economic activity in certain markets, affecting demand for our services. Continued uncertainty remains as to the future impact of the pandemic on global and local economies.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continue to monitor and assess the impacts that the COVID-19 pandemic may have on our financial condition, liquidity and future results of operations. However, we cannot predict with certainty what the impact will be on future periods. For further information on the impacts of COVID-19 on our business, operations and financial results, see Part I, Item 2: Management’s Discussion and Analysis of Financial Condition and Results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Basis of Consolidation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$114.2 and $106.6 as of December 31, 2021 and 2020, respectively, and are included in other assets in the Consolidated Balance Sheets. Included in shareholders’ equity as of December 31, 2021 and 2020 are $11.8 and $8.0, respectively, of unremitted earnings from investments accounted for using the equity method. The amounts relate to accounting for our remaining interest in ManpowerGroup Greater China under the equity method subsequent to deconsolidation (see Note 4 for further information). All significant intercompany accounts and transactions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recognize revenues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performance obligation is a promise in a contract to transfer a distinct service to the client, and it is the unit of account in the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0" w:name="page61"/>
    <w:bookmarkEnd w:id="60"/>
    <w:p>
      <w:pPr>
        <w:jc w:val="both"/>
        <w:ind w:right="20"/>
        <w:spacing w:after="0" w:line="243" w:lineRule="auto"/>
        <w:rPr>
          <w:sz w:val="20"/>
          <w:szCs w:val="20"/>
          <w:color w:val="auto"/>
        </w:rPr>
      </w:pPr>
      <w:r>
        <w:rPr>
          <w:rFonts w:ascii="Arial" w:cs="Arial" w:eastAsia="Arial" w:hAnsi="Arial"/>
          <w:sz w:val="18"/>
          <w:szCs w:val="18"/>
          <w:color w:val="auto"/>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allowed under the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2021 related to remaining performance obligations, which are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deferred revenue was $34.8 and $34.9 as of December 31, 2021 and 2020, respectively. We recognized the entire amount of the deferred revenue balance as of December 31, 2020 as revenue during the year ended December 31, 2021. We expect to recognize the entire amount of deferred revenue balance as of December 31, 2021 as revenue in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market conditions and a specific review for potential bad debts. Items that affect this balance mainly include bad debt expense and the write-off of accounts receivable balances.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Provisions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restart"/>
          </w:tcPr>
          <w:p>
            <w:pPr>
              <w:jc w:val="center"/>
              <w:ind w:right="390"/>
              <w:spacing w:after="0"/>
              <w:rPr>
                <w:sz w:val="20"/>
                <w:szCs w:val="20"/>
                <w:color w:val="auto"/>
              </w:rPr>
            </w:pPr>
            <w:r>
              <w:rPr>
                <w:rFonts w:ascii="Arial" w:cs="Arial" w:eastAsia="Arial" w:hAnsi="Arial"/>
                <w:sz w:val="14"/>
                <w:szCs w:val="14"/>
                <w:b w:val="1"/>
                <w:bCs w:val="1"/>
                <w:color w:val="auto"/>
                <w:w w:val="95"/>
              </w:rPr>
              <w:t>Translation</w:t>
            </w:r>
          </w:p>
        </w:tc>
        <w:tc>
          <w:tcPr>
            <w:tcW w:w="1680" w:type="dxa"/>
            <w:vAlign w:val="bottom"/>
            <w:gridSpan w:val="3"/>
            <w:vMerge w:val="restart"/>
          </w:tcPr>
          <w:p>
            <w:pPr>
              <w:jc w:val="center"/>
              <w:ind w:right="490"/>
              <w:spacing w:after="0"/>
              <w:rPr>
                <w:sz w:val="20"/>
                <w:szCs w:val="20"/>
                <w:color w:val="auto"/>
              </w:rPr>
            </w:pPr>
            <w:r>
              <w:rPr>
                <w:rFonts w:ascii="Arial" w:cs="Arial" w:eastAsia="Arial" w:hAnsi="Arial"/>
                <w:sz w:val="14"/>
                <w:szCs w:val="14"/>
                <w:b w:val="1"/>
                <w:bCs w:val="1"/>
                <w:color w:val="auto"/>
                <w:w w:val="89"/>
              </w:rPr>
              <w:t>Reclassifications</w:t>
            </w:r>
          </w:p>
        </w:tc>
        <w:tc>
          <w:tcPr>
            <w:tcW w:w="94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Charged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9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219"/>
              <w:spacing w:after="0"/>
              <w:rPr>
                <w:sz w:val="20"/>
                <w:szCs w:val="20"/>
                <w:color w:val="auto"/>
              </w:rPr>
            </w:pPr>
            <w:r>
              <w:rPr>
                <w:rFonts w:ascii="Arial" w:cs="Arial" w:eastAsia="Arial" w:hAnsi="Arial"/>
                <w:sz w:val="14"/>
                <w:szCs w:val="14"/>
                <w:b w:val="1"/>
                <w:bCs w:val="1"/>
                <w:color w:val="auto"/>
                <w:w w:val="96"/>
              </w:rPr>
              <w:t>of Year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1"/>
              </w:rPr>
              <w:t>Adjustments</w:t>
            </w:r>
          </w:p>
        </w:tc>
        <w:tc>
          <w:tcPr>
            <w:tcW w:w="1680" w:type="dxa"/>
            <w:vAlign w:val="bottom"/>
            <w:gridSpan w:val="3"/>
          </w:tcPr>
          <w:p>
            <w:pPr>
              <w:jc w:val="center"/>
              <w:ind w:right="490"/>
              <w:spacing w:after="0"/>
              <w:rPr>
                <w:sz w:val="20"/>
                <w:szCs w:val="20"/>
                <w:color w:val="auto"/>
              </w:rPr>
            </w:pPr>
            <w:r>
              <w:rPr>
                <w:rFonts w:ascii="Arial" w:cs="Arial" w:eastAsia="Arial" w:hAnsi="Arial"/>
                <w:sz w:val="14"/>
                <w:szCs w:val="14"/>
                <w:b w:val="1"/>
                <w:bCs w:val="1"/>
                <w:color w:val="auto"/>
                <w:w w:val="93"/>
              </w:rPr>
              <w:t>and Other</w:t>
            </w:r>
          </w:p>
        </w:tc>
        <w:tc>
          <w:tcPr>
            <w:tcW w:w="94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jc w:val="right"/>
              <w:ind w:right="1550"/>
              <w:spacing w:after="0" w:line="196" w:lineRule="exact"/>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(17.7 )</w:t>
            </w: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(6.5 )</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(0.2 )</w:t>
            </w: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3"/>
        </w:trPr>
        <w:tc>
          <w:tcPr>
            <w:tcW w:w="3500" w:type="dxa"/>
            <w:vAlign w:val="bottom"/>
          </w:tcPr>
          <w:p>
            <w:pPr>
              <w:jc w:val="right"/>
              <w:ind w:right="1550"/>
              <w:spacing w:after="0" w:line="202" w:lineRule="exact"/>
              <w:rPr>
                <w:sz w:val="20"/>
                <w:szCs w:val="20"/>
                <w:color w:val="auto"/>
              </w:rPr>
            </w:pPr>
            <w:r>
              <w:rPr>
                <w:rFonts w:ascii="Arial" w:cs="Arial" w:eastAsia="Arial" w:hAnsi="Arial"/>
                <w:sz w:val="18"/>
                <w:szCs w:val="18"/>
                <w:color w:val="auto"/>
              </w:rPr>
              <w:t>2020</w:t>
            </w:r>
          </w:p>
        </w:tc>
        <w:tc>
          <w:tcPr>
            <w:tcW w:w="160" w:type="dxa"/>
            <w:vAlign w:val="bottom"/>
          </w:tcPr>
          <w:p>
            <w:pPr>
              <w:spacing w:after="0"/>
              <w:rPr>
                <w:sz w:val="17"/>
                <w:szCs w:val="17"/>
                <w:color w:val="auto"/>
              </w:rPr>
            </w:pPr>
          </w:p>
        </w:tc>
        <w:tc>
          <w:tcPr>
            <w:tcW w:w="1040" w:type="dxa"/>
            <w:vAlign w:val="bottom"/>
          </w:tcPr>
          <w:p>
            <w:pPr>
              <w:jc w:val="right"/>
              <w:ind w:right="59"/>
              <w:spacing w:after="0" w:line="202" w:lineRule="exact"/>
              <w:rPr>
                <w:sz w:val="20"/>
                <w:szCs w:val="20"/>
                <w:color w:val="auto"/>
              </w:rPr>
            </w:pPr>
            <w:r>
              <w:rPr>
                <w:rFonts w:ascii="Arial" w:cs="Arial" w:eastAsia="Arial" w:hAnsi="Arial"/>
                <w:sz w:val="18"/>
                <w:szCs w:val="18"/>
                <w:color w:val="auto"/>
              </w:rPr>
              <w:t>113.5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59"/>
              <w:spacing w:after="0" w:line="202" w:lineRule="exact"/>
              <w:rPr>
                <w:sz w:val="20"/>
                <w:szCs w:val="20"/>
                <w:color w:val="auto"/>
              </w:rPr>
            </w:pPr>
            <w:r>
              <w:rPr>
                <w:rFonts w:ascii="Arial" w:cs="Arial" w:eastAsia="Arial" w:hAnsi="Arial"/>
                <w:sz w:val="18"/>
                <w:szCs w:val="18"/>
                <w:color w:val="auto"/>
              </w:rPr>
              <w:t>20.3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(17.8 )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jc w:val="right"/>
              <w:ind w:right="1550"/>
              <w:spacing w:after="0" w:line="202" w:lineRule="exact"/>
              <w:rPr>
                <w:sz w:val="20"/>
                <w:szCs w:val="20"/>
                <w:color w:val="auto"/>
              </w:rPr>
            </w:pPr>
            <w:r>
              <w:rPr>
                <w:rFonts w:ascii="Arial" w:cs="Arial" w:eastAsia="Arial" w:hAnsi="Arial"/>
                <w:sz w:val="18"/>
                <w:szCs w:val="18"/>
                <w:color w:val="auto"/>
              </w:rPr>
              <w:t>2019</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115.7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(19.1 )</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97"/>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Bad debt expense is recorded as selling and administrative expenses in our Consolidated Statements of Operations.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Advertising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expense production costs of advertising as they are incurred. Advertising expenses were $28.1, $22.2, and $25.7 in 2021, 2020 and 2019,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recorded net restructuring costs of $15.2, $110.7 and $42.0 in 2021, 2020 and 2019, respectively, in selling and administrative expenses, primarily related to severances and office closures and consolidations in multiple countries and territories. As a result of the adoption of the new accounting guidance on leases as of January 1, 2019, the office closure costs of $27.3 during 2020 were recorded as an impairment to the operating lease right-of-use asset and, thus, are not included in the restructuring reserve balance as of December 31, 2020. The costs paid, utilized or transferred out of our restructuring reserve were $38.0 and $71.9 in 2021 and 2020, respectively. We expect a majority of the remaining $23.3 reserve will be paid by the end of 2022.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w w:val="90"/>
              </w:rPr>
              <w:t>Americas</w:t>
            </w:r>
            <w:r>
              <w:rPr>
                <w:rFonts w:ascii="Arial" w:cs="Arial" w:eastAsia="Arial" w:hAnsi="Arial"/>
                <w:sz w:val="24"/>
                <w:szCs w:val="24"/>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98"/>
              </w:rPr>
              <w:t>Southern</w:t>
            </w:r>
          </w:p>
        </w:tc>
        <w:tc>
          <w:tcPr>
            <w:tcW w:w="24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w w:val="99"/>
              </w:rPr>
              <w:t>Northern</w:t>
            </w:r>
          </w:p>
        </w:tc>
        <w:tc>
          <w:tcPr>
            <w:tcW w:w="220" w:type="dxa"/>
            <w:vAlign w:val="bottom"/>
          </w:tcPr>
          <w:p>
            <w:pPr>
              <w:spacing w:after="0"/>
              <w:rPr>
                <w:sz w:val="17"/>
                <w:szCs w:val="17"/>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auto"/>
              </w:rPr>
              <w:t>APME</w:t>
            </w:r>
          </w:p>
        </w:tc>
        <w:tc>
          <w:tcPr>
            <w:tcW w:w="200" w:type="dxa"/>
            <w:vAlign w:val="bottom"/>
          </w:tcPr>
          <w:p>
            <w:pPr>
              <w:spacing w:after="0"/>
              <w:rPr>
                <w:sz w:val="17"/>
                <w:szCs w:val="17"/>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w w:val="92"/>
              </w:rPr>
              <w:t>Corporate</w:t>
            </w:r>
          </w:p>
        </w:tc>
        <w:tc>
          <w:tcPr>
            <w:tcW w:w="380" w:type="dxa"/>
            <w:vAlign w:val="bottom"/>
          </w:tcPr>
          <w:p>
            <w:pPr>
              <w:spacing w:after="0"/>
              <w:rPr>
                <w:sz w:val="17"/>
                <w:szCs w:val="17"/>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line="216" w:lineRule="exact"/>
              <w:rPr>
                <w:sz w:val="20"/>
                <w:szCs w:val="20"/>
                <w:color w:val="auto"/>
              </w:rPr>
            </w:pPr>
            <w:r>
              <w:rPr>
                <w:rFonts w:ascii="Arial" w:cs="Arial" w:eastAsia="Arial" w:hAnsi="Arial"/>
                <w:sz w:val="18"/>
                <w:szCs w:val="18"/>
                <w:color w:val="auto"/>
                <w:w w:val="92"/>
              </w:rPr>
              <w:t>Europe</w:t>
            </w:r>
            <w:r>
              <w:rPr>
                <w:rFonts w:ascii="Arial" w:cs="Arial" w:eastAsia="Arial" w:hAnsi="Arial"/>
                <w:sz w:val="24"/>
                <w:szCs w:val="24"/>
                <w:color w:val="auto"/>
                <w:w w:val="92"/>
                <w:vertAlign w:val="superscript"/>
              </w:rPr>
              <w:t>(2)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2019</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3720" w:type="dxa"/>
            <w:vAlign w:val="bottom"/>
          </w:tcPr>
          <w:p>
            <w:pPr>
              <w:ind w:left="120"/>
              <w:spacing w:after="0" w:line="202" w:lineRule="exact"/>
              <w:rPr>
                <w:sz w:val="20"/>
                <w:szCs w:val="20"/>
                <w:color w:val="auto"/>
              </w:rPr>
            </w:pPr>
            <w:r>
              <w:rPr>
                <w:rFonts w:ascii="Arial" w:cs="Arial" w:eastAsia="Arial" w:hAnsi="Arial"/>
                <w:sz w:val="18"/>
                <w:szCs w:val="18"/>
                <w:color w:val="auto"/>
              </w:rPr>
              <w:t>Severance costs</w:t>
            </w:r>
          </w:p>
        </w:tc>
        <w:tc>
          <w:tcPr>
            <w:tcW w:w="106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5.5</w:t>
            </w:r>
          </w:p>
        </w:tc>
        <w:tc>
          <w:tcPr>
            <w:tcW w:w="260" w:type="dxa"/>
            <w:vAlign w:val="bottom"/>
          </w:tcPr>
          <w:p>
            <w:pPr>
              <w:spacing w:after="0"/>
              <w:rPr>
                <w:sz w:val="17"/>
                <w:szCs w:val="17"/>
                <w:color w:val="auto"/>
              </w:rPr>
            </w:pP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16.2</w:t>
            </w:r>
          </w:p>
        </w:tc>
        <w:tc>
          <w:tcPr>
            <w:tcW w:w="240" w:type="dxa"/>
            <w:vAlign w:val="bottom"/>
          </w:tcPr>
          <w:p>
            <w:pPr>
              <w:spacing w:after="0"/>
              <w:rPr>
                <w:sz w:val="17"/>
                <w:szCs w:val="17"/>
                <w:color w:val="auto"/>
              </w:rPr>
            </w:pPr>
          </w:p>
        </w:tc>
        <w:tc>
          <w:tcPr>
            <w:tcW w:w="8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49.8</w:t>
            </w:r>
          </w:p>
        </w:tc>
        <w:tc>
          <w:tcPr>
            <w:tcW w:w="220" w:type="dxa"/>
            <w:vAlign w:val="bottom"/>
          </w:tcPr>
          <w:p>
            <w:pPr>
              <w:spacing w:after="0"/>
              <w:rPr>
                <w:sz w:val="17"/>
                <w:szCs w:val="17"/>
                <w:color w:val="auto"/>
              </w:rPr>
            </w:pPr>
          </w:p>
        </w:tc>
        <w:tc>
          <w:tcPr>
            <w:tcW w:w="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9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0.2</w:t>
            </w:r>
          </w:p>
        </w:tc>
        <w:tc>
          <w:tcPr>
            <w:tcW w:w="38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Office closure costs</w:t>
            </w:r>
          </w:p>
        </w:tc>
        <w:tc>
          <w:tcPr>
            <w:tcW w:w="10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19.6</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3"/>
        </w:trPr>
        <w:tc>
          <w:tcPr>
            <w:tcW w:w="3720" w:type="dxa"/>
            <w:vAlign w:val="bottom"/>
          </w:tcPr>
          <w:p>
            <w:pPr>
              <w:ind w:left="120"/>
              <w:spacing w:after="0" w:line="202" w:lineRule="exact"/>
              <w:rPr>
                <w:sz w:val="20"/>
                <w:szCs w:val="20"/>
                <w:color w:val="auto"/>
              </w:rPr>
            </w:pPr>
            <w:r>
              <w:rPr>
                <w:rFonts w:ascii="Arial" w:cs="Arial" w:eastAsia="Arial" w:hAnsi="Arial"/>
                <w:sz w:val="18"/>
                <w:szCs w:val="18"/>
                <w:color w:val="auto"/>
              </w:rPr>
              <w:t>Other costs</w:t>
            </w:r>
          </w:p>
        </w:tc>
        <w:tc>
          <w:tcPr>
            <w:tcW w:w="106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8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0.5</w:t>
            </w:r>
          </w:p>
        </w:tc>
        <w:tc>
          <w:tcPr>
            <w:tcW w:w="220" w:type="dxa"/>
            <w:vAlign w:val="bottom"/>
          </w:tcPr>
          <w:p>
            <w:pPr>
              <w:spacing w:after="0"/>
              <w:rPr>
                <w:sz w:val="17"/>
                <w:szCs w:val="17"/>
                <w:color w:val="auto"/>
              </w:rPr>
            </w:pPr>
          </w:p>
        </w:tc>
        <w:tc>
          <w:tcPr>
            <w:tcW w:w="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9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Costs paid, utilized or transferred out</w:t>
            </w:r>
          </w:p>
        </w:tc>
        <w:tc>
          <w:tcPr>
            <w:tcW w:w="10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(28.0 )</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(21.7 )</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(17.9 )</w:t>
            </w:r>
          </w:p>
        </w:tc>
        <w:tc>
          <w:tcPr>
            <w:tcW w:w="2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(4.1 )</w:t>
            </w: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(0.2 )</w:t>
            </w:r>
          </w:p>
        </w:tc>
        <w:tc>
          <w:tcPr>
            <w:tcW w:w="3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(71.9 )</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Balance, December 31, 2020</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40.7</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196"/>
        </w:trPr>
        <w:tc>
          <w:tcPr>
            <w:tcW w:w="37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Severance costs</w:t>
            </w:r>
          </w:p>
        </w:tc>
        <w:tc>
          <w:tcPr>
            <w:tcW w:w="10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Costs paid or utilized</w:t>
            </w: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(6.1 )</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(2.7 )</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(29.2 )</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0.8</w:t>
            </w:r>
          </w:p>
        </w:tc>
        <w:tc>
          <w:tcPr>
            <w:tcW w:w="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21.5</w:t>
            </w: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380" w:hanging="372"/>
        <w:spacing w:after="0" w:line="243"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Balance related to United States was $0.3 as of December 31, 2019. In 2020, United States incurred $3.8 for severance costs, $17.8 for office closure costs and $4.2 for other costs, and paid/utilized $24.7, leaving a $1.4 liability as of December 31, 2020. In 2021, United States paid/utilized $1.2, leaving a $0.2 liability as of December 31, 2021.</w:t>
      </w:r>
    </w:p>
    <w:p>
      <w:pPr>
        <w:spacing w:after="0" w:line="8" w:lineRule="exact"/>
        <w:rPr>
          <w:rFonts w:ascii="Arial" w:cs="Arial" w:eastAsia="Arial" w:hAnsi="Arial"/>
          <w:sz w:val="16"/>
          <w:szCs w:val="16"/>
          <w:color w:val="auto"/>
        </w:rPr>
      </w:pPr>
    </w:p>
    <w:p>
      <w:pPr>
        <w:jc w:val="both"/>
        <w:ind w:left="380" w:hanging="372"/>
        <w:spacing w:after="0" w:line="238"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France had no liability as of December 31, 2019. In 2020, France incurred $2.6 for office closure costs and $1.2 for other costs, and paid/utilized $3.2, leaving a $0.6 liability as of December 31, 2020 and 2021. Balance related to Italy was $0.3 as of December 31, 2019. In 2020, Italy incurred $1.9 for severance costs and $0.5 for office closure costs, and paid/utilized $2.3, leaving a $1.4 liability as of December 31, 2020. In 2021, Italy paid/utilized $1.1, leaving a $0.3 liability as of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measured and recorded at fair value on a recurring basis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Fair Value Measurements Using</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Fair Value Measurements Using</w:t>
            </w:r>
          </w:p>
        </w:tc>
      </w:tr>
      <w:tr>
        <w:trPr>
          <w:trHeight w:val="137"/>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48"/>
              <w:spacing w:after="0" w:line="137" w:lineRule="exact"/>
              <w:rPr>
                <w:sz w:val="20"/>
                <w:szCs w:val="20"/>
                <w:color w:val="auto"/>
              </w:rPr>
            </w:pPr>
            <w:r>
              <w:rPr>
                <w:rFonts w:ascii="Arial" w:cs="Arial" w:eastAsia="Arial" w:hAnsi="Arial"/>
                <w:sz w:val="14"/>
                <w:szCs w:val="14"/>
                <w:color w:val="auto"/>
                <w:w w:val="90"/>
              </w:rPr>
              <w:t>Quoted Prices</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48"/>
              <w:spacing w:after="0" w:line="137" w:lineRule="exact"/>
              <w:rPr>
                <w:sz w:val="20"/>
                <w:szCs w:val="20"/>
                <w:color w:val="auto"/>
              </w:rPr>
            </w:pPr>
            <w:r>
              <w:rPr>
                <w:rFonts w:ascii="Arial" w:cs="Arial" w:eastAsia="Arial" w:hAnsi="Arial"/>
                <w:sz w:val="14"/>
                <w:szCs w:val="14"/>
                <w:color w:val="auto"/>
                <w:w w:val="96"/>
              </w:rPr>
              <w:t>Quoted Prices</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 Active</w:t>
            </w:r>
          </w:p>
        </w:tc>
        <w:tc>
          <w:tcPr>
            <w:tcW w:w="34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Significant</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 Active</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Significant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Markets for</w:t>
            </w:r>
          </w:p>
        </w:tc>
        <w:tc>
          <w:tcPr>
            <w:tcW w:w="34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Significant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Markets for</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Significant</w:t>
            </w: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Identical</w:t>
            </w:r>
          </w:p>
        </w:tc>
        <w:tc>
          <w:tcPr>
            <w:tcW w:w="34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Observable</w:t>
            </w:r>
          </w:p>
        </w:tc>
        <w:tc>
          <w:tcPr>
            <w:tcW w:w="24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7"/>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Identical</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w w:val="97"/>
              </w:rPr>
              <w:t>Unobservable</w:t>
            </w: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5"/>
              </w:rPr>
              <w:t>December 31,</w:t>
            </w:r>
          </w:p>
        </w:tc>
        <w:tc>
          <w:tcPr>
            <w:tcW w:w="22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Inputs</w:t>
            </w:r>
          </w:p>
        </w:tc>
        <w:tc>
          <w:tcPr>
            <w:tcW w:w="24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3"/>
              </w:rPr>
              <w:t>December 31,</w:t>
            </w:r>
          </w:p>
        </w:tc>
        <w:tc>
          <w:tcPr>
            <w:tcW w:w="24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Assets</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Inputs</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Inputs</w:t>
            </w:r>
          </w:p>
        </w:tc>
      </w:tr>
      <w:tr>
        <w:trPr>
          <w:trHeight w:val="181"/>
        </w:trPr>
        <w:tc>
          <w:tcPr>
            <w:tcW w:w="1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(Level 2)</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(Level 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(Level 2)</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r>
      <w:tr>
        <w:trPr>
          <w:trHeight w:val="169"/>
        </w:trPr>
        <w:tc>
          <w:tcPr>
            <w:tcW w:w="1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43"/>
        </w:trPr>
        <w:tc>
          <w:tcPr>
            <w:tcW w:w="1820" w:type="dxa"/>
            <w:vAlign w:val="bottom"/>
          </w:tcPr>
          <w:p>
            <w:pPr>
              <w:ind w:left="20"/>
              <w:spacing w:after="0" w:line="143" w:lineRule="exact"/>
              <w:rPr>
                <w:sz w:val="20"/>
                <w:szCs w:val="20"/>
                <w:color w:val="auto"/>
              </w:rPr>
            </w:pPr>
            <w:r>
              <w:rPr>
                <w:rFonts w:ascii="Arial" w:cs="Arial" w:eastAsia="Arial" w:hAnsi="Arial"/>
                <w:sz w:val="14"/>
                <w:szCs w:val="14"/>
                <w:color w:val="auto"/>
              </w:rPr>
              <w:t>Deferred compensation plan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1"/>
        </w:trPr>
        <w:tc>
          <w:tcPr>
            <w:tcW w:w="1820" w:type="dxa"/>
            <w:vAlign w:val="bottom"/>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138.0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138.0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119.4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119.4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Cross-currency swaps</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24.7</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24.7</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12.1</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12.1</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43"/>
        </w:trPr>
        <w:tc>
          <w:tcPr>
            <w:tcW w:w="18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forward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1"/>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contracts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18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162.7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138.0</w:t>
            </w:r>
          </w:p>
        </w:tc>
        <w:tc>
          <w:tcPr>
            <w:tcW w:w="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132.5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119.4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18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1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Cross-currency swaps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24.2</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30.5</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30.5</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43"/>
        </w:trPr>
        <w:tc>
          <w:tcPr>
            <w:tcW w:w="18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forward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1"/>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contracts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18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29.7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30.5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-561975</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-5080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determine the fair value of our deferred compensation plan assets, comprised of publicly traded securities, by using market quotes as of the last day of the period. The fair value of the cross-currency swaps and foreign currency forward contracts are measured at the value based on a third party valuation model that performs a discounted cash flow analysis based on the terms of the contracts and market observable inputs such as current and forward interest rates and current and forward foreign exchange rates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carrying values of cash and cash equivalents, accounts receivable, accounts payable, and other current assets and liabilities approximate their fair values because of the short-term nature of these instruments. The carrying value of our variable-rate long-term debt and revolving debt facility approximates fair value. The fair value of the Euro-denominated notes, as observable at commonly quoted intervals (Level 2 inputs), was $1,064.0 and $1,159.1 as of December 31, 2021 and 2020, respectively, compared to a carrying value of $1,019.6 and $1,094.5, respectively.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had goodwill, finite-lived intangible assets and indefinite-lived intangible assets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color w:val="auto"/>
                <w:w w:val="97"/>
              </w:rPr>
              <w:t>December 31, 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w w:val="94"/>
              </w:rPr>
              <w:t>December 31, 2020</w:t>
            </w: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spacing w:after="0" w:line="137" w:lineRule="exact"/>
              <w:rPr>
                <w:sz w:val="20"/>
                <w:szCs w:val="20"/>
                <w:color w:val="auto"/>
              </w:rPr>
            </w:pPr>
            <w:r>
              <w:rPr>
                <w:rFonts w:ascii="Arial" w:cs="Arial" w:eastAsia="Arial" w:hAnsi="Arial"/>
                <w:sz w:val="14"/>
                <w:szCs w:val="14"/>
                <w:color w:val="auto"/>
              </w:rPr>
              <w:t>Accumulated</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4"/>
                <w:szCs w:val="14"/>
                <w:color w:val="auto"/>
              </w:rPr>
              <w:t>Accumulated</w:t>
            </w: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Goodwill</w:t>
            </w:r>
            <w:r>
              <w:rPr>
                <w:rFonts w:ascii="Arial" w:cs="Arial" w:eastAsia="Arial" w:hAnsi="Arial"/>
                <w:sz w:val="24"/>
                <w:szCs w:val="24"/>
                <w:color w:val="auto"/>
                <w:vertAlign w:val="superscript"/>
              </w:rPr>
              <w:t>(1)</w:t>
            </w:r>
          </w:p>
        </w:tc>
        <w:tc>
          <w:tcPr>
            <w:tcW w:w="30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Gross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Amortization</w:t>
            </w:r>
          </w:p>
        </w:tc>
        <w:tc>
          <w:tcPr>
            <w:tcW w:w="4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Gross</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1,722.2</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15"/>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1,722.2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1,225.8</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15"/>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line="196" w:lineRule="exact"/>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Finite-lived:</w:t>
            </w: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300"/>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823.4</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421.6</w:t>
            </w:r>
          </w:p>
        </w:tc>
        <w:tc>
          <w:tcPr>
            <w:tcW w:w="4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401.8</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473.0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4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23.2</w:t>
            </w:r>
          </w:p>
        </w:tc>
        <w:tc>
          <w:tcPr>
            <w:tcW w:w="3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w:t>
            </w:r>
          </w:p>
        </w:tc>
        <w:tc>
          <w:tcPr>
            <w:tcW w:w="4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21.9</w:t>
            </w: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4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846.6</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441.3</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405.3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494.9</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425.4</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56"/>
        </w:trPr>
        <w:tc>
          <w:tcPr>
            <w:tcW w:w="3740" w:type="dxa"/>
            <w:vAlign w:val="bottom"/>
          </w:tcPr>
          <w:p>
            <w:pPr>
              <w:ind w:left="120"/>
              <w:spacing w:after="0" w:line="156" w:lineRule="exact"/>
              <w:rPr>
                <w:sz w:val="20"/>
                <w:szCs w:val="20"/>
                <w:color w:val="auto"/>
              </w:rPr>
            </w:pPr>
            <w:r>
              <w:rPr>
                <w:rFonts w:ascii="Arial" w:cs="Arial" w:eastAsia="Arial" w:hAnsi="Arial"/>
                <w:sz w:val="18"/>
                <w:szCs w:val="18"/>
                <w:color w:val="auto"/>
              </w:rPr>
              <w:t>Indefinite-lived:</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300"/>
              <w:spacing w:after="0" w:line="243" w:lineRule="exact"/>
              <w:rPr>
                <w:sz w:val="20"/>
                <w:szCs w:val="20"/>
                <w:color w:val="auto"/>
              </w:rPr>
            </w:pPr>
            <w:r>
              <w:rPr>
                <w:rFonts w:ascii="Arial" w:cs="Arial" w:eastAsia="Arial" w:hAnsi="Arial"/>
                <w:sz w:val="18"/>
                <w:szCs w:val="18"/>
                <w:color w:val="auto"/>
              </w:rPr>
              <w:t>Tradenames</w:t>
            </w:r>
            <w:r>
              <w:rPr>
                <w:rFonts w:ascii="Arial" w:cs="Arial" w:eastAsia="Arial" w:hAnsi="Arial"/>
                <w:sz w:val="24"/>
                <w:szCs w:val="24"/>
                <w:color w:val="auto"/>
                <w:vertAlign w:val="superscript"/>
              </w:rPr>
              <w:t>(2)</w:t>
            </w:r>
          </w:p>
        </w:tc>
        <w:tc>
          <w:tcPr>
            <w:tcW w:w="3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Reacquired franchise rights</w:t>
            </w: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126.3</w:t>
            </w:r>
          </w:p>
        </w:tc>
        <w:tc>
          <w:tcPr>
            <w:tcW w:w="3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126.3</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127.1</w:t>
            </w: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178.3</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178.3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179.1</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intangible assets</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1,024.9</w:t>
            </w:r>
          </w:p>
        </w:tc>
        <w:tc>
          <w:tcPr>
            <w:tcW w:w="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441.3</w:t>
            </w:r>
          </w:p>
        </w:tc>
        <w:tc>
          <w:tcPr>
            <w:tcW w:w="480" w:type="dxa"/>
            <w:vAlign w:val="bottom"/>
            <w:tcBorders>
              <w:bottom w:val="single" w:sz="8" w:color="auto"/>
            </w:tcBorders>
            <w:shd w:val="clear" w:color="auto" w:fill="CFF0FC"/>
          </w:tcPr>
          <w:p>
            <w:pPr>
              <w:jc w:val="right"/>
              <w:ind w:right="115"/>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583.6</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674.0</w:t>
            </w: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425.4</w:t>
            </w:r>
          </w:p>
        </w:tc>
        <w:tc>
          <w:tcPr>
            <w:tcW w:w="460" w:type="dxa"/>
            <w:vAlign w:val="bottom"/>
            <w:tcBorders>
              <w:bottom w:val="single" w:sz="8" w:color="auto"/>
            </w:tcBorders>
            <w:shd w:val="clear" w:color="auto" w:fill="CFF0FC"/>
          </w:tcPr>
          <w:p>
            <w:pPr>
              <w:jc w:val="right"/>
              <w:ind w:right="115"/>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-810895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-279400</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-5080</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200" w:hanging="192"/>
        <w:spacing w:after="0"/>
        <w:tabs>
          <w:tab w:leader="none" w:pos="200" w:val="left"/>
        </w:tabs>
        <w:numPr>
          <w:ilvl w:val="0"/>
          <w:numId w:val="30"/>
        </w:numPr>
        <w:rPr>
          <w:rFonts w:ascii="Arial" w:cs="Arial" w:eastAsia="Arial" w:hAnsi="Arial"/>
          <w:sz w:val="11"/>
          <w:szCs w:val="11"/>
          <w:color w:val="auto"/>
        </w:rPr>
      </w:pPr>
      <w:r>
        <w:rPr>
          <w:rFonts w:ascii="Arial" w:cs="Arial" w:eastAsia="Arial" w:hAnsi="Arial"/>
          <w:sz w:val="16"/>
          <w:szCs w:val="16"/>
          <w:color w:val="auto"/>
        </w:rPr>
        <w:t>Balances were net of accumulated impairment loss of $644.2 as of both December 31, 2021 and 2020.</w:t>
      </w:r>
    </w:p>
    <w:p>
      <w:pPr>
        <w:spacing w:after="0" w:line="22" w:lineRule="exact"/>
        <w:rPr>
          <w:rFonts w:ascii="Arial" w:cs="Arial" w:eastAsia="Arial" w:hAnsi="Arial"/>
          <w:sz w:val="11"/>
          <w:szCs w:val="11"/>
          <w:color w:val="auto"/>
        </w:rPr>
      </w:pPr>
    </w:p>
    <w:p>
      <w:pPr>
        <w:ind w:left="200" w:hanging="192"/>
        <w:spacing w:after="0"/>
        <w:tabs>
          <w:tab w:leader="none" w:pos="200" w:val="left"/>
        </w:tabs>
        <w:numPr>
          <w:ilvl w:val="0"/>
          <w:numId w:val="30"/>
        </w:numPr>
        <w:rPr>
          <w:rFonts w:ascii="Arial" w:cs="Arial" w:eastAsia="Arial" w:hAnsi="Arial"/>
          <w:sz w:val="11"/>
          <w:szCs w:val="11"/>
          <w:color w:val="auto"/>
        </w:rPr>
      </w:pPr>
      <w:r>
        <w:rPr>
          <w:rFonts w:ascii="Arial" w:cs="Arial" w:eastAsia="Arial" w:hAnsi="Arial"/>
          <w:sz w:val="16"/>
          <w:szCs w:val="16"/>
          <w:color w:val="auto"/>
        </w:rPr>
        <w:t>Balances were net of accumulated impairment loss of $139.5 as of both December 31, 2021 and 2020.</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consolidated amortization expense related to intangibles was $24.2, $27.2 and $29.8 in 2021, 2020 and 2019, respectively. Amortization expense expected in each of the next five years related to acquisitions completed as of December 31, 2021 is as follows: 2022 - $37.6, 2023 - $34.2, 2024 - $32.0, 2025 - $30.0 and 2026 - $26.2. The weighted-average useful lives of the customer relationships and other are approximately 14 and 3 years, respectively. The tradenames have been assigned an indefinite 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 life. (See Note 4 to the Consolidated Financial Statements for further information on our acquisition of the remaining controlling interest in Manpower Switzerland.)</w:t>
      </w:r>
    </w:p>
    <w:p>
      <w:pPr>
        <w:spacing w:after="0" w:line="15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We performed our annual impairment test of our goodwill and indefinite-lived intangible assets during the third quarter of 2021, 2020 and 2019, and determined that there was no impairment of our goodwill or indefinite-lived intangible as a result of our annual tests.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fair value of each reporting unit was at least 20% in excess of the respective reporting unit’s carrying value with the exception of the Netherlands reporting unit, which is part of the Northern Europe segment. The Netherlands reporting unit had a fair value that exceeded its carrying value by approximately 5.5%. Key assumptions included in the Netherlands discounted cash flow valuation performed during the third quarter of 2021 were a discount rate of 10.4%, revenue growth for the next three years ranging from 3.0%-5.0%, a terminal value revenue growth rate of 2.0%, and a terminal value OUP margin of 3.5%. If the Netherlands reporting cannot meet its operating targets and/or recover from the deteriorated macroeconomic, industry, and market conditions, it may not achieve the growth and margin assumptions noted above and some or all of the recorded goodwill for the Netherlands reporting unit, which was $112.2 as of December 31, 2021, could be subject to impairment.</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4" w:name="page65"/>
    <w:bookmarkEnd w:id="64"/>
    <w:p>
      <w:pPr>
        <w:jc w:val="both"/>
        <w:spacing w:after="0" w:line="262" w:lineRule="auto"/>
        <w:rPr>
          <w:sz w:val="20"/>
          <w:szCs w:val="20"/>
          <w:color w:val="auto"/>
        </w:rPr>
      </w:pPr>
      <w:r>
        <w:rPr>
          <w:rFonts w:ascii="Arial" w:cs="Arial" w:eastAsia="Arial" w:hAnsi="Arial"/>
          <w:sz w:val="17"/>
          <w:szCs w:val="17"/>
          <w:color w:val="auto"/>
        </w:rPr>
        <w:t>experience with the reporting units. Significant assumptions used in our goodwill impairment test during the third quarter of 2021 included: expected future revenue growth rates, operating unit profit margins, working capital levels, discount rates,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3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event the fair value of a reporting unit is less than the carrying value, including goodwill, we would record an impairment charge based on the excess of a reporting units’ carrying amount over its fair value.</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the second quarter of 2020, in connection with the preparation of our quarterly financial statements, we assessed the changes in circumstances that occurred during the quarter to determine if it was more likely than not that the fair value of any reporting unit was below its carrying amount. We identified several factors related to our Germany reporting unit that led us to conclude that it was more likely than not that the fair value of the reporting unit was below its carrying amount. These factors included sustained operating losses resulted from the ongoing decline and increased uncertainty in the outlook of the manufacturing sector, particularly the automotive sector in Germany, coupled with the significant implications of COVID-19.</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we determined that it was more likely than not that the fair value of the Germany reporting unit was below its carrying amount, we performed an interim impairment test on this reporting unit as of June 30, 2020. As a result of our interim test, we recognized a non-cash impairment loss of $66.8, which resulted in full impairment of the remaining goodwill in the Germany reporting unit. The Germany reporting unit is included in the Northern Europe segment. The goodwill impairment charge resulted from reductions in the estimated fair value for our Germany reporting unit based on lower expectations for future revenue, profitability and cash flows as compared to the expectations of the 2019 annual goodwill impairment test and our quarterly assessments in the intervening periods due to the factors discussed above.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second quarter of 2019, we determined that it was more likely than not that the fair value of the Germany reporting unit was below its carrying amount and performed an interim goodwill impairment test. As a result of the interim test, we wrote down the carrying value of the Germany reporting unit to its estimated fair value and recognized a non-cash impairment charge loss of $60.2 during the second quarter of 2019.</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during the second quarter of 2019, we recorded a goodwill impairment charge of $3.8 related to our New Zealand operations as a result of it not meeting profitability expectations. The New Zealand reporting unit is included in the APME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Until April 2019, when we acquired the remaining 51% controlling interest in our Swiss franchise to obtain full ownership of the entity, we accounted for our 49% interest in our Swiss franchise under the equity method of accounting. The Swiss franchise maintained an investment portfolio with a market value of $219.9 as of December 31, 2018. The portfolio was comprised of a wide variety of European and United States debt and equity securities and various professionally-managed funds, all of which were classified as available-for-sale, as well as cash and cash equivalents. We recognized all the changes in fair value on the investment portfolio in the current period earnings. Our share of net unrealized gains and unrealized losses that were determined to be temporary related to these investments was included in accumulated other comprehensive loss, with the offsetting amount increasing or decreasing our investment in the franchise. Realized gains and losses were immaterial for all periods presented. Other-than-temporary impairment amounts were insignificant.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for Internal Use</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capitalize purchased software as well as internally developed software. Internal software development costs are capitalized from the time when the internal-use software is considered probable of completion until the software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5" w:name="page66"/>
    <w:bookmarkEnd w:id="65"/>
    <w:p>
      <w:pPr>
        <w:jc w:val="both"/>
        <w:spacing w:after="0" w:line="241" w:lineRule="auto"/>
        <w:rPr>
          <w:sz w:val="20"/>
          <w:szCs w:val="20"/>
          <w:color w:val="auto"/>
        </w:rPr>
      </w:pPr>
      <w:r>
        <w:rPr>
          <w:rFonts w:ascii="Arial" w:cs="Arial" w:eastAsia="Arial" w:hAnsi="Arial"/>
          <w:sz w:val="18"/>
          <w:szCs w:val="18"/>
          <w:color w:val="auto"/>
        </w:rPr>
        <w:t>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$38.2 and $19.2 as of December 31, 2021 and 2020, respectively, is included in other assets in the Consolidated Balance Sheets. The higher balance as of December 31, 2021 is primarily due to additional technology investments. Amortization expense related to the capitalized software costs was $5.5, $1.8 and $2.0 for 2021, 2020 and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2021</w:t>
            </w: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2020</w:t>
            </w: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Land</w:t>
            </w:r>
          </w:p>
        </w:tc>
        <w:tc>
          <w:tcPr>
            <w:tcW w:w="344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3"/>
              <w:spacing w:after="0" w:line="196" w:lineRule="exact"/>
              <w:rPr>
                <w:sz w:val="20"/>
                <w:szCs w:val="20"/>
                <w:color w:val="auto"/>
              </w:rPr>
            </w:pPr>
            <w:r>
              <w:rPr>
                <w:rFonts w:ascii="Arial" w:cs="Arial" w:eastAsia="Arial" w:hAnsi="Arial"/>
                <w:sz w:val="18"/>
                <w:szCs w:val="18"/>
                <w:color w:val="auto"/>
              </w:rPr>
              <w:t>0.5</w:t>
            </w:r>
          </w:p>
        </w:tc>
        <w:tc>
          <w:tcPr>
            <w:tcW w:w="76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0.5</w:t>
            </w: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Buildings</w:t>
            </w:r>
          </w:p>
        </w:tc>
        <w:tc>
          <w:tcPr>
            <w:tcW w:w="3440" w:type="dxa"/>
            <w:vAlign w:val="bottom"/>
          </w:tcPr>
          <w:p>
            <w:pPr>
              <w:spacing w:after="0"/>
              <w:rPr>
                <w:sz w:val="17"/>
                <w:szCs w:val="17"/>
                <w:color w:val="auto"/>
              </w:rPr>
            </w:pPr>
          </w:p>
        </w:tc>
        <w:tc>
          <w:tcPr>
            <w:tcW w:w="11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6.7</w:t>
            </w:r>
          </w:p>
        </w:tc>
        <w:tc>
          <w:tcPr>
            <w:tcW w:w="76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7.1</w:t>
            </w: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fixtures, and autos</w:t>
            </w:r>
          </w:p>
        </w:tc>
        <w:tc>
          <w:tcPr>
            <w:tcW w:w="3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166.5</w:t>
            </w:r>
          </w:p>
        </w:tc>
        <w:tc>
          <w:tcPr>
            <w:tcW w:w="7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167.1</w:t>
            </w: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3440" w:type="dxa"/>
            <w:vAlign w:val="bottom"/>
          </w:tcPr>
          <w:p>
            <w:pPr>
              <w:spacing w:after="0"/>
              <w:rPr>
                <w:sz w:val="17"/>
                <w:szCs w:val="17"/>
                <w:color w:val="auto"/>
              </w:rPr>
            </w:pPr>
          </w:p>
        </w:tc>
        <w:tc>
          <w:tcPr>
            <w:tcW w:w="11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132.7</w:t>
            </w:r>
          </w:p>
        </w:tc>
        <w:tc>
          <w:tcPr>
            <w:tcW w:w="76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133.8</w:t>
            </w:r>
          </w:p>
        </w:tc>
      </w:tr>
      <w:tr>
        <w:trPr>
          <w:trHeight w:val="202"/>
        </w:trPr>
        <w:tc>
          <w:tcPr>
            <w:tcW w:w="48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73"/>
              <w:spacing w:after="0" w:line="202" w:lineRule="exact"/>
              <w:rPr>
                <w:sz w:val="20"/>
                <w:szCs w:val="20"/>
                <w:color w:val="auto"/>
              </w:rPr>
            </w:pPr>
            <w:r>
              <w:rPr>
                <w:rFonts w:ascii="Arial" w:cs="Arial" w:eastAsia="Arial" w:hAnsi="Arial"/>
                <w:sz w:val="18"/>
                <w:szCs w:val="18"/>
                <w:color w:val="auto"/>
              </w:rPr>
              <w:t>288.5</w:t>
            </w:r>
          </w:p>
        </w:tc>
        <w:tc>
          <w:tcPr>
            <w:tcW w:w="7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306.2</w:t>
            </w:r>
          </w:p>
        </w:tc>
      </w:tr>
      <w:tr>
        <w:trPr>
          <w:trHeight w:val="196"/>
        </w:trPr>
        <w:tc>
          <w:tcPr>
            <w:tcW w:w="48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Property and equipment</w:t>
            </w:r>
          </w:p>
        </w:tc>
        <w:tc>
          <w:tcPr>
            <w:tcW w:w="34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594.9</w:t>
            </w:r>
          </w:p>
        </w:tc>
        <w:tc>
          <w:tcPr>
            <w:tcW w:w="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614.7</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furniture, fixtures, autos and computer equipment - 2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January 1, 2019, we adopted the accounting guidance on leases, which requires a lessee to recognize right-of-use (“ROU”) assets and lease liabilities of the balance sheet for leases with lease terms longer than 12 months. The recognition, measurement and presentation of lease expenses and cash flows depend on the classification by the lessee as a finance or operating lease.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operating leases for real estate, vehicles, and equipment. Our leases have remaining lease terms of 1 month to 11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leases and we only include those periods beyond the termination date if we are reasonably certain not to exercise the termination option.</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We have lease agreements with both lease and non-lease components that are treated as a single lease component for all underlying asset classes.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Accordingly, all expenses associated with a lease contract are accounted for as lease expenses.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Leases with a term of 12 months or less are not recognized on the balance sheet, but rather expensed on a straight-line basis over the lease term. We do not include significant restrictions or covenants in our lease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8"/>
          <w:szCs w:val="18"/>
          <w:color w:val="auto"/>
        </w:rPr>
        <w:t>agreements, and residual value guarantees are generally not included within our operating leases. As of December 31, 2021, we did not have any material additional operating leases that have not yet commenced.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Asset and liability accounts are translated at the current exchange rates and income statement items are translated at the average exchange rates each month.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resulting translation adjustments are recorded as a component of accumulated other comprehensive loss, which is included in shareholders’ equity.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July 1, 2018, the Argentina economy was designated as highly-inflationary and was treated as such for accounting purposes.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Board of Directors authorized the repurchase of 4.0 million, 6.0 million and 6.0 million shares of our common stock in August 2021, August 2019 and August 2018. Share repurchases may be made from time to time through a variety of methods, including open market purchases, block transactions, privately negotiated transactions or similar facilities. In 2021, we repurchased a total of 2.1 million shares under the 2019 authorization at a total cost of $210.0. In 2020, we repurchased a total of 3.4 million shares comprised of 0.8 million shares under the 2018 authorization and 2.6 million shares under the 2019 authorization, at a total cost of $264.7. In 2019, we repurchased a total of 2.4 million shares at a total cost of $203.0 under the 2018 authorization. As of December 31, 2021, there were 4.0 million and 1.2 million shares remaining authorized for repurchase under the 2021 authorization and 2019 authorization, respectively, and no shares remaining authorized for repurchase under the 2018 authorization.</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2021, 2020 and 2019, the Board of Directors declared total cash dividends of $2.52, $2.26 and $2.18 per share, respectively, resulting in total dividend payments of $136.6, $129.1 and $129.3, respectively.</w:t>
      </w:r>
    </w:p>
    <w:p>
      <w:pPr>
        <w:spacing w:after="0" w:line="1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income of $0.7 and $4.7 for 2021 and 2020, respectively, and expense of $1.8 for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Cash and cash equivalents comprise cash on hand, term deposits with banks and short-term highly-liquid financial investments that are readily convertible to known amounts of cash which are subject to insignificant risk of changes in value; and have a maturity of three months or less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January 2013, the French government passed legislation, Credit d’Impôt pour la Compétitivité et l’Emploi (“CICE”), that provided payroll tax credits based on a percentage of wages paid to employees receiving less than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17"/>
          <w:szCs w:val="17"/>
          <w:color w:val="auto"/>
        </w:rPr>
        <w:t>two-and-a-half times the French minimum wage. The payroll tax credit was equal to 4% of eligible wages in 2013, 6% of eligible wages in 2014 to 2016, 7% of eligible wages in 2017, and 6% of eligible wages in 2018. The CICE payroll tax credit was accounted for as a reduction of our cost of services in the period earned. In January 2019, the French government replaced the CICE program with a new subsidy program.</w:t>
      </w:r>
    </w:p>
    <w:p>
      <w:pPr>
        <w:spacing w:after="0" w:line="13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payroll tax credit was creditable against our current French income tax payable, with any remaining amount being paid after three years. Given the amount of our current income taxes payable, we would generally receive the vast majority of these payroll tax credits after the three-year period. In April 2019 and April 2018, we entered into agreements to sell the credits earned in 2018 and 2017, respectively, for net proceeds of $103.5 (€92.0) and $234.5 (€190.9), respectively, which represented approximately half of the credits earned in 2018 and substantially all the credits earned in 2017. We derecognized these receivables upon the sale as the terms of the agreement were such that the transaction qualified for sale treatment according to the accounting guidance on the transfer and servicing of assets. The discount on the sale of these receivables was recorded in cost of services as a reduction of the payroll tax credits earned in the respective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2021</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2019, the FASB issued new guidance on income taxes. The guidance removes certain exceptions to the general income tax accounting principles and clarifies and amends existing guidance to facilitate consistent application of the accounting principles. The new guidance was effective for us as of January 1, 2021. The adoption of this guidance did not have a material impact on our Consolidated Financial Statements.</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January 2020, the FASB issued new guidance on equity method investments. The guidance clarifies the interactions between the existing accounting standards on equity securities, equity method and joint ventures, and derivatives and hedging. The new guidance addresses accounting for the transition into and out of the equity method and measuring certain purchased options and forward contracts to acquire investments. The new guidance was effective for us as of January 1, 2021. The adoption of this guidance did not have a material impact on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is effective upon issuance and can be applied to applicable contract modifications through December 31, 2022. The adoption of this guidance has not had any impact on our Consolidated Financial Statements, and we do not expect it to have a material impact going forward.</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November 2021, the FASB issued new guidance on disclosures by business entities about government assistance. The guidance requires business entities to disclose, in notes to their financial statements, information about certain types of government assistance they receive. The new guidance is effective for us as of January 1, 2022. We do not expect the adoption of this guidance to have an impact on our Consolidated Financial Statements.</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November 2021, the FASB issued new guidance on business combinations. The guidance added the contract assets and contract liabilities to the list of exceptions to the recognition and measurement principles that apply to business combinations and requires that an acquirer recognize and measure contract assets and contract liabilities acquired in a business combination in accordance with the revenue recognition standard. The new guidance is effective for us as of January 1, 2023. We do not expect the adoption of this guidance to have a material impact on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January 17, 2022, we disposed of our Russia business in our Northern Europe segment for $4.0, consisting of upfront cash proceeds received of $3.2 and $0.8 of deferred consideration. We simultaneously entered into a franchise agreement with the new ownership of the Russia business. In connection with the disposition, we anticipate recognizing a one-time loss on disposition of approximately $8.0 during the first quarter of 2022. We will finalize our accounting for the disposition during the first quarter of 2022.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8" w:name="page69"/>
    <w:bookmarkEnd w:id="68"/>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Service Types</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is a description of our revenue service types, including Staffing and Interim, Outcome-Based Solutions and Consulting, Permanent Recruitment and Other services.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Staffing and Interim</w:t>
      </w:r>
    </w:p>
    <w:p>
      <w:pPr>
        <w:spacing w:after="0" w:line="158" w:lineRule="exact"/>
        <w:rPr>
          <w:sz w:val="20"/>
          <w:szCs w:val="20"/>
          <w:color w:val="auto"/>
        </w:rPr>
      </w:pPr>
    </w:p>
    <w:p>
      <w:pPr>
        <w:jc w:val="both"/>
        <w:ind w:left="520"/>
        <w:spacing w:after="0" w:line="246" w:lineRule="auto"/>
        <w:rPr>
          <w:sz w:val="20"/>
          <w:szCs w:val="20"/>
          <w:color w:val="auto"/>
        </w:rPr>
      </w:pPr>
      <w:r>
        <w:rPr>
          <w:rFonts w:ascii="Arial" w:cs="Arial" w:eastAsia="Arial" w:hAnsi="Arial"/>
          <w:sz w:val="17"/>
          <w:szCs w:val="17"/>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Outcome-Based Solutions and Consulting</w:t>
      </w:r>
    </w:p>
    <w:p>
      <w:pPr>
        <w:spacing w:after="0" w:line="158" w:lineRule="exact"/>
        <w:rPr>
          <w:sz w:val="20"/>
          <w:szCs w:val="20"/>
          <w:color w:val="auto"/>
        </w:rPr>
      </w:pPr>
    </w:p>
    <w:p>
      <w:pPr>
        <w:jc w:val="both"/>
        <w:ind w:left="520"/>
        <w:spacing w:after="0" w:line="238" w:lineRule="auto"/>
        <w:rPr>
          <w:sz w:val="20"/>
          <w:szCs w:val="20"/>
          <w:color w:val="auto"/>
        </w:rPr>
      </w:pPr>
      <w:r>
        <w:rPr>
          <w:rFonts w:ascii="Arial" w:cs="Arial" w:eastAsia="Arial" w:hAnsi="Arial"/>
          <w:sz w:val="17"/>
          <w:szCs w:val="17"/>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Permanent Recruitment</w:t>
      </w:r>
    </w:p>
    <w:p>
      <w:pPr>
        <w:spacing w:after="0" w:line="171" w:lineRule="exact"/>
        <w:rPr>
          <w:sz w:val="20"/>
          <w:szCs w:val="20"/>
          <w:color w:val="auto"/>
        </w:rPr>
      </w:pPr>
    </w:p>
    <w:p>
      <w:pPr>
        <w:jc w:val="both"/>
        <w:ind w:left="520"/>
        <w:spacing w:after="0" w:line="242" w:lineRule="auto"/>
        <w:rPr>
          <w:sz w:val="20"/>
          <w:szCs w:val="20"/>
          <w:color w:val="auto"/>
        </w:rPr>
      </w:pPr>
      <w:r>
        <w:rPr>
          <w:rFonts w:ascii="Arial" w:cs="Arial" w:eastAsia="Arial" w:hAnsi="Arial"/>
          <w:sz w:val="17"/>
          <w:szCs w:val="17"/>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35" w:lineRule="exact"/>
        <w:rPr>
          <w:sz w:val="20"/>
          <w:szCs w:val="20"/>
          <w:color w:val="auto"/>
        </w:rPr>
      </w:pPr>
    </w:p>
    <w:p>
      <w:pPr>
        <w:jc w:val="both"/>
        <w:ind w:left="520"/>
        <w:spacing w:after="0" w:line="254" w:lineRule="auto"/>
        <w:rPr>
          <w:sz w:val="20"/>
          <w:szCs w:val="20"/>
          <w:color w:val="auto"/>
        </w:rPr>
      </w:pPr>
      <w:r>
        <w:rPr>
          <w:rFonts w:ascii="Arial" w:cs="Arial" w:eastAsia="Arial" w:hAnsi="Arial"/>
          <w:sz w:val="16"/>
          <w:szCs w:val="16"/>
          <w:color w:val="auto"/>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spacing w:after="0" w:line="124" w:lineRule="exact"/>
        <w:rPr>
          <w:sz w:val="20"/>
          <w:szCs w:val="20"/>
          <w:color w:val="auto"/>
        </w:rPr>
      </w:pPr>
    </w:p>
    <w:p>
      <w:pPr>
        <w:jc w:val="both"/>
        <w:ind w:left="520"/>
        <w:spacing w:after="0" w:line="261" w:lineRule="auto"/>
        <w:rPr>
          <w:sz w:val="20"/>
          <w:szCs w:val="20"/>
          <w:color w:val="auto"/>
        </w:rPr>
      </w:pPr>
      <w:r>
        <w:rPr>
          <w:rFonts w:ascii="Arial" w:cs="Arial" w:eastAsia="Arial" w:hAnsi="Arial"/>
          <w:sz w:val="16"/>
          <w:szCs w:val="16"/>
          <w:color w:val="auto"/>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Other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services include revenues from outplacement services, MSP services, training services and franchise fees.</w:t>
      </w:r>
    </w:p>
    <w:p>
      <w:pPr>
        <w:spacing w:after="0" w:line="158" w:lineRule="exact"/>
        <w:rPr>
          <w:sz w:val="20"/>
          <w:szCs w:val="20"/>
          <w:color w:val="auto"/>
        </w:rPr>
      </w:pPr>
    </w:p>
    <w:p>
      <w:pPr>
        <w:jc w:val="both"/>
        <w:ind w:left="420" w:hanging="183"/>
        <w:spacing w:after="0" w:line="227" w:lineRule="auto"/>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spacing w:after="0" w:line="2" w:lineRule="exact"/>
        <w:rPr>
          <w:rFonts w:ascii="Arial" w:cs="Arial" w:eastAsia="Arial" w:hAnsi="Arial"/>
          <w:sz w:val="18"/>
          <w:szCs w:val="18"/>
          <w:color w:val="auto"/>
        </w:rPr>
      </w:pPr>
    </w:p>
    <w:p>
      <w:pPr>
        <w:jc w:val="both"/>
        <w:ind w:left="420" w:hanging="214"/>
        <w:spacing w:after="0" w:line="248"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spacing w:after="0" w:line="2" w:lineRule="exact"/>
        <w:rPr>
          <w:rFonts w:ascii="Arial" w:cs="Arial" w:eastAsia="Arial" w:hAnsi="Arial"/>
          <w:sz w:val="17"/>
          <w:szCs w:val="17"/>
          <w:color w:val="auto"/>
        </w:rPr>
      </w:pPr>
    </w:p>
    <w:p>
      <w:pPr>
        <w:jc w:val="both"/>
        <w:ind w:left="420" w:right="20" w:hanging="214"/>
        <w:spacing w:after="0" w:line="234"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pacing w:after="0" w:line="2" w:lineRule="exact"/>
        <w:rPr>
          <w:rFonts w:ascii="Arial" w:cs="Arial" w:eastAsia="Arial" w:hAnsi="Arial"/>
          <w:sz w:val="18"/>
          <w:szCs w:val="18"/>
          <w:color w:val="auto"/>
        </w:rPr>
      </w:pPr>
    </w:p>
    <w:p>
      <w:pPr>
        <w:jc w:val="both"/>
        <w:ind w:left="420" w:hanging="214"/>
        <w:spacing w:after="0" w:line="254"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Franchise fees were $15.3, $14.1 and $18.4 for the years ended December 31, 2021, 2020 and 2019, respectively.</w:t>
      </w:r>
    </w:p>
    <w:p>
      <w:pPr>
        <w:spacing w:after="0" w:line="38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9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Disaggregation of Revenues</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the following table, revenue is disaggregated by service types and timing of revenue recognition and includes a reconciliation of the disaggregated revenues by reportable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9"/>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1"/>
              </w:rPr>
              <w:t>Outcome-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1"/>
              </w:rPr>
              <w:t>Outcome-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Based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Based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Staffing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7"/>
              </w:rPr>
              <w:t>Solutions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Staffing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7"/>
              </w:rPr>
              <w:t>Solutions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6"/>
              </w:rPr>
              <w:t>Permanent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and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85"/>
              </w:rPr>
              <w:t>and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6"/>
              </w:rPr>
              <w:t>Permanent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color w:val="auto"/>
              </w:rPr>
              <w:t>Interim</w:t>
            </w:r>
          </w:p>
        </w:tc>
        <w:tc>
          <w:tcPr>
            <w:tcW w:w="120" w:type="dxa"/>
            <w:vAlign w:val="bottom"/>
          </w:tcPr>
          <w:p>
            <w:pPr>
              <w:spacing w:after="0"/>
              <w:rPr>
                <w:sz w:val="15"/>
                <w:szCs w:val="15"/>
                <w:color w:val="auto"/>
              </w:rPr>
            </w:pPr>
          </w:p>
        </w:tc>
        <w:tc>
          <w:tcPr>
            <w:tcW w:w="9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Consulting</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2"/>
              </w:rPr>
              <w:t>Recruitment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color w:val="auto"/>
                <w:w w:val="98"/>
              </w:rPr>
              <w:t>Interim</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color w:val="auto"/>
                <w:w w:val="96"/>
              </w:rPr>
              <w:t>Consulting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w w:val="92"/>
              </w:rPr>
              <w:t>Recruitment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w w:val="96"/>
              </w:rPr>
              <w:t>Other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2,292.1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154.9</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147.8</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148.5</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2,743.3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1,942.9</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125.3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88.4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170.6</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2,327.2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1,430.3</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34.5</w:t>
            </w:r>
          </w:p>
        </w:tc>
        <w:tc>
          <w:tcPr>
            <w:tcW w:w="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1,520.4</w:t>
            </w: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1,393.0</w:t>
            </w:r>
          </w:p>
        </w:tc>
        <w:tc>
          <w:tcPr>
            <w:tcW w:w="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w:t>
            </w:r>
          </w:p>
        </w:tc>
        <w:tc>
          <w:tcPr>
            <w:tcW w:w="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1,465.2</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w:t>
            </w: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4,263.7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3,335.9</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200"/>
              <w:spacing w:after="0"/>
              <w:rPr>
                <w:sz w:val="20"/>
                <w:szCs w:val="20"/>
                <w:color w:val="auto"/>
              </w:rPr>
            </w:pPr>
            <w:r>
              <w:rPr>
                <w:rFonts w:ascii="Arial" w:cs="Arial" w:eastAsia="Arial" w:hAnsi="Arial"/>
                <w:sz w:val="14"/>
                <w:szCs w:val="14"/>
                <w:color w:val="auto"/>
              </w:rPr>
              <w:t>France</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4,765.1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329.8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5,171.3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3,985.6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295.7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4,338.1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1,695.6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1,795.4</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1,296.7</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80" w:type="dxa"/>
            <w:vAlign w:val="bottom"/>
          </w:tcPr>
          <w:p>
            <w:pPr>
              <w:ind w:left="200"/>
              <w:spacing w:after="0" w:line="143" w:lineRule="exact"/>
              <w:rPr>
                <w:sz w:val="20"/>
                <w:szCs w:val="20"/>
                <w:color w:val="auto"/>
              </w:rPr>
            </w:pPr>
            <w:r>
              <w:rPr>
                <w:rFonts w:ascii="Arial" w:cs="Arial" w:eastAsia="Arial" w:hAnsi="Arial"/>
                <w:sz w:val="14"/>
                <w:szCs w:val="14"/>
                <w:color w:val="auto"/>
              </w:rPr>
              <w:t>Other Southern</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1,945.0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369.4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52.6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2,380.1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1,752.0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341.5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2,146.4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80" w:type="dxa"/>
            <w:vAlign w:val="bottom"/>
          </w:tcPr>
          <w:p>
            <w:pPr>
              <w:ind w:left="200"/>
              <w:spacing w:after="0"/>
              <w:rPr>
                <w:sz w:val="20"/>
                <w:szCs w:val="20"/>
                <w:color w:val="auto"/>
              </w:rPr>
            </w:pPr>
            <w:r>
              <w:rPr>
                <w:rFonts w:ascii="Arial" w:cs="Arial" w:eastAsia="Arial" w:hAnsi="Arial"/>
                <w:sz w:val="14"/>
                <w:szCs w:val="14"/>
                <w:color w:val="auto"/>
              </w:rPr>
              <w:t>Europe</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8,405.7</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733.1</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151.7</w:t>
            </w:r>
          </w:p>
        </w:tc>
        <w:tc>
          <w:tcPr>
            <w:tcW w:w="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56.3</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9,346.8</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7,034.3</w:t>
            </w: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667.3</w:t>
            </w: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47.0</w:t>
            </w: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7,855.2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4,191.4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145.9</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4,670.5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3,545.7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264.9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3,976.7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1,886.6</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408.1</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143.2</w:t>
            </w:r>
          </w:p>
        </w:tc>
        <w:tc>
          <w:tcPr>
            <w:tcW w:w="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43.2</w:t>
            </w: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2,481.1</w:t>
            </w: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1,876.3</w:t>
            </w:r>
          </w:p>
        </w:tc>
        <w:tc>
          <w:tcPr>
            <w:tcW w:w="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340.7</w:t>
            </w:r>
          </w:p>
        </w:tc>
        <w:tc>
          <w:tcPr>
            <w:tcW w:w="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121.6</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38.1</w:t>
            </w:r>
          </w:p>
        </w:tc>
        <w:tc>
          <w:tcPr>
            <w:tcW w:w="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2,376.7</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18,206.1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w:t>
            </w: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335.4</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20,762.1</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15,792.2</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1,440.0</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434.7</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334.1</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48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Intercompany</w:t>
            </w: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(37.7 )</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Eliminations</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5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20,724.4</w:t>
            </w:r>
          </w:p>
        </w:tc>
        <w:tc>
          <w:tcPr>
            <w:tcW w:w="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5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gridSpan w:val="2"/>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18,001.0</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-1479550</wp:posOffset>
            </wp:positionV>
            <wp:extent cx="7747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-1479550</wp:posOffset>
            </wp:positionV>
            <wp:extent cx="768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-1479550</wp:posOffset>
            </wp:positionV>
            <wp:extent cx="342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-1479550</wp:posOffset>
            </wp:positionV>
            <wp:extent cx="342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-1479550</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-1479550</wp:posOffset>
            </wp:positionV>
            <wp:extent cx="342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-1479550</wp:posOffset>
            </wp:positionV>
            <wp:extent cx="342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-1479550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-1479550</wp:posOffset>
            </wp:positionV>
            <wp:extent cx="342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-1479550</wp:posOffset>
            </wp:positionV>
            <wp:extent cx="3429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-699135</wp:posOffset>
            </wp:positionV>
            <wp:extent cx="7747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-699135</wp:posOffset>
            </wp:positionV>
            <wp:extent cx="768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-699135</wp:posOffset>
            </wp:positionV>
            <wp:extent cx="3429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-699135</wp:posOffset>
            </wp:positionV>
            <wp:extent cx="3429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-699135</wp:posOffset>
            </wp:positionV>
            <wp:extent cx="431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-699135</wp:posOffset>
            </wp:positionV>
            <wp:extent cx="3429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-699135</wp:posOffset>
            </wp:positionV>
            <wp:extent cx="342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-699135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-699135</wp:posOffset>
            </wp:positionV>
            <wp:extent cx="3429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-699135</wp:posOffset>
            </wp:positionV>
            <wp:extent cx="342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-467995</wp:posOffset>
            </wp:positionV>
            <wp:extent cx="7747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-467995</wp:posOffset>
            </wp:positionV>
            <wp:extent cx="768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-467995</wp:posOffset>
            </wp:positionV>
            <wp:extent cx="3429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-467995</wp:posOffset>
            </wp:positionV>
            <wp:extent cx="342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-467995</wp:posOffset>
            </wp:positionV>
            <wp:extent cx="431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-467995</wp:posOffset>
            </wp:positionV>
            <wp:extent cx="3429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-467995</wp:posOffset>
            </wp:positionV>
            <wp:extent cx="342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-467995</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-467995</wp:posOffset>
            </wp:positionV>
            <wp:extent cx="342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-467995</wp:posOffset>
            </wp:positionV>
            <wp:extent cx="342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-142240</wp:posOffset>
            </wp:positionV>
            <wp:extent cx="431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73"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15240</wp:posOffset>
            </wp:positionV>
            <wp:extent cx="45002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28"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2021</w:t>
      </w:r>
    </w:p>
    <w:p>
      <w:pPr>
        <w:spacing w:after="0" w:line="24" w:lineRule="exact"/>
        <w:rPr>
          <w:sz w:val="20"/>
          <w:szCs w:val="20"/>
          <w:color w:val="auto"/>
        </w:rPr>
      </w:pPr>
    </w:p>
    <w:tbl>
      <w:tblPr>
        <w:tblLayout w:type="fixed"/>
        <w:tblInd w:w="4160" w:type="dxa"/>
        <w:tblCellMar>
          <w:top w:w="0" w:type="dxa"/>
          <w:left w:w="0" w:type="dxa"/>
          <w:bottom w:w="0" w:type="dxa"/>
          <w:right w:w="0" w:type="dxa"/>
        </w:tblCellMar>
      </w:tblPr>
      <w:tr>
        <w:trPr>
          <w:trHeight w:val="137"/>
        </w:trPr>
        <w:tc>
          <w:tcPr>
            <w:tcW w:w="1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8"/>
              <w:spacing w:after="0" w:line="137" w:lineRule="exact"/>
              <w:rPr>
                <w:sz w:val="20"/>
                <w:szCs w:val="20"/>
                <w:color w:val="auto"/>
              </w:rPr>
            </w:pPr>
            <w:r>
              <w:rPr>
                <w:rFonts w:ascii="Arial" w:cs="Arial" w:eastAsia="Arial" w:hAnsi="Arial"/>
                <w:sz w:val="14"/>
                <w:szCs w:val="14"/>
                <w:color w:val="auto"/>
                <w:w w:val="93"/>
              </w:rPr>
              <w:t>Services</w:t>
            </w:r>
          </w:p>
        </w:tc>
        <w:tc>
          <w:tcPr>
            <w:tcW w:w="1120" w:type="dxa"/>
            <w:vAlign w:val="bottom"/>
            <w:tcBorders>
              <w:top w:val="single" w:sz="8" w:color="auto"/>
            </w:tcBorders>
          </w:tcPr>
          <w:p>
            <w:pPr>
              <w:spacing w:after="0"/>
              <w:rPr>
                <w:sz w:val="11"/>
                <w:szCs w:val="11"/>
                <w:color w:val="auto"/>
              </w:rPr>
            </w:pPr>
          </w:p>
        </w:tc>
      </w:tr>
      <w:tr>
        <w:trPr>
          <w:trHeight w:val="148"/>
        </w:trPr>
        <w:tc>
          <w:tcPr>
            <w:tcW w:w="11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3"/>
              </w:rPr>
              <w:t>Services</w:t>
            </w:r>
          </w:p>
        </w:tc>
        <w:tc>
          <w:tcPr>
            <w:tcW w:w="13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transferred</w:t>
            </w:r>
          </w:p>
        </w:tc>
        <w:tc>
          <w:tcPr>
            <w:tcW w:w="1120" w:type="dxa"/>
            <w:vAlign w:val="bottom"/>
          </w:tcPr>
          <w:p>
            <w:pPr>
              <w:spacing w:after="0"/>
              <w:rPr>
                <w:sz w:val="12"/>
                <w:szCs w:val="12"/>
                <w:color w:val="auto"/>
              </w:rPr>
            </w:pPr>
          </w:p>
        </w:tc>
      </w:tr>
      <w:tr>
        <w:trPr>
          <w:trHeight w:val="148"/>
        </w:trPr>
        <w:tc>
          <w:tcPr>
            <w:tcW w:w="11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transferred</w:t>
            </w:r>
          </w:p>
        </w:tc>
        <w:tc>
          <w:tcPr>
            <w:tcW w:w="13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3"/>
              </w:rPr>
              <w:t>at a point</w:t>
            </w:r>
          </w:p>
        </w:tc>
        <w:tc>
          <w:tcPr>
            <w:tcW w:w="1120" w:type="dxa"/>
            <w:vAlign w:val="bottom"/>
          </w:tcPr>
          <w:p>
            <w:pPr>
              <w:spacing w:after="0"/>
              <w:rPr>
                <w:sz w:val="12"/>
                <w:szCs w:val="12"/>
                <w:color w:val="auto"/>
              </w:rPr>
            </w:pPr>
          </w:p>
        </w:tc>
      </w:tr>
      <w:tr>
        <w:trPr>
          <w:trHeight w:val="181"/>
        </w:trPr>
        <w:tc>
          <w:tcPr>
            <w:tcW w:w="1140" w:type="dxa"/>
            <w:vAlign w:val="bottom"/>
          </w:tcPr>
          <w:p>
            <w:pPr>
              <w:jc w:val="center"/>
              <w:ind w:right="8"/>
              <w:spacing w:after="0"/>
              <w:rPr>
                <w:sz w:val="20"/>
                <w:szCs w:val="20"/>
                <w:color w:val="auto"/>
              </w:rPr>
            </w:pPr>
            <w:r>
              <w:rPr>
                <w:rFonts w:ascii="Arial" w:cs="Arial" w:eastAsia="Arial" w:hAnsi="Arial"/>
                <w:sz w:val="14"/>
                <w:szCs w:val="14"/>
                <w:color w:val="auto"/>
                <w:w w:val="93"/>
              </w:rPr>
              <w:t>over time</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w w:val="96"/>
              </w:rPr>
              <w:t>in time</w:t>
            </w:r>
          </w:p>
        </w:tc>
        <w:tc>
          <w:tcPr>
            <w:tcW w:w="1120" w:type="dxa"/>
            <w:vAlign w:val="bottom"/>
          </w:tcPr>
          <w:p>
            <w:pPr>
              <w:ind w:left="36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8"/>
              <w:spacing w:after="0" w:line="137" w:lineRule="exact"/>
              <w:rPr>
                <w:sz w:val="20"/>
                <w:szCs w:val="20"/>
                <w:color w:val="auto"/>
              </w:rPr>
            </w:pPr>
            <w:r>
              <w:rPr>
                <w:rFonts w:ascii="Arial" w:cs="Arial" w:eastAsia="Arial" w:hAnsi="Arial"/>
                <w:sz w:val="14"/>
                <w:szCs w:val="14"/>
                <w:color w:val="auto"/>
                <w:w w:val="93"/>
              </w:rPr>
              <w:t>Services</w:t>
            </w:r>
          </w:p>
        </w:tc>
        <w:tc>
          <w:tcPr>
            <w:tcW w:w="1060" w:type="dxa"/>
            <w:vAlign w:val="bottom"/>
            <w:tcBorders>
              <w:top w:val="single" w:sz="8" w:color="auto"/>
            </w:tcBorders>
          </w:tcPr>
          <w:p>
            <w:pPr>
              <w:spacing w:after="0"/>
              <w:rPr>
                <w:sz w:val="11"/>
                <w:szCs w:val="11"/>
                <w:color w:val="auto"/>
              </w:rPr>
            </w:pPr>
          </w:p>
        </w:tc>
      </w:tr>
      <w:tr>
        <w:trPr>
          <w:trHeight w:val="148"/>
        </w:trPr>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9"/>
              </w:rPr>
              <w:t>Services</w:t>
            </w:r>
          </w:p>
        </w:tc>
        <w:tc>
          <w:tcPr>
            <w:tcW w:w="12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transferred</w:t>
            </w:r>
          </w:p>
        </w:tc>
        <w:tc>
          <w:tcPr>
            <w:tcW w:w="1060" w:type="dxa"/>
            <w:vAlign w:val="bottom"/>
          </w:tcPr>
          <w:p>
            <w:pPr>
              <w:spacing w:after="0"/>
              <w:rPr>
                <w:sz w:val="12"/>
                <w:szCs w:val="12"/>
                <w:color w:val="auto"/>
              </w:rPr>
            </w:pPr>
          </w:p>
        </w:tc>
      </w:tr>
      <w:tr>
        <w:trPr>
          <w:trHeight w:val="148"/>
        </w:trPr>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1"/>
              </w:rPr>
              <w:t>transferred</w:t>
            </w:r>
          </w:p>
        </w:tc>
        <w:tc>
          <w:tcPr>
            <w:tcW w:w="12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3"/>
              </w:rPr>
              <w:t>at a point</w:t>
            </w:r>
          </w:p>
        </w:tc>
        <w:tc>
          <w:tcPr>
            <w:tcW w:w="1060" w:type="dxa"/>
            <w:vAlign w:val="bottom"/>
          </w:tcPr>
          <w:p>
            <w:pPr>
              <w:spacing w:after="0"/>
              <w:rPr>
                <w:sz w:val="12"/>
                <w:szCs w:val="12"/>
                <w:color w:val="auto"/>
              </w:rPr>
            </w:pPr>
          </w:p>
        </w:tc>
      </w:tr>
      <w:tr>
        <w:trPr>
          <w:trHeight w:val="181"/>
        </w:trPr>
        <w:tc>
          <w:tcPr>
            <w:tcW w:w="1100" w:type="dxa"/>
            <w:vAlign w:val="bottom"/>
          </w:tcPr>
          <w:p>
            <w:pPr>
              <w:jc w:val="center"/>
              <w:spacing w:after="0"/>
              <w:rPr>
                <w:sz w:val="20"/>
                <w:szCs w:val="20"/>
                <w:color w:val="auto"/>
              </w:rPr>
            </w:pPr>
            <w:r>
              <w:rPr>
                <w:rFonts w:ascii="Arial" w:cs="Arial" w:eastAsia="Arial" w:hAnsi="Arial"/>
                <w:sz w:val="14"/>
                <w:szCs w:val="14"/>
                <w:color w:val="auto"/>
                <w:w w:val="93"/>
              </w:rPr>
              <w:t>over time</w:t>
            </w: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in time</w:t>
            </w:r>
          </w:p>
        </w:tc>
        <w:tc>
          <w:tcPr>
            <w:tcW w:w="1060" w:type="dxa"/>
            <w:vAlign w:val="bottom"/>
          </w:tcPr>
          <w:p>
            <w:pPr>
              <w:ind w:left="340"/>
              <w:spacing w:after="0"/>
              <w:rPr>
                <w:sz w:val="20"/>
                <w:szCs w:val="20"/>
                <w:color w:val="auto"/>
              </w:rPr>
            </w:pPr>
            <w:r>
              <w:rPr>
                <w:rFonts w:ascii="Arial" w:cs="Arial" w:eastAsia="Arial" w:hAnsi="Arial"/>
                <w:sz w:val="14"/>
                <w:szCs w:val="14"/>
                <w:color w:val="auto"/>
              </w:rPr>
              <w:t>Total</w:t>
            </w:r>
          </w:p>
        </w:tc>
      </w:tr>
    </w:tbl>
    <w:p>
      <w:pPr>
        <w:spacing w:after="0" w:line="1" w:lineRule="exact"/>
        <w:rPr>
          <w:sz w:val="20"/>
          <w:szCs w:val="20"/>
          <w:color w:val="auto"/>
        </w:rPr>
      </w:pPr>
    </w:p>
    <w:p>
      <w:pPr>
        <w:sectPr>
          <w:pgSz w:w="11900" w:h="16838" w:orient="portrait"/>
          <w:cols w:equalWidth="0" w:num="2">
            <w:col w:w="7720" w:space="100"/>
            <w:col w:w="3420"/>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4160" w:type="dxa"/>
            <w:vAlign w:val="bottom"/>
          </w:tcPr>
          <w:p>
            <w:pPr>
              <w:ind w:left="20"/>
              <w:spacing w:after="0"/>
              <w:rPr>
                <w:sz w:val="20"/>
                <w:szCs w:val="20"/>
                <w:color w:val="auto"/>
              </w:rPr>
            </w:pPr>
            <w:r>
              <w:rPr>
                <w:rFonts w:ascii="Arial" w:cs="Arial" w:eastAsia="Arial" w:hAnsi="Arial"/>
                <w:sz w:val="14"/>
                <w:szCs w:val="14"/>
                <w:color w:val="auto"/>
              </w:rPr>
              <w:t>Americas:</w:t>
            </w: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75"/>
        </w:trPr>
        <w:tc>
          <w:tcPr>
            <w:tcW w:w="4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2,663.9</w:t>
            </w:r>
          </w:p>
        </w:tc>
        <w:tc>
          <w:tcPr>
            <w:tcW w:w="4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79.4</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2,743.3</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2,281.7</w:t>
            </w:r>
          </w:p>
        </w:tc>
        <w:tc>
          <w:tcPr>
            <w:tcW w:w="44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45.5</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2,327.2</w:t>
            </w:r>
          </w:p>
        </w:tc>
      </w:tr>
      <w:tr>
        <w:trPr>
          <w:trHeight w:val="175"/>
        </w:trPr>
        <w:tc>
          <w:tcPr>
            <w:tcW w:w="4160" w:type="dxa"/>
            <w:vAlign w:val="bottom"/>
          </w:tcPr>
          <w:p>
            <w:pPr>
              <w:ind w:left="200"/>
              <w:spacing w:after="0"/>
              <w:rPr>
                <w:sz w:val="20"/>
                <w:szCs w:val="20"/>
                <w:color w:val="auto"/>
              </w:rPr>
            </w:pPr>
            <w:r>
              <w:rPr>
                <w:rFonts w:ascii="Arial" w:cs="Arial" w:eastAsia="Arial" w:hAnsi="Arial"/>
                <w:sz w:val="14"/>
                <w:szCs w:val="14"/>
                <w:color w:val="auto"/>
              </w:rPr>
              <w:t>Other Americas</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1,498.6</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21.8</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1,520.4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1,453.6</w:t>
            </w: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1,465.2</w:t>
            </w:r>
          </w:p>
        </w:tc>
      </w:tr>
      <w:tr>
        <w:trPr>
          <w:trHeight w:val="169"/>
        </w:trPr>
        <w:tc>
          <w:tcPr>
            <w:tcW w:w="4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4,162.5</w:t>
            </w:r>
          </w:p>
        </w:tc>
        <w:tc>
          <w:tcPr>
            <w:tcW w:w="4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101.2</w:t>
            </w:r>
          </w:p>
        </w:tc>
        <w:tc>
          <w:tcPr>
            <w:tcW w:w="3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4,263.7</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3,735.3</w:t>
            </w:r>
          </w:p>
        </w:tc>
        <w:tc>
          <w:tcPr>
            <w:tcW w:w="4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57.1</w:t>
            </w: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3,792.4</w:t>
            </w:r>
          </w:p>
        </w:tc>
      </w:tr>
      <w:tr>
        <w:trPr>
          <w:trHeight w:val="169"/>
        </w:trPr>
        <w:tc>
          <w:tcPr>
            <w:tcW w:w="4160" w:type="dxa"/>
            <w:vAlign w:val="bottom"/>
          </w:tcPr>
          <w:p>
            <w:pPr>
              <w:ind w:left="20"/>
              <w:spacing w:after="0"/>
              <w:rPr>
                <w:sz w:val="20"/>
                <w:szCs w:val="20"/>
                <w:color w:val="auto"/>
              </w:rPr>
            </w:pPr>
            <w:r>
              <w:rPr>
                <w:rFonts w:ascii="Arial" w:cs="Arial" w:eastAsia="Arial" w:hAnsi="Arial"/>
                <w:sz w:val="14"/>
                <w:szCs w:val="14"/>
                <w:color w:val="auto"/>
              </w:rPr>
              <w:t>Southern Europe: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5"/>
        </w:trPr>
        <w:tc>
          <w:tcPr>
            <w:tcW w:w="4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France</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5,122.4</w:t>
            </w:r>
          </w:p>
        </w:tc>
        <w:tc>
          <w:tcPr>
            <w:tcW w:w="4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48.9</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5,171.3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4,301.8</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36.3</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4,338.1</w:t>
            </w:r>
          </w:p>
        </w:tc>
      </w:tr>
      <w:tr>
        <w:trPr>
          <w:trHeight w:val="175"/>
        </w:trPr>
        <w:tc>
          <w:tcPr>
            <w:tcW w:w="4160" w:type="dxa"/>
            <w:vAlign w:val="bottom"/>
          </w:tcPr>
          <w:p>
            <w:pPr>
              <w:ind w:left="200"/>
              <w:spacing w:after="0"/>
              <w:rPr>
                <w:sz w:val="20"/>
                <w:szCs w:val="20"/>
                <w:color w:val="auto"/>
              </w:rPr>
            </w:pPr>
            <w:r>
              <w:rPr>
                <w:rFonts w:ascii="Arial" w:cs="Arial" w:eastAsia="Arial" w:hAnsi="Arial"/>
                <w:sz w:val="14"/>
                <w:szCs w:val="14"/>
                <w:color w:val="auto"/>
              </w:rPr>
              <w:t>Italy</w:t>
            </w:r>
          </w:p>
        </w:tc>
        <w:tc>
          <w:tcPr>
            <w:tcW w:w="3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1,752.8</w:t>
            </w:r>
          </w:p>
        </w:tc>
        <w:tc>
          <w:tcPr>
            <w:tcW w:w="4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42.6</w:t>
            </w:r>
          </w:p>
        </w:tc>
        <w:tc>
          <w:tcPr>
            <w:tcW w:w="3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1,795.4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1,345.4</w:t>
            </w:r>
          </w:p>
        </w:tc>
        <w:tc>
          <w:tcPr>
            <w:tcW w:w="4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1,370.7</w:t>
            </w:r>
          </w:p>
        </w:tc>
      </w:tr>
      <w:tr>
        <w:trPr>
          <w:trHeight w:val="175"/>
        </w:trPr>
        <w:tc>
          <w:tcPr>
            <w:tcW w:w="4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Southern Europe</w:t>
            </w:r>
          </w:p>
        </w:tc>
        <w:tc>
          <w:tcPr>
            <w:tcW w:w="3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2,337.1</w:t>
            </w:r>
          </w:p>
        </w:tc>
        <w:tc>
          <w:tcPr>
            <w:tcW w:w="4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43.0</w:t>
            </w:r>
          </w:p>
        </w:tc>
        <w:tc>
          <w:tcPr>
            <w:tcW w:w="3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2,380.1</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2,113.0</w:t>
            </w:r>
          </w:p>
        </w:tc>
        <w:tc>
          <w:tcPr>
            <w:tcW w:w="4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33.4</w:t>
            </w:r>
          </w:p>
        </w:tc>
        <w:tc>
          <w:tcPr>
            <w:tcW w:w="3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2,146.4</w:t>
            </w:r>
          </w:p>
        </w:tc>
      </w:tr>
      <w:tr>
        <w:trPr>
          <w:trHeight w:val="169"/>
        </w:trPr>
        <w:tc>
          <w:tcPr>
            <w:tcW w:w="4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9,212.3</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134.5</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9,346.8</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7,760.2</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95.0</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7,855.2</w:t>
            </w:r>
          </w:p>
        </w:tc>
      </w:tr>
      <w:tr>
        <w:trPr>
          <w:trHeight w:val="169"/>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Northern Europe</w:t>
            </w: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4,545.0</w:t>
            </w:r>
          </w:p>
        </w:tc>
        <w:tc>
          <w:tcPr>
            <w:tcW w:w="4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125.5</w:t>
            </w: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4,670.5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3,889.2</w:t>
            </w:r>
          </w:p>
        </w:tc>
        <w:tc>
          <w:tcPr>
            <w:tcW w:w="4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87.5</w:t>
            </w: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3,976.7</w:t>
            </w: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APME</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2,401.1</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2,481.1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2,310.0</w:t>
            </w: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66.7</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2,376.7</w:t>
            </w:r>
          </w:p>
        </w:tc>
      </w:tr>
      <w:tr>
        <w:trPr>
          <w:trHeight w:val="169"/>
        </w:trPr>
        <w:tc>
          <w:tcPr>
            <w:tcW w:w="4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20,320.9</w:t>
            </w:r>
          </w:p>
        </w:tc>
        <w:tc>
          <w:tcPr>
            <w:tcW w:w="4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441.2</w:t>
            </w:r>
          </w:p>
        </w:tc>
        <w:tc>
          <w:tcPr>
            <w:tcW w:w="3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20,762.1</w:t>
            </w:r>
          </w:p>
        </w:tc>
        <w:tc>
          <w:tcPr>
            <w:tcW w:w="10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17,694.7</w:t>
            </w:r>
          </w:p>
        </w:tc>
        <w:tc>
          <w:tcPr>
            <w:tcW w:w="4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306.3</w:t>
            </w:r>
          </w:p>
        </w:tc>
        <w:tc>
          <w:tcPr>
            <w:tcW w:w="3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18,001.0</w:t>
            </w:r>
          </w:p>
        </w:tc>
      </w:tr>
      <w:tr>
        <w:trPr>
          <w:trHeight w:val="169"/>
        </w:trPr>
        <w:tc>
          <w:tcPr>
            <w:tcW w:w="4160" w:type="dxa"/>
            <w:vAlign w:val="bottom"/>
          </w:tcPr>
          <w:p>
            <w:pPr>
              <w:ind w:left="20"/>
              <w:spacing w:after="0"/>
              <w:rPr>
                <w:sz w:val="20"/>
                <w:szCs w:val="20"/>
                <w:color w:val="auto"/>
              </w:rPr>
            </w:pPr>
            <w:r>
              <w:rPr>
                <w:rFonts w:ascii="Arial" w:cs="Arial" w:eastAsia="Arial" w:hAnsi="Arial"/>
                <w:sz w:val="14"/>
                <w:szCs w:val="14"/>
                <w:color w:val="auto"/>
              </w:rPr>
              <w:t>Intercompany Eliminations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20,724.4</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-1188085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-733425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71" w:name="page72"/>
    <w:bookmarkEnd w:id="71"/>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2021, 2020 and 2019, we recognized $36.8, $24.2 and $26.3, respectively, in share-based compensation expense related to stock options, deferred stock, restricted stock and performance share units, all of which is recorded in selling and administrative expenses. Consideration received from share-based awards for 2021, 2020 and 2019 was $5.1, $7.4 and $7.0, respectively. The income tax benefit recognized during 2021, 2020 and 2019 was $1.6, $1.7 and $1.8, respectively, for the United States share-based compensation and $1.6, $1.3 and $1.3, respectively, for non-United States share-based compensation. We recognize compensation expense on grants of share-based compensation awards on a straight-line basis over the vesting period of each award.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share-based compensation is granted under the 2011 Equity Incentive Plan of ManpowerGroup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2021 or 2020. A summary of stock option activity is as follows:</w:t>
      </w: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color w:val="auto"/>
              </w:rPr>
              <w:t>Wtd. Avg.</w:t>
            </w:r>
          </w:p>
        </w:tc>
        <w:tc>
          <w:tcPr>
            <w:tcW w:w="1380" w:type="dxa"/>
            <w:vAlign w:val="bottom"/>
          </w:tcPr>
          <w:p>
            <w:pPr>
              <w:jc w:val="right"/>
              <w:ind w:right="110"/>
              <w:spacing w:after="0" w:line="162" w:lineRule="exact"/>
              <w:rPr>
                <w:sz w:val="20"/>
                <w:szCs w:val="20"/>
                <w:color w:val="auto"/>
              </w:rPr>
            </w:pPr>
            <w:r>
              <w:rPr>
                <w:rFonts w:ascii="Arial" w:cs="Arial" w:eastAsia="Arial" w:hAnsi="Arial"/>
                <w:sz w:val="18"/>
                <w:szCs w:val="18"/>
                <w:color w:val="auto"/>
              </w:rPr>
              <w:t>Wtd. Avg.</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2700" w:type="dxa"/>
            <w:vAlign w:val="bottom"/>
            <w:vMerge w:val="restart"/>
          </w:tcPr>
          <w:p>
            <w:pPr>
              <w:jc w:val="right"/>
              <w:ind w:right="170"/>
              <w:spacing w:after="0"/>
              <w:rPr>
                <w:sz w:val="20"/>
                <w:szCs w:val="20"/>
                <w:color w:val="auto"/>
              </w:rPr>
            </w:pPr>
            <w:r>
              <w:rPr>
                <w:rFonts w:ascii="Arial" w:cs="Arial" w:eastAsia="Arial" w:hAnsi="Arial"/>
                <w:sz w:val="18"/>
                <w:szCs w:val="18"/>
                <w:color w:val="auto"/>
              </w:rPr>
              <w:t>Shares</w:t>
            </w:r>
          </w:p>
        </w:tc>
        <w:tc>
          <w:tcPr>
            <w:tcW w:w="1520" w:type="dxa"/>
            <w:vAlign w:val="bottom"/>
            <w:vMerge w:val="continue"/>
          </w:tcPr>
          <w:p>
            <w:pPr>
              <w:spacing w:after="0"/>
              <w:rPr>
                <w:sz w:val="15"/>
                <w:szCs w:val="15"/>
                <w:color w:val="auto"/>
              </w:rPr>
            </w:pPr>
          </w:p>
        </w:tc>
        <w:tc>
          <w:tcPr>
            <w:tcW w:w="13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Remaining</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15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Exercise Price</w:t>
            </w:r>
          </w:p>
        </w:tc>
        <w:tc>
          <w:tcPr>
            <w:tcW w:w="13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Contractual</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Intrinsic Value</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(000)</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Per Share</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Term (years)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Outstanding, January 1, 2019</w:t>
            </w:r>
          </w:p>
        </w:tc>
        <w:tc>
          <w:tcPr>
            <w:tcW w:w="27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672</w:t>
            </w:r>
          </w:p>
        </w:tc>
        <w:tc>
          <w:tcPr>
            <w:tcW w:w="1520" w:type="dxa"/>
            <w:vAlign w:val="bottom"/>
            <w:shd w:val="clear" w:color="auto" w:fill="CFF0FC"/>
          </w:tcPr>
          <w:p>
            <w:pPr>
              <w:jc w:val="center"/>
              <w:ind w:left="630"/>
              <w:spacing w:after="0" w:line="196" w:lineRule="exact"/>
              <w:rPr>
                <w:sz w:val="20"/>
                <w:szCs w:val="20"/>
                <w:color w:val="auto"/>
              </w:rPr>
            </w:pPr>
            <w:r>
              <w:rPr>
                <w:rFonts w:ascii="Arial" w:cs="Arial" w:eastAsia="Arial" w:hAnsi="Arial"/>
                <w:sz w:val="18"/>
                <w:szCs w:val="18"/>
                <w:color w:val="auto"/>
                <w:w w:val="93"/>
              </w:rPr>
              <w:t>$85</w:t>
            </w:r>
          </w:p>
        </w:tc>
        <w:tc>
          <w:tcPr>
            <w:tcW w:w="1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2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174</w:t>
            </w:r>
          </w:p>
        </w:tc>
        <w:tc>
          <w:tcPr>
            <w:tcW w:w="152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9"/>
              </w:rPr>
              <w:t>84</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Exercised</w:t>
            </w:r>
          </w:p>
        </w:tc>
        <w:tc>
          <w:tcPr>
            <w:tcW w:w="270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(79)</w:t>
            </w:r>
          </w:p>
        </w:tc>
        <w:tc>
          <w:tcPr>
            <w:tcW w:w="1520" w:type="dxa"/>
            <w:vAlign w:val="bottom"/>
            <w:shd w:val="clear" w:color="auto" w:fill="CFF0FC"/>
          </w:tcPr>
          <w:p>
            <w:pPr>
              <w:jc w:val="center"/>
              <w:ind w:left="650"/>
              <w:spacing w:after="0" w:line="202" w:lineRule="exact"/>
              <w:rPr>
                <w:sz w:val="20"/>
                <w:szCs w:val="20"/>
                <w:color w:val="auto"/>
              </w:rPr>
            </w:pPr>
            <w:r>
              <w:rPr>
                <w:rFonts w:ascii="Arial" w:cs="Arial" w:eastAsia="Arial" w:hAnsi="Arial"/>
                <w:sz w:val="18"/>
                <w:szCs w:val="18"/>
                <w:color w:val="auto"/>
                <w:w w:val="89"/>
              </w:rPr>
              <w:t>65</w:t>
            </w:r>
          </w:p>
        </w:tc>
        <w:tc>
          <w:tcPr>
            <w:tcW w:w="1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380" w:type="dxa"/>
            <w:vAlign w:val="bottom"/>
          </w:tcPr>
          <w:p>
            <w:pPr>
              <w:ind w:left="120"/>
              <w:spacing w:after="0"/>
              <w:rPr>
                <w:sz w:val="20"/>
                <w:szCs w:val="20"/>
                <w:color w:val="auto"/>
              </w:rPr>
            </w:pPr>
            <w:r>
              <w:rPr>
                <w:rFonts w:ascii="Arial" w:cs="Arial" w:eastAsia="Arial" w:hAnsi="Arial"/>
                <w:sz w:val="18"/>
                <w:szCs w:val="18"/>
                <w:color w:val="auto"/>
              </w:rPr>
              <w:t>Expired or cancelled</w:t>
            </w:r>
          </w:p>
        </w:tc>
        <w:tc>
          <w:tcPr>
            <w:tcW w:w="2700" w:type="dxa"/>
            <w:vAlign w:val="bottom"/>
            <w:vMerge w:val="restart"/>
          </w:tcPr>
          <w:p>
            <w:pPr>
              <w:jc w:val="right"/>
              <w:ind w:right="130"/>
              <w:spacing w:after="0"/>
              <w:rPr>
                <w:sz w:val="20"/>
                <w:szCs w:val="20"/>
                <w:color w:val="auto"/>
              </w:rPr>
            </w:pPr>
            <w:r>
              <w:rPr>
                <w:rFonts w:ascii="Arial" w:cs="Arial" w:eastAsia="Arial" w:hAnsi="Arial"/>
                <w:sz w:val="18"/>
                <w:szCs w:val="18"/>
                <w:color w:val="auto"/>
              </w:rPr>
              <w:t>(44</w:t>
            </w: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438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1520" w:type="dxa"/>
            <w:vAlign w:val="bottom"/>
            <w:vMerge w:val="restart"/>
          </w:tcPr>
          <w:p>
            <w:pPr>
              <w:jc w:val="center"/>
              <w:ind w:left="650"/>
              <w:spacing w:after="0"/>
              <w:rPr>
                <w:sz w:val="20"/>
                <w:szCs w:val="20"/>
                <w:color w:val="auto"/>
              </w:rPr>
            </w:pPr>
            <w:r>
              <w:rPr>
                <w:rFonts w:ascii="Arial" w:cs="Arial" w:eastAsia="Arial" w:hAnsi="Arial"/>
                <w:sz w:val="18"/>
                <w:szCs w:val="18"/>
                <w:color w:val="auto"/>
                <w:w w:val="89"/>
              </w:rPr>
              <w:t>91</w:t>
            </w:r>
          </w:p>
        </w:tc>
        <w:tc>
          <w:tcPr>
            <w:tcW w:w="1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December 31, 2019</w:t>
            </w:r>
          </w:p>
        </w:tc>
        <w:tc>
          <w:tcPr>
            <w:tcW w:w="27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723</w:t>
            </w:r>
          </w:p>
        </w:tc>
        <w:tc>
          <w:tcPr>
            <w:tcW w:w="1520" w:type="dxa"/>
            <w:vAlign w:val="bottom"/>
            <w:tcBorders>
              <w:bottom w:val="single" w:sz="8" w:color="auto"/>
            </w:tcBorders>
            <w:shd w:val="clear" w:color="auto" w:fill="CFF0FC"/>
          </w:tcPr>
          <w:p>
            <w:pPr>
              <w:jc w:val="center"/>
              <w:ind w:left="630"/>
              <w:spacing w:after="0" w:line="196" w:lineRule="exact"/>
              <w:rPr>
                <w:sz w:val="20"/>
                <w:szCs w:val="20"/>
                <w:color w:val="auto"/>
              </w:rPr>
            </w:pPr>
            <w:r>
              <w:rPr>
                <w:rFonts w:ascii="Arial" w:cs="Arial" w:eastAsia="Arial" w:hAnsi="Arial"/>
                <w:sz w:val="18"/>
                <w:szCs w:val="18"/>
                <w:color w:val="auto"/>
                <w:w w:val="93"/>
              </w:rPr>
              <w:t>$87</w:t>
            </w:r>
          </w:p>
        </w:tc>
        <w:tc>
          <w:tcPr>
            <w:tcW w:w="138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6.1</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Exercisable, December 31, 2019</w:t>
            </w:r>
          </w:p>
        </w:tc>
        <w:tc>
          <w:tcPr>
            <w:tcW w:w="2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426</w:t>
            </w:r>
          </w:p>
        </w:tc>
        <w:tc>
          <w:tcPr>
            <w:tcW w:w="1520" w:type="dxa"/>
            <w:vAlign w:val="bottom"/>
            <w:tcBorders>
              <w:bottom w:val="single" w:sz="8" w:color="auto"/>
            </w:tcBorders>
          </w:tcPr>
          <w:p>
            <w:pPr>
              <w:jc w:val="center"/>
              <w:ind w:left="630"/>
              <w:spacing w:after="0" w:line="196" w:lineRule="exact"/>
              <w:rPr>
                <w:sz w:val="20"/>
                <w:szCs w:val="20"/>
                <w:color w:val="auto"/>
              </w:rPr>
            </w:pPr>
            <w:r>
              <w:rPr>
                <w:rFonts w:ascii="Arial" w:cs="Arial" w:eastAsia="Arial" w:hAnsi="Arial"/>
                <w:sz w:val="18"/>
                <w:szCs w:val="18"/>
                <w:color w:val="auto"/>
                <w:w w:val="93"/>
              </w:rPr>
              <w:t>$82</w:t>
            </w:r>
          </w:p>
        </w:tc>
        <w:tc>
          <w:tcPr>
            <w:tcW w:w="13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4.5</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January 1, 2020</w:t>
            </w:r>
          </w:p>
        </w:tc>
        <w:tc>
          <w:tcPr>
            <w:tcW w:w="27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723</w:t>
            </w:r>
          </w:p>
        </w:tc>
        <w:tc>
          <w:tcPr>
            <w:tcW w:w="1520" w:type="dxa"/>
            <w:vAlign w:val="bottom"/>
            <w:shd w:val="clear" w:color="auto" w:fill="CFF0FC"/>
          </w:tcPr>
          <w:p>
            <w:pPr>
              <w:jc w:val="center"/>
              <w:ind w:left="630"/>
              <w:spacing w:after="0" w:line="196" w:lineRule="exact"/>
              <w:rPr>
                <w:sz w:val="20"/>
                <w:szCs w:val="20"/>
                <w:color w:val="auto"/>
              </w:rPr>
            </w:pPr>
            <w:r>
              <w:rPr>
                <w:rFonts w:ascii="Arial" w:cs="Arial" w:eastAsia="Arial" w:hAnsi="Arial"/>
                <w:sz w:val="18"/>
                <w:szCs w:val="18"/>
                <w:color w:val="auto"/>
                <w:w w:val="93"/>
              </w:rPr>
              <w:t>$87</w:t>
            </w:r>
          </w:p>
        </w:tc>
        <w:tc>
          <w:tcPr>
            <w:tcW w:w="1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2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156</w:t>
            </w:r>
          </w:p>
        </w:tc>
        <w:tc>
          <w:tcPr>
            <w:tcW w:w="152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9"/>
              </w:rPr>
              <w:t>93</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Exercised</w:t>
            </w:r>
          </w:p>
        </w:tc>
        <w:tc>
          <w:tcPr>
            <w:tcW w:w="270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(90)</w:t>
            </w:r>
          </w:p>
        </w:tc>
        <w:tc>
          <w:tcPr>
            <w:tcW w:w="1520" w:type="dxa"/>
            <w:vAlign w:val="bottom"/>
            <w:shd w:val="clear" w:color="auto" w:fill="CFF0FC"/>
          </w:tcPr>
          <w:p>
            <w:pPr>
              <w:jc w:val="center"/>
              <w:ind w:left="650"/>
              <w:spacing w:after="0" w:line="202" w:lineRule="exact"/>
              <w:rPr>
                <w:sz w:val="20"/>
                <w:szCs w:val="20"/>
                <w:color w:val="auto"/>
              </w:rPr>
            </w:pPr>
            <w:r>
              <w:rPr>
                <w:rFonts w:ascii="Arial" w:cs="Arial" w:eastAsia="Arial" w:hAnsi="Arial"/>
                <w:sz w:val="18"/>
                <w:szCs w:val="18"/>
                <w:color w:val="auto"/>
                <w:w w:val="89"/>
              </w:rPr>
              <w:t>59</w:t>
            </w:r>
          </w:p>
        </w:tc>
        <w:tc>
          <w:tcPr>
            <w:tcW w:w="1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438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Expired or cancelled</w:t>
            </w:r>
          </w:p>
        </w:tc>
        <w:tc>
          <w:tcPr>
            <w:tcW w:w="27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jc w:val="center"/>
              <w:ind w:left="650"/>
              <w:spacing w:after="0" w:line="202" w:lineRule="exact"/>
              <w:rPr>
                <w:sz w:val="20"/>
                <w:szCs w:val="20"/>
                <w:color w:val="auto"/>
              </w:rPr>
            </w:pPr>
            <w:r>
              <w:rPr>
                <w:rFonts w:ascii="Arial" w:cs="Arial" w:eastAsia="Arial" w:hAnsi="Arial"/>
                <w:sz w:val="18"/>
                <w:szCs w:val="18"/>
                <w:color w:val="auto"/>
                <w:w w:val="89"/>
              </w:rPr>
              <w:t>54</w:t>
            </w:r>
          </w:p>
        </w:tc>
        <w:tc>
          <w:tcPr>
            <w:tcW w:w="1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December 31, 2020</w:t>
            </w:r>
          </w:p>
        </w:tc>
        <w:tc>
          <w:tcPr>
            <w:tcW w:w="27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788</w:t>
            </w:r>
          </w:p>
        </w:tc>
        <w:tc>
          <w:tcPr>
            <w:tcW w:w="1520" w:type="dxa"/>
            <w:vAlign w:val="bottom"/>
            <w:tcBorders>
              <w:bottom w:val="single" w:sz="8" w:color="auto"/>
            </w:tcBorders>
            <w:shd w:val="clear" w:color="auto" w:fill="CFF0FC"/>
          </w:tcPr>
          <w:p>
            <w:pPr>
              <w:jc w:val="center"/>
              <w:ind w:left="630"/>
              <w:spacing w:after="0" w:line="196" w:lineRule="exact"/>
              <w:rPr>
                <w:sz w:val="20"/>
                <w:szCs w:val="20"/>
                <w:color w:val="auto"/>
              </w:rPr>
            </w:pPr>
            <w:r>
              <w:rPr>
                <w:rFonts w:ascii="Arial" w:cs="Arial" w:eastAsia="Arial" w:hAnsi="Arial"/>
                <w:sz w:val="18"/>
                <w:szCs w:val="18"/>
                <w:color w:val="auto"/>
                <w:w w:val="93"/>
              </w:rPr>
              <w:t>$91</w:t>
            </w:r>
          </w:p>
        </w:tc>
        <w:tc>
          <w:tcPr>
            <w:tcW w:w="138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6.2</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Exercisable, December 31, 2020</w:t>
            </w:r>
          </w:p>
        </w:tc>
        <w:tc>
          <w:tcPr>
            <w:tcW w:w="2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455</w:t>
            </w:r>
          </w:p>
        </w:tc>
        <w:tc>
          <w:tcPr>
            <w:tcW w:w="1520" w:type="dxa"/>
            <w:vAlign w:val="bottom"/>
            <w:tcBorders>
              <w:bottom w:val="single" w:sz="8" w:color="auto"/>
            </w:tcBorders>
          </w:tcPr>
          <w:p>
            <w:pPr>
              <w:jc w:val="center"/>
              <w:ind w:left="630"/>
              <w:spacing w:after="0" w:line="196" w:lineRule="exact"/>
              <w:rPr>
                <w:sz w:val="20"/>
                <w:szCs w:val="20"/>
                <w:color w:val="auto"/>
              </w:rPr>
            </w:pPr>
            <w:r>
              <w:rPr>
                <w:rFonts w:ascii="Arial" w:cs="Arial" w:eastAsia="Arial" w:hAnsi="Arial"/>
                <w:sz w:val="18"/>
                <w:szCs w:val="18"/>
                <w:color w:val="auto"/>
                <w:w w:val="93"/>
              </w:rPr>
              <w:t>$90</w:t>
            </w:r>
          </w:p>
        </w:tc>
        <w:tc>
          <w:tcPr>
            <w:tcW w:w="13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4.5</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January 1, 2021</w:t>
            </w:r>
          </w:p>
        </w:tc>
        <w:tc>
          <w:tcPr>
            <w:tcW w:w="27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788</w:t>
            </w:r>
          </w:p>
        </w:tc>
        <w:tc>
          <w:tcPr>
            <w:tcW w:w="1520" w:type="dxa"/>
            <w:vAlign w:val="bottom"/>
            <w:shd w:val="clear" w:color="auto" w:fill="CFF0FC"/>
          </w:tcPr>
          <w:p>
            <w:pPr>
              <w:jc w:val="center"/>
              <w:ind w:left="630"/>
              <w:spacing w:after="0" w:line="196" w:lineRule="exact"/>
              <w:rPr>
                <w:sz w:val="20"/>
                <w:szCs w:val="20"/>
                <w:color w:val="auto"/>
              </w:rPr>
            </w:pPr>
            <w:r>
              <w:rPr>
                <w:rFonts w:ascii="Arial" w:cs="Arial" w:eastAsia="Arial" w:hAnsi="Arial"/>
                <w:sz w:val="18"/>
                <w:szCs w:val="18"/>
                <w:color w:val="auto"/>
                <w:w w:val="93"/>
              </w:rPr>
              <w:t>$91</w:t>
            </w:r>
          </w:p>
        </w:tc>
        <w:tc>
          <w:tcPr>
            <w:tcW w:w="1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27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130</w:t>
            </w:r>
          </w:p>
        </w:tc>
        <w:tc>
          <w:tcPr>
            <w:tcW w:w="152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89"/>
              </w:rPr>
              <w:t>92</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Exercised</w:t>
            </w:r>
          </w:p>
        </w:tc>
        <w:tc>
          <w:tcPr>
            <w:tcW w:w="270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(38)</w:t>
            </w:r>
          </w:p>
        </w:tc>
        <w:tc>
          <w:tcPr>
            <w:tcW w:w="1520" w:type="dxa"/>
            <w:vAlign w:val="bottom"/>
            <w:shd w:val="clear" w:color="auto" w:fill="CFF0FC"/>
          </w:tcPr>
          <w:p>
            <w:pPr>
              <w:jc w:val="center"/>
              <w:ind w:left="650"/>
              <w:spacing w:after="0" w:line="202" w:lineRule="exact"/>
              <w:rPr>
                <w:sz w:val="20"/>
                <w:szCs w:val="20"/>
                <w:color w:val="auto"/>
              </w:rPr>
            </w:pPr>
            <w:r>
              <w:rPr>
                <w:rFonts w:ascii="Arial" w:cs="Arial" w:eastAsia="Arial" w:hAnsi="Arial"/>
                <w:sz w:val="18"/>
                <w:szCs w:val="18"/>
                <w:color w:val="auto"/>
                <w:w w:val="89"/>
              </w:rPr>
              <w:t>93</w:t>
            </w:r>
          </w:p>
        </w:tc>
        <w:tc>
          <w:tcPr>
            <w:tcW w:w="1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Expired or cancelled</w:t>
            </w:r>
          </w:p>
        </w:tc>
        <w:tc>
          <w:tcPr>
            <w:tcW w:w="27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(28)</w:t>
            </w:r>
          </w:p>
        </w:tc>
        <w:tc>
          <w:tcPr>
            <w:tcW w:w="15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123</w:t>
            </w:r>
          </w:p>
        </w:tc>
        <w:tc>
          <w:tcPr>
            <w:tcW w:w="1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December 31, 2021</w:t>
            </w:r>
          </w:p>
        </w:tc>
        <w:tc>
          <w:tcPr>
            <w:tcW w:w="270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852</w:t>
            </w:r>
          </w:p>
        </w:tc>
        <w:tc>
          <w:tcPr>
            <w:tcW w:w="1520" w:type="dxa"/>
            <w:vAlign w:val="bottom"/>
            <w:tcBorders>
              <w:bottom w:val="single" w:sz="8" w:color="auto"/>
            </w:tcBorders>
            <w:shd w:val="clear" w:color="auto" w:fill="CFF0FC"/>
          </w:tcPr>
          <w:p>
            <w:pPr>
              <w:jc w:val="center"/>
              <w:ind w:left="630"/>
              <w:spacing w:after="0" w:line="196" w:lineRule="exact"/>
              <w:rPr>
                <w:sz w:val="20"/>
                <w:szCs w:val="20"/>
                <w:color w:val="auto"/>
              </w:rPr>
            </w:pPr>
            <w:r>
              <w:rPr>
                <w:rFonts w:ascii="Arial" w:cs="Arial" w:eastAsia="Arial" w:hAnsi="Arial"/>
                <w:sz w:val="18"/>
                <w:szCs w:val="18"/>
                <w:color w:val="auto"/>
                <w:w w:val="93"/>
              </w:rPr>
              <w:t>$90</w:t>
            </w:r>
          </w:p>
        </w:tc>
        <w:tc>
          <w:tcPr>
            <w:tcW w:w="138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6.1</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Exercisable, December 31, 2021</w:t>
            </w:r>
          </w:p>
        </w:tc>
        <w:tc>
          <w:tcPr>
            <w:tcW w:w="2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510</w:t>
            </w:r>
          </w:p>
        </w:tc>
        <w:tc>
          <w:tcPr>
            <w:tcW w:w="1520" w:type="dxa"/>
            <w:vAlign w:val="bottom"/>
            <w:tcBorders>
              <w:bottom w:val="single" w:sz="8" w:color="auto"/>
            </w:tcBorders>
          </w:tcPr>
          <w:p>
            <w:pPr>
              <w:jc w:val="center"/>
              <w:ind w:left="630"/>
              <w:spacing w:after="0" w:line="196" w:lineRule="exact"/>
              <w:rPr>
                <w:sz w:val="20"/>
                <w:szCs w:val="20"/>
                <w:color w:val="auto"/>
              </w:rPr>
            </w:pPr>
            <w:r>
              <w:rPr>
                <w:rFonts w:ascii="Arial" w:cs="Arial" w:eastAsia="Arial" w:hAnsi="Arial"/>
                <w:sz w:val="18"/>
                <w:szCs w:val="18"/>
                <w:color w:val="auto"/>
                <w:w w:val="93"/>
              </w:rPr>
              <w:t>$89</w:t>
            </w:r>
          </w:p>
        </w:tc>
        <w:tc>
          <w:tcPr>
            <w:tcW w:w="13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4.8</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w w:val="90"/>
              </w:rPr>
              <w:t>Options outstanding and exercisable as of December 31, 2021 were as follows:</w:t>
            </w:r>
          </w:p>
        </w:tc>
        <w:tc>
          <w:tcPr>
            <w:tcW w:w="1120" w:type="dxa"/>
            <w:vAlign w:val="bottom"/>
          </w:tcPr>
          <w:p>
            <w:pPr>
              <w:spacing w:after="0"/>
              <w:rPr>
                <w:sz w:val="20"/>
                <w:szCs w:val="20"/>
                <w:color w:val="auto"/>
              </w:rPr>
            </w:pPr>
          </w:p>
        </w:tc>
        <w:tc>
          <w:tcPr>
            <w:tcW w:w="2180" w:type="dxa"/>
            <w:vAlign w:val="bottom"/>
            <w:gridSpan w:val="2"/>
            <w:vMerge w:val="restart"/>
          </w:tcPr>
          <w:p>
            <w:pPr>
              <w:jc w:val="right"/>
              <w:spacing w:after="0"/>
              <w:rPr>
                <w:sz w:val="20"/>
                <w:szCs w:val="20"/>
                <w:color w:val="auto"/>
              </w:rPr>
            </w:pPr>
            <w:r>
              <w:rPr>
                <w:rFonts w:ascii="Arial" w:cs="Arial" w:eastAsia="Arial" w:hAnsi="Arial"/>
                <w:sz w:val="18"/>
                <w:szCs w:val="18"/>
                <w:color w:val="auto"/>
              </w:rPr>
              <w:t>Options Outstanding</w:t>
            </w:r>
          </w:p>
        </w:tc>
        <w:tc>
          <w:tcPr>
            <w:tcW w:w="120" w:type="dxa"/>
            <w:vAlign w:val="bottom"/>
          </w:tcPr>
          <w:p>
            <w:pPr>
              <w:spacing w:after="0"/>
              <w:rPr>
                <w:sz w:val="20"/>
                <w:szCs w:val="20"/>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jc w:val="right"/>
              <w:ind w:right="90"/>
              <w:spacing w:after="0" w:line="156" w:lineRule="exact"/>
              <w:rPr>
                <w:sz w:val="20"/>
                <w:szCs w:val="20"/>
                <w:color w:val="auto"/>
              </w:rPr>
            </w:pPr>
            <w:r>
              <w:rPr>
                <w:rFonts w:ascii="Arial" w:cs="Arial" w:eastAsia="Arial" w:hAnsi="Arial"/>
                <w:sz w:val="18"/>
                <w:szCs w:val="18"/>
                <w:color w:val="auto"/>
              </w:rPr>
              <w:t>Weighted-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Weighted-</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176"/>
        </w:trPr>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right"/>
              <w:ind w:right="90"/>
              <w:spacing w:after="0" w:line="176" w:lineRule="exact"/>
              <w:rPr>
                <w:sz w:val="20"/>
                <w:szCs w:val="20"/>
                <w:color w:val="auto"/>
              </w:rPr>
            </w:pPr>
            <w:r>
              <w:rPr>
                <w:rFonts w:ascii="Arial" w:cs="Arial" w:eastAsia="Arial" w:hAnsi="Arial"/>
                <w:sz w:val="18"/>
                <w:szCs w:val="18"/>
                <w:color w:val="auto"/>
              </w:rPr>
              <w:t>Average</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right"/>
              <w:ind w:right="90"/>
              <w:spacing w:after="0" w:line="176" w:lineRule="exact"/>
              <w:rPr>
                <w:sz w:val="20"/>
                <w:szCs w:val="20"/>
                <w:color w:val="auto"/>
              </w:rPr>
            </w:pPr>
            <w:r>
              <w:rPr>
                <w:rFonts w:ascii="Arial" w:cs="Arial" w:eastAsia="Arial" w:hAnsi="Arial"/>
                <w:sz w:val="18"/>
                <w:szCs w:val="18"/>
                <w:color w:val="auto"/>
              </w:rPr>
              <w:t>Remaining</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5"/>
                <w:szCs w:val="15"/>
                <w:color w:val="auto"/>
              </w:rPr>
            </w:pPr>
          </w:p>
        </w:tc>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rPr>
              <w:t>Shares</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175"/>
        </w:trPr>
        <w:tc>
          <w:tcPr>
            <w:tcW w:w="572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Exercise Price</w:t>
            </w: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color w:val="auto"/>
                <w:w w:val="86"/>
              </w:rPr>
              <w:t>Shares (000)</w:t>
            </w:r>
          </w:p>
        </w:tc>
        <w:tc>
          <w:tcPr>
            <w:tcW w:w="1240" w:type="dxa"/>
            <w:vAlign w:val="bottom"/>
          </w:tcPr>
          <w:p>
            <w:pPr>
              <w:jc w:val="right"/>
              <w:ind w:right="90"/>
              <w:spacing w:after="0" w:line="176" w:lineRule="exact"/>
              <w:rPr>
                <w:sz w:val="20"/>
                <w:szCs w:val="20"/>
                <w:color w:val="auto"/>
              </w:rPr>
            </w:pPr>
            <w:r>
              <w:rPr>
                <w:rFonts w:ascii="Arial" w:cs="Arial" w:eastAsia="Arial" w:hAnsi="Arial"/>
                <w:sz w:val="18"/>
                <w:szCs w:val="18"/>
                <w:color w:val="auto"/>
              </w:rPr>
              <w:t>Contractual</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Exercise</w:t>
            </w: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auto"/>
            </w:tcBorders>
            <w:gridSpan w:val="2"/>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Life (years)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Price</w:t>
            </w:r>
          </w:p>
        </w:tc>
        <w:tc>
          <w:tcPr>
            <w:tcW w:w="1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(000)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$75-$80</w:t>
            </w: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200</w:t>
            </w:r>
          </w:p>
        </w:tc>
        <w:tc>
          <w:tcPr>
            <w:tcW w:w="12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3.3</w:t>
            </w:r>
          </w:p>
        </w:tc>
        <w:tc>
          <w:tcPr>
            <w:tcW w:w="940" w:type="dxa"/>
            <w:vAlign w:val="bottom"/>
            <w:shd w:val="clear" w:color="auto" w:fill="CFF0FC"/>
          </w:tcPr>
          <w:p>
            <w:pPr>
              <w:jc w:val="center"/>
              <w:ind w:left="570"/>
              <w:spacing w:after="0" w:line="196" w:lineRule="exact"/>
              <w:rPr>
                <w:sz w:val="20"/>
                <w:szCs w:val="20"/>
                <w:color w:val="auto"/>
              </w:rPr>
            </w:pPr>
            <w:r>
              <w:rPr>
                <w:rFonts w:ascii="Arial" w:cs="Arial" w:eastAsia="Arial" w:hAnsi="Arial"/>
                <w:sz w:val="18"/>
                <w:szCs w:val="18"/>
                <w:color w:val="auto"/>
                <w:w w:val="93"/>
              </w:rPr>
              <w:t>$76</w:t>
            </w:r>
          </w:p>
        </w:tc>
        <w:tc>
          <w:tcPr>
            <w:tcW w:w="122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200</w:t>
            </w:r>
          </w:p>
        </w:tc>
        <w:tc>
          <w:tcPr>
            <w:tcW w:w="1000" w:type="dxa"/>
            <w:vAlign w:val="bottom"/>
            <w:shd w:val="clear" w:color="auto" w:fill="CFF0FC"/>
          </w:tcPr>
          <w:p>
            <w:pPr>
              <w:jc w:val="center"/>
              <w:ind w:left="610"/>
              <w:spacing w:after="0" w:line="196" w:lineRule="exact"/>
              <w:rPr>
                <w:sz w:val="20"/>
                <w:szCs w:val="20"/>
                <w:color w:val="auto"/>
              </w:rPr>
            </w:pPr>
            <w:r>
              <w:rPr>
                <w:rFonts w:ascii="Arial" w:cs="Arial" w:eastAsia="Arial" w:hAnsi="Arial"/>
                <w:sz w:val="18"/>
                <w:szCs w:val="18"/>
                <w:color w:val="auto"/>
                <w:w w:val="86"/>
              </w:rPr>
              <w:t>$76</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$81-$89</w:t>
            </w:r>
          </w:p>
        </w:tc>
        <w:tc>
          <w:tcPr>
            <w:tcW w:w="80" w:type="dxa"/>
            <w:vAlign w:val="bottom"/>
          </w:tcPr>
          <w:p>
            <w:pPr>
              <w:spacing w:after="0"/>
              <w:rPr>
                <w:sz w:val="17"/>
                <w:szCs w:val="17"/>
                <w:color w:val="auto"/>
              </w:rPr>
            </w:pPr>
          </w:p>
        </w:tc>
        <w:tc>
          <w:tcPr>
            <w:tcW w:w="11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179</w:t>
            </w:r>
          </w:p>
        </w:tc>
        <w:tc>
          <w:tcPr>
            <w:tcW w:w="12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6.4</w:t>
            </w:r>
          </w:p>
        </w:tc>
        <w:tc>
          <w:tcPr>
            <w:tcW w:w="94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89"/>
              </w:rPr>
              <w:t>84</w:t>
            </w:r>
          </w:p>
        </w:tc>
        <w:tc>
          <w:tcPr>
            <w:tcW w:w="12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103</w:t>
            </w:r>
          </w:p>
        </w:tc>
        <w:tc>
          <w:tcPr>
            <w:tcW w:w="1000" w:type="dxa"/>
            <w:vAlign w:val="bottom"/>
          </w:tcPr>
          <w:p>
            <w:pPr>
              <w:jc w:val="center"/>
              <w:ind w:left="610"/>
              <w:spacing w:after="0" w:line="202"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203"/>
        </w:trPr>
        <w:tc>
          <w:tcPr>
            <w:tcW w:w="5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$90-$95</w:t>
            </w: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286</w:t>
            </w:r>
          </w:p>
        </w:tc>
        <w:tc>
          <w:tcPr>
            <w:tcW w:w="12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8.6</w:t>
            </w:r>
          </w:p>
        </w:tc>
        <w:tc>
          <w:tcPr>
            <w:tcW w:w="940" w:type="dxa"/>
            <w:vAlign w:val="bottom"/>
            <w:shd w:val="clear" w:color="auto" w:fill="CFF0FC"/>
          </w:tcPr>
          <w:p>
            <w:pPr>
              <w:jc w:val="center"/>
              <w:ind w:left="550"/>
              <w:spacing w:after="0" w:line="202" w:lineRule="exact"/>
              <w:rPr>
                <w:sz w:val="20"/>
                <w:szCs w:val="20"/>
                <w:color w:val="auto"/>
              </w:rPr>
            </w:pPr>
            <w:r>
              <w:rPr>
                <w:rFonts w:ascii="Arial" w:cs="Arial" w:eastAsia="Arial" w:hAnsi="Arial"/>
                <w:sz w:val="18"/>
                <w:szCs w:val="18"/>
                <w:color w:val="auto"/>
                <w:w w:val="89"/>
              </w:rPr>
              <w:t>93</w:t>
            </w:r>
          </w:p>
        </w:tc>
        <w:tc>
          <w:tcPr>
            <w:tcW w:w="12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39</w:t>
            </w:r>
          </w:p>
        </w:tc>
        <w:tc>
          <w:tcPr>
            <w:tcW w:w="1000" w:type="dxa"/>
            <w:vAlign w:val="bottom"/>
            <w:shd w:val="clear" w:color="auto" w:fill="CFF0FC"/>
          </w:tcPr>
          <w:p>
            <w:pPr>
              <w:jc w:val="center"/>
              <w:ind w:left="610"/>
              <w:spacing w:after="0" w:line="202" w:lineRule="exact"/>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$96-$123</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187</w:t>
            </w:r>
          </w:p>
        </w:tc>
        <w:tc>
          <w:tcPr>
            <w:tcW w:w="12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5.1</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w:t>
            </w:r>
          </w:p>
        </w:tc>
        <w:tc>
          <w:tcPr>
            <w:tcW w:w="1220" w:type="dxa"/>
            <w:vAlign w:val="bottom"/>
            <w:tcBorders>
              <w:bottom w:val="single" w:sz="8" w:color="auto"/>
            </w:tcBorders>
            <w:gridSpan w:val="2"/>
          </w:tcPr>
          <w:p>
            <w:pPr>
              <w:jc w:val="right"/>
              <w:ind w:right="190"/>
              <w:spacing w:after="0" w:line="202" w:lineRule="exact"/>
              <w:rPr>
                <w:sz w:val="20"/>
                <w:szCs w:val="20"/>
                <w:color w:val="auto"/>
              </w:rPr>
            </w:pPr>
            <w:r>
              <w:rPr>
                <w:rFonts w:ascii="Arial" w:cs="Arial" w:eastAsia="Arial" w:hAnsi="Arial"/>
                <w:sz w:val="18"/>
                <w:szCs w:val="18"/>
                <w:color w:val="auto"/>
              </w:rPr>
              <w:t>168</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852</w:t>
            </w:r>
          </w:p>
        </w:tc>
        <w:tc>
          <w:tcPr>
            <w:tcW w:w="12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6.1</w:t>
            </w:r>
          </w:p>
        </w:tc>
        <w:tc>
          <w:tcPr>
            <w:tcW w:w="940" w:type="dxa"/>
            <w:vAlign w:val="bottom"/>
            <w:tcBorders>
              <w:bottom w:val="single" w:sz="8" w:color="auto"/>
            </w:tcBorders>
            <w:shd w:val="clear" w:color="auto" w:fill="CFF0FC"/>
          </w:tcPr>
          <w:p>
            <w:pPr>
              <w:jc w:val="center"/>
              <w:ind w:left="570"/>
              <w:spacing w:after="0" w:line="196" w:lineRule="exact"/>
              <w:rPr>
                <w:sz w:val="20"/>
                <w:szCs w:val="20"/>
                <w:color w:val="auto"/>
              </w:rPr>
            </w:pPr>
            <w:r>
              <w:rPr>
                <w:rFonts w:ascii="Arial" w:cs="Arial" w:eastAsia="Arial" w:hAnsi="Arial"/>
                <w:sz w:val="18"/>
                <w:szCs w:val="18"/>
                <w:color w:val="auto"/>
                <w:w w:val="93"/>
              </w:rPr>
              <w:t>$90</w:t>
            </w:r>
          </w:p>
        </w:tc>
        <w:tc>
          <w:tcPr>
            <w:tcW w:w="1220" w:type="dxa"/>
            <w:vAlign w:val="bottom"/>
            <w:tcBorders>
              <w:bottom w:val="single" w:sz="8" w:color="auto"/>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510</w:t>
            </w:r>
          </w:p>
        </w:tc>
        <w:tc>
          <w:tcPr>
            <w:tcW w:w="1000" w:type="dxa"/>
            <w:vAlign w:val="bottom"/>
            <w:tcBorders>
              <w:bottom w:val="single" w:sz="8" w:color="auto"/>
            </w:tcBorders>
            <w:shd w:val="clear" w:color="auto" w:fill="CFF0FC"/>
          </w:tcPr>
          <w:p>
            <w:pPr>
              <w:jc w:val="center"/>
              <w:ind w:left="610"/>
              <w:spacing w:after="0" w:line="196" w:lineRule="exact"/>
              <w:rPr>
                <w:sz w:val="20"/>
                <w:szCs w:val="20"/>
                <w:color w:val="auto"/>
              </w:rPr>
            </w:pPr>
            <w:r>
              <w:rPr>
                <w:rFonts w:ascii="Arial" w:cs="Arial" w:eastAsia="Arial" w:hAnsi="Arial"/>
                <w:sz w:val="18"/>
                <w:szCs w:val="18"/>
                <w:color w:val="auto"/>
                <w:w w:val="86"/>
              </w:rPr>
              <w:t>$89</w:t>
            </w:r>
          </w:p>
        </w:tc>
        <w:tc>
          <w:tcPr>
            <w:tcW w:w="0" w:type="dxa"/>
            <w:vAlign w:val="bottom"/>
          </w:tcPr>
          <w:p>
            <w:pPr>
              <w:spacing w:after="0"/>
              <w:rPr>
                <w:sz w:val="1"/>
                <w:szCs w:val="1"/>
                <w:color w:val="auto"/>
              </w:rPr>
            </w:pPr>
          </w:p>
        </w:tc>
      </w:tr>
      <w:tr>
        <w:trPr>
          <w:trHeight w:val="830"/>
        </w:trPr>
        <w:tc>
          <w:tcPr>
            <w:tcW w:w="5720" w:type="dxa"/>
            <w:vAlign w:val="bottom"/>
            <w:gridSpan w:val="2"/>
          </w:tcPr>
          <w:p>
            <w:pPr>
              <w:ind w:left="5540"/>
              <w:spacing w:after="0"/>
              <w:rPr>
                <w:sz w:val="20"/>
                <w:szCs w:val="20"/>
                <w:color w:val="auto"/>
              </w:rPr>
            </w:pPr>
            <w:r>
              <w:rPr>
                <w:rFonts w:ascii="Arial" w:cs="Arial" w:eastAsia="Arial" w:hAnsi="Arial"/>
                <w:sz w:val="18"/>
                <w:szCs w:val="18"/>
                <w:color w:val="auto"/>
                <w:w w:val="79"/>
              </w:rPr>
              <w:t>72</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2" w:name="page73"/>
    <w:bookmarkEnd w:id="72"/>
    <w:p>
      <w:pPr>
        <w:jc w:val="both"/>
        <w:spacing w:after="0" w:line="270" w:lineRule="auto"/>
        <w:rPr>
          <w:sz w:val="20"/>
          <w:szCs w:val="20"/>
          <w:color w:val="auto"/>
        </w:rPr>
      </w:pPr>
      <w:r>
        <w:rPr>
          <w:rFonts w:ascii="Arial" w:cs="Arial" w:eastAsia="Arial" w:hAnsi="Arial"/>
          <w:sz w:val="17"/>
          <w:szCs w:val="17"/>
          <w:color w:val="auto"/>
        </w:rPr>
        <w:t>We recognized expense of $2.9, $3.3 and $4.0 related to stock options for the years ended December 31, 2021, 2020 and 2019, respectively. The total fair value of options vested during the same periods was $2.6, $2.3 and $2.3, respectively. As of December 31, 2021, total unrecognized compensation cost was $1.5, net of estimated forfeitures, which we expect to recognize over a weighted-average period of approximately 2.0 years.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estimated the fair value of each stock option on the date of grant using the Black-Scholes option pricing model and the following assumptions: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37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Average risk-free interest rate</w:t>
            </w:r>
          </w:p>
        </w:tc>
        <w:tc>
          <w:tcPr>
            <w:tcW w:w="370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0.7 %</w:t>
            </w:r>
          </w:p>
        </w:tc>
        <w:tc>
          <w:tcPr>
            <w:tcW w:w="162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rPr>
              <w:t>1.5 %</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2.5 %</w:t>
            </w: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3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2.7 %</w:t>
            </w:r>
          </w:p>
        </w:tc>
        <w:tc>
          <w:tcPr>
            <w:tcW w:w="16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2.5 %</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700" w:type="dxa"/>
            <w:vAlign w:val="bottom"/>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rPr>
              <w:t>35.0 %</w:t>
            </w:r>
          </w:p>
        </w:tc>
        <w:tc>
          <w:tcPr>
            <w:tcW w:w="16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rPr>
              <w:t>27.0 %</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27.0 %</w:t>
            </w:r>
          </w:p>
        </w:tc>
      </w:tr>
      <w:tr>
        <w:trPr>
          <w:trHeight w:val="203"/>
        </w:trPr>
        <w:tc>
          <w:tcPr>
            <w:tcW w:w="48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3700" w:type="dxa"/>
            <w:vAlign w:val="bottom"/>
            <w:tcBorders>
              <w:bottom w:val="single" w:sz="8" w:color="auto"/>
            </w:tcBorders>
          </w:tcPr>
          <w:p>
            <w:pPr>
              <w:jc w:val="right"/>
              <w:ind w:right="630"/>
              <w:spacing w:after="0" w:line="202" w:lineRule="exact"/>
              <w:rPr>
                <w:sz w:val="20"/>
                <w:szCs w:val="20"/>
                <w:color w:val="auto"/>
              </w:rPr>
            </w:pPr>
            <w:r>
              <w:rPr>
                <w:rFonts w:ascii="Arial" w:cs="Arial" w:eastAsia="Arial" w:hAnsi="Arial"/>
                <w:sz w:val="18"/>
                <w:szCs w:val="18"/>
                <w:color w:val="auto"/>
              </w:rPr>
              <w:t>6.0</w:t>
            </w:r>
          </w:p>
        </w:tc>
        <w:tc>
          <w:tcPr>
            <w:tcW w:w="1620" w:type="dxa"/>
            <w:vAlign w:val="bottom"/>
            <w:tcBorders>
              <w:bottom w:val="single" w:sz="8" w:color="auto"/>
            </w:tcBorders>
          </w:tcPr>
          <w:p>
            <w:pPr>
              <w:jc w:val="right"/>
              <w:ind w:right="610"/>
              <w:spacing w:after="0" w:line="202" w:lineRule="exact"/>
              <w:rPr>
                <w:sz w:val="20"/>
                <w:szCs w:val="20"/>
                <w:color w:val="auto"/>
              </w:rPr>
            </w:pPr>
            <w:r>
              <w:rPr>
                <w:rFonts w:ascii="Arial" w:cs="Arial" w:eastAsia="Arial" w:hAnsi="Arial"/>
                <w:sz w:val="18"/>
                <w:szCs w:val="18"/>
                <w:color w:val="auto"/>
              </w:rPr>
              <w:t>6.0</w:t>
            </w:r>
          </w:p>
        </w:tc>
        <w:tc>
          <w:tcPr>
            <w:tcW w:w="11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6.0</w:t>
            </w:r>
          </w:p>
        </w:tc>
      </w:tr>
    </w:tbl>
    <w:p>
      <w:pPr>
        <w:spacing w:after="0" w:line="17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average risk-free interest rate is based on United States Treasury security rates corresponding to the expected term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$22.83, $18.95 and $17.78 in 2021, 2020 and 2019,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w:t>
      </w:r>
    </w:p>
    <w:p>
      <w:pPr>
        <w:spacing w:after="0" w:line="15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2021, 2020 and 2019, there were 1,086, 1,432 and 1,275, respectively, shares of deferred stock awarded under this arrangement, all of which are vested.</w:t>
      </w:r>
    </w:p>
    <w:p>
      <w:pPr>
        <w:spacing w:after="0" w:line="13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2011 Plan. During 2021, 2020 and 2019, there were 15,528, 11,004 and 18,172, respectively, shares of deferred stock awarded under this arrangement, all of which are vested. We recognized expense of $1.7, $1.3 and $1.4 related to deferred stock in 2021, 2020 and 2019,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 summary of restricted stock activity is as follows: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Wtd. Avg.</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Aggregate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Wtd. Avg.</w:t>
            </w:r>
          </w:p>
        </w:tc>
        <w:tc>
          <w:tcPr>
            <w:tcW w:w="8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Remaining</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Shares (000)</w:t>
            </w:r>
          </w:p>
        </w:tc>
        <w:tc>
          <w:tcPr>
            <w:tcW w:w="4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Contractual</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Intrinsic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9"/>
              </w:rPr>
              <w:t>Price Per Share</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Term (years)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(in millions)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January 1, 2019</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396</w:t>
            </w:r>
          </w:p>
        </w:tc>
        <w:tc>
          <w:tcPr>
            <w:tcW w:w="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(150 )</w:t>
            </w:r>
          </w:p>
        </w:tc>
        <w:tc>
          <w:tcPr>
            <w:tcW w:w="4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(36 )</w:t>
            </w:r>
          </w:p>
        </w:tc>
        <w:tc>
          <w:tcPr>
            <w:tcW w:w="4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December 31, 2019</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w:t>
            </w:r>
          </w:p>
        </w:tc>
        <w:tc>
          <w:tcPr>
            <w:tcW w:w="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ind w:left="120"/>
              <w:spacing w:after="0" w:line="196"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200</w:t>
            </w:r>
          </w:p>
        </w:tc>
        <w:tc>
          <w:tcPr>
            <w:tcW w:w="80" w:type="dxa"/>
            <w:vAlign w:val="bottom"/>
          </w:tcPr>
          <w:p>
            <w:pPr>
              <w:spacing w:after="0"/>
              <w:rPr>
                <w:sz w:val="17"/>
                <w:szCs w:val="17"/>
                <w:color w:val="auto"/>
              </w:rPr>
            </w:pPr>
          </w:p>
        </w:tc>
        <w:tc>
          <w:tcPr>
            <w:tcW w:w="4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(145 )</w:t>
            </w:r>
          </w:p>
        </w:tc>
        <w:tc>
          <w:tcPr>
            <w:tcW w:w="4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(17 )</w:t>
            </w:r>
          </w:p>
        </w:tc>
        <w:tc>
          <w:tcPr>
            <w:tcW w:w="4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December 31, 2020</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484</w:t>
            </w:r>
          </w:p>
        </w:tc>
        <w:tc>
          <w:tcPr>
            <w:tcW w:w="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ind w:left="120"/>
              <w:spacing w:after="0" w:line="196"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208</w:t>
            </w:r>
          </w:p>
        </w:tc>
        <w:tc>
          <w:tcPr>
            <w:tcW w:w="80" w:type="dxa"/>
            <w:vAlign w:val="bottom"/>
          </w:tcPr>
          <w:p>
            <w:pPr>
              <w:spacing w:after="0"/>
              <w:rPr>
                <w:sz w:val="17"/>
                <w:szCs w:val="17"/>
                <w:color w:val="auto"/>
              </w:rPr>
            </w:pPr>
          </w:p>
        </w:tc>
        <w:tc>
          <w:tcPr>
            <w:tcW w:w="4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(124 )</w:t>
            </w:r>
          </w:p>
        </w:tc>
        <w:tc>
          <w:tcPr>
            <w:tcW w:w="4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2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(23 )</w:t>
            </w:r>
          </w:p>
        </w:tc>
        <w:tc>
          <w:tcPr>
            <w:tcW w:w="4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December 31, 2021</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545</w:t>
            </w:r>
          </w:p>
        </w:tc>
        <w:tc>
          <w:tcPr>
            <w:tcW w:w="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-1068070</wp:posOffset>
            </wp:positionV>
            <wp:extent cx="596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-1068070</wp:posOffset>
            </wp:positionV>
            <wp:extent cx="431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-1068070</wp:posOffset>
            </wp:positionV>
            <wp:extent cx="342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-1068070</wp:posOffset>
            </wp:positionV>
            <wp:extent cx="342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-536575</wp:posOffset>
            </wp:positionV>
            <wp:extent cx="5969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-536575</wp:posOffset>
            </wp:positionV>
            <wp:extent cx="431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-536575</wp:posOffset>
            </wp:positionV>
            <wp:extent cx="342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-536575</wp:posOffset>
            </wp:positionV>
            <wp:extent cx="3429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-5080</wp:posOffset>
            </wp:positionV>
            <wp:extent cx="5969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-5080</wp:posOffset>
            </wp:positionV>
            <wp:extent cx="431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-5080</wp:posOffset>
            </wp:positionV>
            <wp:extent cx="342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-5080</wp:posOffset>
            </wp:positionV>
            <wp:extent cx="342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2021, 2020 and 2019, there were 7,764, 7,208 and 7,407, respectively, shares of restricted stock granted to our non-employee directors, all of which are vested except for 1,258 shares granted in 2021 that were cancelled. During 2021, 2020 and 2019, we recognized $15.6, $15.7 and $15.5, respectively, of expense related to restricted stock awards. As of December 31, 2021, there was $13.1 of total unrecognized compensation cost related to unvested restricted stock, which we expect to recognize over a weighted-average period of approximately 2.0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may be applied to the units awarded based on the performance criteria determined by the People, Culture and Compensation Committee (formerly the Executive Compensation and Human Resources Committee) of the Board of Directors at the time of grant.</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event the performance criteria exceeds the Target Award level, an additional number of shares, up to the Outstanding Award level, may be granted. In the event the performance criteria falls below the Target Award level, a reduced number of shares, as low as the Threshold Award level, may be granted. If the performance criteria falls below the Threshold Award level, no shares will be granted.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 summary of the performance share units detail by grant year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1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2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Grant Date(s)</w:t>
            </w:r>
          </w:p>
        </w:tc>
        <w:tc>
          <w:tcPr>
            <w:tcW w:w="19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February 15, 2018</w:t>
            </w:r>
          </w:p>
        </w:tc>
        <w:tc>
          <w:tcPr>
            <w:tcW w:w="17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February 15, 2019</w:t>
            </w:r>
          </w:p>
        </w:tc>
        <w:tc>
          <w:tcPr>
            <w:tcW w:w="17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February 14, 2020</w:t>
            </w:r>
          </w:p>
        </w:tc>
        <w:tc>
          <w:tcPr>
            <w:tcW w:w="18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February 12, 2021</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Performance Period (years)</w:t>
            </w:r>
          </w:p>
        </w:tc>
        <w:tc>
          <w:tcPr>
            <w:tcW w:w="19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2018-2020</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2019-2021</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2020-2022</w:t>
            </w:r>
          </w:p>
        </w:tc>
        <w:tc>
          <w:tcPr>
            <w:tcW w:w="1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2021-2022</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Vesting Date</w:t>
            </w:r>
            <w:r>
              <w:rPr>
                <w:rFonts w:ascii="Arial" w:cs="Arial" w:eastAsia="Arial" w:hAnsi="Arial"/>
                <w:sz w:val="23"/>
                <w:szCs w:val="23"/>
                <w:color w:val="auto"/>
                <w:vertAlign w:val="superscript"/>
              </w:rPr>
              <w:t>(1)</w:t>
            </w:r>
          </w:p>
        </w:tc>
        <w:tc>
          <w:tcPr>
            <w:tcW w:w="19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February 2021</w:t>
            </w:r>
          </w:p>
        </w:tc>
        <w:tc>
          <w:tcPr>
            <w:tcW w:w="17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February 2022</w:t>
            </w:r>
          </w:p>
        </w:tc>
        <w:tc>
          <w:tcPr>
            <w:tcW w:w="17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February 2023</w:t>
            </w:r>
          </w:p>
        </w:tc>
        <w:tc>
          <w:tcPr>
            <w:tcW w:w="180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February 2023</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February 2024</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Payout Levels (in units):</w:t>
            </w:r>
          </w:p>
        </w:tc>
        <w:tc>
          <w:tcPr>
            <w:tcW w:w="1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Threshold Award</w:t>
            </w:r>
          </w:p>
        </w:tc>
        <w:tc>
          <w:tcPr>
            <w:tcW w:w="19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42,361</w:t>
            </w:r>
          </w:p>
        </w:tc>
        <w:tc>
          <w:tcPr>
            <w:tcW w:w="17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61,381</w:t>
            </w:r>
          </w:p>
        </w:tc>
        <w:tc>
          <w:tcPr>
            <w:tcW w:w="17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59,698</w:t>
            </w:r>
          </w:p>
        </w:tc>
        <w:tc>
          <w:tcPr>
            <w:tcW w:w="180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39,882</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61,076</w:t>
            </w:r>
          </w:p>
        </w:tc>
        <w:tc>
          <w:tcPr>
            <w:tcW w:w="0" w:type="dxa"/>
            <w:vAlign w:val="bottom"/>
          </w:tcPr>
          <w:p>
            <w:pPr>
              <w:spacing w:after="0"/>
              <w:rPr>
                <w:sz w:val="1"/>
                <w:szCs w:val="1"/>
                <w:color w:val="auto"/>
              </w:rPr>
            </w:pPr>
          </w:p>
        </w:tc>
      </w:tr>
      <w:tr>
        <w:trPr>
          <w:trHeight w:val="203"/>
        </w:trPr>
        <w:tc>
          <w:tcPr>
            <w:tcW w:w="2400" w:type="dxa"/>
            <w:vAlign w:val="bottom"/>
          </w:tcPr>
          <w:p>
            <w:pPr>
              <w:ind w:left="200"/>
              <w:spacing w:after="0" w:line="202" w:lineRule="exact"/>
              <w:rPr>
                <w:sz w:val="20"/>
                <w:szCs w:val="20"/>
                <w:color w:val="auto"/>
              </w:rPr>
            </w:pPr>
            <w:r>
              <w:rPr>
                <w:rFonts w:ascii="Arial" w:cs="Arial" w:eastAsia="Arial" w:hAnsi="Arial"/>
                <w:sz w:val="18"/>
                <w:szCs w:val="18"/>
                <w:color w:val="auto"/>
              </w:rPr>
              <w:t>Target Award</w:t>
            </w:r>
          </w:p>
        </w:tc>
        <w:tc>
          <w:tcPr>
            <w:tcW w:w="19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84,726</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122,761</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119,395</w:t>
            </w:r>
          </w:p>
        </w:tc>
        <w:tc>
          <w:tcPr>
            <w:tcW w:w="1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79,763</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122,152</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Outstanding Award</w:t>
            </w:r>
          </w:p>
        </w:tc>
        <w:tc>
          <w:tcPr>
            <w:tcW w:w="19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169,452</w:t>
            </w:r>
          </w:p>
        </w:tc>
        <w:tc>
          <w:tcPr>
            <w:tcW w:w="174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245,522</w:t>
            </w:r>
          </w:p>
        </w:tc>
        <w:tc>
          <w:tcPr>
            <w:tcW w:w="174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238,790</w:t>
            </w:r>
          </w:p>
        </w:tc>
        <w:tc>
          <w:tcPr>
            <w:tcW w:w="180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159,526</w:t>
            </w: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244,304</w:t>
            </w: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line="196" w:lineRule="exact"/>
              <w:rPr>
                <w:sz w:val="20"/>
                <w:szCs w:val="20"/>
                <w:color w:val="auto"/>
              </w:rPr>
            </w:pPr>
            <w:r>
              <w:rPr>
                <w:rFonts w:ascii="Arial" w:cs="Arial" w:eastAsia="Arial" w:hAnsi="Arial"/>
                <w:sz w:val="18"/>
                <w:szCs w:val="18"/>
                <w:color w:val="auto"/>
              </w:rPr>
              <w:t>Shares Issued in 2021</w:t>
            </w:r>
          </w:p>
        </w:tc>
        <w:tc>
          <w:tcPr>
            <w:tcW w:w="192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42,365</w:t>
            </w:r>
          </w:p>
        </w:tc>
        <w:tc>
          <w:tcPr>
            <w:tcW w:w="174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Payout Achieved</w:t>
            </w:r>
          </w:p>
        </w:tc>
        <w:tc>
          <w:tcPr>
            <w:tcW w:w="19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81,700</w:t>
            </w:r>
          </w:p>
        </w:tc>
        <w:tc>
          <w:tcPr>
            <w:tcW w:w="17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Over Performance Period</w:t>
            </w:r>
          </w:p>
        </w:tc>
        <w:tc>
          <w:tcPr>
            <w:tcW w:w="1920" w:type="dxa"/>
            <w:vAlign w:val="bottom"/>
            <w:tcBorders>
              <w:bottom w:val="single" w:sz="8" w:color="auto"/>
            </w:tcBorders>
            <w:vMerge w:val="continue"/>
            <w:shd w:val="clear" w:color="auto" w:fill="CFF0FC"/>
          </w:tcPr>
          <w:p>
            <w:pPr>
              <w:spacing w:after="0"/>
              <w:rPr>
                <w:sz w:val="18"/>
                <w:szCs w:val="18"/>
                <w:color w:val="auto"/>
              </w:rPr>
            </w:pPr>
          </w:p>
        </w:tc>
        <w:tc>
          <w:tcPr>
            <w:tcW w:w="1740" w:type="dxa"/>
            <w:vAlign w:val="bottom"/>
            <w:tcBorders>
              <w:bottom w:val="single" w:sz="8" w:color="auto"/>
            </w:tcBorders>
            <w:vMerge w:val="continue"/>
            <w:shd w:val="clear" w:color="auto" w:fill="CFF0FC"/>
          </w:tcPr>
          <w:p>
            <w:pPr>
              <w:spacing w:after="0"/>
              <w:rPr>
                <w:sz w:val="18"/>
                <w:szCs w:val="18"/>
                <w:color w:val="auto"/>
              </w:rPr>
            </w:pPr>
          </w:p>
        </w:tc>
        <w:tc>
          <w:tcPr>
            <w:tcW w:w="1740" w:type="dxa"/>
            <w:vAlign w:val="bottom"/>
            <w:tcBorders>
              <w:bottom w:val="single" w:sz="8" w:color="auto"/>
            </w:tcBorders>
            <w:vMerge w:val="continue"/>
            <w:shd w:val="clear" w:color="auto" w:fill="CFF0FC"/>
          </w:tcPr>
          <w:p>
            <w:pPr>
              <w:spacing w:after="0"/>
              <w:rPr>
                <w:sz w:val="18"/>
                <w:szCs w:val="18"/>
                <w:color w:val="auto"/>
              </w:rPr>
            </w:pPr>
          </w:p>
        </w:tc>
        <w:tc>
          <w:tcPr>
            <w:tcW w:w="1800" w:type="dxa"/>
            <w:vAlign w:val="bottom"/>
            <w:tcBorders>
              <w:bottom w:val="single" w:sz="8" w:color="auto"/>
            </w:tcBorders>
            <w:vMerge w:val="continue"/>
            <w:shd w:val="clear" w:color="auto" w:fill="CFF0FC"/>
          </w:tcPr>
          <w:p>
            <w:pPr>
              <w:spacing w:after="0"/>
              <w:rPr>
                <w:sz w:val="18"/>
                <w:szCs w:val="18"/>
                <w:color w:val="auto"/>
              </w:rPr>
            </w:pPr>
          </w:p>
        </w:tc>
        <w:tc>
          <w:tcPr>
            <w:tcW w:w="16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0"/>
          <w:szCs w:val="10"/>
          <w:color w:val="auto"/>
        </w:rPr>
      </w:pPr>
      <w:r>
        <w:rPr>
          <w:rFonts w:ascii="Arial" w:cs="Arial" w:eastAsia="Arial" w:hAnsi="Arial"/>
          <w:sz w:val="14"/>
          <w:szCs w:val="14"/>
          <w:color w:val="auto"/>
        </w:rPr>
        <w:t>Awards are scheduled to vest after the People, Culture and Compensation Committee of the Board of Directors determines the achievement of the performance criteria.</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$16.3, $3.7 and $5.2 in 2021, 2020 and 2019, respectively, related to the performance share units. The higher expense in 2021 resulted from a combination of higher estimated payout levels and an additional special grant issued in 2021.</w:t>
      </w:r>
    </w:p>
    <w:p>
      <w:pPr>
        <w:spacing w:after="0" w:line="132"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282A32"/>
        </w:rPr>
      </w:pPr>
      <w:r>
        <w:rPr>
          <w:rFonts w:ascii="Arial" w:cs="Arial" w:eastAsia="Arial" w:hAnsi="Arial"/>
          <w:sz w:val="18"/>
          <w:szCs w:val="18"/>
          <w:u w:val="single" w:color="auto"/>
          <w:color w:val="282A32"/>
        </w:rPr>
        <w:t>Acquisitions and Dispositions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ettain group Acquisition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Of the total consideration paid, $925.0 was for the acquired interests and the remaining $5.9 was for excess working capital and cash. The transaction was funded through cash on hand and a $150.0 draw on our revolving credit facility on October 1, 2021. We expect to finalize the net working capital adjustments in 2022.</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acquisition of ettain group was accounted for as a business combination, and the assets and liabilities of ettain group were included in the Consolidated Balance Sheets as of the acquisition date and the results of its operations have been included in the Consolidated Statements of Operations subsequent to the acquisition date.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following table summarizes the preliminary fair value of the assets and liabilities as of the acquisition date of October 1, 2021:</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8"/>
                <w:szCs w:val="18"/>
                <w:color w:val="auto"/>
              </w:rPr>
            </w:pP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132.2</w:t>
            </w:r>
          </w:p>
        </w:tc>
        <w:tc>
          <w:tcPr>
            <w:tcW w:w="80" w:type="dxa"/>
            <w:vAlign w:val="bottom"/>
          </w:tcPr>
          <w:p>
            <w:pPr>
              <w:spacing w:after="0"/>
              <w:rPr>
                <w:sz w:val="17"/>
                <w:szCs w:val="17"/>
                <w:color w:val="auto"/>
              </w:rPr>
            </w:pP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7"/>
                <w:szCs w:val="17"/>
                <w:color w:val="auto"/>
              </w:rPr>
            </w:pP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6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80" w:type="dxa"/>
            <w:vAlign w:val="bottom"/>
          </w:tcPr>
          <w:p>
            <w:pPr>
              <w:spacing w:after="0"/>
              <w:rPr>
                <w:sz w:val="17"/>
                <w:szCs w:val="17"/>
                <w:color w:val="auto"/>
              </w:rPr>
            </w:pP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519.6</w:t>
            </w:r>
          </w:p>
        </w:tc>
        <w:tc>
          <w:tcPr>
            <w:tcW w:w="80" w:type="dxa"/>
            <w:vAlign w:val="bottom"/>
            <w:shd w:val="clear" w:color="auto" w:fill="CFF0FC"/>
          </w:tcPr>
          <w:p>
            <w:pPr>
              <w:spacing w:after="0"/>
              <w:rPr>
                <w:sz w:val="17"/>
                <w:szCs w:val="17"/>
                <w:color w:val="auto"/>
              </w:rPr>
            </w:pP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subject to amortization, customer relationship</w:t>
            </w:r>
          </w:p>
        </w:tc>
        <w:tc>
          <w:tcPr>
            <w:tcW w:w="6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360.0</w:t>
            </w:r>
          </w:p>
        </w:tc>
        <w:tc>
          <w:tcPr>
            <w:tcW w:w="80" w:type="dxa"/>
            <w:vAlign w:val="bottom"/>
          </w:tcPr>
          <w:p>
            <w:pPr>
              <w:spacing w:after="0"/>
              <w:rPr>
                <w:sz w:val="17"/>
                <w:szCs w:val="17"/>
                <w:color w:val="auto"/>
              </w:rPr>
            </w:pP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6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(40.5 )</w:t>
            </w: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Employee compensation payable</w:t>
            </w:r>
          </w:p>
        </w:tc>
        <w:tc>
          <w:tcPr>
            <w:tcW w:w="6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(15.0 )</w:t>
            </w: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6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(7.9 )</w:t>
            </w: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taxes and insurance</w:t>
            </w:r>
          </w:p>
        </w:tc>
        <w:tc>
          <w:tcPr>
            <w:tcW w:w="6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(11.2 )</w:t>
            </w: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Value added taxes payable</w:t>
            </w:r>
          </w:p>
        </w:tc>
        <w:tc>
          <w:tcPr>
            <w:tcW w:w="6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(12.2 )</w:t>
            </w: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Long-term operating lease liability</w:t>
            </w:r>
          </w:p>
        </w:tc>
        <w:tc>
          <w:tcPr>
            <w:tcW w:w="6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(5.9 )</w:t>
            </w: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(17.8 )</w:t>
            </w:r>
          </w:p>
        </w:tc>
      </w:tr>
      <w:tr>
        <w:trPr>
          <w:trHeight w:val="196"/>
        </w:trPr>
        <w:tc>
          <w:tcPr>
            <w:tcW w:w="9520" w:type="dxa"/>
            <w:vAlign w:val="bottom"/>
            <w:tcBorders>
              <w:top w:val="single" w:sz="8" w:color="CFF0FC"/>
            </w:tcBorders>
          </w:tcPr>
          <w:p>
            <w:pPr>
              <w:ind w:left="120"/>
              <w:spacing w:after="0" w:line="196" w:lineRule="exact"/>
              <w:rPr>
                <w:sz w:val="20"/>
                <w:szCs w:val="20"/>
                <w:color w:val="auto"/>
              </w:rPr>
            </w:pPr>
            <w:r>
              <w:rPr>
                <w:rFonts w:ascii="Arial" w:cs="Arial" w:eastAsia="Arial" w:hAnsi="Arial"/>
                <w:sz w:val="18"/>
                <w:szCs w:val="18"/>
                <w:color w:val="auto"/>
              </w:rPr>
              <w:t>Total assets and liabilities</w:t>
            </w:r>
          </w:p>
        </w:tc>
        <w:tc>
          <w:tcPr>
            <w:tcW w:w="66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930.9</w:t>
            </w:r>
          </w:p>
        </w:tc>
        <w:tc>
          <w:tcPr>
            <w:tcW w:w="80" w:type="dxa"/>
            <w:vAlign w:val="bottom"/>
            <w:tcBorders>
              <w:top w:val="single" w:sz="8" w:color="CFF0FC"/>
            </w:tcBorders>
          </w:tcPr>
          <w:p>
            <w:pPr>
              <w:spacing w:after="0"/>
              <w:rPr>
                <w:sz w:val="17"/>
                <w:szCs w:val="17"/>
                <w:color w:val="auto"/>
              </w:rPr>
            </w:pPr>
          </w:p>
        </w:tc>
      </w:tr>
      <w:tr>
        <w:trPr>
          <w:trHeight w:val="20"/>
        </w:trPr>
        <w:tc>
          <w:tcPr>
            <w:tcW w:w="9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customer relationship intangible asset will be amortized over a 15 year useful life. The customer relationship intangible asset and goodwill from the acquisition are partially deductible for income tax purposes. As of December 31, 2021, the carrying value of intangible assets and goodwill was $354.0 and $519.6, respectively. The goodwill is included within the United States reporting unit and is attributable to the workforce of the acquired business and expected synergies to occur post-acquisition as a result of diversifying the business into higher growth and higher value services.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ettain group contributed revenues from services of $182.7 since the acquisition. Our consolidated unaudited proforma historical revenues from services and net earnings, as if ettain group had been acquired at the beginning of 2020, are estimated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3"/>
              </w:rPr>
              <w:t>Year Ended December 31,</w:t>
            </w:r>
          </w:p>
        </w:tc>
        <w:tc>
          <w:tcPr>
            <w:tcW w:w="1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820" w:type="dxa"/>
            <w:vAlign w:val="bottom"/>
          </w:tcPr>
          <w:p>
            <w:pPr>
              <w:spacing w:after="0"/>
              <w:rPr>
                <w:sz w:val="17"/>
                <w:szCs w:val="17"/>
                <w:color w:val="auto"/>
              </w:rPr>
            </w:pPr>
          </w:p>
        </w:tc>
        <w:tc>
          <w:tcPr>
            <w:tcW w:w="16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2021</w:t>
            </w:r>
          </w:p>
        </w:tc>
        <w:tc>
          <w:tcPr>
            <w:tcW w:w="9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990"/>
              <w:spacing w:after="0" w:line="196"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1600" w:type="dxa"/>
            <w:vAlign w:val="bottom"/>
            <w:shd w:val="clear" w:color="auto" w:fill="CFF0FC"/>
          </w:tcPr>
          <w:p>
            <w:pPr>
              <w:jc w:val="right"/>
              <w:ind w:right="13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21,269.1</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18,731.0</w:t>
            </w:r>
          </w:p>
        </w:tc>
        <w:tc>
          <w:tcPr>
            <w:tcW w:w="60" w:type="dxa"/>
            <w:vAlign w:val="bottom"/>
            <w:shd w:val="clear" w:color="auto" w:fill="CFF0FC"/>
          </w:tcPr>
          <w:p>
            <w:pPr>
              <w:spacing w:after="0"/>
              <w:rPr>
                <w:sz w:val="17"/>
                <w:szCs w:val="17"/>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425.4</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0"/>
                <w:szCs w:val="20"/>
                <w:color w:val="auto"/>
              </w:rPr>
            </w:pPr>
          </w:p>
        </w:tc>
      </w:tr>
    </w:tbl>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proforma amounts have been calculated after applying our accounting policies and adjusting the results of ettain group to reflect the additional amortization that would have been charged assuming fair value adjustment to intangible assets had been applied from January 1, 2020, with the consequential tax effects.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2021, we incurred $18.8 of acquisition and integration costs. These expenses are included in selling and administrative expenses on the Consolidated Statements of Operations for the year ended December 31, 2021 and are reflected in proforma earnings for the year ended December 31, 2020 in the table above.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to finalize our accounting for the ettain group acquisition during the first half of 2022, upon finalization of the accounting for income tax related items and working capital adjustments.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 Acquisitions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and was funded through cash on hand. Of the total consideration paid, $58.3 was for the acquired interests and the remaining $161.2 was for cash and cash equivalents. The acquisition of the remaining interest of Experis AG was accounted for as an equity transaction as we previously consolidated the entity.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6" w:name="page77"/>
    <w:bookmarkEnd w:id="76"/>
    <w:p>
      <w:pPr>
        <w:jc w:val="both"/>
        <w:spacing w:after="0" w:line="241"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(income), net on the Consolidated Statements of Operations. The acquisition of the remaining controlling interest in Manpower Switzerland was accounted for as a business combination, and the assets and liabilities of Manpower Switzerland were included in the Consolidated Balance Sheets as of the acquisition date and the results of its operations have been included in the Consolidated Statements of Operations subsequent to the acquisition date.</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total cash impact of the acquisition was an inflow of $98.0, net of cash acquired of $317.5. In connection with the business combination, we recognized a one-time, non-cash gain on the disposition of our previously held equity interest in Manpower Switzerland of $80.4, which is included within interest and other expenses (income), net on the Consolidated Statements of Operations. Of the $80.4, $32.5 represented foreign currency translation adjustments related to the previously held equity interest from accumulated other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and liabilities as of the acquisition date of April 3,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80" w:type="dxa"/>
            <w:vAlign w:val="bottom"/>
            <w:shd w:val="clear" w:color="auto" w:fill="CFF0FC"/>
          </w:tcPr>
          <w:p>
            <w:pPr>
              <w:spacing w:after="0"/>
              <w:rPr>
                <w:sz w:val="18"/>
                <w:szCs w:val="18"/>
                <w:color w:val="auto"/>
              </w:rPr>
            </w:pP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80" w:type="dxa"/>
            <w:vAlign w:val="bottom"/>
          </w:tcPr>
          <w:p>
            <w:pPr>
              <w:spacing w:after="0"/>
              <w:rPr>
                <w:sz w:val="17"/>
                <w:szCs w:val="17"/>
                <w:color w:val="auto"/>
              </w:rPr>
            </w:pP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w:t>
            </w:r>
          </w:p>
        </w:tc>
        <w:tc>
          <w:tcPr>
            <w:tcW w:w="80" w:type="dxa"/>
            <w:vAlign w:val="bottom"/>
            <w:shd w:val="clear" w:color="auto" w:fill="CFF0FC"/>
          </w:tcPr>
          <w:p>
            <w:pPr>
              <w:spacing w:after="0"/>
              <w:rPr>
                <w:sz w:val="17"/>
                <w:szCs w:val="17"/>
                <w:color w:val="auto"/>
              </w:rPr>
            </w:pP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80" w:type="dxa"/>
            <w:vAlign w:val="bottom"/>
          </w:tcPr>
          <w:p>
            <w:pPr>
              <w:spacing w:after="0"/>
              <w:rPr>
                <w:sz w:val="17"/>
                <w:szCs w:val="17"/>
                <w:color w:val="auto"/>
              </w:rPr>
            </w:pP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subject to amortization, customer relationship</w:t>
            </w: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w:t>
            </w:r>
          </w:p>
        </w:tc>
        <w:tc>
          <w:tcPr>
            <w:tcW w:w="80" w:type="dxa"/>
            <w:vAlign w:val="bottom"/>
            <w:shd w:val="clear" w:color="auto" w:fill="CFF0FC"/>
          </w:tcPr>
          <w:p>
            <w:pPr>
              <w:spacing w:after="0"/>
              <w:rPr>
                <w:sz w:val="17"/>
                <w:szCs w:val="17"/>
                <w:color w:val="auto"/>
              </w:rPr>
            </w:pP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not subject to amortization, reacquired franchise rights</w:t>
            </w:r>
          </w:p>
        </w:tc>
        <w:tc>
          <w:tcPr>
            <w:tcW w:w="6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80" w:type="dxa"/>
            <w:vAlign w:val="bottom"/>
          </w:tcPr>
          <w:p>
            <w:pPr>
              <w:spacing w:after="0"/>
              <w:rPr>
                <w:sz w:val="17"/>
                <w:szCs w:val="17"/>
                <w:color w:val="auto"/>
              </w:rPr>
            </w:pP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7"/>
                <w:szCs w:val="17"/>
                <w:color w:val="auto"/>
              </w:rPr>
            </w:pP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(21.6 )</w:t>
            </w: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compensation payable</w:t>
            </w:r>
          </w:p>
        </w:tc>
        <w:tc>
          <w:tcPr>
            <w:tcW w:w="6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6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(9.9 )</w:t>
            </w: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payroll taxes and insurance</w:t>
            </w:r>
          </w:p>
        </w:tc>
        <w:tc>
          <w:tcPr>
            <w:tcW w:w="6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(7.5 )</w:t>
            </w:r>
          </w:p>
        </w:tc>
      </w:tr>
      <w:tr>
        <w:trPr>
          <w:trHeight w:val="203"/>
        </w:trPr>
        <w:tc>
          <w:tcPr>
            <w:tcW w:w="9520" w:type="dxa"/>
            <w:vAlign w:val="bottom"/>
          </w:tcPr>
          <w:p>
            <w:pPr>
              <w:ind w:left="20"/>
              <w:spacing w:after="0" w:line="202" w:lineRule="exact"/>
              <w:rPr>
                <w:sz w:val="20"/>
                <w:szCs w:val="20"/>
                <w:color w:val="auto"/>
              </w:rPr>
            </w:pPr>
            <w:r>
              <w:rPr>
                <w:rFonts w:ascii="Arial" w:cs="Arial" w:eastAsia="Arial" w:hAnsi="Arial"/>
                <w:sz w:val="18"/>
                <w:szCs w:val="18"/>
                <w:color w:val="auto"/>
              </w:rPr>
              <w:t>Value added taxes payable</w:t>
            </w:r>
          </w:p>
        </w:tc>
        <w:tc>
          <w:tcPr>
            <w:tcW w:w="6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(7.4 )</w:t>
            </w:r>
          </w:p>
        </w:tc>
      </w:tr>
      <w:tr>
        <w:trPr>
          <w:trHeight w:val="203"/>
        </w:trPr>
        <w:tc>
          <w:tcPr>
            <w:tcW w:w="9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(24.6 )</w:t>
            </w:r>
          </w:p>
        </w:tc>
      </w:tr>
      <w:tr>
        <w:trPr>
          <w:trHeight w:val="196"/>
        </w:trPr>
        <w:tc>
          <w:tcPr>
            <w:tcW w:w="9520" w:type="dxa"/>
            <w:vAlign w:val="bottom"/>
            <w:tcBorders>
              <w:top w:val="single" w:sz="8" w:color="CFF0FC"/>
            </w:tcBorders>
          </w:tcPr>
          <w:p>
            <w:pPr>
              <w:ind w:left="120"/>
              <w:spacing w:after="0" w:line="196" w:lineRule="exact"/>
              <w:rPr>
                <w:sz w:val="20"/>
                <w:szCs w:val="20"/>
                <w:color w:val="auto"/>
              </w:rPr>
            </w:pPr>
            <w:r>
              <w:rPr>
                <w:rFonts w:ascii="Arial" w:cs="Arial" w:eastAsia="Arial" w:hAnsi="Arial"/>
                <w:sz w:val="18"/>
                <w:szCs w:val="18"/>
                <w:color w:val="auto"/>
              </w:rPr>
              <w:t>Total assets and liabilities</w:t>
            </w:r>
          </w:p>
        </w:tc>
        <w:tc>
          <w:tcPr>
            <w:tcW w:w="66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415.1</w:t>
            </w:r>
          </w:p>
        </w:tc>
        <w:tc>
          <w:tcPr>
            <w:tcW w:w="80" w:type="dxa"/>
            <w:vAlign w:val="bottom"/>
            <w:tcBorders>
              <w:top w:val="single" w:sz="8" w:color="CFF0FC"/>
            </w:tcBorders>
          </w:tcPr>
          <w:p>
            <w:pPr>
              <w:spacing w:after="0"/>
              <w:rPr>
                <w:sz w:val="17"/>
                <w:szCs w:val="17"/>
                <w:color w:val="auto"/>
              </w:rPr>
            </w:pPr>
          </w:p>
        </w:tc>
      </w:tr>
      <w:tr>
        <w:trPr>
          <w:trHeight w:val="20"/>
        </w:trPr>
        <w:tc>
          <w:tcPr>
            <w:tcW w:w="9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excluding ettain group, Manpower Switzerland and Experis AG, net of cash acquired, for the years ended December 31, 2021, 2020 and 2019 was $8.1, $2.6 and $47.7, respectively. The 2021, 2020 and 2019 balances include consideration payments for franchises in the United States and contingent consideration payments related to previous acquisitions, of which $6.3, $1.9 and $13.0, respectively, had been recognized as a liability at the acquisition date.</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goodwill and intangible assets resulting from the 2021 acquisitions, excluding ettain group, were $3.1 and $0.6. No goodwill and intangible assets resulted from acquisitions in 2020. As of December 31, 2019, goodwill and intangible assets resulting from the 2019 acquisitions, excluding Manpower Switzerland, were $14.2 and $9.0, respectively.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ManpowerGroup Greater China Limited Disposition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our remaining interest under the equity method of accounting and record our share of equity income or loss in interest and other expenses (income), net in the Consolidated Statements of Operations. In connection with the deconsolidation of the joint venture, we recognized a one-time non-cash gain of $30.4, which was included in selling and administrative expenses in the Consolidated Statements of Operations in the year ended December 31, 2019. Included in the $30.4 was foreign currency translation adjustment losses of $6.2 related to the joint venture from accumulated other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Dispositions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Occasionally, we dispose of parts of our operations in order to optimize our global strategic and geographic footprint and synergies.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 November 2021, we disposed of our Tunisia business in our Southern Europe segment and recognized a one-time loss on disposition of $1.2, which was included in selling and administrative expenses in the Consolidated Statements of Operations in the year ended December 31, 2021.</w: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September 30, 2020, we disposed of four businesses (Serbia, Croatia, Slovenia, Bulgaria) in our Southern Europe segment for $5.8 subject to normal post close working capital adjustments, and simultaneously entered into franchise agreements with the new ownership of these businesses. In connection with the disposition, we recognized a one-time loss on disposition of $5.8, which was included in selling and administrative expenses in the Consolidated Statements of Operations in the year ended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Arial" w:cs="Arial" w:eastAsia="Arial" w:hAnsi="Arial"/>
                <w:sz w:val="18"/>
                <w:szCs w:val="18"/>
                <w:color w:val="auto"/>
              </w:rPr>
              <w:t>(5) Income Taxes</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8"/>
        </w:trPr>
        <w:tc>
          <w:tcPr>
            <w:tcW w:w="4480" w:type="dxa"/>
            <w:vAlign w:val="bottom"/>
            <w:gridSpan w:val="3"/>
          </w:tcPr>
          <w:p>
            <w:pPr>
              <w:spacing w:after="0"/>
              <w:rPr>
                <w:sz w:val="20"/>
                <w:szCs w:val="20"/>
                <w:color w:val="auto"/>
              </w:rPr>
            </w:pPr>
            <w:r>
              <w:rPr>
                <w:rFonts w:ascii="Arial" w:cs="Arial" w:eastAsia="Arial" w:hAnsi="Arial"/>
                <w:sz w:val="18"/>
                <w:szCs w:val="18"/>
                <w:color w:val="auto"/>
              </w:rPr>
              <w:t>The provision for income taxes was as follows:</w:t>
            </w:r>
          </w:p>
        </w:tc>
        <w:tc>
          <w:tcPr>
            <w:tcW w:w="2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1"/>
        </w:trPr>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Year Ended December 31</w:t>
            </w:r>
          </w:p>
        </w:tc>
        <w:tc>
          <w:tcPr>
            <w:tcW w:w="2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196"/>
        </w:trPr>
        <w:tc>
          <w:tcPr>
            <w:tcW w:w="448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w:t>
            </w:r>
          </w:p>
        </w:tc>
        <w:tc>
          <w:tcPr>
            <w:tcW w:w="26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03"/>
        </w:trPr>
        <w:tc>
          <w:tcPr>
            <w:tcW w:w="44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United States</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480" w:type="dxa"/>
            <w:vAlign w:val="bottom"/>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w:t>
            </w:r>
          </w:p>
        </w:tc>
        <w:tc>
          <w:tcPr>
            <w:tcW w:w="264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20.2</w:t>
            </w:r>
          </w:p>
        </w:tc>
        <w:tc>
          <w:tcPr>
            <w:tcW w:w="60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5.2</w:t>
            </w:r>
          </w:p>
        </w:tc>
        <w:tc>
          <w:tcPr>
            <w:tcW w:w="58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16.7</w:t>
            </w:r>
          </w:p>
        </w:tc>
      </w:tr>
      <w:tr>
        <w:trPr>
          <w:trHeight w:val="203"/>
        </w:trPr>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State</w:t>
            </w:r>
          </w:p>
        </w:tc>
        <w:tc>
          <w:tcPr>
            <w:tcW w:w="264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3.3</w:t>
            </w:r>
          </w:p>
        </w:tc>
        <w:tc>
          <w:tcPr>
            <w:tcW w:w="600" w:type="dxa"/>
            <w:vAlign w:val="bottom"/>
          </w:tcPr>
          <w:p>
            <w:pPr>
              <w:spacing w:after="0"/>
              <w:rPr>
                <w:sz w:val="17"/>
                <w:szCs w:val="17"/>
                <w:color w:val="auto"/>
              </w:rPr>
            </w:pP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4.5</w:t>
            </w:r>
          </w:p>
        </w:tc>
        <w:tc>
          <w:tcPr>
            <w:tcW w:w="58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w:t>
            </w:r>
          </w:p>
        </w:tc>
      </w:tr>
      <w:tr>
        <w:trPr>
          <w:trHeight w:val="203"/>
        </w:trPr>
        <w:tc>
          <w:tcPr>
            <w:tcW w:w="4480" w:type="dxa"/>
            <w:vAlign w:val="bottom"/>
            <w:tcBorders>
              <w:bottom w:val="single" w:sz="8" w:color="auto"/>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Non-United States</w:t>
            </w:r>
          </w:p>
        </w:tc>
        <w:tc>
          <w:tcPr>
            <w:tcW w:w="26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163.5</w:t>
            </w: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124.6</w:t>
            </w:r>
          </w:p>
        </w:tc>
        <w:tc>
          <w:tcPr>
            <w:tcW w:w="5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243.6</w:t>
            </w:r>
          </w:p>
        </w:tc>
      </w:tr>
      <w:tr>
        <w:trPr>
          <w:trHeight w:val="196"/>
        </w:trPr>
        <w:tc>
          <w:tcPr>
            <w:tcW w:w="448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Total current</w:t>
            </w:r>
          </w:p>
        </w:tc>
        <w:tc>
          <w:tcPr>
            <w:tcW w:w="2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187.0</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134.3</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262.8</w:t>
            </w:r>
          </w:p>
        </w:tc>
      </w:tr>
      <w:tr>
        <w:trPr>
          <w:trHeight w:val="196"/>
        </w:trPr>
        <w:tc>
          <w:tcPr>
            <w:tcW w:w="448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26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03"/>
        </w:trPr>
        <w:tc>
          <w:tcPr>
            <w:tcW w:w="44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United States</w:t>
            </w: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480" w:type="dxa"/>
            <w:vAlign w:val="bottom"/>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w:t>
            </w:r>
          </w:p>
        </w:tc>
        <w:tc>
          <w:tcPr>
            <w:tcW w:w="26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5.8</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(11.0 )</w:t>
            </w: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(22.1 )</w:t>
            </w:r>
          </w:p>
        </w:tc>
      </w:tr>
      <w:tr>
        <w:trPr>
          <w:trHeight w:val="203"/>
        </w:trPr>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State</w:t>
            </w:r>
          </w:p>
        </w:tc>
        <w:tc>
          <w:tcPr>
            <w:tcW w:w="264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2.4</w:t>
            </w:r>
          </w:p>
        </w:tc>
        <w:tc>
          <w:tcPr>
            <w:tcW w:w="6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(4.9 )</w:t>
            </w:r>
          </w:p>
        </w:tc>
        <w:tc>
          <w:tcPr>
            <w:tcW w:w="58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w:t>
            </w:r>
          </w:p>
        </w:tc>
      </w:tr>
      <w:tr>
        <w:trPr>
          <w:trHeight w:val="203"/>
        </w:trPr>
        <w:tc>
          <w:tcPr>
            <w:tcW w:w="4480" w:type="dxa"/>
            <w:vAlign w:val="bottom"/>
            <w:tcBorders>
              <w:bottom w:val="single" w:sz="8" w:color="auto"/>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Non-United States</w:t>
            </w:r>
          </w:p>
        </w:tc>
        <w:tc>
          <w:tcPr>
            <w:tcW w:w="26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(9.5 )</w:t>
            </w: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5.5</w:t>
            </w:r>
          </w:p>
        </w:tc>
        <w:tc>
          <w:tcPr>
            <w:tcW w:w="5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(22.0 )</w:t>
            </w:r>
          </w:p>
        </w:tc>
      </w:tr>
      <w:tr>
        <w:trPr>
          <w:trHeight w:val="196"/>
        </w:trPr>
        <w:tc>
          <w:tcPr>
            <w:tcW w:w="448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Total deferred</w:t>
            </w:r>
          </w:p>
        </w:tc>
        <w:tc>
          <w:tcPr>
            <w:tcW w:w="2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(1.3 )</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(10.4 )</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(43.0 )</w:t>
            </w:r>
          </w:p>
        </w:tc>
      </w:tr>
      <w:tr>
        <w:trPr>
          <w:trHeight w:val="196"/>
        </w:trPr>
        <w:tc>
          <w:tcPr>
            <w:tcW w:w="4480" w:type="dxa"/>
            <w:vAlign w:val="bottom"/>
            <w:tcBorders>
              <w:bottom w:val="single" w:sz="8" w:color="auto"/>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provision</w:t>
            </w:r>
          </w:p>
        </w:tc>
        <w:tc>
          <w:tcPr>
            <w:tcW w:w="264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185.7</w:t>
            </w:r>
          </w:p>
        </w:tc>
        <w:tc>
          <w:tcPr>
            <w:tcW w:w="60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123.9</w:t>
            </w:r>
          </w:p>
        </w:tc>
        <w:tc>
          <w:tcPr>
            <w:tcW w:w="58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219.8</w:t>
            </w:r>
          </w:p>
        </w:tc>
      </w:tr>
      <w:tr>
        <w:trPr>
          <w:trHeight w:val="628"/>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40" w:type="dxa"/>
            <w:vAlign w:val="bottom"/>
          </w:tcPr>
          <w:p>
            <w:pPr>
              <w:jc w:val="right"/>
              <w:ind w:right="1310"/>
              <w:spacing w:after="0"/>
              <w:rPr>
                <w:sz w:val="20"/>
                <w:szCs w:val="20"/>
                <w:color w:val="auto"/>
              </w:rPr>
            </w:pPr>
            <w:r>
              <w:rPr>
                <w:rFonts w:ascii="Arial" w:cs="Arial" w:eastAsia="Arial" w:hAnsi="Arial"/>
                <w:sz w:val="18"/>
                <w:szCs w:val="18"/>
                <w:color w:val="auto"/>
              </w:rPr>
              <w:t>78</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8"/>
        </w:trPr>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A tax reconciliation between taxes computed at the United States federal statutory rate of 21% and the consolidated effective tax rate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1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based on statutory rate</w:t>
            </w:r>
          </w:p>
        </w:tc>
        <w:tc>
          <w:tcPr>
            <w:tcW w:w="112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119.3</w:t>
            </w:r>
          </w:p>
        </w:tc>
        <w:tc>
          <w:tcPr>
            <w:tcW w:w="60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31.0</w:t>
            </w:r>
          </w:p>
        </w:tc>
        <w:tc>
          <w:tcPr>
            <w:tcW w:w="58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143.9</w:t>
            </w: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Increase (decrease) resulting from:</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Non-United States tax rate difference:</w:t>
            </w:r>
          </w:p>
        </w:tc>
        <w:tc>
          <w:tcPr>
            <w:tcW w:w="1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6000" w:type="dxa"/>
            <w:vAlign w:val="bottom"/>
          </w:tcPr>
          <w:p>
            <w:pPr>
              <w:ind w:left="380"/>
              <w:spacing w:after="0" w:line="202" w:lineRule="exact"/>
              <w:rPr>
                <w:sz w:val="20"/>
                <w:szCs w:val="20"/>
                <w:color w:val="auto"/>
              </w:rPr>
            </w:pPr>
            <w:r>
              <w:rPr>
                <w:rFonts w:ascii="Arial" w:cs="Arial" w:eastAsia="Arial" w:hAnsi="Arial"/>
                <w:sz w:val="17"/>
                <w:szCs w:val="17"/>
                <w:color w:val="auto"/>
              </w:rPr>
              <w:t>French business tax</w:t>
            </w:r>
            <w:r>
              <w:rPr>
                <w:rFonts w:ascii="Arial" w:cs="Arial" w:eastAsia="Arial" w:hAnsi="Arial"/>
                <w:sz w:val="23"/>
                <w:szCs w:val="23"/>
                <w:color w:val="auto"/>
                <w:vertAlign w:val="superscript"/>
              </w:rPr>
              <w:t>(1)</w:t>
            </w:r>
          </w:p>
        </w:tc>
        <w:tc>
          <w:tcPr>
            <w:tcW w:w="1120" w:type="dxa"/>
            <w:vAlign w:val="bottom"/>
          </w:tcPr>
          <w:p>
            <w:pPr>
              <w:spacing w:after="0"/>
              <w:rPr>
                <w:sz w:val="17"/>
                <w:szCs w:val="17"/>
                <w:color w:val="auto"/>
              </w:rPr>
            </w:pPr>
          </w:p>
        </w:tc>
        <w:tc>
          <w:tcPr>
            <w:tcW w:w="1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26.7</w:t>
            </w:r>
          </w:p>
        </w:tc>
        <w:tc>
          <w:tcPr>
            <w:tcW w:w="60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43.7</w:t>
            </w:r>
          </w:p>
        </w:tc>
        <w:tc>
          <w:tcPr>
            <w:tcW w:w="58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54.9</w:t>
            </w:r>
          </w:p>
        </w:tc>
      </w:tr>
      <w:tr>
        <w:trPr>
          <w:trHeight w:val="202"/>
        </w:trPr>
        <w:tc>
          <w:tcPr>
            <w:tcW w:w="6000" w:type="dxa"/>
            <w:vAlign w:val="bottom"/>
            <w:shd w:val="clear" w:color="auto" w:fill="CFF0FC"/>
          </w:tcPr>
          <w:p>
            <w:pPr>
              <w:ind w:left="380"/>
              <w:spacing w:after="0" w:line="202" w:lineRule="exact"/>
              <w:rPr>
                <w:sz w:val="20"/>
                <w:szCs w:val="20"/>
                <w:color w:val="auto"/>
              </w:rPr>
            </w:pPr>
            <w:r>
              <w:rPr>
                <w:rFonts w:ascii="Arial" w:cs="Arial" w:eastAsia="Arial" w:hAnsi="Arial"/>
                <w:sz w:val="17"/>
                <w:szCs w:val="17"/>
                <w:color w:val="auto"/>
              </w:rPr>
              <w:t>Other</w:t>
            </w:r>
            <w:r>
              <w:rPr>
                <w:rFonts w:ascii="Arial" w:cs="Arial" w:eastAsia="Arial" w:hAnsi="Arial"/>
                <w:sz w:val="23"/>
                <w:szCs w:val="23"/>
                <w:color w:val="auto"/>
                <w:vertAlign w:val="superscript"/>
              </w:rPr>
              <w:t>(2)</w:t>
            </w:r>
          </w:p>
        </w:tc>
        <w:tc>
          <w:tcPr>
            <w:tcW w:w="1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22.2</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9.7</w:t>
            </w:r>
          </w:p>
        </w:tc>
        <w:tc>
          <w:tcPr>
            <w:tcW w:w="5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37.3</w:t>
            </w: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Repatriation of non-United States earnings</w:t>
            </w:r>
          </w:p>
        </w:tc>
        <w:tc>
          <w:tcPr>
            <w:tcW w:w="1120" w:type="dxa"/>
            <w:vAlign w:val="bottom"/>
          </w:tcPr>
          <w:p>
            <w:pPr>
              <w:spacing w:after="0"/>
              <w:rPr>
                <w:sz w:val="17"/>
                <w:szCs w:val="17"/>
                <w:color w:val="auto"/>
              </w:rPr>
            </w:pPr>
          </w:p>
        </w:tc>
        <w:tc>
          <w:tcPr>
            <w:tcW w:w="1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5.7</w:t>
            </w: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(2.0 )</w:t>
            </w:r>
          </w:p>
        </w:tc>
        <w:tc>
          <w:tcPr>
            <w:tcW w:w="5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(17.8 )</w:t>
            </w: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5.0</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c>
          <w:tcPr>
            <w:tcW w:w="5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7"/>
                <w:szCs w:val="17"/>
                <w:color w:val="auto"/>
              </w:rPr>
              <w:t>Change in valuation allowance</w:t>
            </w:r>
            <w:r>
              <w:rPr>
                <w:rFonts w:ascii="Arial" w:cs="Arial" w:eastAsia="Arial" w:hAnsi="Arial"/>
                <w:sz w:val="23"/>
                <w:szCs w:val="23"/>
                <w:color w:val="auto"/>
                <w:vertAlign w:val="superscript"/>
              </w:rPr>
              <w:t>(3)</w:t>
            </w:r>
          </w:p>
        </w:tc>
        <w:tc>
          <w:tcPr>
            <w:tcW w:w="1120" w:type="dxa"/>
            <w:vAlign w:val="bottom"/>
          </w:tcPr>
          <w:p>
            <w:pPr>
              <w:spacing w:after="0"/>
              <w:rPr>
                <w:sz w:val="17"/>
                <w:szCs w:val="17"/>
                <w:color w:val="auto"/>
              </w:rPr>
            </w:pPr>
          </w:p>
        </w:tc>
        <w:tc>
          <w:tcPr>
            <w:tcW w:w="1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22.0</w:t>
            </w:r>
          </w:p>
        </w:tc>
        <w:tc>
          <w:tcPr>
            <w:tcW w:w="60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48.5</w:t>
            </w:r>
          </w:p>
        </w:tc>
        <w:tc>
          <w:tcPr>
            <w:tcW w:w="58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w:t>
            </w: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Work Opportunity Tax Credit</w:t>
            </w:r>
            <w:r>
              <w:rPr>
                <w:rFonts w:ascii="Arial" w:cs="Arial" w:eastAsia="Arial" w:hAnsi="Arial"/>
                <w:sz w:val="23"/>
                <w:szCs w:val="23"/>
                <w:color w:val="auto"/>
                <w:vertAlign w:val="superscript"/>
              </w:rPr>
              <w:t>(4)</w:t>
            </w:r>
          </w:p>
        </w:tc>
        <w:tc>
          <w:tcPr>
            <w:tcW w:w="1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(10.9 )</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(4.9 )</w:t>
            </w:r>
          </w:p>
        </w:tc>
        <w:tc>
          <w:tcPr>
            <w:tcW w:w="5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(10.4 )</w:t>
            </w: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112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(10.7 )</w:t>
            </w: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(8.8 )</w:t>
            </w:r>
          </w:p>
        </w:tc>
        <w:tc>
          <w:tcPr>
            <w:tcW w:w="5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(11.9 )</w:t>
            </w: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Goodwill impairment</w:t>
            </w:r>
            <w:r>
              <w:rPr>
                <w:rFonts w:ascii="Arial" w:cs="Arial" w:eastAsia="Arial" w:hAnsi="Arial"/>
                <w:sz w:val="23"/>
                <w:szCs w:val="23"/>
                <w:color w:val="auto"/>
                <w:vertAlign w:val="superscript"/>
              </w:rPr>
              <w:t>(5)</w:t>
            </w:r>
          </w:p>
        </w:tc>
        <w:tc>
          <w:tcPr>
            <w:tcW w:w="1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13.4</w:t>
            </w:r>
          </w:p>
        </w:tc>
        <w:tc>
          <w:tcPr>
            <w:tcW w:w="5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11.9</w:t>
            </w: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7"/>
                <w:szCs w:val="17"/>
                <w:color w:val="auto"/>
              </w:rPr>
              <w:t>Gain related to Manpower Switzerland and Greater China transactions</w:t>
            </w:r>
            <w:r>
              <w:rPr>
                <w:rFonts w:ascii="Arial" w:cs="Arial" w:eastAsia="Arial" w:hAnsi="Arial"/>
                <w:sz w:val="23"/>
                <w:szCs w:val="23"/>
                <w:color w:val="auto"/>
                <w:vertAlign w:val="superscript"/>
              </w:rPr>
              <w:t>(6)</w:t>
            </w:r>
          </w:p>
        </w:tc>
        <w:tc>
          <w:tcPr>
            <w:tcW w:w="1120" w:type="dxa"/>
            <w:vAlign w:val="bottom"/>
          </w:tcPr>
          <w:p>
            <w:pPr>
              <w:spacing w:after="0"/>
              <w:rPr>
                <w:sz w:val="17"/>
                <w:szCs w:val="17"/>
                <w:color w:val="auto"/>
              </w:rPr>
            </w:pPr>
          </w:p>
        </w:tc>
        <w:tc>
          <w:tcPr>
            <w:tcW w:w="1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(22.8 )</w:t>
            </w:r>
          </w:p>
        </w:tc>
      </w:tr>
      <w:tr>
        <w:trPr>
          <w:trHeight w:val="203"/>
        </w:trPr>
        <w:tc>
          <w:tcPr>
            <w:tcW w:w="60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net</w:t>
            </w:r>
          </w:p>
        </w:tc>
        <w:tc>
          <w:tcPr>
            <w:tcW w:w="1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6.4</w:t>
            </w: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(5.4 )</w:t>
            </w:r>
          </w:p>
        </w:tc>
        <w:tc>
          <w:tcPr>
            <w:tcW w:w="5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11.6</w:t>
            </w:r>
          </w:p>
        </w:tc>
      </w:tr>
      <w:tr>
        <w:trPr>
          <w:trHeight w:val="196"/>
        </w:trPr>
        <w:tc>
          <w:tcPr>
            <w:tcW w:w="60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Tax provision</w:t>
            </w:r>
          </w:p>
        </w:tc>
        <w:tc>
          <w:tcPr>
            <w:tcW w:w="11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185.7</w:t>
            </w:r>
          </w:p>
        </w:tc>
        <w:tc>
          <w:tcPr>
            <w:tcW w:w="6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123.9</w:t>
            </w:r>
          </w:p>
        </w:tc>
        <w:tc>
          <w:tcPr>
            <w:tcW w:w="5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219.8</w:t>
            </w:r>
          </w:p>
        </w:tc>
      </w:tr>
    </w:tbl>
    <w:p>
      <w:pPr>
        <w:spacing w:after="0" w:line="17" w:lineRule="exact"/>
        <w:rPr>
          <w:sz w:val="20"/>
          <w:szCs w:val="20"/>
          <w:color w:val="auto"/>
        </w:rPr>
      </w:pPr>
    </w:p>
    <w:p>
      <w:pPr>
        <w:jc w:val="both"/>
        <w:ind w:left="380" w:hanging="372"/>
        <w:spacing w:after="0" w:line="266"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French business tax is allowed as a deduction for French income tax purposes. The gross amount of the French business tax was $33.7, $55.3 and $69.5 for 2021, 2020 and 2019, respectively. The amounts in the table above of $26.7, $43.7 and $54.9 for 2021, 2020 and 2019, respectively, represent the French business tax expense net of the French tax benefit using the United States federal rate of 21%. In December 2020, the French Parliament approved the Finance Bill for 2021 which lowered the business tax rate from 1.5% to 0.75%. The benefit of this tax rate reduction is reflected in our 2021 Consolidated Financial Statements.</w:t>
      </w:r>
    </w:p>
    <w:p>
      <w:pPr>
        <w:spacing w:after="0" w:line="2" w:lineRule="exact"/>
        <w:rPr>
          <w:rFonts w:ascii="Arial" w:cs="Arial" w:eastAsia="Arial" w:hAnsi="Arial"/>
          <w:sz w:val="14"/>
          <w:szCs w:val="14"/>
          <w:color w:val="auto"/>
        </w:rPr>
      </w:pPr>
    </w:p>
    <w:p>
      <w:pPr>
        <w:jc w:val="both"/>
        <w:ind w:left="380" w:hanging="372"/>
        <w:spacing w:after="0" w:line="256" w:lineRule="auto"/>
        <w:tabs>
          <w:tab w:leader="none" w:pos="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Included in Other Non-United States tax rate differences is the impact of all Non-United States pre-tax earnings and permanent tax differences at the local statutory tax rate versus the United States federal rate of 21%. This includes benefits of $2.5, $6.1 and $9.3 for 2021, 2020 and 2019, respectively, related to the difference between the United States federal rate and the French tax rate applied to the respective gross amounts of the French business tax deduction previously mentioned.</w:t>
      </w:r>
    </w:p>
    <w:p>
      <w:pPr>
        <w:spacing w:after="0" w:line="1" w:lineRule="exact"/>
        <w:rPr>
          <w:rFonts w:ascii="Arial" w:cs="Arial" w:eastAsia="Arial" w:hAnsi="Arial"/>
          <w:sz w:val="15"/>
          <w:szCs w:val="15"/>
          <w:color w:val="auto"/>
        </w:rPr>
      </w:pPr>
    </w:p>
    <w:p>
      <w:pPr>
        <w:jc w:val="both"/>
        <w:ind w:left="380" w:hanging="372"/>
        <w:spacing w:after="0" w:line="242"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2020, we determined that it was more likely than not that certain deferred tax assets in Germany and the Netherlands would not be realized and recorded income tax expense of $36.9 and $8.1, respectively, to establish valuation allowances. Additional losses incurred in 2021 in Germany resulted in an increase in valuation allowance of $20.1.</w:t>
      </w:r>
    </w:p>
    <w:p>
      <w:pPr>
        <w:ind w:left="380" w:hanging="372"/>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Work Opportunity Tax Credit is currently authorized until December 31, 2025.</w:t>
      </w:r>
    </w:p>
    <w:p>
      <w:pPr>
        <w:spacing w:after="0" w:line="28" w:lineRule="exact"/>
        <w:rPr>
          <w:rFonts w:ascii="Arial" w:cs="Arial" w:eastAsia="Arial" w:hAnsi="Arial"/>
          <w:sz w:val="16"/>
          <w:szCs w:val="16"/>
          <w:color w:val="auto"/>
        </w:rPr>
      </w:pPr>
    </w:p>
    <w:p>
      <w:pPr>
        <w:ind w:left="380" w:hanging="372"/>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Non-deductible portion of the goodwill impairment charges recorded in Germany in June 2020 and 2019.</w:t>
      </w:r>
    </w:p>
    <w:p>
      <w:pPr>
        <w:spacing w:after="0" w:line="32" w:lineRule="exact"/>
        <w:rPr>
          <w:rFonts w:ascii="Arial" w:cs="Arial" w:eastAsia="Arial" w:hAnsi="Arial"/>
          <w:sz w:val="16"/>
          <w:szCs w:val="16"/>
          <w:color w:val="auto"/>
        </w:rPr>
      </w:pPr>
    </w:p>
    <w:p>
      <w:pPr>
        <w:ind w:left="380" w:right="20" w:hanging="372"/>
        <w:spacing w:after="0" w:line="258"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Non-taxable gains on the disposition of our previously held equity interest in Manpower Switzerland in April 2019 and the deconsolidation of ManpowerGroup Greater China Limited in July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Deferred income taxes are recorded based on temporary differences at the tax rate expected to be in effect when the temporary differences reverse.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which give rise to the deferred taxes,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196"/>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Future Income Tax Benefits (Expense)</w:t>
            </w:r>
          </w:p>
        </w:tc>
        <w:tc>
          <w:tcPr>
            <w:tcW w:w="29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taxes and insurance</w:t>
            </w:r>
          </w:p>
        </w:tc>
        <w:tc>
          <w:tcPr>
            <w:tcW w:w="29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22.5</w:t>
            </w:r>
          </w:p>
        </w:tc>
        <w:tc>
          <w:tcPr>
            <w:tcW w:w="7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32.2</w:t>
            </w: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compensation payable</w:t>
            </w:r>
          </w:p>
        </w:tc>
        <w:tc>
          <w:tcPr>
            <w:tcW w:w="29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38.9</w:t>
            </w: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26.2</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Pension and postretirement benefits</w:t>
            </w:r>
          </w:p>
        </w:tc>
        <w:tc>
          <w:tcPr>
            <w:tcW w:w="2900" w:type="dxa"/>
            <w:vAlign w:val="bottom"/>
          </w:tcPr>
          <w:p>
            <w:pPr>
              <w:spacing w:after="0"/>
              <w:rPr>
                <w:sz w:val="17"/>
                <w:szCs w:val="17"/>
                <w:color w:val="auto"/>
              </w:rPr>
            </w:pP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77.9</w:t>
            </w:r>
          </w:p>
        </w:tc>
        <w:tc>
          <w:tcPr>
            <w:tcW w:w="70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79.1</w:t>
            </w: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9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(135.7 )</w:t>
            </w: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(113.6 )</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Repatriation of non-United States earnings</w:t>
            </w:r>
          </w:p>
        </w:tc>
        <w:tc>
          <w:tcPr>
            <w:tcW w:w="290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(16.1 )</w:t>
            </w:r>
          </w:p>
        </w:tc>
        <w:tc>
          <w:tcPr>
            <w:tcW w:w="7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(10.0 )</w:t>
            </w: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Loans denominated in foreign currencies</w:t>
            </w:r>
          </w:p>
        </w:tc>
        <w:tc>
          <w:tcPr>
            <w:tcW w:w="29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13.5</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ROU assets</w:t>
            </w:r>
          </w:p>
        </w:tc>
        <w:tc>
          <w:tcPr>
            <w:tcW w:w="290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(96.3 )</w:t>
            </w:r>
          </w:p>
        </w:tc>
        <w:tc>
          <w:tcPr>
            <w:tcW w:w="7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(106.2 )</w:t>
            </w: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29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99.5</w:t>
            </w: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112.0</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losses</w:t>
            </w:r>
          </w:p>
        </w:tc>
        <w:tc>
          <w:tcPr>
            <w:tcW w:w="2900" w:type="dxa"/>
            <w:vAlign w:val="bottom"/>
          </w:tcPr>
          <w:p>
            <w:pPr>
              <w:spacing w:after="0"/>
              <w:rPr>
                <w:sz w:val="17"/>
                <w:szCs w:val="17"/>
                <w:color w:val="auto"/>
              </w:rPr>
            </w:pP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129.4</w:t>
            </w:r>
          </w:p>
        </w:tc>
        <w:tc>
          <w:tcPr>
            <w:tcW w:w="70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136.2</w:t>
            </w: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9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163.9</w:t>
            </w: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127.9</w:t>
            </w:r>
          </w:p>
        </w:tc>
      </w:tr>
      <w:tr>
        <w:trPr>
          <w:trHeight w:val="203"/>
        </w:trPr>
        <w:tc>
          <w:tcPr>
            <w:tcW w:w="54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2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(167.1 )</w:t>
            </w: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(149.4 )</w:t>
            </w:r>
          </w:p>
        </w:tc>
      </w:tr>
      <w:tr>
        <w:trPr>
          <w:trHeight w:val="196"/>
        </w:trPr>
        <w:tc>
          <w:tcPr>
            <w:tcW w:w="54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tax benefits</w:t>
            </w:r>
          </w:p>
        </w:tc>
        <w:tc>
          <w:tcPr>
            <w:tcW w:w="29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116.9</w:t>
            </w:r>
          </w:p>
        </w:tc>
        <w:tc>
          <w:tcPr>
            <w:tcW w:w="7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147.9</w:t>
            </w: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Deferred tax asset</w:t>
            </w:r>
          </w:p>
        </w:tc>
        <w:tc>
          <w:tcPr>
            <w:tcW w:w="290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135.0</w:t>
            </w:r>
          </w:p>
        </w:tc>
        <w:tc>
          <w:tcPr>
            <w:tcW w:w="70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165.7</w:t>
            </w:r>
          </w:p>
        </w:tc>
      </w:tr>
      <w:tr>
        <w:trPr>
          <w:trHeight w:val="203"/>
        </w:trPr>
        <w:tc>
          <w:tcPr>
            <w:tcW w:w="540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liability</w:t>
            </w:r>
          </w:p>
        </w:tc>
        <w:tc>
          <w:tcPr>
            <w:tcW w:w="29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(18.1 )</w:t>
            </w:r>
          </w:p>
        </w:tc>
        <w:tc>
          <w:tcPr>
            <w:tcW w:w="7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(17.8 )</w:t>
            </w:r>
          </w:p>
        </w:tc>
      </w:tr>
      <w:tr>
        <w:trPr>
          <w:trHeight w:val="196"/>
        </w:trPr>
        <w:tc>
          <w:tcPr>
            <w:tcW w:w="54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future tax benefits</w:t>
            </w:r>
          </w:p>
        </w:tc>
        <w:tc>
          <w:tcPr>
            <w:tcW w:w="29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116.9</w:t>
            </w:r>
          </w:p>
        </w:tc>
        <w:tc>
          <w:tcPr>
            <w:tcW w:w="7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147.9</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Pre-tax earnings of non-United States operations were $433.6, $86.3 and $416.6 in 2021, 2020 and 2019, respectively. We have not provided deferred taxes on $343.8 of unremitted earnings of non-United States subsidiaries that are considered permanently invested. We have not estimated the deferred tax liability on these earnings as such estimation is not practicable to determine or immaterial to the financial statements. As of December 31, 2021, deferred taxes for non-United States withholding and other taxes were provided on $1,473.3 of unremitted earnings of non-United States subsidiaries that may be remitted to the United States. As of December 31, 2021 and 2020, we have recorded a deferred tax liability of $16.1 and $10.0, respectively, related to these non-United States earnings that may be remitted.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had United States federal and non-United States net operating loss carryforwards and United States state net operating loss carryforwards totaling $644.7 and $161.9, respectively, as of December 31, 2021. The net operating loss carryforwards expire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United States</w:t>
            </w: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Federal and</w:t>
            </w:r>
          </w:p>
        </w:tc>
        <w:tc>
          <w:tcPr>
            <w:tcW w:w="500" w:type="dxa"/>
            <w:vAlign w:val="bottom"/>
          </w:tcPr>
          <w:p>
            <w:pPr>
              <w:spacing w:after="0"/>
              <w:rPr>
                <w:sz w:val="15"/>
                <w:szCs w:val="15"/>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Non-United</w:t>
            </w:r>
          </w:p>
        </w:tc>
        <w:tc>
          <w:tcPr>
            <w:tcW w:w="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States</w:t>
            </w: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8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2.7</w:t>
            </w:r>
          </w:p>
        </w:tc>
        <w:tc>
          <w:tcPr>
            <w:tcW w:w="5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2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w:t>
            </w:r>
          </w:p>
        </w:tc>
        <w:tc>
          <w:tcPr>
            <w:tcW w:w="50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8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5.3</w:t>
            </w:r>
          </w:p>
        </w:tc>
        <w:tc>
          <w:tcPr>
            <w:tcW w:w="5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82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5.5</w:t>
            </w:r>
          </w:p>
        </w:tc>
        <w:tc>
          <w:tcPr>
            <w:tcW w:w="50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8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w:t>
            </w:r>
          </w:p>
        </w:tc>
        <w:tc>
          <w:tcPr>
            <w:tcW w:w="5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82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7.5</w:t>
            </w:r>
          </w:p>
        </w:tc>
        <w:tc>
          <w:tcPr>
            <w:tcW w:w="50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 expirations</w:t>
            </w:r>
          </w:p>
        </w:tc>
        <w:tc>
          <w:tcPr>
            <w:tcW w:w="28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620.0</w:t>
            </w:r>
          </w:p>
        </w:tc>
        <w:tc>
          <w:tcPr>
            <w:tcW w:w="5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net operating loss carryforwards</w:t>
            </w:r>
          </w:p>
        </w:tc>
        <w:tc>
          <w:tcPr>
            <w:tcW w:w="28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644.7</w:t>
            </w:r>
          </w:p>
        </w:tc>
        <w:tc>
          <w:tcPr>
            <w:tcW w:w="5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recorded a deferred tax asset of $129.4 as of December 31, 2021, for the benefit of these net operating losses. Realization of this asset is dependent on generating sufficient taxable income prior to the expiration of the loss carryforwards. A related valuation allowance of $115.1 was recorded as of December 31, 2021, as management believes that realization of certain net operating loss carryforwards is unlikely.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0" w:name="page81"/>
    <w:bookmarkEnd w:id="80"/>
    <w:p>
      <w:pPr>
        <w:jc w:val="both"/>
        <w:spacing w:after="0" w:line="248" w:lineRule="auto"/>
        <w:rPr>
          <w:sz w:val="20"/>
          <w:szCs w:val="20"/>
          <w:color w:val="auto"/>
        </w:rPr>
      </w:pPr>
      <w:r>
        <w:rPr>
          <w:rFonts w:ascii="Arial" w:cs="Arial" w:eastAsia="Arial" w:hAnsi="Arial"/>
          <w:sz w:val="18"/>
          <w:szCs w:val="18"/>
          <w:color w:val="auto"/>
        </w:rPr>
        <w:t>We had gross unrecognized tax benefits related to various tax jurisdictions, including interest and penalties, of $71.8, $64.5 and $69.5 in 2021, 2020 and 2019, respectively. If recognized, the entire amount would favorably affect the effective tax rate except for $6.0. We do not expect our unrecognized tax benefits to change significantly over the next year.</w:t>
      </w:r>
    </w:p>
    <w:p>
      <w:pPr>
        <w:spacing w:after="0" w:line="15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recognize accrued interest and penalties related to unrecognized tax benefits in income tax expense. We accrued net interest and penalties of $0.9, $0.0 and $1.6 in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unrecognized tax benefits during 2021,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196"/>
        </w:trPr>
        <w:tc>
          <w:tcPr>
            <w:tcW w:w="6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unrecognized tax benefits, beginning of year</w:t>
            </w:r>
          </w:p>
        </w:tc>
        <w:tc>
          <w:tcPr>
            <w:tcW w:w="21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60.9</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65.9</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32.2</w:t>
            </w:r>
          </w:p>
        </w:tc>
      </w:tr>
      <w:tr>
        <w:trPr>
          <w:trHeight w:val="203"/>
        </w:trPr>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Increases in prior year tax positions</w:t>
            </w:r>
          </w:p>
        </w:tc>
        <w:tc>
          <w:tcPr>
            <w:tcW w:w="2180" w:type="dxa"/>
            <w:vAlign w:val="bottom"/>
          </w:tcPr>
          <w:p>
            <w:pPr>
              <w:spacing w:after="0"/>
              <w:rPr>
                <w:sz w:val="17"/>
                <w:szCs w:val="17"/>
                <w:color w:val="auto"/>
              </w:rPr>
            </w:pPr>
          </w:p>
        </w:tc>
        <w:tc>
          <w:tcPr>
            <w:tcW w:w="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4.6</w:t>
            </w:r>
          </w:p>
        </w:tc>
        <w:tc>
          <w:tcPr>
            <w:tcW w:w="38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w:t>
            </w:r>
          </w:p>
        </w:tc>
        <w:tc>
          <w:tcPr>
            <w:tcW w:w="38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35.7</w:t>
            </w:r>
          </w:p>
        </w:tc>
      </w:tr>
      <w:tr>
        <w:trPr>
          <w:trHeight w:val="203"/>
        </w:trPr>
        <w:tc>
          <w:tcPr>
            <w:tcW w:w="6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Decreases in prior year tax positions</w:t>
            </w:r>
          </w:p>
        </w:tc>
        <w:tc>
          <w:tcPr>
            <w:tcW w:w="2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(0.4 )</w:t>
            </w: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(4.1 )</w:t>
            </w:r>
          </w:p>
        </w:tc>
        <w:tc>
          <w:tcPr>
            <w:tcW w:w="3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203"/>
        </w:trPr>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Increases for current year tax positions</w:t>
            </w:r>
          </w:p>
        </w:tc>
        <w:tc>
          <w:tcPr>
            <w:tcW w:w="2180" w:type="dxa"/>
            <w:vAlign w:val="bottom"/>
          </w:tcPr>
          <w:p>
            <w:pPr>
              <w:spacing w:after="0"/>
              <w:rPr>
                <w:sz w:val="17"/>
                <w:szCs w:val="17"/>
                <w:color w:val="auto"/>
              </w:rPr>
            </w:pPr>
          </w:p>
        </w:tc>
        <w:tc>
          <w:tcPr>
            <w:tcW w:w="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9.0</w:t>
            </w:r>
          </w:p>
        </w:tc>
        <w:tc>
          <w:tcPr>
            <w:tcW w:w="38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w:t>
            </w:r>
          </w:p>
        </w:tc>
        <w:tc>
          <w:tcPr>
            <w:tcW w:w="38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w:t>
            </w:r>
          </w:p>
        </w:tc>
      </w:tr>
      <w:tr>
        <w:trPr>
          <w:trHeight w:val="203"/>
        </w:trPr>
        <w:tc>
          <w:tcPr>
            <w:tcW w:w="608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Expiration of statute of limitations and audit settlements</w:t>
            </w:r>
          </w:p>
        </w:tc>
        <w:tc>
          <w:tcPr>
            <w:tcW w:w="2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(6.8 )</w:t>
            </w:r>
          </w:p>
        </w:tc>
        <w:tc>
          <w:tcPr>
            <w:tcW w:w="3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(5.5 )</w:t>
            </w:r>
          </w:p>
        </w:tc>
        <w:tc>
          <w:tcPr>
            <w:tcW w:w="3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(4.1 )</w:t>
            </w:r>
          </w:p>
        </w:tc>
      </w:tr>
      <w:tr>
        <w:trPr>
          <w:trHeight w:val="196"/>
        </w:trPr>
        <w:tc>
          <w:tcPr>
            <w:tcW w:w="60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Gross unrecognized tax benefits, end of year</w:t>
            </w:r>
          </w:p>
        </w:tc>
        <w:tc>
          <w:tcPr>
            <w:tcW w:w="21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67.3</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60.9</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65.9</w:t>
            </w:r>
          </w:p>
        </w:tc>
      </w:tr>
      <w:tr>
        <w:trPr>
          <w:trHeight w:val="196"/>
        </w:trPr>
        <w:tc>
          <w:tcPr>
            <w:tcW w:w="60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Potential interest and penalties</w:t>
            </w:r>
          </w:p>
        </w:tc>
        <w:tc>
          <w:tcPr>
            <w:tcW w:w="2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4.5</w:t>
            </w:r>
          </w:p>
        </w:tc>
        <w:tc>
          <w:tcPr>
            <w:tcW w:w="3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3.6</w:t>
            </w:r>
          </w:p>
        </w:tc>
      </w:tr>
      <w:tr>
        <w:trPr>
          <w:trHeight w:val="196"/>
        </w:trPr>
        <w:tc>
          <w:tcPr>
            <w:tcW w:w="60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Balance, end of year</w:t>
            </w:r>
          </w:p>
        </w:tc>
        <w:tc>
          <w:tcPr>
            <w:tcW w:w="21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71.8</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64.5</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69.5</w:t>
            </w: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2014 through 2021 for our major operations in France, Italy, the United Kingdom and the United States. As of December 31, 2021, we were subject to tax audits in Austria, France, Germany, Israel, Japan, Portugal, Spain and the United States. We believe that the resolution of these audits will not have a material impact on earnings.</w:t>
      </w:r>
    </w:p>
    <w:p>
      <w:pPr>
        <w:spacing w:after="0" w:line="159"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and net earnings per share - diluted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1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196"/>
        </w:trPr>
        <w:tc>
          <w:tcPr>
            <w:tcW w:w="55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available to common shareholders:</w:t>
            </w:r>
          </w:p>
        </w:tc>
        <w:tc>
          <w:tcPr>
            <w:tcW w:w="16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382.4</w:t>
            </w:r>
          </w:p>
        </w:tc>
        <w:tc>
          <w:tcPr>
            <w:tcW w:w="66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23.8</w:t>
            </w:r>
          </w:p>
        </w:tc>
        <w:tc>
          <w:tcPr>
            <w:tcW w:w="64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465.7</w:t>
            </w:r>
          </w:p>
        </w:tc>
      </w:tr>
      <w:tr>
        <w:trPr>
          <w:trHeight w:val="196"/>
        </w:trPr>
        <w:tc>
          <w:tcPr>
            <w:tcW w:w="5500" w:type="dxa"/>
            <w:vAlign w:val="bottom"/>
          </w:tcPr>
          <w:p>
            <w:pPr>
              <w:ind w:left="20"/>
              <w:spacing w:after="0" w:line="196" w:lineRule="exact"/>
              <w:rPr>
                <w:sz w:val="20"/>
                <w:szCs w:val="20"/>
                <w:color w:val="auto"/>
              </w:rPr>
            </w:pPr>
            <w:r>
              <w:rPr>
                <w:rFonts w:ascii="Arial" w:cs="Arial" w:eastAsia="Arial" w:hAnsi="Arial"/>
                <w:sz w:val="18"/>
                <w:szCs w:val="18"/>
                <w:color w:val="auto"/>
              </w:rPr>
              <w:t>Weighted-average common shares outstanding (in millions):</w:t>
            </w: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common shares outstanding - basic</w:t>
            </w:r>
          </w:p>
        </w:tc>
        <w:tc>
          <w:tcPr>
            <w:tcW w:w="16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54.5</w:t>
            </w:r>
          </w:p>
        </w:tc>
        <w:tc>
          <w:tcPr>
            <w:tcW w:w="6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58.0</w:t>
            </w:r>
          </w:p>
        </w:tc>
        <w:tc>
          <w:tcPr>
            <w:tcW w:w="6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59.9</w:t>
            </w:r>
          </w:p>
        </w:tc>
      </w:tr>
      <w:tr>
        <w:trPr>
          <w:trHeight w:val="203"/>
        </w:trPr>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Effect of dilutive securities - stock options</w:t>
            </w:r>
          </w:p>
        </w:tc>
        <w:tc>
          <w:tcPr>
            <w:tcW w:w="162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0.2</w:t>
            </w:r>
          </w:p>
        </w:tc>
        <w:tc>
          <w:tcPr>
            <w:tcW w:w="66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 of other share-based awards</w:t>
            </w:r>
          </w:p>
        </w:tc>
        <w:tc>
          <w:tcPr>
            <w:tcW w:w="16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0.7</w:t>
            </w:r>
          </w:p>
        </w:tc>
        <w:tc>
          <w:tcPr>
            <w:tcW w:w="6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0.3</w:t>
            </w:r>
          </w:p>
        </w:tc>
        <w:tc>
          <w:tcPr>
            <w:tcW w:w="6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0.4</w:t>
            </w:r>
          </w:p>
        </w:tc>
      </w:tr>
      <w:tr>
        <w:trPr>
          <w:trHeight w:val="196"/>
        </w:trPr>
        <w:tc>
          <w:tcPr>
            <w:tcW w:w="5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Weighted-average common shares outstanding - diluted</w:t>
            </w: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55.4</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58.3</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60.3</w:t>
            </w:r>
          </w:p>
        </w:tc>
      </w:tr>
      <w:tr>
        <w:trPr>
          <w:trHeight w:val="196"/>
        </w:trPr>
        <w:tc>
          <w:tcPr>
            <w:tcW w:w="55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per share - basic</w:t>
            </w:r>
          </w:p>
        </w:tc>
        <w:tc>
          <w:tcPr>
            <w:tcW w:w="16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7.01</w:t>
            </w:r>
          </w:p>
        </w:tc>
        <w:tc>
          <w:tcPr>
            <w:tcW w:w="66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0.41</w:t>
            </w:r>
          </w:p>
        </w:tc>
        <w:tc>
          <w:tcPr>
            <w:tcW w:w="64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7.78</w:t>
            </w:r>
          </w:p>
        </w:tc>
      </w:tr>
      <w:tr>
        <w:trPr>
          <w:trHeight w:val="196"/>
        </w:trPr>
        <w:tc>
          <w:tcPr>
            <w:tcW w:w="55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earnings per share - diluted</w:t>
            </w:r>
          </w:p>
        </w:tc>
        <w:tc>
          <w:tcPr>
            <w:tcW w:w="16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6.91</w:t>
            </w:r>
          </w:p>
        </w:tc>
        <w:tc>
          <w:tcPr>
            <w:tcW w:w="6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0.41</w:t>
            </w:r>
          </w:p>
        </w:tc>
        <w:tc>
          <w:tcPr>
            <w:tcW w:w="6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7.72</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0.1 million, 0.6 million and 0.4 million share-based awards excluded from the calculation of net earnings per share - diluted for the years ended December 31, 2021, 2020 and 2019, respectively, because their impact was anti-dilutive.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1" w:name="page82"/>
    <w:bookmarkEnd w:id="81"/>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w w:val="93"/>
              </w:rPr>
              <w:t>Americas</w:t>
            </w:r>
            <w:r>
              <w:rPr>
                <w:rFonts w:ascii="Arial" w:cs="Arial" w:eastAsia="Arial" w:hAnsi="Arial"/>
                <w:sz w:val="24"/>
                <w:szCs w:val="24"/>
                <w:color w:val="auto"/>
                <w:w w:val="93"/>
                <w:vertAlign w:val="superscript"/>
              </w:rPr>
              <w:t>(1)</w:t>
            </w:r>
          </w:p>
        </w:tc>
        <w:tc>
          <w:tcPr>
            <w:tcW w:w="340" w:type="dxa"/>
            <w:vAlign w:val="bottom"/>
          </w:tcPr>
          <w:p>
            <w:pPr>
              <w:spacing w:after="0"/>
              <w:rPr>
                <w:sz w:val="17"/>
                <w:szCs w:val="17"/>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Southern</w:t>
            </w:r>
          </w:p>
        </w:tc>
        <w:tc>
          <w:tcPr>
            <w:tcW w:w="320" w:type="dxa"/>
            <w:vAlign w:val="bottom"/>
          </w:tcPr>
          <w:p>
            <w:pPr>
              <w:spacing w:after="0"/>
              <w:rPr>
                <w:sz w:val="17"/>
                <w:szCs w:val="17"/>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Northern</w:t>
            </w:r>
          </w:p>
        </w:tc>
        <w:tc>
          <w:tcPr>
            <w:tcW w:w="400" w:type="dxa"/>
            <w:vAlign w:val="bottom"/>
          </w:tcPr>
          <w:p>
            <w:pPr>
              <w:spacing w:after="0"/>
              <w:rPr>
                <w:sz w:val="17"/>
                <w:szCs w:val="17"/>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8"/>
                <w:szCs w:val="18"/>
                <w:color w:val="auto"/>
              </w:rPr>
              <w:t>APME</w:t>
            </w:r>
          </w:p>
        </w:tc>
        <w:tc>
          <w:tcPr>
            <w:tcW w:w="200" w:type="dxa"/>
            <w:vAlign w:val="bottom"/>
          </w:tcPr>
          <w:p>
            <w:pPr>
              <w:spacing w:after="0"/>
              <w:rPr>
                <w:sz w:val="17"/>
                <w:szCs w:val="17"/>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Corporate</w:t>
            </w:r>
            <w:r>
              <w:rPr>
                <w:rFonts w:ascii="Arial" w:cs="Arial" w:eastAsia="Arial" w:hAnsi="Arial"/>
                <w:sz w:val="24"/>
                <w:szCs w:val="24"/>
                <w:color w:val="auto"/>
                <w:w w:val="88"/>
                <w:vertAlign w:val="superscript"/>
              </w:rPr>
              <w:t>(3)</w:t>
            </w:r>
          </w:p>
        </w:tc>
        <w:tc>
          <w:tcPr>
            <w:tcW w:w="380" w:type="dxa"/>
            <w:vAlign w:val="bottom"/>
          </w:tcPr>
          <w:p>
            <w:pPr>
              <w:spacing w:after="0"/>
              <w:rPr>
                <w:sz w:val="17"/>
                <w:szCs w:val="17"/>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Total</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line="216" w:lineRule="exact"/>
              <w:rPr>
                <w:sz w:val="20"/>
                <w:szCs w:val="20"/>
                <w:color w:val="auto"/>
              </w:rPr>
            </w:pPr>
            <w:r>
              <w:rPr>
                <w:rFonts w:ascii="Arial" w:cs="Arial" w:eastAsia="Arial" w:hAnsi="Arial"/>
                <w:sz w:val="18"/>
                <w:szCs w:val="18"/>
                <w:color w:val="auto"/>
              </w:rPr>
              <w:t>Europe</w:t>
            </w:r>
            <w:r>
              <w:rPr>
                <w:rFonts w:ascii="Arial" w:cs="Arial" w:eastAsia="Arial" w:hAnsi="Arial"/>
                <w:sz w:val="24"/>
                <w:szCs w:val="24"/>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Europe</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January 1, 2020</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535.6</w:t>
            </w:r>
          </w:p>
        </w:tc>
        <w:tc>
          <w:tcPr>
            <w:tcW w:w="3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144.8</w:t>
            </w:r>
          </w:p>
        </w:tc>
        <w:tc>
          <w:tcPr>
            <w:tcW w:w="3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374.6</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79.1</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126.0</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3"/>
        </w:trPr>
        <w:tc>
          <w:tcPr>
            <w:tcW w:w="2920" w:type="dxa"/>
            <w:vAlign w:val="bottom"/>
          </w:tcPr>
          <w:p>
            <w:pPr>
              <w:ind w:left="120"/>
              <w:spacing w:after="0" w:line="202" w:lineRule="exact"/>
              <w:rPr>
                <w:sz w:val="20"/>
                <w:szCs w:val="20"/>
                <w:color w:val="auto"/>
              </w:rPr>
            </w:pPr>
            <w:r>
              <w:rPr>
                <w:rFonts w:ascii="Arial" w:cs="Arial" w:eastAsia="Arial" w:hAnsi="Arial"/>
                <w:sz w:val="17"/>
                <w:szCs w:val="17"/>
                <w:color w:val="auto"/>
              </w:rPr>
              <w:t>Impairment charge</w:t>
            </w:r>
            <w:r>
              <w:rPr>
                <w:rFonts w:ascii="Arial" w:cs="Arial" w:eastAsia="Arial" w:hAnsi="Arial"/>
                <w:sz w:val="23"/>
                <w:szCs w:val="23"/>
                <w:color w:val="auto"/>
                <w:vertAlign w:val="superscript"/>
              </w:rPr>
              <w:t>(5)</w:t>
            </w:r>
          </w:p>
        </w:tc>
        <w:tc>
          <w:tcPr>
            <w:tcW w:w="98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(66.8 )</w:t>
            </w:r>
          </w:p>
        </w:tc>
        <w:tc>
          <w:tcPr>
            <w:tcW w:w="400" w:type="dxa"/>
            <w:vAlign w:val="bottom"/>
          </w:tcPr>
          <w:p>
            <w:pPr>
              <w:spacing w:after="0"/>
              <w:rPr>
                <w:sz w:val="17"/>
                <w:szCs w:val="17"/>
                <w:color w:val="auto"/>
              </w:rPr>
            </w:pPr>
          </w:p>
        </w:tc>
        <w:tc>
          <w:tcPr>
            <w:tcW w:w="8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(66.8 )</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Currency impact and other</w:t>
            </w:r>
          </w:p>
        </w:tc>
        <w:tc>
          <w:tcPr>
            <w:tcW w:w="9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10.1</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18.8</w:t>
            </w:r>
          </w:p>
        </w:tc>
        <w:tc>
          <w:tcPr>
            <w:tcW w:w="4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line="196" w:lineRule="exact"/>
              <w:rPr>
                <w:sz w:val="20"/>
                <w:szCs w:val="20"/>
                <w:color w:val="auto"/>
              </w:rPr>
            </w:pPr>
            <w:r>
              <w:rPr>
                <w:rFonts w:ascii="Arial" w:cs="Arial" w:eastAsia="Arial" w:hAnsi="Arial"/>
                <w:sz w:val="18"/>
                <w:szCs w:val="18"/>
                <w:color w:val="auto"/>
              </w:rPr>
              <w:t>Balance, December 31, 2020</w:t>
            </w:r>
          </w:p>
        </w:tc>
        <w:tc>
          <w:tcPr>
            <w:tcW w:w="980" w:type="dxa"/>
            <w:vAlign w:val="bottom"/>
          </w:tcPr>
          <w:p>
            <w:pPr>
              <w:spacing w:after="0"/>
              <w:rPr>
                <w:sz w:val="17"/>
                <w:szCs w:val="17"/>
                <w:color w:val="auto"/>
              </w:rPr>
            </w:pPr>
          </w:p>
        </w:tc>
        <w:tc>
          <w:tcPr>
            <w:tcW w:w="10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536.6</w:t>
            </w:r>
          </w:p>
        </w:tc>
        <w:tc>
          <w:tcPr>
            <w:tcW w:w="34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154.9</w:t>
            </w:r>
          </w:p>
        </w:tc>
        <w:tc>
          <w:tcPr>
            <w:tcW w:w="320" w:type="dxa"/>
            <w:vAlign w:val="bottom"/>
          </w:tcPr>
          <w:p>
            <w:pPr>
              <w:spacing w:after="0"/>
              <w:rPr>
                <w:sz w:val="17"/>
                <w:szCs w:val="17"/>
                <w:color w:val="auto"/>
              </w:rPr>
            </w:pPr>
          </w:p>
        </w:tc>
        <w:tc>
          <w:tcPr>
            <w:tcW w:w="9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326.6</w:t>
            </w:r>
          </w:p>
        </w:tc>
        <w:tc>
          <w:tcPr>
            <w:tcW w:w="400" w:type="dxa"/>
            <w:vAlign w:val="bottom"/>
          </w:tcPr>
          <w:p>
            <w:pPr>
              <w:spacing w:after="0"/>
              <w:rPr>
                <w:sz w:val="17"/>
                <w:szCs w:val="17"/>
                <w:color w:val="auto"/>
              </w:rPr>
            </w:pPr>
          </w:p>
        </w:tc>
        <w:tc>
          <w:tcPr>
            <w:tcW w:w="880" w:type="dxa"/>
            <w:vAlign w:val="bottom"/>
          </w:tcPr>
          <w:p>
            <w:pPr>
              <w:jc w:val="right"/>
              <w:ind w:right="70"/>
              <w:spacing w:after="0" w:line="196" w:lineRule="exact"/>
              <w:rPr>
                <w:sz w:val="20"/>
                <w:szCs w:val="20"/>
                <w:color w:val="auto"/>
              </w:rPr>
            </w:pPr>
            <w:r>
              <w:rPr>
                <w:rFonts w:ascii="Arial" w:cs="Arial" w:eastAsia="Arial" w:hAnsi="Arial"/>
                <w:sz w:val="18"/>
                <w:szCs w:val="18"/>
                <w:color w:val="auto"/>
              </w:rPr>
              <w:t>81.7</w:t>
            </w:r>
          </w:p>
        </w:tc>
        <w:tc>
          <w:tcPr>
            <w:tcW w:w="200" w:type="dxa"/>
            <w:vAlign w:val="bottom"/>
          </w:tcPr>
          <w:p>
            <w:pPr>
              <w:spacing w:after="0"/>
              <w:rPr>
                <w:sz w:val="17"/>
                <w:szCs w:val="17"/>
                <w:color w:val="auto"/>
              </w:rPr>
            </w:pPr>
          </w:p>
        </w:tc>
        <w:tc>
          <w:tcPr>
            <w:tcW w:w="10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126.0</w:t>
            </w:r>
          </w:p>
        </w:tc>
        <w:tc>
          <w:tcPr>
            <w:tcW w:w="380" w:type="dxa"/>
            <w:vAlign w:val="bottom"/>
          </w:tcPr>
          <w:p>
            <w:pPr>
              <w:spacing w:after="0"/>
              <w:rPr>
                <w:sz w:val="17"/>
                <w:szCs w:val="17"/>
                <w:color w:val="auto"/>
              </w:rPr>
            </w:pPr>
          </w:p>
        </w:tc>
        <w:tc>
          <w:tcPr>
            <w:tcW w:w="8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Acquisitions</w:t>
            </w:r>
          </w:p>
        </w:tc>
        <w:tc>
          <w:tcPr>
            <w:tcW w:w="9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522.7</w:t>
            </w: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Currency impact and other</w:t>
            </w: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(0.4 )</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(8.2 )</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(12.9 )</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(4.8 )</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1,058.9</w:t>
            </w:r>
          </w:p>
        </w:tc>
        <w:tc>
          <w:tcPr>
            <w:tcW w:w="34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146.7</w:t>
            </w:r>
          </w:p>
        </w:tc>
        <w:tc>
          <w:tcPr>
            <w:tcW w:w="32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313.7</w:t>
            </w:r>
          </w:p>
        </w:tc>
        <w:tc>
          <w:tcPr>
            <w:tcW w:w="40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76.9</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126.0</w:t>
            </w:r>
          </w:p>
        </w:tc>
        <w:tc>
          <w:tcPr>
            <w:tcW w:w="3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0" w:hanging="512"/>
        <w:spacing w:after="0" w:line="255"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Balances related to United States were $490.3, $490.2 and $1,013.0 as of January 1, 2020, December 31, 2020 and December 31, 2021, respectively. The increase in 2021 is related to the ettain acquisition.</w:t>
      </w:r>
    </w:p>
    <w:p>
      <w:pPr>
        <w:ind w:left="520" w:hanging="512"/>
        <w:spacing w:after="0" w:line="249"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Balances related to France were $67.3, $73.3 and $68.2 as of January 1, 2020, December 31, 2020 and December 31, 2021, respectively. Balances related to Italy were $4.6, $4.2 and $3.9 as of January 1, 2020, December 31, 2020 and December 31, 2021, respectively.</w:t>
      </w:r>
    </w:p>
    <w:p>
      <w:pPr>
        <w:jc w:val="both"/>
        <w:ind w:left="520" w:hanging="512"/>
        <w:spacing w:after="0" w:line="235"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majority of the Corporate balance as of December 31, 2020 and 2021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3" w:lineRule="exact"/>
        <w:rPr>
          <w:rFonts w:ascii="Arial" w:cs="Arial" w:eastAsia="Arial" w:hAnsi="Arial"/>
          <w:sz w:val="16"/>
          <w:szCs w:val="16"/>
          <w:color w:val="auto"/>
        </w:rPr>
      </w:pPr>
    </w:p>
    <w:p>
      <w:pPr>
        <w:jc w:val="both"/>
        <w:ind w:left="520" w:hanging="512"/>
        <w:spacing w:after="0" w:line="243"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Balances were net of accumulated impairment loss of $577.4 ($60.2 related to Northern Europe, $3.8 related to APME, $235.2 related to Right Management and $278.2 related to Corporate) as of January 1, 2020, $644.2 ($127.0 related to Northern Europe, $3.8 related to APME, $235.2 related to Right Management and $278.2 related to Corporate) as of both December 31, 2020 and December 31, 2021.</w:t>
      </w:r>
    </w:p>
    <w:p>
      <w:pPr>
        <w:spacing w:after="0" w:line="8" w:lineRule="exact"/>
        <w:rPr>
          <w:rFonts w:ascii="Arial" w:cs="Arial" w:eastAsia="Arial" w:hAnsi="Arial"/>
          <w:sz w:val="16"/>
          <w:szCs w:val="16"/>
          <w:color w:val="auto"/>
        </w:rPr>
      </w:pPr>
    </w:p>
    <w:p>
      <w:pPr>
        <w:ind w:left="520" w:hanging="512"/>
        <w:spacing w:after="0" w:line="258"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2020 impairment charge of $66.8 relates to our Germany reporting unit, which was recorded during the second quarter of 2020. See Note 1 to the Consolidated Financial Statements for further information.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7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December 31</w:t>
            </w:r>
          </w:p>
        </w:tc>
        <w:tc>
          <w:tcPr>
            <w:tcW w:w="1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196"/>
        </w:trPr>
        <w:tc>
          <w:tcPr>
            <w:tcW w:w="70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20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1,091.7</w:t>
            </w:r>
          </w:p>
        </w:tc>
        <w:tc>
          <w:tcPr>
            <w:tcW w:w="72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545.7</w:t>
            </w:r>
          </w:p>
        </w:tc>
      </w:tr>
      <w:tr>
        <w:trPr>
          <w:trHeight w:val="203"/>
        </w:trPr>
        <w:tc>
          <w:tcPr>
            <w:tcW w:w="7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Netherlands</w:t>
            </w:r>
          </w:p>
        </w:tc>
        <w:tc>
          <w:tcPr>
            <w:tcW w:w="120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112.2</w:t>
            </w:r>
          </w:p>
        </w:tc>
        <w:tc>
          <w:tcPr>
            <w:tcW w:w="7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119.3</w:t>
            </w:r>
          </w:p>
        </w:tc>
      </w:tr>
      <w:tr>
        <w:trPr>
          <w:trHeight w:val="203"/>
        </w:trPr>
        <w:tc>
          <w:tcPr>
            <w:tcW w:w="70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Kingdom</w:t>
            </w:r>
          </w:p>
        </w:tc>
        <w:tc>
          <w:tcPr>
            <w:tcW w:w="1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110.7</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100.2</w:t>
            </w:r>
          </w:p>
        </w:tc>
      </w:tr>
      <w:tr>
        <w:trPr>
          <w:trHeight w:val="203"/>
        </w:trPr>
        <w:tc>
          <w:tcPr>
            <w:tcW w:w="7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France</w:t>
            </w:r>
          </w:p>
        </w:tc>
        <w:tc>
          <w:tcPr>
            <w:tcW w:w="120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74.3</w:t>
            </w:r>
          </w:p>
        </w:tc>
        <w:tc>
          <w:tcPr>
            <w:tcW w:w="7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73.3</w:t>
            </w:r>
          </w:p>
        </w:tc>
      </w:tr>
      <w:tr>
        <w:trPr>
          <w:trHeight w:val="162"/>
        </w:trPr>
        <w:tc>
          <w:tcPr>
            <w:tcW w:w="7060" w:type="dxa"/>
            <w:vAlign w:val="bottom"/>
            <w:gridSpan w:val="3"/>
          </w:tcPr>
          <w:p>
            <w:pPr>
              <w:ind w:left="20"/>
              <w:spacing w:after="0" w:line="162" w:lineRule="exact"/>
              <w:rPr>
                <w:sz w:val="20"/>
                <w:szCs w:val="20"/>
                <w:color w:val="auto"/>
              </w:rPr>
            </w:pPr>
            <w:r>
              <w:rPr>
                <w:rFonts w:ascii="Arial" w:cs="Arial" w:eastAsia="Arial" w:hAnsi="Arial"/>
                <w:sz w:val="18"/>
                <w:szCs w:val="18"/>
                <w:color w:val="auto"/>
              </w:rPr>
              <w:t>Sweden</w:t>
            </w:r>
          </w:p>
        </w:tc>
        <w:tc>
          <w:tcPr>
            <w:tcW w:w="1200" w:type="dxa"/>
            <w:vAlign w:val="bottom"/>
          </w:tcPr>
          <w:p>
            <w:pPr>
              <w:spacing w:after="0"/>
              <w:rPr>
                <w:sz w:val="14"/>
                <w:szCs w:val="14"/>
                <w:color w:val="auto"/>
              </w:rPr>
            </w:pPr>
          </w:p>
        </w:tc>
        <w:tc>
          <w:tcPr>
            <w:tcW w:w="1140" w:type="dxa"/>
            <w:vAlign w:val="bottom"/>
          </w:tcPr>
          <w:p>
            <w:pPr>
              <w:jc w:val="right"/>
              <w:ind w:right="50"/>
              <w:spacing w:after="0" w:line="162" w:lineRule="exact"/>
              <w:rPr>
                <w:sz w:val="20"/>
                <w:szCs w:val="20"/>
                <w:color w:val="auto"/>
              </w:rPr>
            </w:pPr>
            <w:r>
              <w:rPr>
                <w:rFonts w:ascii="Arial" w:cs="Arial" w:eastAsia="Arial" w:hAnsi="Arial"/>
                <w:sz w:val="18"/>
                <w:szCs w:val="18"/>
                <w:color w:val="auto"/>
              </w:rPr>
              <w:t>41.4</w:t>
            </w:r>
          </w:p>
        </w:tc>
        <w:tc>
          <w:tcPr>
            <w:tcW w:w="720" w:type="dxa"/>
            <w:vAlign w:val="bottom"/>
          </w:tcPr>
          <w:p>
            <w:pPr>
              <w:spacing w:after="0"/>
              <w:rPr>
                <w:sz w:val="14"/>
                <w:szCs w:val="14"/>
                <w:color w:val="auto"/>
              </w:rPr>
            </w:pPr>
          </w:p>
        </w:tc>
        <w:tc>
          <w:tcPr>
            <w:tcW w:w="1120" w:type="dxa"/>
            <w:vAlign w:val="bottom"/>
          </w:tcPr>
          <w:p>
            <w:pPr>
              <w:jc w:val="right"/>
              <w:ind w:right="30"/>
              <w:spacing w:after="0" w:line="162" w:lineRule="exact"/>
              <w:rPr>
                <w:sz w:val="20"/>
                <w:szCs w:val="20"/>
                <w:color w:val="auto"/>
              </w:rPr>
            </w:pPr>
            <w:r>
              <w:rPr>
                <w:rFonts w:ascii="Arial" w:cs="Arial" w:eastAsia="Arial" w:hAnsi="Arial"/>
                <w:sz w:val="18"/>
                <w:szCs w:val="18"/>
                <w:color w:val="auto"/>
              </w:rPr>
              <w:t>43.6</w:t>
            </w:r>
          </w:p>
        </w:tc>
      </w:tr>
      <w:tr>
        <w:trPr>
          <w:trHeight w:val="243"/>
        </w:trPr>
        <w:tc>
          <w:tcPr>
            <w:tcW w:w="7060" w:type="dxa"/>
            <w:vAlign w:val="bottom"/>
            <w:tcBorders>
              <w:bottom w:val="single" w:sz="8" w:color="auto"/>
            </w:tcBorders>
            <w:gridSpan w:val="3"/>
          </w:tcPr>
          <w:p>
            <w:pPr>
              <w:ind w:left="20"/>
              <w:spacing w:after="0" w:line="243" w:lineRule="exact"/>
              <w:rPr>
                <w:sz w:val="20"/>
                <w:szCs w:val="20"/>
                <w:color w:val="auto"/>
              </w:rPr>
            </w:pPr>
            <w:r>
              <w:rPr>
                <w:rFonts w:ascii="Arial" w:cs="Arial" w:eastAsia="Arial" w:hAnsi="Arial"/>
                <w:sz w:val="18"/>
                <w:szCs w:val="18"/>
                <w:color w:val="auto"/>
              </w:rPr>
              <w:t>Other reporting units</w:t>
            </w:r>
            <w:r>
              <w:rPr>
                <w:rFonts w:ascii="Arial" w:cs="Arial" w:eastAsia="Arial" w:hAnsi="Arial"/>
                <w:sz w:val="24"/>
                <w:szCs w:val="24"/>
                <w:color w:val="auto"/>
                <w:vertAlign w:val="superscript"/>
              </w:rPr>
              <w:t>(1)</w:t>
            </w:r>
          </w:p>
        </w:tc>
        <w:tc>
          <w:tcPr>
            <w:tcW w:w="1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291.9</w:t>
            </w: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343.7</w:t>
            </w:r>
          </w:p>
        </w:tc>
      </w:tr>
      <w:tr>
        <w:trPr>
          <w:trHeight w:val="196"/>
        </w:trPr>
        <w:tc>
          <w:tcPr>
            <w:tcW w:w="7060" w:type="dxa"/>
            <w:vAlign w:val="bottom"/>
            <w:tcBorders>
              <w:bottom w:val="single" w:sz="8" w:color="auto"/>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Total goodwill</w:t>
            </w:r>
          </w:p>
        </w:tc>
        <w:tc>
          <w:tcPr>
            <w:tcW w:w="120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1,722.2</w:t>
            </w:r>
          </w:p>
        </w:tc>
        <w:tc>
          <w:tcPr>
            <w:tcW w:w="72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1,225.8</w:t>
            </w:r>
          </w:p>
        </w:tc>
      </w:tr>
      <w:tr>
        <w:trPr>
          <w:trHeight w:val="319"/>
        </w:trPr>
        <w:tc>
          <w:tcPr>
            <w:tcW w:w="7060" w:type="dxa"/>
            <w:vAlign w:val="bottom"/>
            <w:gridSpan w:val="3"/>
          </w:tcPr>
          <w:p>
            <w:pPr>
              <w:spacing w:after="0"/>
              <w:rPr>
                <w:sz w:val="20"/>
                <w:szCs w:val="20"/>
                <w:color w:val="auto"/>
              </w:rPr>
            </w:pPr>
            <w:r>
              <w:rPr>
                <w:rFonts w:ascii="Arial" w:cs="Arial" w:eastAsia="Arial" w:hAnsi="Arial"/>
                <w:sz w:val="14"/>
                <w:szCs w:val="14"/>
                <w:color w:val="auto"/>
              </w:rPr>
              <w:t>(1) As of July 1, 2021, balances pertaining to Right Management were allocated to corresponding reporting units.</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7"/>
        </w:trPr>
        <w:tc>
          <w:tcPr>
            <w:tcW w:w="7060" w:type="dxa"/>
            <w:vAlign w:val="bottom"/>
            <w:gridSpan w:val="3"/>
          </w:tcPr>
          <w:p>
            <w:pPr>
              <w:spacing w:after="0"/>
              <w:rPr>
                <w:sz w:val="20"/>
                <w:szCs w:val="20"/>
                <w:color w:val="auto"/>
              </w:rPr>
            </w:pPr>
            <w:r>
              <w:rPr>
                <w:rFonts w:ascii="Arial" w:cs="Arial" w:eastAsia="Arial" w:hAnsi="Arial"/>
                <w:sz w:val="18"/>
                <w:szCs w:val="18"/>
                <w:color w:val="auto"/>
              </w:rPr>
              <w:t>(8) Debt</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8"/>
        </w:trPr>
        <w:tc>
          <w:tcPr>
            <w:tcW w:w="7060" w:type="dxa"/>
            <w:vAlign w:val="bottom"/>
            <w:gridSpan w:val="3"/>
          </w:tcPr>
          <w:p>
            <w:pPr>
              <w:spacing w:after="0"/>
              <w:rPr>
                <w:sz w:val="20"/>
                <w:szCs w:val="20"/>
                <w:color w:val="auto"/>
              </w:rPr>
            </w:pPr>
            <w:r>
              <w:rPr>
                <w:rFonts w:ascii="Arial" w:cs="Arial" w:eastAsia="Arial" w:hAnsi="Arial"/>
                <w:sz w:val="18"/>
                <w:szCs w:val="18"/>
                <w:color w:val="auto"/>
              </w:rPr>
              <w:t>Information concerning short-term borrowings is as follows:</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7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December 31</w:t>
            </w:r>
          </w:p>
        </w:tc>
        <w:tc>
          <w:tcPr>
            <w:tcW w:w="1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r>
      <w:tr>
        <w:trPr>
          <w:trHeight w:val="196"/>
        </w:trPr>
        <w:tc>
          <w:tcPr>
            <w:tcW w:w="70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borrowings</w:t>
            </w:r>
          </w:p>
        </w:tc>
        <w:tc>
          <w:tcPr>
            <w:tcW w:w="1200" w:type="dxa"/>
            <w:vAlign w:val="bottom"/>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16.8</w:t>
            </w:r>
          </w:p>
        </w:tc>
        <w:tc>
          <w:tcPr>
            <w:tcW w:w="72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20.4</w:t>
            </w:r>
          </w:p>
        </w:tc>
      </w:tr>
      <w:tr>
        <w:trPr>
          <w:trHeight w:val="203"/>
        </w:trPr>
        <w:tc>
          <w:tcPr>
            <w:tcW w:w="7060" w:type="dxa"/>
            <w:vAlign w:val="bottom"/>
            <w:tcBorders>
              <w:bottom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Weighted-average interest rates</w:t>
            </w:r>
          </w:p>
        </w:tc>
        <w:tc>
          <w:tcPr>
            <w:tcW w:w="1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7.6 %</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maintain separate bank credit lines with financial institutions to meet working capital needs of our subsidiary operations. As of December 31, 2021, such uncommitted credit lines totaled $338.6, of which $314.9 was unused. Under our revolving credit agreement, total subsidiary borrowings cannot exceed $300.0 in the first, second and fourth quarters, and $600.0 in the third quarter of each year. Due to these limitations, additional borrowings of $276.3 could have been made under these lines as of December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 summary of long-term debt is as follows:</w:t>
            </w:r>
          </w:p>
        </w:tc>
        <w:tc>
          <w:tcPr>
            <w:tcW w:w="2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1"/>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Euro-denominated notes:</w:t>
            </w:r>
          </w:p>
        </w:tc>
        <w:tc>
          <w:tcPr>
            <w:tcW w:w="28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€500.0 due June 2026</w:t>
            </w:r>
          </w:p>
        </w:tc>
        <w:tc>
          <w:tcPr>
            <w:tcW w:w="28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565.2</w:t>
            </w:r>
          </w:p>
        </w:tc>
        <w:tc>
          <w:tcPr>
            <w:tcW w:w="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606.7</w:t>
            </w: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€400.0 due September 2022</w:t>
            </w:r>
          </w:p>
        </w:tc>
        <w:tc>
          <w:tcPr>
            <w:tcW w:w="2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454.4</w:t>
            </w: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487.8</w:t>
            </w: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Revolving Credit Agreement</w:t>
            </w:r>
          </w:p>
        </w:tc>
        <w:tc>
          <w:tcPr>
            <w:tcW w:w="286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75.0</w:t>
            </w:r>
          </w:p>
        </w:tc>
        <w:tc>
          <w:tcPr>
            <w:tcW w:w="7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6.9</w:t>
            </w:r>
          </w:p>
        </w:tc>
        <w:tc>
          <w:tcPr>
            <w:tcW w:w="7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w:t>
            </w:r>
          </w:p>
        </w:tc>
      </w:tr>
      <w:tr>
        <w:trPr>
          <w:trHeight w:val="196"/>
        </w:trPr>
        <w:tc>
          <w:tcPr>
            <w:tcW w:w="54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1,101.5</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1,103.5</w:t>
            </w:r>
          </w:p>
        </w:tc>
      </w:tr>
      <w:tr>
        <w:trPr>
          <w:trHeight w:val="196"/>
        </w:trPr>
        <w:tc>
          <w:tcPr>
            <w:tcW w:w="54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Less current maturities</w:t>
            </w:r>
          </w:p>
        </w:tc>
        <w:tc>
          <w:tcPr>
            <w:tcW w:w="28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535.8</w:t>
            </w:r>
          </w:p>
        </w:tc>
        <w:tc>
          <w:tcPr>
            <w:tcW w:w="7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5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Long-term debt</w:t>
            </w:r>
          </w:p>
        </w:tc>
        <w:tc>
          <w:tcPr>
            <w:tcW w:w="28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565.7</w:t>
            </w:r>
          </w:p>
        </w:tc>
        <w:tc>
          <w:tcPr>
            <w:tcW w:w="7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1,103.5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Notes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June 22, 2018, we offered and sold €500.0 aggregate principal amount of the Company’s 1.750% notes due June 2026 (the “€500.0 notes”). The net proceeds from the €500.0 notes of €495.7 were used to repay our €350.0 notes due June 22, 2018, with the remaining balance used for general corporate purposes, which included share repurchases. The €500.0 notes were issued at a price of 99.564% to yield an effective interest rate of 1.809%. Interest on the €500.0 notes is payable in arrears on June 22 of each year. The €500.0 notes are unsecured senior obligations and will rank equally with all of the Company’s existing and future senior unsecured debt and other liabilities.</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€400.0 aggregate principal amount 1.875% notes (the " €400.0 notes") are due September 2022. When the notes mature, we plan to repay the amounts with available cash, borrowings under our $600.0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upon replacement of either the €500.0 notes or the €400.0 notes.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2021.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 Five Year Credit Agreement with a syndicate of commercial banks with a termination date of June 18, 2023. The Credit Agreement allows for borrowing of $600.0 in various currencies, and up to $150.0 may be used for the issuance of stand-by letters of credit. We had $75.0 in borrowings under this facility as of December 31, 2021 and no borrowings as of December 31, 2020. Outstanding letters of credit issued under the Credit Agreement totaled $0.5 as of both December 31, 2021 and 2020. Additional borrowings of $524.5 and $599.5 were available to us under the facility as of December 31, 2021 and 2020, respectively.</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3" w:name="page84"/>
    <w:bookmarkEnd w:id="83"/>
    <w:p>
      <w:pPr>
        <w:jc w:val="both"/>
        <w:spacing w:after="0" w:line="239" w:lineRule="auto"/>
        <w:rPr>
          <w:sz w:val="20"/>
          <w:szCs w:val="20"/>
          <w:color w:val="auto"/>
        </w:rPr>
      </w:pPr>
      <w:r>
        <w:rPr>
          <w:rFonts w:ascii="Arial" w:cs="Arial" w:eastAsia="Arial" w:hAnsi="Arial"/>
          <w:sz w:val="18"/>
          <w:szCs w:val="18"/>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maturities of long-term debt payable within each of the four years subsequent to December 31, 2022 are as follows: 2023 - $0.0, 2024 - $0.0, 2025 - $0.0, 2026 - $565.2.</w:t>
      </w:r>
    </w:p>
    <w:p>
      <w:pPr>
        <w:spacing w:after="0" w:line="333"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Retirement and Deferred Compensation Plans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For all of our United States defined benefit and retiree health care plans, we adopted the Society of Actuaries’ Pri-2012 Mortality Table with MP-2021 Mortality Improvement Scale in determining the plans’ benefit obligations as of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sponsor several qualified and nonqualified pension plans covering permanent employees.</w:t>
      </w:r>
    </w:p>
    <w:p>
      <w:pPr>
        <w:spacing w:after="0" w:line="225"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In 2020, we fully settled our United States Qualified Retirement Plan (the “Plan”) liability. We purchased annuities of $19.2 and settled lump sum payments of $3.2 from the Plan in January and February 2020, respectively. The completion of lump sum payments in February and transfer of remaining participants to the Pension Benefit Guarantee Corporation (“PBGC”) in March triggered final settlement of the plan. Upon settlement of the pension liability, we reclassified the related pension losses of $6.6, net of tax, recorded in accumulated other comprehensive loss to the Consolidated Statements of Comprehensive Income (Loss). The total amount of the required payout to plan participants was determined based on employee elections and market conditions at the time of settlement. The standard PBGC audit was completed in March 2021, and the remaining plan assets of $16.6 which were in excess of the pension liability upon settlement are being utilized to fund qualified 401(k) plan contributions in current and future years.</w:t>
      </w:r>
    </w:p>
    <w:p>
      <w:pPr>
        <w:spacing w:after="0" w:line="12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our Switzerland pension plan, we recognized a partial settlement as a result of local regulations and turnover common to our industry and reclassified pension losses of $1.0 and $2.7 in 2021 and 2020, respectively, net of tax, recorded in accumulated other comprehensive loss to the Consolidated Statements of Comprehensive Income (Loss).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4" w:name="page85"/>
    <w:bookmarkEnd w:id="84"/>
    <w:p>
      <w:pPr>
        <w:jc w:val="both"/>
        <w:spacing w:after="0" w:line="347" w:lineRule="auto"/>
        <w:rPr>
          <w:sz w:val="20"/>
          <w:szCs w:val="20"/>
          <w:color w:val="auto"/>
        </w:rPr>
      </w:pPr>
      <w:r>
        <w:rPr>
          <w:rFonts w:ascii="Arial" w:cs="Arial" w:eastAsia="Arial" w:hAnsi="Arial"/>
          <w:sz w:val="16"/>
          <w:szCs w:val="16"/>
          <w:color w:val="auto"/>
        </w:rPr>
        <w:t>The reconciliation of the changes in the plans’ benefit obligations, the fair value of plan assets and the funded status of the plans are as follows. The actuarial (gain) loss related to the non-United States plans' benefit obligation as of December 31, 2021, was primarily related to changes in discount rates. The settlements and transfers of the non-United States plans in 2021 represent transfers in and out of temporary associates within our Switzerland plan.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Year Ended December 31</w:t>
            </w:r>
          </w:p>
        </w:tc>
        <w:tc>
          <w:tcPr>
            <w:tcW w:w="4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United States Plans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Non-United States Plans</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Benefit obligation, beginning of year</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28.5</w:t>
            </w:r>
          </w:p>
        </w:tc>
        <w:tc>
          <w:tcPr>
            <w:tcW w:w="5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52.8</w:t>
            </w:r>
          </w:p>
        </w:tc>
        <w:tc>
          <w:tcPr>
            <w:tcW w:w="20" w:type="dxa"/>
            <w:vAlign w:val="bottom"/>
          </w:tcPr>
          <w:p>
            <w:pPr>
              <w:spacing w:after="0"/>
              <w:rPr>
                <w:sz w:val="17"/>
                <w:szCs w:val="17"/>
                <w:color w:val="auto"/>
              </w:rPr>
            </w:pPr>
          </w:p>
        </w:tc>
        <w:tc>
          <w:tcPr>
            <w:tcW w:w="5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965.6</w:t>
            </w: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 cost</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22.0</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0.4</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5.7</w:t>
            </w:r>
          </w:p>
        </w:tc>
        <w:tc>
          <w:tcPr>
            <w:tcW w:w="42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Settlements</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(22.3 )</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(61.7 )</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Transfers</w:t>
            </w:r>
          </w:p>
        </w:tc>
        <w:tc>
          <w:tcPr>
            <w:tcW w:w="46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52.8</w:t>
            </w:r>
          </w:p>
        </w:tc>
        <w:tc>
          <w:tcPr>
            <w:tcW w:w="42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(0.6 )</w:t>
            </w:r>
          </w:p>
        </w:tc>
        <w:tc>
          <w:tcPr>
            <w:tcW w:w="5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(0.4 )</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(47.3 )</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Plan participant contributions</w:t>
            </w:r>
          </w:p>
        </w:tc>
        <w:tc>
          <w:tcPr>
            <w:tcW w:w="46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14.1</w:t>
            </w:r>
          </w:p>
        </w:tc>
        <w:tc>
          <w:tcPr>
            <w:tcW w:w="42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Benefits paid</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(2.3 )</w:t>
            </w:r>
          </w:p>
        </w:tc>
        <w:tc>
          <w:tcPr>
            <w:tcW w:w="5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(2.4 )</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(12.8 )</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Currency exchange rate changes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(40.5 )</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Benefit obligation, end of year</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26.0</w:t>
            </w:r>
          </w:p>
        </w:tc>
        <w:tc>
          <w:tcPr>
            <w:tcW w:w="52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w:t>
            </w:r>
          </w:p>
        </w:tc>
        <w:tc>
          <w:tcPr>
            <w:tcW w:w="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3"/>
            <w:shd w:val="clear" w:color="auto" w:fill="CFF0FC"/>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897.9</w:t>
            </w: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398"/>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Year Ended December 31</w:t>
            </w:r>
          </w:p>
        </w:tc>
        <w:tc>
          <w:tcPr>
            <w:tcW w:w="460" w:type="dxa"/>
            <w:vAlign w:val="bottom"/>
          </w:tcPr>
          <w:p>
            <w:pPr>
              <w:spacing w:after="0"/>
              <w:rPr>
                <w:sz w:val="24"/>
                <w:szCs w:val="24"/>
                <w:color w:val="auto"/>
              </w:rPr>
            </w:pPr>
          </w:p>
        </w:tc>
        <w:tc>
          <w:tcPr>
            <w:tcW w:w="2240" w:type="dxa"/>
            <w:vAlign w:val="bottom"/>
            <w:gridSpan w:val="4"/>
          </w:tcPr>
          <w:p>
            <w:pPr>
              <w:jc w:val="right"/>
              <w:ind w:right="120"/>
              <w:spacing w:after="0"/>
              <w:rPr>
                <w:sz w:val="20"/>
                <w:szCs w:val="20"/>
                <w:color w:val="auto"/>
              </w:rPr>
            </w:pPr>
            <w:r>
              <w:rPr>
                <w:rFonts w:ascii="Arial" w:cs="Arial" w:eastAsia="Arial" w:hAnsi="Arial"/>
                <w:sz w:val="18"/>
                <w:szCs w:val="18"/>
                <w:color w:val="auto"/>
              </w:rPr>
              <w:t>United States Plans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ind w:right="10"/>
              <w:spacing w:after="0"/>
              <w:rPr>
                <w:sz w:val="20"/>
                <w:szCs w:val="20"/>
                <w:color w:val="auto"/>
              </w:rPr>
            </w:pPr>
            <w:r>
              <w:rPr>
                <w:rFonts w:ascii="Arial" w:cs="Arial" w:eastAsia="Arial" w:hAnsi="Arial"/>
                <w:sz w:val="18"/>
                <w:szCs w:val="18"/>
                <w:color w:val="auto"/>
              </w:rPr>
              <w:t>Non-United States Plans</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vMerge w:val="continue"/>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2021</w:t>
            </w:r>
          </w:p>
        </w:tc>
        <w:tc>
          <w:tcPr>
            <w:tcW w:w="5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2021</w:t>
            </w:r>
          </w:p>
        </w:tc>
        <w:tc>
          <w:tcPr>
            <w:tcW w:w="4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Fair value of plan assets, beginning of year</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38.8</w:t>
            </w:r>
          </w:p>
        </w:tc>
        <w:tc>
          <w:tcPr>
            <w:tcW w:w="20" w:type="dxa"/>
            <w:vAlign w:val="bottom"/>
          </w:tcPr>
          <w:p>
            <w:pPr>
              <w:spacing w:after="0"/>
              <w:rPr>
                <w:sz w:val="17"/>
                <w:szCs w:val="17"/>
                <w:color w:val="auto"/>
              </w:rPr>
            </w:pPr>
          </w:p>
        </w:tc>
        <w:tc>
          <w:tcPr>
            <w:tcW w:w="5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753.6</w:t>
            </w: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24.3</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Settlements</w:t>
            </w:r>
          </w:p>
        </w:tc>
        <w:tc>
          <w:tcPr>
            <w:tcW w:w="46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(22.3 )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(61.7 )</w:t>
            </w: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Transfers</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52.8</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Plan participant contributions</w:t>
            </w:r>
          </w:p>
        </w:tc>
        <w:tc>
          <w:tcPr>
            <w:tcW w:w="46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14.1</w:t>
            </w:r>
          </w:p>
        </w:tc>
        <w:tc>
          <w:tcPr>
            <w:tcW w:w="42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Company contributions</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18.7</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Benefits paid</w:t>
            </w: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(2.3 )</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(12.8 )</w:t>
            </w: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Currency exchange rate changes</w:t>
            </w:r>
          </w:p>
        </w:tc>
        <w:tc>
          <w:tcPr>
            <w:tcW w:w="4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(26.5 )</w:t>
            </w:r>
          </w:p>
        </w:tc>
        <w:tc>
          <w:tcPr>
            <w:tcW w:w="4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Fair value of plan assets, end of year</w:t>
            </w: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3"/>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762.5</w:t>
            </w:r>
          </w:p>
        </w:tc>
        <w:tc>
          <w:tcPr>
            <w:tcW w:w="4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Funded Status at End of Year</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Funded status, end of year</w:t>
            </w:r>
          </w:p>
        </w:tc>
        <w:tc>
          <w:tcPr>
            <w:tcW w:w="4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(26.0 )</w:t>
            </w:r>
          </w:p>
        </w:tc>
        <w:tc>
          <w:tcPr>
            <w:tcW w:w="5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(28.5 )</w:t>
            </w: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(135.4 )</w:t>
            </w:r>
          </w:p>
        </w:tc>
        <w:tc>
          <w:tcPr>
            <w:tcW w:w="4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(211.9 )</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Amounts Recognized</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51.2</w:t>
            </w: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(2.3 )</w:t>
            </w: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(0.8 )</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(23.7 )</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(26.1 )</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(185.8 )</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(242.8 )</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amount recognized</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(26.0 )</w:t>
            </w:r>
          </w:p>
        </w:tc>
        <w:tc>
          <w:tcPr>
            <w:tcW w:w="52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(28.5 )</w:t>
            </w:r>
          </w:p>
        </w:tc>
        <w:tc>
          <w:tcPr>
            <w:tcW w:w="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gridSpan w:val="3"/>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(135.4 )</w:t>
            </w: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(211.9 )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loss, net of tax, consisted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United States Plans</w:t>
            </w:r>
          </w:p>
        </w:tc>
        <w:tc>
          <w:tcPr>
            <w:tcW w:w="540" w:type="dxa"/>
            <w:vAlign w:val="bottom"/>
          </w:tcPr>
          <w:p>
            <w:pPr>
              <w:spacing w:after="0"/>
              <w:rPr>
                <w:sz w:val="18"/>
                <w:szCs w:val="18"/>
                <w:color w:val="auto"/>
              </w:rPr>
            </w:pPr>
          </w:p>
        </w:tc>
        <w:tc>
          <w:tcPr>
            <w:tcW w:w="2220" w:type="dxa"/>
            <w:vAlign w:val="bottom"/>
            <w:gridSpan w:val="3"/>
          </w:tcPr>
          <w:p>
            <w:pPr>
              <w:jc w:val="right"/>
              <w:ind w:right="30"/>
              <w:spacing w:after="0"/>
              <w:rPr>
                <w:sz w:val="20"/>
                <w:szCs w:val="20"/>
                <w:color w:val="auto"/>
              </w:rPr>
            </w:pPr>
            <w:r>
              <w:rPr>
                <w:rFonts w:ascii="Arial" w:cs="Arial" w:eastAsia="Arial" w:hAnsi="Arial"/>
                <w:sz w:val="18"/>
                <w:szCs w:val="18"/>
                <w:color w:val="auto"/>
              </w:rPr>
              <w:t>Non-United States Plans</w:t>
            </w:r>
          </w:p>
        </w:tc>
      </w:tr>
      <w:tr>
        <w:trPr>
          <w:trHeight w:val="21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2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196"/>
        </w:trPr>
        <w:tc>
          <w:tcPr>
            <w:tcW w:w="3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52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70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8.6</w:t>
            </w:r>
          </w:p>
        </w:tc>
        <w:tc>
          <w:tcPr>
            <w:tcW w:w="5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41.8</w:t>
            </w:r>
          </w:p>
        </w:tc>
        <w:tc>
          <w:tcPr>
            <w:tcW w:w="5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95.2</w:t>
            </w:r>
          </w:p>
        </w:tc>
      </w:tr>
      <w:tr>
        <w:trPr>
          <w:trHeight w:val="203"/>
        </w:trPr>
        <w:tc>
          <w:tcPr>
            <w:tcW w:w="37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Prior service cost</w:t>
            </w:r>
          </w:p>
        </w:tc>
        <w:tc>
          <w:tcPr>
            <w:tcW w:w="2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7.1</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7.6</w:t>
            </w:r>
          </w:p>
        </w:tc>
      </w:tr>
      <w:tr>
        <w:trPr>
          <w:trHeight w:val="196"/>
        </w:trPr>
        <w:tc>
          <w:tcPr>
            <w:tcW w:w="37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70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8.6</w:t>
            </w:r>
          </w:p>
        </w:tc>
        <w:tc>
          <w:tcPr>
            <w:tcW w:w="5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48.9</w:t>
            </w:r>
          </w:p>
        </w:tc>
        <w:tc>
          <w:tcPr>
            <w:tcW w:w="5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102.8</w:t>
            </w:r>
          </w:p>
        </w:tc>
      </w:tr>
      <w:tr>
        <w:trPr>
          <w:trHeight w:val="830"/>
        </w:trPr>
        <w:tc>
          <w:tcPr>
            <w:tcW w:w="3700" w:type="dxa"/>
            <w:vAlign w:val="bottom"/>
          </w:tcPr>
          <w:p>
            <w:pPr>
              <w:spacing w:after="0"/>
              <w:rPr>
                <w:sz w:val="24"/>
                <w:szCs w:val="24"/>
                <w:color w:val="auto"/>
              </w:rPr>
            </w:pPr>
          </w:p>
        </w:tc>
        <w:tc>
          <w:tcPr>
            <w:tcW w:w="2520" w:type="dxa"/>
            <w:vAlign w:val="bottom"/>
          </w:tcPr>
          <w:p>
            <w:pPr>
              <w:jc w:val="right"/>
              <w:ind w:right="410"/>
              <w:spacing w:after="0"/>
              <w:rPr>
                <w:sz w:val="20"/>
                <w:szCs w:val="20"/>
                <w:color w:val="auto"/>
              </w:rPr>
            </w:pPr>
            <w:r>
              <w:rPr>
                <w:rFonts w:ascii="Arial" w:cs="Arial" w:eastAsia="Arial" w:hAnsi="Arial"/>
                <w:sz w:val="18"/>
                <w:szCs w:val="18"/>
                <w:color w:val="auto"/>
              </w:rPr>
              <w:t>85</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5" w:name="page86"/>
    <w:bookmarkEnd w:id="85"/>
    <w:p>
      <w:pPr>
        <w:jc w:val="both"/>
        <w:spacing w:after="0" w:line="248" w:lineRule="auto"/>
        <w:rPr>
          <w:sz w:val="20"/>
          <w:szCs w:val="20"/>
          <w:color w:val="auto"/>
        </w:rPr>
      </w:pPr>
      <w:r>
        <w:rPr>
          <w:rFonts w:ascii="Arial" w:cs="Arial" w:eastAsia="Arial" w:hAnsi="Arial"/>
          <w:sz w:val="18"/>
          <w:szCs w:val="18"/>
          <w:color w:val="auto"/>
        </w:rPr>
        <w:t>The accumulated benefit obligation (ABO) for all qualified defined benefit pension plans was $891.7 and $957.0 as of December 31, 2021 and 2020, respectively. The ABO for plans that have plan assets was $787.5 and $841.6 as of December 31, 2021 and 2020, respectively. The accumulated benefit obligation for some of our plans exceeded the fair value of plan assets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3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196"/>
        </w:trPr>
        <w:tc>
          <w:tcPr>
            <w:tcW w:w="5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Accumulated benefit obligation</w:t>
            </w:r>
          </w:p>
        </w:tc>
        <w:tc>
          <w:tcPr>
            <w:tcW w:w="334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181.8</w:t>
            </w:r>
          </w:p>
        </w:tc>
        <w:tc>
          <w:tcPr>
            <w:tcW w:w="78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491.5</w:t>
            </w:r>
          </w:p>
        </w:tc>
      </w:tr>
      <w:tr>
        <w:trPr>
          <w:trHeight w:val="203"/>
        </w:trPr>
        <w:tc>
          <w:tcPr>
            <w:tcW w:w="50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Plan assets</w:t>
            </w:r>
          </w:p>
        </w:tc>
        <w:tc>
          <w:tcPr>
            <w:tcW w:w="3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99.4</w:t>
            </w:r>
          </w:p>
        </w:tc>
        <w:tc>
          <w:tcPr>
            <w:tcW w:w="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368.8</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2021, one of our larger plans became additionally funded and its plan assets exceeded its accumulated benefit obligation as of December 31, 2021. As a result, this plan was included in the amounts disclosed above for 2020 but not for 2021.</w:t>
      </w:r>
    </w:p>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projected benefit obligation (PBO) for all qualified defined benefit pension plans was $923.9 and $994.1 as of December 31, 2021 and 2020, respectively. The PBO for some of our plans exceeded the fair value of plan assets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3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Projected benefit obligation</w:t>
            </w:r>
          </w:p>
        </w:tc>
        <w:tc>
          <w:tcPr>
            <w:tcW w:w="348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188.3</w:t>
            </w:r>
          </w:p>
        </w:tc>
        <w:tc>
          <w:tcPr>
            <w:tcW w:w="78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503.2</w:t>
            </w:r>
          </w:p>
        </w:tc>
      </w:tr>
      <w:tr>
        <w:trPr>
          <w:trHeight w:val="203"/>
        </w:trPr>
        <w:tc>
          <w:tcPr>
            <w:tcW w:w="48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Plan assets</w:t>
            </w:r>
          </w:p>
        </w:tc>
        <w:tc>
          <w:tcPr>
            <w:tcW w:w="3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99.4</w:t>
            </w:r>
          </w:p>
        </w:tc>
        <w:tc>
          <w:tcPr>
            <w:tcW w:w="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368.8</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$104.2 and $115.4 as of December 31,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net periodic benefit cost and other amounts recognized in other comprehensive income (loss) for all plans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196"/>
        </w:trPr>
        <w:tc>
          <w:tcPr>
            <w:tcW w:w="6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Periodic Benefit Cost</w:t>
            </w: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Service cost</w:t>
            </w:r>
          </w:p>
        </w:tc>
        <w:tc>
          <w:tcPr>
            <w:tcW w:w="8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22.0</w:t>
            </w:r>
          </w:p>
        </w:tc>
        <w:tc>
          <w:tcPr>
            <w:tcW w:w="6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21.0</w:t>
            </w:r>
          </w:p>
        </w:tc>
        <w:tc>
          <w:tcPr>
            <w:tcW w:w="6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15.1</w:t>
            </w: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cost</w:t>
            </w: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6.1</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9.4</w:t>
            </w: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12.7</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Expected return on assets</w:t>
            </w:r>
          </w:p>
        </w:tc>
        <w:tc>
          <w:tcPr>
            <w:tcW w:w="8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(12.2 )</w:t>
            </w:r>
          </w:p>
        </w:tc>
        <w:tc>
          <w:tcPr>
            <w:tcW w:w="6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(13.5 )</w:t>
            </w:r>
          </w:p>
        </w:tc>
        <w:tc>
          <w:tcPr>
            <w:tcW w:w="6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(12.9 )</w:t>
            </w: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Settlements</w:t>
            </w: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13.8</w:t>
            </w: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0.4</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7"/>
                <w:szCs w:val="17"/>
                <w:color w:val="auto"/>
              </w:rPr>
            </w:pP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4.6</w:t>
            </w:r>
          </w:p>
        </w:tc>
        <w:tc>
          <w:tcPr>
            <w:tcW w:w="600" w:type="dxa"/>
            <w:vAlign w:val="bottom"/>
          </w:tcPr>
          <w:p>
            <w:pPr>
              <w:spacing w:after="0"/>
              <w:rPr>
                <w:sz w:val="17"/>
                <w:szCs w:val="17"/>
                <w:color w:val="auto"/>
              </w:rPr>
            </w:pP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2.7</w:t>
            </w:r>
          </w:p>
        </w:tc>
        <w:tc>
          <w:tcPr>
            <w:tcW w:w="6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w:t>
            </w:r>
          </w:p>
        </w:tc>
      </w:tr>
      <w:tr>
        <w:trPr>
          <w:trHeight w:val="202"/>
        </w:trPr>
        <w:tc>
          <w:tcPr>
            <w:tcW w:w="62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Prior service cost</w:t>
            </w:r>
          </w:p>
        </w:tc>
        <w:tc>
          <w:tcPr>
            <w:tcW w:w="8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0.7</w:t>
            </w:r>
          </w:p>
        </w:tc>
      </w:tr>
      <w:tr>
        <w:trPr>
          <w:trHeight w:val="196"/>
        </w:trPr>
        <w:tc>
          <w:tcPr>
            <w:tcW w:w="6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22.2</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34.1</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17.2</w:t>
            </w:r>
          </w:p>
        </w:tc>
      </w:tr>
      <w:tr>
        <w:trPr>
          <w:trHeight w:val="155"/>
        </w:trPr>
        <w:tc>
          <w:tcPr>
            <w:tcW w:w="628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w w:val="98"/>
              </w:rPr>
              <w:t>Other Changes in Plan Assets and Benefit Obligation Recognized in Other</w:t>
            </w:r>
          </w:p>
        </w:tc>
        <w:tc>
          <w:tcPr>
            <w:tcW w:w="8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r>
      <w:tr>
        <w:trPr>
          <w:trHeight w:val="216"/>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Income/Loss</w:t>
            </w:r>
          </w:p>
        </w:tc>
        <w:tc>
          <w:tcPr>
            <w:tcW w:w="8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Net (gain) loss</w:t>
            </w:r>
          </w:p>
        </w:tc>
        <w:tc>
          <w:tcPr>
            <w:tcW w:w="8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(60.0 )</w:t>
            </w:r>
          </w:p>
        </w:tc>
        <w:tc>
          <w:tcPr>
            <w:tcW w:w="600" w:type="dxa"/>
            <w:vAlign w:val="bottom"/>
          </w:tcPr>
          <w:p>
            <w:pPr>
              <w:spacing w:after="0"/>
              <w:rPr>
                <w:sz w:val="17"/>
                <w:szCs w:val="17"/>
                <w:color w:val="auto"/>
              </w:rPr>
            </w:pP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44.1</w:t>
            </w:r>
          </w:p>
        </w:tc>
        <w:tc>
          <w:tcPr>
            <w:tcW w:w="6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Prior service cost</w:t>
            </w: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0.4</w:t>
            </w: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net loss</w:t>
            </w:r>
          </w:p>
        </w:tc>
        <w:tc>
          <w:tcPr>
            <w:tcW w:w="8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(5.6 )</w:t>
            </w:r>
          </w:p>
        </w:tc>
        <w:tc>
          <w:tcPr>
            <w:tcW w:w="6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(6.3 )</w:t>
            </w:r>
          </w:p>
        </w:tc>
        <w:tc>
          <w:tcPr>
            <w:tcW w:w="6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62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prior service cost</w:t>
            </w:r>
          </w:p>
        </w:tc>
        <w:tc>
          <w:tcPr>
            <w:tcW w:w="8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(0.7 )</w:t>
            </w: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(0.7 )</w:t>
            </w:r>
          </w:p>
        </w:tc>
        <w:tc>
          <w:tcPr>
            <w:tcW w:w="6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(0.7 )</w:t>
            </w:r>
          </w:p>
        </w:tc>
      </w:tr>
      <w:tr>
        <w:trPr>
          <w:trHeight w:val="196"/>
        </w:trPr>
        <w:tc>
          <w:tcPr>
            <w:tcW w:w="6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recognized in other comprehensive income/loss</w:t>
            </w:r>
          </w:p>
        </w:tc>
        <w:tc>
          <w:tcPr>
            <w:tcW w:w="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(66.3 )</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37.5</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44.2</w:t>
            </w:r>
          </w:p>
        </w:tc>
      </w:tr>
      <w:tr>
        <w:trPr>
          <w:trHeight w:val="196"/>
        </w:trPr>
        <w:tc>
          <w:tcPr>
            <w:tcW w:w="62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5"/>
              </w:rPr>
              <w:t>Total recognized in net periodic benefit cost and other comprehensive income/loss</w:t>
            </w:r>
          </w:p>
        </w:tc>
        <w:tc>
          <w:tcPr>
            <w:tcW w:w="86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(44.1 )</w:t>
            </w:r>
          </w:p>
        </w:tc>
        <w:tc>
          <w:tcPr>
            <w:tcW w:w="60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71.6</w:t>
            </w:r>
          </w:p>
        </w:tc>
        <w:tc>
          <w:tcPr>
            <w:tcW w:w="60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benefit obligation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Year Ended December 31</w:t>
            </w:r>
          </w:p>
        </w:tc>
        <w:tc>
          <w:tcPr>
            <w:tcW w:w="1820" w:type="dxa"/>
            <w:vAlign w:val="bottom"/>
          </w:tcPr>
          <w:p>
            <w:pPr>
              <w:spacing w:after="0"/>
              <w:rPr>
                <w:sz w:val="18"/>
                <w:szCs w:val="18"/>
                <w:color w:val="auto"/>
              </w:rPr>
            </w:pPr>
          </w:p>
        </w:tc>
        <w:tc>
          <w:tcPr>
            <w:tcW w:w="2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United States Plans</w:t>
            </w:r>
          </w:p>
        </w:tc>
        <w:tc>
          <w:tcPr>
            <w:tcW w:w="120" w:type="dxa"/>
            <w:vAlign w:val="bottom"/>
          </w:tcPr>
          <w:p>
            <w:pPr>
              <w:spacing w:after="0"/>
              <w:rPr>
                <w:sz w:val="18"/>
                <w:szCs w:val="18"/>
                <w:color w:val="auto"/>
              </w:rPr>
            </w:pPr>
          </w:p>
        </w:tc>
        <w:tc>
          <w:tcPr>
            <w:tcW w:w="26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Non-United States Plans</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2021</w:t>
            </w:r>
          </w:p>
        </w:tc>
        <w:tc>
          <w:tcPr>
            <w:tcW w:w="10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3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3520" w:type="dxa"/>
            <w:vAlign w:val="bottom"/>
            <w:gridSpan w:val="2"/>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2.6 %</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2.1 %</w:t>
            </w:r>
          </w:p>
        </w:tc>
        <w:tc>
          <w:tcPr>
            <w:tcW w:w="1780" w:type="dxa"/>
            <w:vAlign w:val="bottom"/>
            <w:gridSpan w:val="2"/>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1.0 %</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3520" w:type="dxa"/>
            <w:vAlign w:val="bottom"/>
            <w:tcBorders>
              <w:bottom w:val="single" w:sz="8" w:color="auto"/>
            </w:tcBorders>
            <w:gridSpan w:val="2"/>
          </w:tcPr>
          <w:p>
            <w:pPr>
              <w:jc w:val="right"/>
              <w:ind w:right="370"/>
              <w:spacing w:after="0" w:line="202" w:lineRule="exact"/>
              <w:rPr>
                <w:sz w:val="20"/>
                <w:szCs w:val="20"/>
                <w:color w:val="auto"/>
              </w:rPr>
            </w:pPr>
            <w:r>
              <w:rPr>
                <w:rFonts w:ascii="Arial" w:cs="Arial" w:eastAsia="Arial" w:hAnsi="Arial"/>
                <w:sz w:val="18"/>
                <w:szCs w:val="18"/>
                <w:color w:val="auto"/>
              </w:rPr>
              <w:t>1.3 %</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gridSpan w:val="2"/>
          </w:tcPr>
          <w:p>
            <w:pPr>
              <w:jc w:val="right"/>
              <w:ind w:right="350"/>
              <w:spacing w:after="0" w:line="202" w:lineRule="exact"/>
              <w:rPr>
                <w:sz w:val="20"/>
                <w:szCs w:val="20"/>
                <w:color w:val="auto"/>
              </w:rPr>
            </w:pPr>
            <w:r>
              <w:rPr>
                <w:rFonts w:ascii="Arial" w:cs="Arial" w:eastAsia="Arial" w:hAnsi="Arial"/>
                <w:sz w:val="18"/>
                <w:szCs w:val="18"/>
                <w:color w:val="auto"/>
              </w:rPr>
              <w:t>1.7 %</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831"/>
        </w:trPr>
        <w:tc>
          <w:tcPr>
            <w:tcW w:w="3880" w:type="dxa"/>
            <w:vAlign w:val="bottom"/>
          </w:tcPr>
          <w:p>
            <w:pPr>
              <w:spacing w:after="0"/>
              <w:rPr>
                <w:sz w:val="24"/>
                <w:szCs w:val="24"/>
                <w:color w:val="auto"/>
              </w:rPr>
            </w:pPr>
          </w:p>
        </w:tc>
        <w:tc>
          <w:tcPr>
            <w:tcW w:w="3520" w:type="dxa"/>
            <w:vAlign w:val="bottom"/>
            <w:gridSpan w:val="2"/>
          </w:tcPr>
          <w:p>
            <w:pPr>
              <w:jc w:val="right"/>
              <w:ind w:right="1590"/>
              <w:spacing w:after="0"/>
              <w:rPr>
                <w:sz w:val="20"/>
                <w:szCs w:val="20"/>
                <w:color w:val="auto"/>
              </w:rPr>
            </w:pPr>
            <w:r>
              <w:rPr>
                <w:rFonts w:ascii="Arial" w:cs="Arial" w:eastAsia="Arial" w:hAnsi="Arial"/>
                <w:sz w:val="18"/>
                <w:szCs w:val="18"/>
                <w:color w:val="auto"/>
              </w:rPr>
              <w:t>86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8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weighted-average assumptions used in the measurement of the net periodic benefit cost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Year Ended December 31</w:t>
            </w:r>
          </w:p>
        </w:tc>
        <w:tc>
          <w:tcPr>
            <w:tcW w:w="1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United States Plans</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6"/>
              </w:rPr>
              <w:t>Non-United States Plans</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2021</w:t>
            </w:r>
          </w:p>
        </w:tc>
        <w:tc>
          <w:tcPr>
            <w:tcW w:w="11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2021</w:t>
            </w:r>
          </w:p>
        </w:tc>
        <w:tc>
          <w:tcPr>
            <w:tcW w:w="12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2020</w:t>
            </w:r>
          </w:p>
        </w:tc>
        <w:tc>
          <w:tcPr>
            <w:tcW w:w="8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128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2.1 %</w:t>
            </w:r>
          </w:p>
        </w:tc>
        <w:tc>
          <w:tcPr>
            <w:tcW w:w="116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2.5 %</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4.2 %</w:t>
            </w:r>
          </w:p>
        </w:tc>
        <w:tc>
          <w:tcPr>
            <w:tcW w:w="122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0.6 %</w:t>
            </w:r>
          </w:p>
        </w:tc>
        <w:tc>
          <w:tcPr>
            <w:tcW w:w="12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1.1 %</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Expected long-term return on plan assets</w:t>
            </w:r>
          </w:p>
        </w:tc>
        <w:tc>
          <w:tcPr>
            <w:tcW w:w="12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N/A</w:t>
            </w:r>
          </w:p>
        </w:tc>
        <w:tc>
          <w:tcPr>
            <w:tcW w:w="11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N/A</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4.3 %</w:t>
            </w:r>
          </w:p>
        </w:tc>
        <w:tc>
          <w:tcPr>
            <w:tcW w:w="12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1.8 %</w:t>
            </w: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128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 %</w:t>
            </w:r>
          </w:p>
        </w:tc>
        <w:tc>
          <w:tcPr>
            <w:tcW w:w="116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 %</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c>
          <w:tcPr>
            <w:tcW w:w="12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1.7 %</w:t>
            </w:r>
          </w:p>
        </w:tc>
        <w:tc>
          <w:tcPr>
            <w:tcW w:w="12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1.7 %</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Interest crediting rates for cash balance plans</w:t>
            </w:r>
          </w:p>
        </w:tc>
        <w:tc>
          <w:tcPr>
            <w:tcW w:w="12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N/A</w:t>
            </w:r>
          </w:p>
        </w:tc>
        <w:tc>
          <w:tcPr>
            <w:tcW w:w="9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N/A</w:t>
            </w:r>
          </w:p>
        </w:tc>
        <w:tc>
          <w:tcPr>
            <w:tcW w:w="1220" w:type="dxa"/>
            <w:vAlign w:val="bottom"/>
            <w:tcBorders>
              <w:bottom w:val="single" w:sz="8" w:color="auto"/>
            </w:tcBorders>
            <w:gridSpan w:val="2"/>
          </w:tcPr>
          <w:p>
            <w:pPr>
              <w:jc w:val="right"/>
              <w:ind w:right="50"/>
              <w:spacing w:after="0" w:line="202" w:lineRule="exact"/>
              <w:rPr>
                <w:sz w:val="20"/>
                <w:szCs w:val="20"/>
                <w:color w:val="auto"/>
              </w:rPr>
            </w:pPr>
            <w:r>
              <w:rPr>
                <w:rFonts w:ascii="Arial" w:cs="Arial" w:eastAsia="Arial" w:hAnsi="Arial"/>
                <w:sz w:val="18"/>
                <w:szCs w:val="18"/>
                <w:color w:val="auto"/>
              </w:rPr>
              <w:t>1.9 %</w:t>
            </w:r>
          </w:p>
        </w:tc>
        <w:tc>
          <w:tcPr>
            <w:tcW w:w="12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2.0 %</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determine our assumption for the discount rate based on an index of high-quality corporate bond yields and matched-funding yield curve analysis as of the end of each fiscal year.</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overall expected long-term rate of return used in the measurement of the 2021 net periodic benefit cost on non-United States plans varied by country and ranged from (0.1)% to 3.0%.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 None of our United States plans had plan assets as of December 31, 2020 and 2021 due to the settlement of the Qualified Retirement Plan liability during the first quarter of 2020.</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Projected salary levels utilized in the determination of the projected benefit obligation for the pension plans are based upon historical experience and the future expectations for each respective country.</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2021 allocations, are determined based on the favorable risk tolerance characteristics of the plan and, at times, may be adjusted within a specified range to advance our overall objective.</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fair values of our Level 1 and Level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fair value of our pension plan assets by asset category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Fair Value Measurements Using</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right"/>
              <w:ind w:right="139"/>
              <w:spacing w:after="0" w:line="146" w:lineRule="exact"/>
              <w:rPr>
                <w:sz w:val="20"/>
                <w:szCs w:val="20"/>
                <w:color w:val="auto"/>
              </w:rPr>
            </w:pPr>
            <w:r>
              <w:rPr>
                <w:rFonts w:ascii="Arial" w:cs="Arial" w:eastAsia="Arial" w:hAnsi="Arial"/>
                <w:sz w:val="16"/>
                <w:szCs w:val="16"/>
                <w:color w:val="auto"/>
              </w:rPr>
              <w:t>Quoted Prices</w:t>
            </w:r>
          </w:p>
        </w:tc>
        <w:tc>
          <w:tcPr>
            <w:tcW w:w="340" w:type="dxa"/>
            <w:vAlign w:val="bottom"/>
          </w:tcPr>
          <w:p>
            <w:pPr>
              <w:spacing w:after="0"/>
              <w:rPr>
                <w:sz w:val="12"/>
                <w:szCs w:val="12"/>
                <w:color w:val="auto"/>
              </w:rPr>
            </w:pPr>
          </w:p>
        </w:tc>
        <w:tc>
          <w:tcPr>
            <w:tcW w:w="1500" w:type="dxa"/>
            <w:vAlign w:val="bottom"/>
            <w:vMerge w:val="restart"/>
          </w:tcPr>
          <w:p>
            <w:pPr>
              <w:jc w:val="right"/>
              <w:ind w:right="119"/>
              <w:spacing w:after="0"/>
              <w:rPr>
                <w:sz w:val="20"/>
                <w:szCs w:val="20"/>
                <w:color w:val="auto"/>
              </w:rPr>
            </w:pPr>
            <w:r>
              <w:rPr>
                <w:rFonts w:ascii="Arial" w:cs="Arial" w:eastAsia="Arial" w:hAnsi="Arial"/>
                <w:sz w:val="16"/>
                <w:szCs w:val="16"/>
                <w:color w:val="auto"/>
              </w:rPr>
              <w:t>Significant Other</w:t>
            </w:r>
          </w:p>
        </w:tc>
        <w:tc>
          <w:tcPr>
            <w:tcW w:w="280" w:type="dxa"/>
            <w:vAlign w:val="bottom"/>
          </w:tcPr>
          <w:p>
            <w:pPr>
              <w:spacing w:after="0"/>
              <w:rPr>
                <w:sz w:val="12"/>
                <w:szCs w:val="12"/>
                <w:color w:val="auto"/>
              </w:rPr>
            </w:pPr>
          </w:p>
        </w:tc>
        <w:tc>
          <w:tcPr>
            <w:tcW w:w="1520" w:type="dxa"/>
            <w:vAlign w:val="bottom"/>
            <w:vMerge w:val="restart"/>
          </w:tcPr>
          <w:p>
            <w:pPr>
              <w:jc w:val="right"/>
              <w:ind w:right="79"/>
              <w:spacing w:after="0"/>
              <w:rPr>
                <w:sz w:val="20"/>
                <w:szCs w:val="20"/>
                <w:color w:val="auto"/>
              </w:rPr>
            </w:pPr>
            <w:r>
              <w:rPr>
                <w:rFonts w:ascii="Arial" w:cs="Arial" w:eastAsia="Arial" w:hAnsi="Arial"/>
                <w:sz w:val="16"/>
                <w:szCs w:val="16"/>
                <w:color w:val="auto"/>
              </w:rPr>
              <w:t>Significant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ind w:right="139"/>
              <w:spacing w:after="0" w:line="162" w:lineRule="exact"/>
              <w:rPr>
                <w:sz w:val="20"/>
                <w:szCs w:val="20"/>
                <w:color w:val="auto"/>
              </w:rPr>
            </w:pPr>
            <w:r>
              <w:rPr>
                <w:rFonts w:ascii="Arial" w:cs="Arial" w:eastAsia="Arial" w:hAnsi="Arial"/>
                <w:sz w:val="16"/>
                <w:szCs w:val="16"/>
                <w:color w:val="auto"/>
                <w:w w:val="95"/>
              </w:rPr>
              <w:t>in Active Markets for</w:t>
            </w:r>
          </w:p>
        </w:tc>
        <w:tc>
          <w:tcPr>
            <w:tcW w:w="3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Arial" w:cs="Arial" w:eastAsia="Arial" w:hAnsi="Arial"/>
                <w:sz w:val="16"/>
                <w:szCs w:val="16"/>
                <w:color w:val="auto"/>
                <w:w w:val="93"/>
              </w:rPr>
              <w:t>December 31, 2021</w:t>
            </w:r>
          </w:p>
        </w:tc>
        <w:tc>
          <w:tcPr>
            <w:tcW w:w="260" w:type="dxa"/>
            <w:vAlign w:val="bottom"/>
          </w:tcPr>
          <w:p>
            <w:pPr>
              <w:spacing w:after="0"/>
              <w:rPr>
                <w:sz w:val="14"/>
                <w:szCs w:val="14"/>
                <w:color w:val="auto"/>
              </w:rPr>
            </w:pPr>
          </w:p>
        </w:tc>
        <w:tc>
          <w:tcPr>
            <w:tcW w:w="162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Identical Assets</w:t>
            </w:r>
          </w:p>
        </w:tc>
        <w:tc>
          <w:tcPr>
            <w:tcW w:w="340" w:type="dxa"/>
            <w:vAlign w:val="bottom"/>
          </w:tcPr>
          <w:p>
            <w:pPr>
              <w:spacing w:after="0"/>
              <w:rPr>
                <w:sz w:val="14"/>
                <w:szCs w:val="14"/>
                <w:color w:val="auto"/>
              </w:rPr>
            </w:pPr>
          </w:p>
        </w:tc>
        <w:tc>
          <w:tcPr>
            <w:tcW w:w="1500" w:type="dxa"/>
            <w:vAlign w:val="bottom"/>
          </w:tcPr>
          <w:p>
            <w:pPr>
              <w:jc w:val="right"/>
              <w:ind w:right="119"/>
              <w:spacing w:after="0" w:line="162" w:lineRule="exact"/>
              <w:rPr>
                <w:sz w:val="20"/>
                <w:szCs w:val="20"/>
                <w:color w:val="auto"/>
              </w:rPr>
            </w:pPr>
            <w:r>
              <w:rPr>
                <w:rFonts w:ascii="Arial" w:cs="Arial" w:eastAsia="Arial" w:hAnsi="Arial"/>
                <w:sz w:val="16"/>
                <w:szCs w:val="16"/>
                <w:color w:val="auto"/>
                <w:w w:val="98"/>
              </w:rPr>
              <w:t>Observable Inputs</w:t>
            </w:r>
          </w:p>
        </w:tc>
        <w:tc>
          <w:tcPr>
            <w:tcW w:w="280" w:type="dxa"/>
            <w:vAlign w:val="bottom"/>
          </w:tcPr>
          <w:p>
            <w:pPr>
              <w:spacing w:after="0"/>
              <w:rPr>
                <w:sz w:val="14"/>
                <w:szCs w:val="14"/>
                <w:color w:val="auto"/>
              </w:rPr>
            </w:pPr>
          </w:p>
        </w:tc>
        <w:tc>
          <w:tcPr>
            <w:tcW w:w="1520" w:type="dxa"/>
            <w:vAlign w:val="bottom"/>
          </w:tcPr>
          <w:p>
            <w:pPr>
              <w:jc w:val="right"/>
              <w:ind w:right="39"/>
              <w:spacing w:after="0" w:line="162" w:lineRule="exact"/>
              <w:rPr>
                <w:sz w:val="20"/>
                <w:szCs w:val="20"/>
                <w:color w:val="auto"/>
              </w:rPr>
            </w:pPr>
            <w:r>
              <w:rPr>
                <w:rFonts w:ascii="Arial" w:cs="Arial" w:eastAsia="Arial" w:hAnsi="Arial"/>
                <w:sz w:val="16"/>
                <w:szCs w:val="16"/>
                <w:color w:val="auto"/>
                <w:w w:val="94"/>
              </w:rPr>
              <w:t>Unobservable Inputs</w:t>
            </w:r>
          </w:p>
        </w:tc>
        <w:tc>
          <w:tcPr>
            <w:tcW w:w="0" w:type="dxa"/>
            <w:vAlign w:val="bottom"/>
          </w:tcPr>
          <w:p>
            <w:pPr>
              <w:spacing w:after="0"/>
              <w:rPr>
                <w:sz w:val="1"/>
                <w:szCs w:val="1"/>
                <w:color w:val="auto"/>
              </w:rPr>
            </w:pPr>
          </w:p>
        </w:tc>
      </w:tr>
      <w:tr>
        <w:trPr>
          <w:trHeight w:val="199"/>
        </w:trPr>
        <w:tc>
          <w:tcPr>
            <w:tcW w:w="3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(Level 1)</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(Level 2)</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183"/>
        </w:trPr>
        <w:tc>
          <w:tcPr>
            <w:tcW w:w="39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 Category</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18.8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securities: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Mutual funds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141.5</w:t>
            </w:r>
          </w:p>
        </w:tc>
        <w:tc>
          <w:tcPr>
            <w:tcW w:w="260" w:type="dxa"/>
            <w:vAlign w:val="bottom"/>
          </w:tcPr>
          <w:p>
            <w:pPr>
              <w:spacing w:after="0"/>
              <w:rPr>
                <w:sz w:val="16"/>
                <w:szCs w:val="16"/>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141.5</w:t>
            </w:r>
          </w:p>
        </w:tc>
        <w:tc>
          <w:tcPr>
            <w:tcW w:w="3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37.7</w:t>
            </w: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37.7</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6"/>
                <w:szCs w:val="16"/>
                <w:color w:val="auto"/>
              </w:rPr>
              <w:t>Fixed income instruments: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Fixed income funds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175.0</w:t>
            </w: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175.0</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Annuity contract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51.7</w:t>
            </w:r>
          </w:p>
        </w:tc>
        <w:tc>
          <w:tcPr>
            <w:tcW w:w="260" w:type="dxa"/>
            <w:vAlign w:val="bottom"/>
          </w:tcPr>
          <w:p>
            <w:pPr>
              <w:spacing w:after="0"/>
              <w:rPr>
                <w:sz w:val="16"/>
                <w:szCs w:val="16"/>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Bonds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44.9</w:t>
            </w: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44.9</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Guaranteed insurance contracts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21.3</w:t>
            </w:r>
          </w:p>
        </w:tc>
        <w:tc>
          <w:tcPr>
            <w:tcW w:w="260" w:type="dxa"/>
            <w:vAlign w:val="bottom"/>
          </w:tcPr>
          <w:p>
            <w:pPr>
              <w:spacing w:after="0"/>
              <w:rPr>
                <w:sz w:val="16"/>
                <w:szCs w:val="16"/>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21.3</w:t>
            </w:r>
          </w:p>
        </w:tc>
        <w:tc>
          <w:tcPr>
            <w:tcW w:w="2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types of investments: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Insurance contracts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129.6</w:t>
            </w:r>
          </w:p>
        </w:tc>
        <w:tc>
          <w:tcPr>
            <w:tcW w:w="260" w:type="dxa"/>
            <w:vAlign w:val="bottom"/>
          </w:tcPr>
          <w:p>
            <w:pPr>
              <w:spacing w:after="0"/>
              <w:rPr>
                <w:sz w:val="16"/>
                <w:szCs w:val="16"/>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Real estate funds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102.1</w:t>
            </w: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100.8</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Hedge funds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29.2</w:t>
            </w:r>
          </w:p>
        </w:tc>
        <w:tc>
          <w:tcPr>
            <w:tcW w:w="260" w:type="dxa"/>
            <w:vAlign w:val="bottom"/>
          </w:tcPr>
          <w:p>
            <w:pPr>
              <w:spacing w:after="0"/>
              <w:rPr>
                <w:sz w:val="16"/>
                <w:szCs w:val="16"/>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12.6</w:t>
            </w:r>
          </w:p>
        </w:tc>
        <w:tc>
          <w:tcPr>
            <w:tcW w:w="2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10.7</w:t>
            </w:r>
          </w:p>
        </w:tc>
        <w:tc>
          <w:tcPr>
            <w:tcW w:w="2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762.5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198.0</w:t>
            </w:r>
          </w:p>
        </w:tc>
        <w:tc>
          <w:tcPr>
            <w:tcW w:w="3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358.0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790"/>
        </w:trPr>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Fair Value Measurements Using</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right"/>
              <w:ind w:right="19"/>
              <w:spacing w:after="0" w:line="146" w:lineRule="exact"/>
              <w:rPr>
                <w:sz w:val="20"/>
                <w:szCs w:val="20"/>
                <w:color w:val="auto"/>
              </w:rPr>
            </w:pPr>
            <w:r>
              <w:rPr>
                <w:rFonts w:ascii="Arial" w:cs="Arial" w:eastAsia="Arial" w:hAnsi="Arial"/>
                <w:sz w:val="16"/>
                <w:szCs w:val="16"/>
                <w:color w:val="auto"/>
              </w:rPr>
              <w:t>Quoted</w:t>
            </w: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ind w:right="19"/>
              <w:spacing w:after="0" w:line="162" w:lineRule="exact"/>
              <w:rPr>
                <w:sz w:val="20"/>
                <w:szCs w:val="20"/>
                <w:color w:val="auto"/>
              </w:rPr>
            </w:pPr>
            <w:r>
              <w:rPr>
                <w:rFonts w:ascii="Arial" w:cs="Arial" w:eastAsia="Arial" w:hAnsi="Arial"/>
                <w:sz w:val="16"/>
                <w:szCs w:val="16"/>
                <w:color w:val="auto"/>
              </w:rPr>
              <w:t>Prices</w:t>
            </w:r>
          </w:p>
        </w:tc>
        <w:tc>
          <w:tcPr>
            <w:tcW w:w="340" w:type="dxa"/>
            <w:vAlign w:val="bottom"/>
          </w:tcPr>
          <w:p>
            <w:pPr>
              <w:spacing w:after="0"/>
              <w:rPr>
                <w:sz w:val="14"/>
                <w:szCs w:val="14"/>
                <w:color w:val="auto"/>
              </w:rPr>
            </w:pPr>
          </w:p>
        </w:tc>
        <w:tc>
          <w:tcPr>
            <w:tcW w:w="1500" w:type="dxa"/>
            <w:vAlign w:val="bottom"/>
            <w:vMerge w:val="restart"/>
          </w:tcPr>
          <w:p>
            <w:pPr>
              <w:jc w:val="right"/>
              <w:ind w:right="19"/>
              <w:spacing w:after="0"/>
              <w:rPr>
                <w:sz w:val="20"/>
                <w:szCs w:val="20"/>
                <w:color w:val="auto"/>
              </w:rPr>
            </w:pPr>
            <w:r>
              <w:rPr>
                <w:rFonts w:ascii="Arial" w:cs="Arial" w:eastAsia="Arial" w:hAnsi="Arial"/>
                <w:sz w:val="16"/>
                <w:szCs w:val="16"/>
                <w:color w:val="auto"/>
              </w:rPr>
              <w:t>Significant</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ind w:right="19"/>
              <w:spacing w:after="0" w:line="162" w:lineRule="exact"/>
              <w:rPr>
                <w:sz w:val="20"/>
                <w:szCs w:val="20"/>
                <w:color w:val="auto"/>
              </w:rPr>
            </w:pPr>
            <w:r>
              <w:rPr>
                <w:rFonts w:ascii="Arial" w:cs="Arial" w:eastAsia="Arial" w:hAnsi="Arial"/>
                <w:sz w:val="16"/>
                <w:szCs w:val="16"/>
                <w:color w:val="auto"/>
              </w:rPr>
              <w:t>in Active</w:t>
            </w:r>
          </w:p>
        </w:tc>
        <w:tc>
          <w:tcPr>
            <w:tcW w:w="3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Significant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ind w:right="19"/>
              <w:spacing w:after="0" w:line="162" w:lineRule="exact"/>
              <w:rPr>
                <w:sz w:val="20"/>
                <w:szCs w:val="20"/>
                <w:color w:val="auto"/>
              </w:rPr>
            </w:pPr>
            <w:r>
              <w:rPr>
                <w:rFonts w:ascii="Arial" w:cs="Arial" w:eastAsia="Arial" w:hAnsi="Arial"/>
                <w:sz w:val="16"/>
                <w:szCs w:val="16"/>
                <w:color w:val="auto"/>
              </w:rPr>
              <w:t>Markets for</w:t>
            </w:r>
          </w:p>
        </w:tc>
        <w:tc>
          <w:tcPr>
            <w:tcW w:w="340" w:type="dxa"/>
            <w:vAlign w:val="bottom"/>
          </w:tcPr>
          <w:p>
            <w:pPr>
              <w:spacing w:after="0"/>
              <w:rPr>
                <w:sz w:val="14"/>
                <w:szCs w:val="14"/>
                <w:color w:val="auto"/>
              </w:rPr>
            </w:pPr>
          </w:p>
        </w:tc>
        <w:tc>
          <w:tcPr>
            <w:tcW w:w="1500" w:type="dxa"/>
            <w:vAlign w:val="bottom"/>
          </w:tcPr>
          <w:p>
            <w:pPr>
              <w:jc w:val="right"/>
              <w:ind w:right="19"/>
              <w:spacing w:after="0" w:line="162" w:lineRule="exact"/>
              <w:rPr>
                <w:sz w:val="20"/>
                <w:szCs w:val="20"/>
                <w:color w:val="auto"/>
              </w:rPr>
            </w:pPr>
            <w:r>
              <w:rPr>
                <w:rFonts w:ascii="Arial" w:cs="Arial" w:eastAsia="Arial" w:hAnsi="Arial"/>
                <w:sz w:val="16"/>
                <w:szCs w:val="16"/>
                <w:color w:val="auto"/>
              </w:rPr>
              <w:t>Other</w:t>
            </w:r>
          </w:p>
        </w:tc>
        <w:tc>
          <w:tcPr>
            <w:tcW w:w="2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ind w:right="19"/>
              <w:spacing w:after="0" w:line="162" w:lineRule="exact"/>
              <w:rPr>
                <w:sz w:val="20"/>
                <w:szCs w:val="20"/>
                <w:color w:val="auto"/>
              </w:rPr>
            </w:pPr>
            <w:r>
              <w:rPr>
                <w:rFonts w:ascii="Arial" w:cs="Arial" w:eastAsia="Arial" w:hAnsi="Arial"/>
                <w:sz w:val="16"/>
                <w:szCs w:val="16"/>
                <w:color w:val="auto"/>
              </w:rPr>
              <w:t>Identical</w:t>
            </w:r>
          </w:p>
        </w:tc>
        <w:tc>
          <w:tcPr>
            <w:tcW w:w="340" w:type="dxa"/>
            <w:vAlign w:val="bottom"/>
          </w:tcPr>
          <w:p>
            <w:pPr>
              <w:spacing w:after="0"/>
              <w:rPr>
                <w:sz w:val="14"/>
                <w:szCs w:val="14"/>
                <w:color w:val="auto"/>
              </w:rPr>
            </w:pPr>
          </w:p>
        </w:tc>
        <w:tc>
          <w:tcPr>
            <w:tcW w:w="1500" w:type="dxa"/>
            <w:vAlign w:val="bottom"/>
          </w:tcPr>
          <w:p>
            <w:pPr>
              <w:jc w:val="right"/>
              <w:ind w:right="19"/>
              <w:spacing w:after="0" w:line="162" w:lineRule="exact"/>
              <w:rPr>
                <w:sz w:val="20"/>
                <w:szCs w:val="20"/>
                <w:color w:val="auto"/>
              </w:rPr>
            </w:pPr>
            <w:r>
              <w:rPr>
                <w:rFonts w:ascii="Arial" w:cs="Arial" w:eastAsia="Arial" w:hAnsi="Arial"/>
                <w:sz w:val="16"/>
                <w:szCs w:val="16"/>
                <w:color w:val="auto"/>
              </w:rPr>
              <w:t>Observable</w:t>
            </w:r>
          </w:p>
        </w:tc>
        <w:tc>
          <w:tcPr>
            <w:tcW w:w="280" w:type="dxa"/>
            <w:vAlign w:val="bottom"/>
          </w:tcPr>
          <w:p>
            <w:pPr>
              <w:spacing w:after="0"/>
              <w:rPr>
                <w:sz w:val="14"/>
                <w:szCs w:val="14"/>
                <w:color w:val="auto"/>
              </w:rPr>
            </w:pPr>
          </w:p>
        </w:tc>
        <w:tc>
          <w:tcPr>
            <w:tcW w:w="1520" w:type="dxa"/>
            <w:vAlign w:val="bottom"/>
          </w:tcPr>
          <w:p>
            <w:pPr>
              <w:jc w:val="right"/>
              <w:spacing w:after="0" w:line="162" w:lineRule="exact"/>
              <w:rPr>
                <w:sz w:val="20"/>
                <w:szCs w:val="20"/>
                <w:color w:val="auto"/>
              </w:rPr>
            </w:pPr>
            <w:r>
              <w:rPr>
                <w:rFonts w:ascii="Arial" w:cs="Arial" w:eastAsia="Arial" w:hAnsi="Arial"/>
                <w:sz w:val="16"/>
                <w:szCs w:val="16"/>
                <w:color w:val="auto"/>
              </w:rPr>
              <w:t>Unobservable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ind w:right="19"/>
              <w:spacing w:after="0"/>
              <w:rPr>
                <w:sz w:val="20"/>
                <w:szCs w:val="20"/>
                <w:color w:val="auto"/>
              </w:rPr>
            </w:pPr>
            <w:r>
              <w:rPr>
                <w:rFonts w:ascii="Arial" w:cs="Arial" w:eastAsia="Arial" w:hAnsi="Arial"/>
                <w:sz w:val="16"/>
                <w:szCs w:val="16"/>
                <w:color w:val="auto"/>
              </w:rPr>
              <w:t>December 31, 2020</w:t>
            </w:r>
          </w:p>
        </w:tc>
        <w:tc>
          <w:tcPr>
            <w:tcW w:w="260" w:type="dxa"/>
            <w:vAlign w:val="bottom"/>
          </w:tcPr>
          <w:p>
            <w:pPr>
              <w:spacing w:after="0"/>
              <w:rPr>
                <w:sz w:val="14"/>
                <w:szCs w:val="14"/>
                <w:color w:val="auto"/>
              </w:rPr>
            </w:pPr>
          </w:p>
        </w:tc>
        <w:tc>
          <w:tcPr>
            <w:tcW w:w="1620" w:type="dxa"/>
            <w:vAlign w:val="bottom"/>
          </w:tcPr>
          <w:p>
            <w:pPr>
              <w:jc w:val="right"/>
              <w:ind w:right="19"/>
              <w:spacing w:after="0" w:line="162" w:lineRule="exact"/>
              <w:rPr>
                <w:sz w:val="20"/>
                <w:szCs w:val="20"/>
                <w:color w:val="auto"/>
              </w:rPr>
            </w:pPr>
            <w:r>
              <w:rPr>
                <w:rFonts w:ascii="Arial" w:cs="Arial" w:eastAsia="Arial" w:hAnsi="Arial"/>
                <w:sz w:val="16"/>
                <w:szCs w:val="16"/>
                <w:color w:val="auto"/>
              </w:rPr>
              <w:t>Assets</w:t>
            </w:r>
          </w:p>
        </w:tc>
        <w:tc>
          <w:tcPr>
            <w:tcW w:w="340" w:type="dxa"/>
            <w:vAlign w:val="bottom"/>
          </w:tcPr>
          <w:p>
            <w:pPr>
              <w:spacing w:after="0"/>
              <w:rPr>
                <w:sz w:val="14"/>
                <w:szCs w:val="14"/>
                <w:color w:val="auto"/>
              </w:rPr>
            </w:pPr>
          </w:p>
        </w:tc>
        <w:tc>
          <w:tcPr>
            <w:tcW w:w="1500" w:type="dxa"/>
            <w:vAlign w:val="bottom"/>
          </w:tcPr>
          <w:p>
            <w:pPr>
              <w:jc w:val="right"/>
              <w:ind w:right="19"/>
              <w:spacing w:after="0" w:line="162" w:lineRule="exact"/>
              <w:rPr>
                <w:sz w:val="20"/>
                <w:szCs w:val="20"/>
                <w:color w:val="auto"/>
              </w:rPr>
            </w:pPr>
            <w:r>
              <w:rPr>
                <w:rFonts w:ascii="Arial" w:cs="Arial" w:eastAsia="Arial" w:hAnsi="Arial"/>
                <w:sz w:val="16"/>
                <w:szCs w:val="16"/>
                <w:color w:val="auto"/>
              </w:rPr>
              <w:t>Inputs</w:t>
            </w:r>
          </w:p>
        </w:tc>
        <w:tc>
          <w:tcPr>
            <w:tcW w:w="280" w:type="dxa"/>
            <w:vAlign w:val="bottom"/>
          </w:tcPr>
          <w:p>
            <w:pPr>
              <w:spacing w:after="0"/>
              <w:rPr>
                <w:sz w:val="14"/>
                <w:szCs w:val="14"/>
                <w:color w:val="auto"/>
              </w:rPr>
            </w:pPr>
          </w:p>
        </w:tc>
        <w:tc>
          <w:tcPr>
            <w:tcW w:w="1520" w:type="dxa"/>
            <w:vAlign w:val="bottom"/>
          </w:tcPr>
          <w:p>
            <w:pPr>
              <w:jc w:val="right"/>
              <w:spacing w:after="0" w:line="162" w:lineRule="exact"/>
              <w:rPr>
                <w:sz w:val="20"/>
                <w:szCs w:val="20"/>
                <w:color w:val="auto"/>
              </w:rPr>
            </w:pPr>
            <w:r>
              <w:rPr>
                <w:rFonts w:ascii="Arial" w:cs="Arial" w:eastAsia="Arial" w:hAnsi="Arial"/>
                <w:sz w:val="16"/>
                <w:szCs w:val="16"/>
                <w:color w:val="auto"/>
              </w:rPr>
              <w:t>Inputs</w:t>
            </w:r>
          </w:p>
        </w:tc>
        <w:tc>
          <w:tcPr>
            <w:tcW w:w="0" w:type="dxa"/>
            <w:vAlign w:val="bottom"/>
          </w:tcPr>
          <w:p>
            <w:pPr>
              <w:spacing w:after="0"/>
              <w:rPr>
                <w:sz w:val="1"/>
                <w:szCs w:val="1"/>
                <w:color w:val="auto"/>
              </w:rPr>
            </w:pPr>
          </w:p>
        </w:tc>
      </w:tr>
      <w:tr>
        <w:trPr>
          <w:trHeight w:val="199"/>
        </w:trPr>
        <w:tc>
          <w:tcPr>
            <w:tcW w:w="3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(Level 1)</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(Level 2)</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183"/>
        </w:trPr>
        <w:tc>
          <w:tcPr>
            <w:tcW w:w="39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 Category</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securities: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Mutual funds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116.1</w:t>
            </w:r>
          </w:p>
        </w:tc>
        <w:tc>
          <w:tcPr>
            <w:tcW w:w="260" w:type="dxa"/>
            <w:vAlign w:val="bottom"/>
          </w:tcPr>
          <w:p>
            <w:pPr>
              <w:spacing w:after="0"/>
              <w:rPr>
                <w:sz w:val="16"/>
                <w:szCs w:val="16"/>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116.1</w:t>
            </w:r>
          </w:p>
        </w:tc>
        <w:tc>
          <w:tcPr>
            <w:tcW w:w="34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25.4</w:t>
            </w: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25.4</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6"/>
                <w:szCs w:val="16"/>
                <w:color w:val="auto"/>
              </w:rPr>
              <w:t>Fixed income instruments: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Fixed income funds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185.6</w:t>
            </w: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185.6</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Annuity contract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260" w:type="dxa"/>
            <w:vAlign w:val="bottom"/>
          </w:tcPr>
          <w:p>
            <w:pPr>
              <w:spacing w:after="0"/>
              <w:rPr>
                <w:sz w:val="16"/>
                <w:szCs w:val="16"/>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Bonds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41.4</w:t>
            </w: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41.4</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Guaranteed insurance contracts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260" w:type="dxa"/>
            <w:vAlign w:val="bottom"/>
          </w:tcPr>
          <w:p>
            <w:pPr>
              <w:spacing w:after="0"/>
              <w:rPr>
                <w:sz w:val="16"/>
                <w:szCs w:val="16"/>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types of investments: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Insurance contracts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157.8</w:t>
            </w:r>
          </w:p>
        </w:tc>
        <w:tc>
          <w:tcPr>
            <w:tcW w:w="260" w:type="dxa"/>
            <w:vAlign w:val="bottom"/>
          </w:tcPr>
          <w:p>
            <w:pPr>
              <w:spacing w:after="0"/>
              <w:rPr>
                <w:sz w:val="16"/>
                <w:szCs w:val="16"/>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Real estate funds</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92.1</w:t>
            </w:r>
          </w:p>
        </w:tc>
        <w:tc>
          <w:tcPr>
            <w:tcW w:w="2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90.8</w:t>
            </w: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3940" w:type="dxa"/>
            <w:vAlign w:val="bottom"/>
          </w:tcPr>
          <w:p>
            <w:pPr>
              <w:ind w:left="200"/>
              <w:spacing w:after="0"/>
              <w:rPr>
                <w:sz w:val="20"/>
                <w:szCs w:val="20"/>
                <w:color w:val="auto"/>
              </w:rPr>
            </w:pPr>
            <w:r>
              <w:rPr>
                <w:rFonts w:ascii="Arial" w:cs="Arial" w:eastAsia="Arial" w:hAnsi="Arial"/>
                <w:sz w:val="16"/>
                <w:szCs w:val="16"/>
                <w:color w:val="auto"/>
              </w:rPr>
              <w:t>Hedge funds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260" w:type="dxa"/>
            <w:vAlign w:val="bottom"/>
          </w:tcPr>
          <w:p>
            <w:pPr>
              <w:spacing w:after="0"/>
              <w:rPr>
                <w:sz w:val="16"/>
                <w:szCs w:val="16"/>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9.9</w:t>
            </w:r>
          </w:p>
        </w:tc>
        <w:tc>
          <w:tcPr>
            <w:tcW w:w="2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753.6</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157.6</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353.4</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8" w:name="page89"/>
    <w:bookmarkEnd w:id="88"/>
    <w:p>
      <w:pPr>
        <w:spacing w:after="0" w:line="261" w:lineRule="auto"/>
        <w:rPr>
          <w:sz w:val="20"/>
          <w:szCs w:val="20"/>
          <w:color w:val="auto"/>
        </w:rPr>
      </w:pPr>
      <w:r>
        <w:rPr>
          <w:rFonts w:ascii="Arial" w:cs="Arial" w:eastAsia="Arial" w:hAnsi="Arial"/>
          <w:sz w:val="18"/>
          <w:szCs w:val="18"/>
          <w:color w:val="auto"/>
        </w:rPr>
        <w:t>The following table summarizes the changes in fair value of the pension assets that are measured using Level 3 inputs. We determined that transfers between fair-value-measurement levels occurred on the date of the event that caused the transfer.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3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color w:val="auto"/>
              </w:rPr>
              <w:t>2021</w:t>
            </w: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color w:val="auto"/>
              </w:rPr>
              <w:t>2020</w:t>
            </w:r>
          </w:p>
        </w:tc>
      </w:tr>
      <w:tr>
        <w:trPr>
          <w:trHeight w:val="196"/>
        </w:trPr>
        <w:tc>
          <w:tcPr>
            <w:tcW w:w="5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beginning of year</w:t>
            </w:r>
          </w:p>
        </w:tc>
        <w:tc>
          <w:tcPr>
            <w:tcW w:w="308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2"/>
              <w:spacing w:after="0" w:line="196" w:lineRule="exact"/>
              <w:rPr>
                <w:sz w:val="20"/>
                <w:szCs w:val="20"/>
                <w:color w:val="auto"/>
              </w:rPr>
            </w:pPr>
            <w:r>
              <w:rPr>
                <w:rFonts w:ascii="Arial" w:cs="Arial" w:eastAsia="Arial" w:hAnsi="Arial"/>
                <w:sz w:val="18"/>
                <w:szCs w:val="18"/>
                <w:color w:val="auto"/>
              </w:rPr>
              <w:t>242.6</w:t>
            </w:r>
          </w:p>
        </w:tc>
        <w:tc>
          <w:tcPr>
            <w:tcW w:w="72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214.8</w:t>
            </w:r>
          </w:p>
        </w:tc>
      </w:tr>
      <w:tr>
        <w:trPr>
          <w:trHeight w:val="203"/>
        </w:trPr>
        <w:tc>
          <w:tcPr>
            <w:tcW w:w="5260" w:type="dxa"/>
            <w:vAlign w:val="bottom"/>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308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(21.6 )</w:t>
            </w:r>
          </w:p>
        </w:tc>
        <w:tc>
          <w:tcPr>
            <w:tcW w:w="7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16.4</w:t>
            </w:r>
          </w:p>
        </w:tc>
      </w:tr>
      <w:tr>
        <w:trPr>
          <w:trHeight w:val="203"/>
        </w:trPr>
        <w:tc>
          <w:tcPr>
            <w:tcW w:w="5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sales and settlements, net</w:t>
            </w:r>
          </w:p>
        </w:tc>
        <w:tc>
          <w:tcPr>
            <w:tcW w:w="30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(3.1 )</w:t>
            </w:r>
          </w:p>
        </w:tc>
        <w:tc>
          <w:tcPr>
            <w:tcW w:w="7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(6.3 )</w:t>
            </w:r>
          </w:p>
        </w:tc>
      </w:tr>
      <w:tr>
        <w:trPr>
          <w:trHeight w:val="203"/>
        </w:trPr>
        <w:tc>
          <w:tcPr>
            <w:tcW w:w="52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Currency exchange rate changes</w:t>
            </w:r>
          </w:p>
        </w:tc>
        <w:tc>
          <w:tcPr>
            <w:tcW w:w="30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(11.4 )</w:t>
            </w: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17.7</w:t>
            </w:r>
          </w:p>
        </w:tc>
      </w:tr>
      <w:tr>
        <w:trPr>
          <w:trHeight w:val="196"/>
        </w:trPr>
        <w:tc>
          <w:tcPr>
            <w:tcW w:w="52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end of year</w:t>
            </w:r>
          </w:p>
        </w:tc>
        <w:tc>
          <w:tcPr>
            <w:tcW w:w="308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92"/>
              <w:spacing w:after="0" w:line="196" w:lineRule="exact"/>
              <w:rPr>
                <w:sz w:val="20"/>
                <w:szCs w:val="20"/>
                <w:color w:val="auto"/>
              </w:rPr>
            </w:pPr>
            <w:r>
              <w:rPr>
                <w:rFonts w:ascii="Arial" w:cs="Arial" w:eastAsia="Arial" w:hAnsi="Arial"/>
                <w:sz w:val="18"/>
                <w:szCs w:val="18"/>
                <w:color w:val="auto"/>
              </w:rPr>
              <w:t>206.5</w:t>
            </w:r>
          </w:p>
        </w:tc>
        <w:tc>
          <w:tcPr>
            <w:tcW w:w="72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242.6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Retiree </w:t>
      </w:r>
      <w:r>
        <w:rPr>
          <w:rFonts w:ascii="Arial" w:cs="Arial" w:eastAsia="Arial" w:hAnsi="Arial"/>
          <w:sz w:val="18"/>
          <w:szCs w:val="18"/>
          <w:i w:val="1"/>
          <w:iCs w:val="1"/>
          <w:color w:val="282A32"/>
        </w:rPr>
        <w:t>Health Care Plan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3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196"/>
        </w:trPr>
        <w:tc>
          <w:tcPr>
            <w:tcW w:w="5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3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Benefit obligation, beginning of year</w:t>
            </w:r>
          </w:p>
        </w:tc>
        <w:tc>
          <w:tcPr>
            <w:tcW w:w="31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14.6</w:t>
            </w:r>
          </w:p>
        </w:tc>
        <w:tc>
          <w:tcPr>
            <w:tcW w:w="7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14.1</w:t>
            </w:r>
          </w:p>
        </w:tc>
      </w:tr>
      <w:tr>
        <w:trPr>
          <w:trHeight w:val="203"/>
        </w:trPr>
        <w:tc>
          <w:tcPr>
            <w:tcW w:w="5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cost</w:t>
            </w:r>
          </w:p>
        </w:tc>
        <w:tc>
          <w:tcPr>
            <w:tcW w:w="3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0.2</w:t>
            </w:r>
          </w:p>
        </w:tc>
        <w:tc>
          <w:tcPr>
            <w:tcW w:w="7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0.4</w:t>
            </w:r>
          </w:p>
        </w:tc>
      </w:tr>
      <w:tr>
        <w:trPr>
          <w:trHeight w:val="203"/>
        </w:trPr>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Actuarial loss</w:t>
            </w:r>
          </w:p>
        </w:tc>
        <w:tc>
          <w:tcPr>
            <w:tcW w:w="3160" w:type="dxa"/>
            <w:vAlign w:val="bottom"/>
          </w:tcPr>
          <w:p>
            <w:pPr>
              <w:spacing w:after="0"/>
              <w:rPr>
                <w:sz w:val="17"/>
                <w:szCs w:val="17"/>
                <w:color w:val="auto"/>
              </w:rPr>
            </w:pP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0.1</w:t>
            </w:r>
          </w:p>
        </w:tc>
        <w:tc>
          <w:tcPr>
            <w:tcW w:w="7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2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Benefits paid</w:t>
            </w:r>
          </w:p>
        </w:tc>
        <w:tc>
          <w:tcPr>
            <w:tcW w:w="3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(0.8 )</w:t>
            </w:r>
          </w:p>
        </w:tc>
        <w:tc>
          <w:tcPr>
            <w:tcW w:w="7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(0.9 )</w:t>
            </w:r>
          </w:p>
        </w:tc>
      </w:tr>
      <w:tr>
        <w:trPr>
          <w:trHeight w:val="196"/>
        </w:trPr>
        <w:tc>
          <w:tcPr>
            <w:tcW w:w="52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Benefit obligation, end of year</w:t>
            </w:r>
          </w:p>
        </w:tc>
        <w:tc>
          <w:tcPr>
            <w:tcW w:w="31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14.1</w:t>
            </w:r>
          </w:p>
        </w:tc>
        <w:tc>
          <w:tcPr>
            <w:tcW w:w="7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14.6</w:t>
            </w:r>
          </w:p>
        </w:tc>
      </w:tr>
      <w:tr>
        <w:trPr>
          <w:trHeight w:val="196"/>
        </w:trPr>
        <w:tc>
          <w:tcPr>
            <w:tcW w:w="5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Funded Status at End of Year</w:t>
            </w:r>
          </w:p>
        </w:tc>
        <w:tc>
          <w:tcPr>
            <w:tcW w:w="3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52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Funded status, end of year</w:t>
            </w:r>
          </w:p>
        </w:tc>
        <w:tc>
          <w:tcPr>
            <w:tcW w:w="316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(14.1 )</w:t>
            </w:r>
          </w:p>
        </w:tc>
        <w:tc>
          <w:tcPr>
            <w:tcW w:w="74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(14.6 )</w:t>
            </w:r>
          </w:p>
        </w:tc>
      </w:tr>
      <w:tr>
        <w:trPr>
          <w:trHeight w:val="196"/>
        </w:trPr>
        <w:tc>
          <w:tcPr>
            <w:tcW w:w="5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Amounts Recognized</w:t>
            </w:r>
          </w:p>
        </w:tc>
        <w:tc>
          <w:tcPr>
            <w:tcW w:w="3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1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(1.2 )</w:t>
            </w:r>
          </w:p>
        </w:tc>
        <w:tc>
          <w:tcPr>
            <w:tcW w:w="7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520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3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(12.9 )</w:t>
            </w:r>
          </w:p>
        </w:tc>
        <w:tc>
          <w:tcPr>
            <w:tcW w:w="7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(13.5 )</w:t>
            </w:r>
          </w:p>
        </w:tc>
      </w:tr>
      <w:tr>
        <w:trPr>
          <w:trHeight w:val="196"/>
        </w:trPr>
        <w:tc>
          <w:tcPr>
            <w:tcW w:w="52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amount recognized</w:t>
            </w:r>
          </w:p>
        </w:tc>
        <w:tc>
          <w:tcPr>
            <w:tcW w:w="31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(14.1 )</w:t>
            </w:r>
          </w:p>
        </w:tc>
        <w:tc>
          <w:tcPr>
            <w:tcW w:w="7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(14.6 )</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recognized in accumulated other comprehensive loss, net of tax, consists of a net loss of $2.2 and $2.3 as of December 31, 2021 and 2020, respectively, and a prior service credit of $2.3 and $2.9 as of December 31, 2021 and 2020, respectively.</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discount rate used in the measurement of the benefit obligation was 2.6% and 2.2% in 2021 and 2020, respectively. The discount rate used in the measurement of net periodic benefit cost was 2.2%, 3.0% and 4.2% in 2021, 2020, and 2019,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components of net periodic benefit cost and other amounts recognized in other comprehensive loss for this plan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196"/>
        </w:trPr>
        <w:tc>
          <w:tcPr>
            <w:tcW w:w="6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Periodic Benefit Credit</w:t>
            </w: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8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0.2</w:t>
            </w:r>
          </w:p>
        </w:tc>
        <w:tc>
          <w:tcPr>
            <w:tcW w:w="6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0.4</w:t>
            </w:r>
          </w:p>
        </w:tc>
        <w:tc>
          <w:tcPr>
            <w:tcW w:w="6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0.5</w:t>
            </w:r>
          </w:p>
        </w:tc>
      </w:tr>
      <w:tr>
        <w:trPr>
          <w:trHeight w:val="202"/>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0.2</w:t>
            </w: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0.1</w:t>
            </w: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Prior service credit</w:t>
            </w:r>
          </w:p>
        </w:tc>
        <w:tc>
          <w:tcPr>
            <w:tcW w:w="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(0.8 )</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(0.8 )</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(0.8 )</w:t>
            </w:r>
          </w:p>
        </w:tc>
      </w:tr>
      <w:tr>
        <w:trPr>
          <w:trHeight w:val="196"/>
        </w:trPr>
        <w:tc>
          <w:tcPr>
            <w:tcW w:w="62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periodic benefit credit</w:t>
            </w:r>
          </w:p>
        </w:tc>
        <w:tc>
          <w:tcPr>
            <w:tcW w:w="86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(0.4 )</w:t>
            </w:r>
          </w:p>
        </w:tc>
        <w:tc>
          <w:tcPr>
            <w:tcW w:w="62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(0.3 )</w:t>
            </w:r>
          </w:p>
        </w:tc>
        <w:tc>
          <w:tcPr>
            <w:tcW w:w="60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(0.3 )</w:t>
            </w:r>
          </w:p>
        </w:tc>
      </w:tr>
      <w:tr>
        <w:trPr>
          <w:trHeight w:val="155"/>
        </w:trPr>
        <w:tc>
          <w:tcPr>
            <w:tcW w:w="6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6"/>
              </w:rPr>
              <w:t>Other Changes in Plan Assets and Benefit Obligations Recognized in Other</w:t>
            </w: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Income/Loss</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86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0.2</w:t>
            </w:r>
          </w:p>
        </w:tc>
        <w:tc>
          <w:tcPr>
            <w:tcW w:w="62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1.1</w:t>
            </w:r>
          </w:p>
        </w:tc>
        <w:tc>
          <w:tcPr>
            <w:tcW w:w="60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0.8</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net loss</w:t>
            </w:r>
          </w:p>
        </w:tc>
        <w:tc>
          <w:tcPr>
            <w:tcW w:w="8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(0.2 )</w:t>
            </w:r>
          </w:p>
        </w:tc>
        <w:tc>
          <w:tcPr>
            <w:tcW w:w="62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(0.1 )</w:t>
            </w:r>
          </w:p>
        </w:tc>
        <w:tc>
          <w:tcPr>
            <w:tcW w:w="6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prior service credit</w:t>
            </w:r>
          </w:p>
        </w:tc>
        <w:tc>
          <w:tcPr>
            <w:tcW w:w="8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0.8</w:t>
            </w:r>
          </w:p>
        </w:tc>
      </w:tr>
      <w:tr>
        <w:trPr>
          <w:trHeight w:val="196"/>
        </w:trPr>
        <w:tc>
          <w:tcPr>
            <w:tcW w:w="62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recognized in other comprehensive income/loss</w:t>
            </w:r>
          </w:p>
        </w:tc>
        <w:tc>
          <w:tcPr>
            <w:tcW w:w="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1.8</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w:t>
            </w:r>
          </w:p>
        </w:tc>
      </w:tr>
      <w:tr>
        <w:trPr>
          <w:trHeight w:val="196"/>
        </w:trPr>
        <w:tc>
          <w:tcPr>
            <w:tcW w:w="62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5"/>
              </w:rPr>
              <w:t>Total recognized in net periodic benefit cost and other comprehensive income/loss</w:t>
            </w:r>
          </w:p>
        </w:tc>
        <w:tc>
          <w:tcPr>
            <w:tcW w:w="86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0.4</w:t>
            </w:r>
          </w:p>
        </w:tc>
        <w:tc>
          <w:tcPr>
            <w:tcW w:w="62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1.5</w:t>
            </w:r>
          </w:p>
        </w:tc>
        <w:tc>
          <w:tcPr>
            <w:tcW w:w="60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estimated net loss and prior service credit for the retiree health care plan that will be amortized from accumulated other comprehensive income/loss into net periodic benefit cost during 2022 are $0.2 and $0.8, respectively.</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health care cost trend rate is assumed to be 6.4% for 2022, decreasing gradually to an ultimate rate of 4.5% in 2030. Assumed health care cost trend rates are not expected to have a material effect on the amounts reported.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Payments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2022, we plan to contribute approximately $15.0 to our pension plans and to fund our retiree health care payments as incurred. Projected benefit payments from the plans as of December 31, 2021 were estimated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Year</w:t>
            </w:r>
          </w:p>
        </w:tc>
        <w:tc>
          <w:tcPr>
            <w:tcW w:w="3000" w:type="dxa"/>
            <w:vAlign w:val="bottom"/>
          </w:tcPr>
          <w:p>
            <w:pPr>
              <w:spacing w:after="0"/>
              <w:rPr>
                <w:sz w:val="17"/>
                <w:szCs w:val="17"/>
                <w:color w:val="auto"/>
              </w:rPr>
            </w:pP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color w:val="auto"/>
              </w:rPr>
              <w:t>Pension Plans</w:t>
            </w:r>
          </w:p>
        </w:tc>
        <w:tc>
          <w:tcPr>
            <w:tcW w:w="460" w:type="dxa"/>
            <w:vAlign w:val="bottom"/>
          </w:tcPr>
          <w:p>
            <w:pPr>
              <w:spacing w:after="0"/>
              <w:rPr>
                <w:sz w:val="17"/>
                <w:szCs w:val="17"/>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Retiree Health</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auto"/>
            </w:tcBorders>
            <w:vMerge w:val="continue"/>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Care Plan</w:t>
            </w: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30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71.8</w:t>
            </w:r>
          </w:p>
        </w:tc>
        <w:tc>
          <w:tcPr>
            <w:tcW w:w="46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000" w:type="dxa"/>
            <w:vAlign w:val="bottom"/>
          </w:tcPr>
          <w:p>
            <w:pPr>
              <w:spacing w:after="0"/>
              <w:rPr>
                <w:sz w:val="17"/>
                <w:szCs w:val="17"/>
                <w:color w:val="auto"/>
              </w:rPr>
            </w:pP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45.0</w:t>
            </w:r>
          </w:p>
        </w:tc>
        <w:tc>
          <w:tcPr>
            <w:tcW w:w="46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0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34.2</w:t>
            </w:r>
          </w:p>
        </w:tc>
        <w:tc>
          <w:tcPr>
            <w:tcW w:w="4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000" w:type="dxa"/>
            <w:vAlign w:val="bottom"/>
          </w:tcPr>
          <w:p>
            <w:pPr>
              <w:spacing w:after="0"/>
              <w:rPr>
                <w:sz w:val="17"/>
                <w:szCs w:val="17"/>
                <w:color w:val="auto"/>
              </w:rPr>
            </w:pP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29.1</w:t>
            </w:r>
          </w:p>
        </w:tc>
        <w:tc>
          <w:tcPr>
            <w:tcW w:w="46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0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29.5</w:t>
            </w:r>
          </w:p>
        </w:tc>
        <w:tc>
          <w:tcPr>
            <w:tcW w:w="4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2027–2030</w:t>
            </w:r>
          </w:p>
        </w:tc>
        <w:tc>
          <w:tcPr>
            <w:tcW w:w="30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158.1</w:t>
            </w: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projected benefit payments</w:t>
            </w:r>
          </w:p>
        </w:tc>
        <w:tc>
          <w:tcPr>
            <w:tcW w:w="300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367.7</w:t>
            </w:r>
          </w:p>
        </w:tc>
        <w:tc>
          <w:tcPr>
            <w:tcW w:w="46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 and Deferred Compensation Plans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$17.3, $16.6 and $16.9 for the years ended December 31, 2021, 2020 and 2019, respectively. In certain countries with statutory defined contribution plans, we pay a percentage of the employees' salary in pension premiums. The total expense for the statutory defined contribution plans was $32.2, $27.5 and $32.1 for the years ended December 31, 2021, 2020 and 2019,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0" w:name="page91"/>
    <w:bookmarkEnd w:id="90"/>
    <w:p>
      <w:pPr>
        <w:ind w:right="20"/>
        <w:spacing w:after="0" w:line="261" w:lineRule="auto"/>
        <w:rPr>
          <w:sz w:val="20"/>
          <w:szCs w:val="20"/>
          <w:color w:val="auto"/>
        </w:rPr>
      </w:pPr>
      <w:r>
        <w:rPr>
          <w:rFonts w:ascii="Arial" w:cs="Arial" w:eastAsia="Arial" w:hAnsi="Arial"/>
          <w:sz w:val="18"/>
          <w:szCs w:val="18"/>
          <w:color w:val="auto"/>
        </w:rPr>
        <w:t>We also have deferred compensation plans in the United States. One of the plans had an asset and liability of $136.9 and $118.4 as of December 31, 2021 and 2020, respectively, with the remaining plans holding immaterial amounts of assets and liabilities.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5"/>
          </w:tcPr>
          <w:p>
            <w:pPr>
              <w:spacing w:after="0"/>
              <w:rPr>
                <w:sz w:val="20"/>
                <w:szCs w:val="20"/>
                <w:color w:val="auto"/>
              </w:rPr>
            </w:pPr>
            <w:r>
              <w:rPr>
                <w:rFonts w:ascii="Arial" w:cs="Arial" w:eastAsia="Arial" w:hAnsi="Arial"/>
                <w:sz w:val="18"/>
                <w:szCs w:val="18"/>
                <w:color w:val="auto"/>
              </w:rPr>
              <w:t>(10) Accumulated Other Comprehensive Loss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20" w:type="dxa"/>
            <w:vAlign w:val="bottom"/>
            <w:gridSpan w:val="5"/>
          </w:tcPr>
          <w:p>
            <w:pPr>
              <w:spacing w:after="0"/>
              <w:rPr>
                <w:sz w:val="20"/>
                <w:szCs w:val="20"/>
                <w:color w:val="auto"/>
              </w:rPr>
            </w:pPr>
            <w:r>
              <w:rPr>
                <w:rFonts w:ascii="Arial" w:cs="Arial" w:eastAsia="Arial" w:hAnsi="Arial"/>
                <w:sz w:val="18"/>
                <w:szCs w:val="18"/>
                <w:color w:val="auto"/>
                <w:w w:val="95"/>
              </w:rPr>
              <w:t>The components of accumulated other comprehensive loss, net of tax, were as follows: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December 31</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620" w:type="dxa"/>
            <w:vAlign w:val="bottom"/>
            <w:gridSpan w:val="5"/>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currency translation</w:t>
            </w: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(180.8 )</w:t>
            </w:r>
          </w:p>
        </w:tc>
        <w:tc>
          <w:tcPr>
            <w:tcW w:w="720" w:type="dxa"/>
            <w:vAlign w:val="bottom"/>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(72.1 )</w:t>
            </w:r>
          </w:p>
        </w:tc>
        <w:tc>
          <w:tcPr>
            <w:tcW w:w="0" w:type="dxa"/>
            <w:vAlign w:val="bottom"/>
          </w:tcPr>
          <w:p>
            <w:pPr>
              <w:spacing w:after="0"/>
              <w:rPr>
                <w:sz w:val="1"/>
                <w:szCs w:val="1"/>
                <w:color w:val="auto"/>
              </w:rPr>
            </w:pPr>
          </w:p>
        </w:tc>
      </w:tr>
      <w:tr>
        <w:trPr>
          <w:trHeight w:val="162"/>
        </w:trPr>
        <w:tc>
          <w:tcPr>
            <w:tcW w:w="6620" w:type="dxa"/>
            <w:vAlign w:val="bottom"/>
            <w:gridSpan w:val="5"/>
          </w:tcPr>
          <w:p>
            <w:pPr>
              <w:ind w:left="20"/>
              <w:spacing w:after="0" w:line="162" w:lineRule="exact"/>
              <w:rPr>
                <w:sz w:val="20"/>
                <w:szCs w:val="20"/>
                <w:color w:val="auto"/>
              </w:rPr>
            </w:pPr>
            <w:r>
              <w:rPr>
                <w:rFonts w:ascii="Arial" w:cs="Arial" w:eastAsia="Arial" w:hAnsi="Arial"/>
                <w:sz w:val="18"/>
                <w:szCs w:val="18"/>
                <w:color w:val="auto"/>
                <w:w w:val="91"/>
              </w:rPr>
              <w:t>Translation loss on derivative instruments, net of income tax benefit of $(16.4) and $(34.9),</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(18.4 )</w:t>
            </w:r>
          </w:p>
        </w:tc>
        <w:tc>
          <w:tcPr>
            <w:tcW w:w="7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(81.2 )</w:t>
            </w:r>
          </w:p>
        </w:tc>
        <w:tc>
          <w:tcPr>
            <w:tcW w:w="0" w:type="dxa"/>
            <w:vAlign w:val="bottom"/>
          </w:tcPr>
          <w:p>
            <w:pPr>
              <w:spacing w:after="0"/>
              <w:rPr>
                <w:sz w:val="1"/>
                <w:szCs w:val="1"/>
                <w:color w:val="auto"/>
              </w:rPr>
            </w:pPr>
          </w:p>
        </w:tc>
      </w:tr>
      <w:tr>
        <w:trPr>
          <w:trHeight w:val="216"/>
        </w:trPr>
        <w:tc>
          <w:tcPr>
            <w:tcW w:w="6620" w:type="dxa"/>
            <w:vAlign w:val="bottom"/>
            <w:gridSpan w:val="5"/>
          </w:tcPr>
          <w:p>
            <w:pPr>
              <w:ind w:left="20"/>
              <w:spacing w:after="0"/>
              <w:rPr>
                <w:sz w:val="20"/>
                <w:szCs w:val="20"/>
                <w:color w:val="auto"/>
              </w:rPr>
            </w:pPr>
            <w:r>
              <w:rPr>
                <w:rFonts w:ascii="Arial" w:cs="Arial" w:eastAsia="Arial" w:hAnsi="Arial"/>
                <w:sz w:val="18"/>
                <w:szCs w:val="18"/>
                <w:color w:val="auto"/>
              </w:rPr>
              <w:t>respectively</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gridSpan w:val="5"/>
            <w:shd w:val="clear" w:color="auto" w:fill="CFF0FC"/>
          </w:tcPr>
          <w:p>
            <w:pPr>
              <w:ind w:left="20"/>
              <w:spacing w:after="0" w:line="202" w:lineRule="exact"/>
              <w:rPr>
                <w:sz w:val="20"/>
                <w:szCs w:val="20"/>
                <w:color w:val="auto"/>
              </w:rPr>
            </w:pPr>
            <w:r>
              <w:rPr>
                <w:rFonts w:ascii="Arial" w:cs="Arial" w:eastAsia="Arial" w:hAnsi="Arial"/>
                <w:sz w:val="18"/>
                <w:szCs w:val="18"/>
                <w:color w:val="auto"/>
              </w:rPr>
              <w:t>Translation loss on long-term intercompany loans</w:t>
            </w: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(133.6 )</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(133.3 )</w:t>
            </w:r>
          </w:p>
        </w:tc>
        <w:tc>
          <w:tcPr>
            <w:tcW w:w="0" w:type="dxa"/>
            <w:vAlign w:val="bottom"/>
          </w:tcPr>
          <w:p>
            <w:pPr>
              <w:spacing w:after="0"/>
              <w:rPr>
                <w:sz w:val="1"/>
                <w:szCs w:val="1"/>
                <w:color w:val="auto"/>
              </w:rPr>
            </w:pPr>
          </w:p>
        </w:tc>
      </w:tr>
      <w:tr>
        <w:trPr>
          <w:trHeight w:val="203"/>
        </w:trPr>
        <w:tc>
          <w:tcPr>
            <w:tcW w:w="6620" w:type="dxa"/>
            <w:vAlign w:val="bottom"/>
            <w:gridSpan w:val="5"/>
          </w:tcPr>
          <w:p>
            <w:pPr>
              <w:ind w:left="20"/>
              <w:spacing w:after="0" w:line="202" w:lineRule="exact"/>
              <w:rPr>
                <w:sz w:val="20"/>
                <w:szCs w:val="20"/>
                <w:color w:val="auto"/>
              </w:rPr>
            </w:pPr>
            <w:r>
              <w:rPr>
                <w:rFonts w:ascii="Arial" w:cs="Arial" w:eastAsia="Arial" w:hAnsi="Arial"/>
                <w:sz w:val="18"/>
                <w:szCs w:val="18"/>
                <w:color w:val="auto"/>
                <w:w w:val="94"/>
              </w:rPr>
              <w:t>Defined benefit pension plans, net of income benefit of $(22.8) and $(38.2), respectively</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(56.7 )</w:t>
            </w:r>
          </w:p>
        </w:tc>
        <w:tc>
          <w:tcPr>
            <w:tcW w:w="7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(111.4 )</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auto"/>
            </w:tcBorders>
            <w:gridSpan w:val="5"/>
            <w:shd w:val="clear" w:color="auto" w:fill="CFF0FC"/>
          </w:tcPr>
          <w:p>
            <w:pPr>
              <w:ind w:left="20"/>
              <w:spacing w:after="0" w:line="202" w:lineRule="exact"/>
              <w:rPr>
                <w:sz w:val="20"/>
                <w:szCs w:val="20"/>
                <w:color w:val="auto"/>
              </w:rPr>
            </w:pPr>
            <w:r>
              <w:rPr>
                <w:rFonts w:ascii="Arial" w:cs="Arial" w:eastAsia="Arial" w:hAnsi="Arial"/>
                <w:sz w:val="18"/>
                <w:szCs w:val="18"/>
                <w:color w:val="auto"/>
              </w:rPr>
              <w:t>Retiree health care plan, net of income taxes of $1.6 and $1.8, respectively</w:t>
            </w:r>
          </w:p>
        </w:tc>
        <w:tc>
          <w:tcPr>
            <w:tcW w:w="5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0.1</w:t>
            </w:r>
          </w:p>
        </w:tc>
        <w:tc>
          <w:tcPr>
            <w:tcW w:w="7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rPr>
              <w:t>Accumulated other comprehensive loss</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(389.4 )</w:t>
            </w:r>
          </w:p>
        </w:tc>
        <w:tc>
          <w:tcPr>
            <w:tcW w:w="7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(397.3 )</w:t>
            </w:r>
          </w:p>
        </w:tc>
        <w:tc>
          <w:tcPr>
            <w:tcW w:w="0" w:type="dxa"/>
            <w:vAlign w:val="bottom"/>
          </w:tcPr>
          <w:p>
            <w:pPr>
              <w:spacing w:after="0"/>
              <w:rPr>
                <w:sz w:val="1"/>
                <w:szCs w:val="1"/>
                <w:color w:val="auto"/>
              </w:rPr>
            </w:pPr>
          </w:p>
        </w:tc>
      </w:tr>
      <w:tr>
        <w:trPr>
          <w:trHeight w:val="709"/>
        </w:trPr>
        <w:tc>
          <w:tcPr>
            <w:tcW w:w="6620" w:type="dxa"/>
            <w:vAlign w:val="bottom"/>
            <w:gridSpan w:val="5"/>
          </w:tcPr>
          <w:p>
            <w:pPr>
              <w:spacing w:after="0"/>
              <w:rPr>
                <w:sz w:val="20"/>
                <w:szCs w:val="20"/>
                <w:color w:val="auto"/>
              </w:rPr>
            </w:pPr>
            <w:r>
              <w:rPr>
                <w:rFonts w:ascii="Arial" w:cs="Arial" w:eastAsia="Arial" w:hAnsi="Arial"/>
                <w:sz w:val="18"/>
                <w:szCs w:val="18"/>
                <w:color w:val="auto"/>
              </w:rPr>
              <w:t>(11) Interest and Other Expenses (Income), Net</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20" w:type="dxa"/>
            <w:vAlign w:val="bottom"/>
            <w:gridSpan w:val="5"/>
          </w:tcPr>
          <w:p>
            <w:pPr>
              <w:spacing w:after="0"/>
              <w:rPr>
                <w:sz w:val="20"/>
                <w:szCs w:val="20"/>
                <w:color w:val="auto"/>
              </w:rPr>
            </w:pPr>
            <w:r>
              <w:rPr>
                <w:rFonts w:ascii="Arial" w:cs="Arial" w:eastAsia="Arial" w:hAnsi="Arial"/>
                <w:sz w:val="18"/>
                <w:szCs w:val="18"/>
                <w:color w:val="auto"/>
              </w:rPr>
              <w:t>Interest and other expenses (income), net consisted of the following:</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Year Ended December 31</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6620" w:type="dxa"/>
            <w:vAlign w:val="bottom"/>
            <w:gridSpan w:val="5"/>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38.8</w:t>
            </w:r>
          </w:p>
        </w:tc>
        <w:tc>
          <w:tcPr>
            <w:tcW w:w="4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43.3</w:t>
            </w:r>
          </w:p>
        </w:tc>
        <w:tc>
          <w:tcPr>
            <w:tcW w:w="72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3"/>
        </w:trPr>
        <w:tc>
          <w:tcPr>
            <w:tcW w:w="662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(12.0 )</w:t>
            </w:r>
          </w:p>
        </w:tc>
        <w:tc>
          <w:tcPr>
            <w:tcW w:w="400" w:type="dxa"/>
            <w:vAlign w:val="bottom"/>
          </w:tcPr>
          <w:p>
            <w:pPr>
              <w:spacing w:after="0"/>
              <w:rPr>
                <w:sz w:val="17"/>
                <w:szCs w:val="17"/>
                <w:color w:val="auto"/>
              </w:rPr>
            </w:pPr>
          </w:p>
        </w:tc>
        <w:tc>
          <w:tcPr>
            <w:tcW w:w="172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(13.1 )</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162"/>
        </w:trPr>
        <w:tc>
          <w:tcPr>
            <w:tcW w:w="6620" w:type="dxa"/>
            <w:vAlign w:val="bottom"/>
            <w:gridSpan w:val="5"/>
          </w:tcPr>
          <w:p>
            <w:pPr>
              <w:ind w:left="20"/>
              <w:spacing w:after="0" w:line="162" w:lineRule="exact"/>
              <w:rPr>
                <w:sz w:val="20"/>
                <w:szCs w:val="20"/>
                <w:color w:val="auto"/>
              </w:rPr>
            </w:pPr>
            <w:r>
              <w:rPr>
                <w:rFonts w:ascii="Arial" w:cs="Arial" w:eastAsia="Arial" w:hAnsi="Arial"/>
                <w:sz w:val="18"/>
                <w:szCs w:val="18"/>
                <w:color w:val="auto"/>
              </w:rPr>
              <w:t>Foreign exchange loss</w:t>
            </w:r>
          </w:p>
        </w:tc>
        <w:tc>
          <w:tcPr>
            <w:tcW w:w="540" w:type="dxa"/>
            <w:vAlign w:val="bottom"/>
          </w:tcPr>
          <w:p>
            <w:pPr>
              <w:spacing w:after="0"/>
              <w:rPr>
                <w:sz w:val="14"/>
                <w:szCs w:val="14"/>
                <w:color w:val="auto"/>
              </w:rPr>
            </w:pPr>
          </w:p>
        </w:tc>
        <w:tc>
          <w:tcPr>
            <w:tcW w:w="1000" w:type="dxa"/>
            <w:vAlign w:val="bottom"/>
          </w:tcPr>
          <w:p>
            <w:pPr>
              <w:jc w:val="right"/>
              <w:ind w:right="90"/>
              <w:spacing w:after="0" w:line="162" w:lineRule="exact"/>
              <w:rPr>
                <w:sz w:val="20"/>
                <w:szCs w:val="20"/>
                <w:color w:val="auto"/>
              </w:rPr>
            </w:pPr>
            <w:r>
              <w:rPr>
                <w:rFonts w:ascii="Arial" w:cs="Arial" w:eastAsia="Arial" w:hAnsi="Arial"/>
                <w:sz w:val="18"/>
                <w:szCs w:val="18"/>
                <w:color w:val="auto"/>
              </w:rPr>
              <w:t>5.2</w:t>
            </w:r>
          </w:p>
        </w:tc>
        <w:tc>
          <w:tcPr>
            <w:tcW w:w="40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8"/>
                <w:szCs w:val="18"/>
                <w:color w:val="auto"/>
              </w:rPr>
              <w:t>4.9</w:t>
            </w:r>
          </w:p>
        </w:tc>
        <w:tc>
          <w:tcPr>
            <w:tcW w:w="720" w:type="dxa"/>
            <w:vAlign w:val="bottom"/>
          </w:tcPr>
          <w:p>
            <w:pPr>
              <w:spacing w:after="0"/>
              <w:rPr>
                <w:sz w:val="14"/>
                <w:szCs w:val="14"/>
                <w:color w:val="auto"/>
              </w:rPr>
            </w:pPr>
          </w:p>
        </w:tc>
        <w:tc>
          <w:tcPr>
            <w:tcW w:w="960" w:type="dxa"/>
            <w:vAlign w:val="bottom"/>
          </w:tcPr>
          <w:p>
            <w:pPr>
              <w:jc w:val="right"/>
              <w:ind w:right="10"/>
              <w:spacing w:after="0" w:line="16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auto"/>
            </w:tcBorders>
            <w:gridSpan w:val="5"/>
          </w:tcPr>
          <w:p>
            <w:pPr>
              <w:ind w:left="20"/>
              <w:spacing w:after="0" w:line="243" w:lineRule="exact"/>
              <w:rPr>
                <w:sz w:val="20"/>
                <w:szCs w:val="20"/>
                <w:color w:val="auto"/>
              </w:rPr>
            </w:pPr>
            <w:r>
              <w:rPr>
                <w:rFonts w:ascii="Arial" w:cs="Arial" w:eastAsia="Arial" w:hAnsi="Arial"/>
                <w:sz w:val="18"/>
                <w:szCs w:val="18"/>
                <w:color w:val="auto"/>
              </w:rPr>
              <w:t xml:space="preserve">Miscellaneous (income) expenses, net </w:t>
            </w:r>
            <w:r>
              <w:rPr>
                <w:rFonts w:ascii="Arial" w:cs="Arial" w:eastAsia="Arial" w:hAnsi="Arial"/>
                <w:sz w:val="24"/>
                <w:szCs w:val="24"/>
                <w:color w:val="auto"/>
                <w:vertAlign w:val="superscript"/>
              </w:rPr>
              <w:t>(1)</w:t>
            </w: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(14.7 )</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7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(85.7 )</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auto"/>
            </w:tcBorders>
            <w:gridSpan w:val="5"/>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and other expenses (income), net</w:t>
            </w: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17.3</w:t>
            </w:r>
          </w:p>
        </w:tc>
        <w:tc>
          <w:tcPr>
            <w:tcW w:w="40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w:t>
            </w:r>
          </w:p>
        </w:tc>
        <w:tc>
          <w:tcPr>
            <w:tcW w:w="72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9" w:lineRule="exact"/>
        <w:rPr>
          <w:sz w:val="20"/>
          <w:szCs w:val="20"/>
          <w:color w:val="auto"/>
        </w:rPr>
      </w:pPr>
    </w:p>
    <w:p>
      <w:pPr>
        <w:ind w:left="380" w:right="20" w:hanging="372"/>
        <w:spacing w:after="0" w:line="209" w:lineRule="auto"/>
        <w:tabs>
          <w:tab w:leader="none" w:pos="38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Included in 2019 is an $80.4 gain related to our acquisition of the remaining controlling interest in Manpower Switzerland. See Note 4 to the Consolidated Financial Statements for further information.</w:t>
      </w:r>
    </w:p>
    <w:p>
      <w:pPr>
        <w:spacing w:after="0" w:line="182"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1" w:name="page92"/>
    <w:bookmarkEnd w:id="91"/>
    <w:p>
      <w:pPr>
        <w:jc w:val="both"/>
        <w:spacing w:after="0" w:line="261" w:lineRule="auto"/>
        <w:rPr>
          <w:sz w:val="20"/>
          <w:szCs w:val="20"/>
          <w:color w:val="auto"/>
        </w:rPr>
      </w:pPr>
      <w:r>
        <w:rPr>
          <w:rFonts w:ascii="Arial" w:cs="Arial" w:eastAsia="Arial" w:hAnsi="Arial"/>
          <w:sz w:val="18"/>
          <w:szCs w:val="18"/>
          <w:color w:val="auto"/>
        </w:rPr>
        <w:t>The €400.0 ($454.4) notes due September 2022 and the €500.0 ($565.2) notes due June 2026 were designated as a hedge of our net investment in our foreign subsidiaries with a Euro-functional currency as of December 31, 2021.</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OCI for the year ended December 31, 2021, and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gridSpan w:val="4"/>
          </w:tcPr>
          <w:p>
            <w:pPr>
              <w:jc w:val="center"/>
              <w:ind w:right="790"/>
              <w:spacing w:after="0"/>
              <w:rPr>
                <w:sz w:val="20"/>
                <w:szCs w:val="20"/>
                <w:color w:val="auto"/>
              </w:rPr>
            </w:pPr>
            <w:r>
              <w:rPr>
                <w:rFonts w:ascii="Arial" w:cs="Arial" w:eastAsia="Arial" w:hAnsi="Arial"/>
                <w:sz w:val="18"/>
                <w:szCs w:val="18"/>
                <w:b w:val="1"/>
                <w:bCs w:val="1"/>
                <w:color w:val="auto"/>
                <w:w w:val="89"/>
              </w:rPr>
              <w:t>(Loss) Gain Recognized in Other Comprehensive Income</w:t>
            </w:r>
          </w:p>
        </w:tc>
        <w:tc>
          <w:tcPr>
            <w:tcW w:w="0" w:type="dxa"/>
            <w:vAlign w:val="bottom"/>
          </w:tcPr>
          <w:p>
            <w:pPr>
              <w:spacing w:after="0"/>
              <w:rPr>
                <w:sz w:val="1"/>
                <w:szCs w:val="1"/>
                <w:color w:val="auto"/>
              </w:rPr>
            </w:pPr>
          </w:p>
        </w:tc>
      </w:tr>
      <w:tr>
        <w:trPr>
          <w:trHeight w:val="196"/>
        </w:trPr>
        <w:tc>
          <w:tcPr>
            <w:tcW w:w="3880" w:type="dxa"/>
            <w:vAlign w:val="bottom"/>
            <w:gridSpan w:val="2"/>
            <w:vMerge w:val="restart"/>
          </w:tcPr>
          <w:p>
            <w:pPr>
              <w:ind w:left="1440"/>
              <w:spacing w:after="0"/>
              <w:rPr>
                <w:sz w:val="20"/>
                <w:szCs w:val="20"/>
                <w:color w:val="auto"/>
              </w:rPr>
            </w:pPr>
            <w:r>
              <w:rPr>
                <w:rFonts w:ascii="Arial" w:cs="Arial" w:eastAsia="Arial" w:hAnsi="Arial"/>
                <w:sz w:val="18"/>
                <w:szCs w:val="18"/>
                <w:b w:val="1"/>
                <w:bCs w:val="1"/>
                <w:color w:val="auto"/>
              </w:rPr>
              <w:t>Instrument</w:t>
            </w:r>
          </w:p>
        </w:tc>
        <w:tc>
          <w:tcPr>
            <w:tcW w:w="78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3"/>
          </w:tcPr>
          <w:p>
            <w:pPr>
              <w:jc w:val="center"/>
              <w:ind w:left="1390"/>
              <w:spacing w:after="0" w:line="196" w:lineRule="exact"/>
              <w:rPr>
                <w:sz w:val="20"/>
                <w:szCs w:val="20"/>
                <w:color w:val="auto"/>
              </w:rPr>
            </w:pPr>
            <w:r>
              <w:rPr>
                <w:rFonts w:ascii="Arial" w:cs="Arial" w:eastAsia="Arial" w:hAnsi="Arial"/>
                <w:sz w:val="18"/>
                <w:szCs w:val="18"/>
                <w:b w:val="1"/>
                <w:bCs w:val="1"/>
                <w:color w:val="auto"/>
                <w:w w:val="90"/>
              </w:rPr>
              <w:t>Year Ended December 31,</w:t>
            </w:r>
          </w:p>
        </w:tc>
        <w:tc>
          <w:tcPr>
            <w:tcW w:w="2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2860" w:type="dxa"/>
            <w:vAlign w:val="bottom"/>
          </w:tcPr>
          <w:p>
            <w:pPr>
              <w:jc w:val="right"/>
              <w:ind w:right="16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80" w:type="dxa"/>
            <w:vAlign w:val="bottom"/>
          </w:tcPr>
          <w:p>
            <w:pPr>
              <w:jc w:val="right"/>
              <w:ind w:right="159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37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Euro Notes</w:t>
            </w:r>
          </w:p>
        </w:tc>
        <w:tc>
          <w:tcPr>
            <w:tcW w:w="1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2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(90.3 )</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780" w:type="dxa"/>
            <w:vAlign w:val="bottom"/>
          </w:tcPr>
          <w:p>
            <w:pPr>
              <w:spacing w:after="0"/>
              <w:rPr>
                <w:sz w:val="20"/>
                <w:szCs w:val="20"/>
                <w:color w:val="auto"/>
              </w:rPr>
            </w:pPr>
          </w:p>
        </w:tc>
        <w:tc>
          <w:tcPr>
            <w:tcW w:w="28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5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apply the hypothetical derivative method in conjunction with regression analysis using a third-party valuation to measure effectiveness of our cross-currency swap agreement.</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OCI, AOCL and earnings for the year ended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8"/>
              </w:rPr>
              <w:t>(Loss) Gain Reclassified</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Gain Recognized in OCI</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8"/>
              </w:rPr>
              <w:t>Location of Gain Reclassified</w:t>
            </w:r>
          </w:p>
        </w:tc>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94"/>
              </w:rPr>
              <w:t>from AOCL into Income</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ind w:left="220"/>
              <w:spacing w:after="0" w:line="196" w:lineRule="exact"/>
              <w:rPr>
                <w:sz w:val="20"/>
                <w:szCs w:val="20"/>
                <w:color w:val="auto"/>
              </w:rPr>
            </w:pPr>
            <w:r>
              <w:rPr>
                <w:rFonts w:ascii="Arial" w:cs="Arial" w:eastAsia="Arial" w:hAnsi="Arial"/>
                <w:sz w:val="18"/>
                <w:szCs w:val="18"/>
                <w:b w:val="1"/>
                <w:bCs w:val="1"/>
                <w:color w:val="auto"/>
                <w:w w:val="95"/>
              </w:rPr>
              <w:t>Year Ended December 31,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center"/>
              <w:ind w:right="330"/>
              <w:spacing w:after="0" w:line="196" w:lineRule="exact"/>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196"/>
        </w:trPr>
        <w:tc>
          <w:tcPr>
            <w:tcW w:w="2160" w:type="dxa"/>
            <w:vAlign w:val="bottom"/>
            <w:gridSpan w:val="2"/>
          </w:tcPr>
          <w:p>
            <w:pPr>
              <w:ind w:left="600"/>
              <w:spacing w:after="0" w:line="196" w:lineRule="exact"/>
              <w:rPr>
                <w:sz w:val="20"/>
                <w:szCs w:val="20"/>
                <w:color w:val="auto"/>
              </w:rPr>
            </w:pPr>
            <w:r>
              <w:rPr>
                <w:rFonts w:ascii="Arial" w:cs="Arial" w:eastAsia="Arial" w:hAnsi="Arial"/>
                <w:sz w:val="18"/>
                <w:szCs w:val="18"/>
                <w:b w:val="1"/>
                <w:bCs w:val="1"/>
                <w:color w:val="auto"/>
              </w:rPr>
              <w:t>Instrument</w:t>
            </w:r>
          </w:p>
        </w:tc>
        <w:tc>
          <w:tcPr>
            <w:tcW w:w="320" w:type="dxa"/>
            <w:vAlign w:val="bottom"/>
          </w:tcPr>
          <w:p>
            <w:pPr>
              <w:spacing w:after="0"/>
              <w:rPr>
                <w:sz w:val="17"/>
                <w:szCs w:val="17"/>
                <w:color w:val="auto"/>
              </w:rPr>
            </w:pPr>
          </w:p>
        </w:tc>
        <w:tc>
          <w:tcPr>
            <w:tcW w:w="1220" w:type="dxa"/>
            <w:vAlign w:val="bottom"/>
          </w:tcPr>
          <w:p>
            <w:pPr>
              <w:ind w:left="220"/>
              <w:spacing w:after="0" w:line="196" w:lineRule="exact"/>
              <w:rPr>
                <w:sz w:val="20"/>
                <w:szCs w:val="20"/>
                <w:color w:val="auto"/>
              </w:rPr>
            </w:pPr>
            <w:r>
              <w:rPr>
                <w:rFonts w:ascii="Arial" w:cs="Arial" w:eastAsia="Arial" w:hAnsi="Arial"/>
                <w:sz w:val="18"/>
                <w:szCs w:val="18"/>
                <w:b w:val="1"/>
                <w:bCs w:val="1"/>
                <w:color w:val="auto"/>
              </w:rPr>
              <w:t>2021</w:t>
            </w: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w w:val="94"/>
              </w:rPr>
              <w:t>from AOCL into Income</w:t>
            </w:r>
          </w:p>
        </w:tc>
        <w:tc>
          <w:tcPr>
            <w:tcW w:w="300" w:type="dxa"/>
            <w:vAlign w:val="bottom"/>
          </w:tcPr>
          <w:p>
            <w:pPr>
              <w:spacing w:after="0"/>
              <w:rPr>
                <w:sz w:val="17"/>
                <w:szCs w:val="17"/>
                <w:color w:val="auto"/>
              </w:rPr>
            </w:pPr>
          </w:p>
        </w:tc>
        <w:tc>
          <w:tcPr>
            <w:tcW w:w="120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2080" w:type="dxa"/>
            <w:vAlign w:val="bottom"/>
            <w:tcBorders>
              <w:top w:val="single" w:sz="8" w:color="auto"/>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Cross-currency swaps</w:t>
            </w:r>
          </w:p>
        </w:tc>
        <w:tc>
          <w:tcPr>
            <w:tcW w:w="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10"/>
              <w:spacing w:after="0" w:line="15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ind w:right="30"/>
              <w:spacing w:after="0" w:line="156" w:lineRule="exact"/>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ind w:right="850"/>
              <w:spacing w:after="0" w:line="15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ind w:right="50"/>
              <w:spacing w:after="0" w:line="156"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3"/>
                <w:szCs w:val="13"/>
                <w:color w:val="auto"/>
              </w:rPr>
            </w:pPr>
          </w:p>
        </w:tc>
        <w:tc>
          <w:tcPr>
            <w:tcW w:w="2640" w:type="dxa"/>
            <w:vAlign w:val="bottom"/>
            <w:tcBorders>
              <w:top w:val="single" w:sz="8" w:color="auto"/>
            </w:tcBorders>
            <w:shd w:val="clear" w:color="auto" w:fill="CFF0FC"/>
          </w:tcPr>
          <w:p>
            <w:pPr>
              <w:ind w:left="100"/>
              <w:spacing w:after="0" w:line="156" w:lineRule="exact"/>
              <w:rPr>
                <w:sz w:val="20"/>
                <w:szCs w:val="20"/>
                <w:color w:val="auto"/>
              </w:rPr>
            </w:pPr>
            <w:r>
              <w:rPr>
                <w:rFonts w:ascii="Arial" w:cs="Arial" w:eastAsia="Arial" w:hAnsi="Arial"/>
                <w:sz w:val="18"/>
                <w:szCs w:val="18"/>
                <w:color w:val="auto"/>
              </w:rPr>
              <w:t>Interest and other expenses</w:t>
            </w:r>
          </w:p>
        </w:tc>
        <w:tc>
          <w:tcPr>
            <w:tcW w:w="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10"/>
              <w:spacing w:after="0" w:line="15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(13.7 )</w:t>
            </w:r>
          </w:p>
        </w:tc>
        <w:tc>
          <w:tcPr>
            <w:tcW w:w="8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30"/>
              <w:spacing w:after="0" w:line="15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0"/>
              <w:spacing w:after="0" w:line="15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net</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expect the net amount of pre-tax derivative gains and losses included in AOCL at December 31, 2021 to be reclassified into earnings to approximate $10.0 over the next 12 months. The actual amount that will be reclassified to earnings will vary due to future currency exchange rates.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Non-Designated Instruments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year ended December 31, 2021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Location of Gain</w:t>
            </w:r>
          </w:p>
        </w:tc>
        <w:tc>
          <w:tcPr>
            <w:tcW w:w="4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Amount of Gain Recognized in Income</w:t>
            </w:r>
          </w:p>
        </w:tc>
        <w:tc>
          <w:tcPr>
            <w:tcW w:w="0" w:type="dxa"/>
            <w:vAlign w:val="bottom"/>
          </w:tcPr>
          <w:p>
            <w:pPr>
              <w:spacing w:after="0"/>
              <w:rPr>
                <w:sz w:val="1"/>
                <w:szCs w:val="1"/>
                <w:color w:val="auto"/>
              </w:rPr>
            </w:pPr>
          </w:p>
        </w:tc>
      </w:tr>
      <w:tr>
        <w:trPr>
          <w:trHeight w:val="196"/>
        </w:trPr>
        <w:tc>
          <w:tcPr>
            <w:tcW w:w="3840" w:type="dxa"/>
            <w:vAlign w:val="bottom"/>
          </w:tcPr>
          <w:p>
            <w:pPr>
              <w:ind w:left="1500"/>
              <w:spacing w:after="0" w:line="196" w:lineRule="exact"/>
              <w:rPr>
                <w:sz w:val="20"/>
                <w:szCs w:val="20"/>
                <w:color w:val="auto"/>
              </w:rPr>
            </w:pPr>
            <w:r>
              <w:rPr>
                <w:rFonts w:ascii="Arial" w:cs="Arial" w:eastAsia="Arial" w:hAnsi="Arial"/>
                <w:sz w:val="18"/>
                <w:szCs w:val="18"/>
                <w:b w:val="1"/>
                <w:bCs w:val="1"/>
                <w:color w:val="auto"/>
              </w:rPr>
              <w:t>Instrument</w:t>
            </w:r>
          </w:p>
        </w:tc>
        <w:tc>
          <w:tcPr>
            <w:tcW w:w="120" w:type="dxa"/>
            <w:vAlign w:val="bottom"/>
          </w:tcPr>
          <w:p>
            <w:pPr>
              <w:spacing w:after="0"/>
              <w:rPr>
                <w:sz w:val="17"/>
                <w:szCs w:val="17"/>
                <w:color w:val="auto"/>
              </w:rPr>
            </w:pPr>
          </w:p>
        </w:tc>
        <w:tc>
          <w:tcPr>
            <w:tcW w:w="2820" w:type="dxa"/>
            <w:vAlign w:val="bottom"/>
            <w:gridSpan w:val="2"/>
          </w:tcPr>
          <w:p>
            <w:pPr>
              <w:jc w:val="center"/>
              <w:ind w:right="120"/>
              <w:spacing w:after="0" w:line="196" w:lineRule="exact"/>
              <w:rPr>
                <w:sz w:val="20"/>
                <w:szCs w:val="20"/>
                <w:color w:val="auto"/>
              </w:rPr>
            </w:pPr>
            <w:r>
              <w:rPr>
                <w:rFonts w:ascii="Arial" w:cs="Arial" w:eastAsia="Arial" w:hAnsi="Arial"/>
                <w:sz w:val="18"/>
                <w:szCs w:val="18"/>
                <w:b w:val="1"/>
                <w:bCs w:val="1"/>
                <w:color w:val="auto"/>
                <w:w w:val="89"/>
              </w:rPr>
              <w:t>Recognized in Income</w:t>
            </w:r>
          </w:p>
        </w:tc>
        <w:tc>
          <w:tcPr>
            <w:tcW w:w="420" w:type="dxa"/>
            <w:vAlign w:val="bottom"/>
          </w:tcPr>
          <w:p>
            <w:pPr>
              <w:spacing w:after="0"/>
              <w:rPr>
                <w:sz w:val="17"/>
                <w:szCs w:val="17"/>
                <w:color w:val="auto"/>
              </w:rPr>
            </w:pPr>
          </w:p>
        </w:tc>
        <w:tc>
          <w:tcPr>
            <w:tcW w:w="4040" w:type="dxa"/>
            <w:vAlign w:val="bottom"/>
            <w:gridSpan w:val="5"/>
          </w:tcPr>
          <w:p>
            <w:pPr>
              <w:ind w:left="700"/>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3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85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FF0FC"/>
          </w:tcPr>
          <w:p>
            <w:pPr>
              <w:spacing w:after="0"/>
              <w:rPr>
                <w:sz w:val="13"/>
                <w:szCs w:val="13"/>
                <w:color w:val="auto"/>
              </w:rPr>
            </w:pPr>
          </w:p>
        </w:tc>
        <w:tc>
          <w:tcPr>
            <w:tcW w:w="2820" w:type="dxa"/>
            <w:vAlign w:val="bottom"/>
            <w:gridSpan w:val="2"/>
            <w:shd w:val="clear" w:color="auto" w:fill="CFF0FC"/>
          </w:tcPr>
          <w:p>
            <w:pPr>
              <w:ind w:left="100"/>
              <w:spacing w:after="0" w:line="156" w:lineRule="exact"/>
              <w:rPr>
                <w:sz w:val="20"/>
                <w:szCs w:val="20"/>
                <w:color w:val="auto"/>
              </w:rPr>
            </w:pPr>
            <w:r>
              <w:rPr>
                <w:rFonts w:ascii="Arial" w:cs="Arial" w:eastAsia="Arial" w:hAnsi="Arial"/>
                <w:sz w:val="18"/>
                <w:szCs w:val="18"/>
                <w:color w:val="auto"/>
              </w:rPr>
              <w:t>Interest and other expenses</w:t>
            </w:r>
          </w:p>
        </w:tc>
        <w:tc>
          <w:tcPr>
            <w:tcW w:w="420" w:type="dxa"/>
            <w:vAlign w:val="bottom"/>
            <w:vMerge w:val="restart"/>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2280" w:type="dxa"/>
            <w:vAlign w:val="bottom"/>
            <w:gridSpan w:val="3"/>
            <w:vMerge w:val="restart"/>
            <w:shd w:val="clear" w:color="auto" w:fill="CFF0FC"/>
          </w:tcPr>
          <w:p>
            <w:pPr>
              <w:jc w:val="right"/>
              <w:ind w:right="380"/>
              <w:spacing w:after="0"/>
              <w:rPr>
                <w:sz w:val="20"/>
                <w:szCs w:val="20"/>
                <w:color w:val="auto"/>
              </w:rPr>
            </w:pPr>
            <w:r>
              <w:rPr>
                <w:rFonts w:ascii="Arial" w:cs="Arial" w:eastAsia="Arial" w:hAnsi="Arial"/>
                <w:sz w:val="18"/>
                <w:szCs w:val="18"/>
                <w:color w:val="auto"/>
              </w:rPr>
              <w:t>(11.6 )  $</w:t>
            </w:r>
          </w:p>
        </w:tc>
        <w:tc>
          <w:tcPr>
            <w:tcW w:w="16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net</w:t>
            </w:r>
          </w:p>
        </w:tc>
        <w:tc>
          <w:tcPr>
            <w:tcW w:w="420" w:type="dxa"/>
            <w:vAlign w:val="bottom"/>
            <w:vMerge w:val="continue"/>
            <w:shd w:val="clear" w:color="auto" w:fill="CFF0FC"/>
          </w:tcPr>
          <w:p>
            <w:pPr>
              <w:spacing w:after="0"/>
              <w:rPr>
                <w:sz w:val="18"/>
                <w:szCs w:val="18"/>
                <w:color w:val="auto"/>
              </w:rPr>
            </w:pPr>
          </w:p>
        </w:tc>
        <w:tc>
          <w:tcPr>
            <w:tcW w:w="2280" w:type="dxa"/>
            <w:vAlign w:val="bottom"/>
            <w:gridSpan w:val="3"/>
            <w:vMerge w:val="continue"/>
            <w:shd w:val="clear" w:color="auto" w:fill="CFF0FC"/>
          </w:tcPr>
          <w:p>
            <w:pPr>
              <w:spacing w:after="0"/>
              <w:rPr>
                <w:sz w:val="18"/>
                <w:szCs w:val="18"/>
                <w:color w:val="auto"/>
              </w:rPr>
            </w:pPr>
          </w:p>
        </w:tc>
        <w:tc>
          <w:tcPr>
            <w:tcW w:w="1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Derivative and Non-Derivative Assets and Liabilities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82A32"/>
        </w:rPr>
        <w:t>The following tables present the fair value of derivative and non-derivative assets and liabilities on the Consolidated Balance Sheets as of December 31, 2021, and 2020:</w:t>
      </w:r>
    </w:p>
    <w:tbl>
      <w:tblPr>
        <w:tblLayout w:type="fixed"/>
        <w:tblInd w:w="0" w:type="dxa"/>
        <w:tblCellMar>
          <w:top w:w="0" w:type="dxa"/>
          <w:left w:w="0" w:type="dxa"/>
          <w:bottom w:w="0" w:type="dxa"/>
          <w:right w:w="0" w:type="dxa"/>
        </w:tblCellMar>
      </w:tblPr>
      <w:tr>
        <w:trPr>
          <w:trHeight w:val="201"/>
        </w:trPr>
        <w:tc>
          <w:tcPr>
            <w:tcW w:w="494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70"/>
              <w:spacing w:after="0" w:line="201" w:lineRule="exact"/>
              <w:rPr>
                <w:sz w:val="20"/>
                <w:szCs w:val="20"/>
                <w:color w:val="auto"/>
              </w:rPr>
            </w:pPr>
            <w:r>
              <w:rPr>
                <w:rFonts w:ascii="Arial" w:cs="Arial" w:eastAsia="Arial" w:hAnsi="Arial"/>
                <w:sz w:val="18"/>
                <w:szCs w:val="18"/>
                <w:b w:val="1"/>
                <w:bCs w:val="1"/>
                <w:color w:val="auto"/>
              </w:rPr>
              <w:t>Assets</w:t>
            </w:r>
          </w:p>
        </w:tc>
        <w:tc>
          <w:tcPr>
            <w:tcW w:w="1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640" w:type="dxa"/>
            <w:vAlign w:val="bottom"/>
            <w:vMerge w:val="restart"/>
          </w:tcPr>
          <w:p>
            <w:pPr>
              <w:ind w:left="600"/>
              <w:spacing w:after="0"/>
              <w:rPr>
                <w:sz w:val="20"/>
                <w:szCs w:val="20"/>
                <w:color w:val="auto"/>
              </w:rPr>
            </w:pPr>
            <w:r>
              <w:rPr>
                <w:rFonts w:ascii="Arial" w:cs="Arial" w:eastAsia="Arial" w:hAnsi="Arial"/>
                <w:sz w:val="18"/>
                <w:szCs w:val="18"/>
                <w:b w:val="1"/>
                <w:bCs w:val="1"/>
                <w:color w:val="auto"/>
                <w:w w:val="99"/>
              </w:rPr>
              <w:t>Balance Sheet Location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6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jc w:val="right"/>
              <w:ind w:right="1630"/>
              <w:spacing w:after="0" w:line="196" w:lineRule="exact"/>
              <w:rPr>
                <w:sz w:val="20"/>
                <w:szCs w:val="20"/>
                <w:color w:val="auto"/>
              </w:rPr>
            </w:pPr>
            <w:r>
              <w:rPr>
                <w:rFonts w:ascii="Arial" w:cs="Arial" w:eastAsia="Arial" w:hAnsi="Arial"/>
                <w:sz w:val="18"/>
                <w:szCs w:val="18"/>
                <w:color w:val="auto"/>
                <w:w w:val="88"/>
              </w:rPr>
              <w:t>Instruments designated as cash flow hedges:</w:t>
            </w:r>
          </w:p>
        </w:tc>
        <w:tc>
          <w:tcPr>
            <w:tcW w:w="2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jc w:val="right"/>
              <w:ind w:right="3070"/>
              <w:spacing w:after="0" w:line="202" w:lineRule="exact"/>
              <w:rPr>
                <w:sz w:val="20"/>
                <w:szCs w:val="20"/>
                <w:color w:val="auto"/>
              </w:rPr>
            </w:pPr>
            <w:r>
              <w:rPr>
                <w:rFonts w:ascii="Arial" w:cs="Arial" w:eastAsia="Arial" w:hAnsi="Arial"/>
                <w:sz w:val="18"/>
                <w:szCs w:val="18"/>
                <w:color w:val="auto"/>
                <w:w w:val="98"/>
              </w:rPr>
              <w:t>Cross-currency swaps</w:t>
            </w:r>
          </w:p>
        </w:tc>
        <w:tc>
          <w:tcPr>
            <w:tcW w:w="2640" w:type="dxa"/>
            <w:vAlign w:val="bottom"/>
          </w:tcPr>
          <w:p>
            <w:pPr>
              <w:spacing w:after="0" w:line="202" w:lineRule="exact"/>
              <w:rPr>
                <w:sz w:val="20"/>
                <w:szCs w:val="20"/>
                <w:color w:val="auto"/>
              </w:rPr>
            </w:pPr>
            <w:r>
              <w:rPr>
                <w:rFonts w:ascii="Arial" w:cs="Arial" w:eastAsia="Arial" w:hAnsi="Arial"/>
                <w:sz w:val="18"/>
                <w:szCs w:val="18"/>
                <w:color w:val="auto"/>
                <w:w w:val="92"/>
              </w:rPr>
              <w:t>Prepaid expenses and other assets</w:t>
            </w:r>
          </w:p>
        </w:tc>
        <w:tc>
          <w:tcPr>
            <w:tcW w:w="86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24.7</w:t>
            </w:r>
          </w:p>
        </w:tc>
        <w:tc>
          <w:tcPr>
            <w:tcW w:w="6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jc w:val="right"/>
              <w:ind w:right="2090"/>
              <w:spacing w:after="0" w:line="202" w:lineRule="exact"/>
              <w:rPr>
                <w:sz w:val="20"/>
                <w:szCs w:val="20"/>
                <w:color w:val="auto"/>
              </w:rPr>
            </w:pPr>
            <w:r>
              <w:rPr>
                <w:rFonts w:ascii="Arial" w:cs="Arial" w:eastAsia="Arial" w:hAnsi="Arial"/>
                <w:sz w:val="18"/>
                <w:szCs w:val="18"/>
                <w:color w:val="auto"/>
                <w:w w:val="88"/>
              </w:rPr>
              <w:t>Instruments not designated as hedges:</w:t>
            </w:r>
          </w:p>
        </w:tc>
        <w:tc>
          <w:tcPr>
            <w:tcW w:w="2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jc w:val="right"/>
              <w:ind w:right="2110"/>
              <w:spacing w:after="0" w:line="202" w:lineRule="exact"/>
              <w:rPr>
                <w:sz w:val="20"/>
                <w:szCs w:val="20"/>
                <w:color w:val="auto"/>
              </w:rPr>
            </w:pPr>
            <w:r>
              <w:rPr>
                <w:rFonts w:ascii="Arial" w:cs="Arial" w:eastAsia="Arial" w:hAnsi="Arial"/>
                <w:sz w:val="18"/>
                <w:szCs w:val="18"/>
                <w:color w:val="auto"/>
                <w:w w:val="97"/>
              </w:rPr>
              <w:t>Foreign currency forward contracts</w:t>
            </w: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jc w:val="right"/>
              <w:ind w:right="3210"/>
              <w:spacing w:after="0" w:line="196" w:lineRule="exact"/>
              <w:rPr>
                <w:sz w:val="20"/>
                <w:szCs w:val="20"/>
                <w:color w:val="auto"/>
              </w:rPr>
            </w:pPr>
            <w:r>
              <w:rPr>
                <w:rFonts w:ascii="Arial" w:cs="Arial" w:eastAsia="Arial" w:hAnsi="Arial"/>
                <w:sz w:val="18"/>
                <w:szCs w:val="18"/>
                <w:color w:val="auto"/>
              </w:rPr>
              <w:t>Total instruments</w:t>
            </w:r>
          </w:p>
        </w:tc>
        <w:tc>
          <w:tcPr>
            <w:tcW w:w="26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gridSpan w:val="2"/>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24.7</w:t>
            </w: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-24765</wp:posOffset>
            </wp:positionV>
            <wp:extent cx="1028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02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3"/>
              </w:rPr>
              <w:t>Liabilities</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5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Location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5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Instruments designated as net investment hedges:</w:t>
            </w:r>
          </w:p>
        </w:tc>
        <w:tc>
          <w:tcPr>
            <w:tcW w:w="2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200"/>
              <w:spacing w:after="0" w:line="162" w:lineRule="exact"/>
              <w:rPr>
                <w:sz w:val="20"/>
                <w:szCs w:val="20"/>
                <w:color w:val="auto"/>
              </w:rPr>
            </w:pPr>
            <w:r>
              <w:rPr>
                <w:rFonts w:ascii="Arial" w:cs="Arial" w:eastAsia="Arial" w:hAnsi="Arial"/>
                <w:sz w:val="18"/>
                <w:szCs w:val="18"/>
                <w:color w:val="auto"/>
              </w:rPr>
              <w:t>Euro Notes due in 2022</w:t>
            </w:r>
          </w:p>
        </w:tc>
        <w:tc>
          <w:tcPr>
            <w:tcW w:w="2560" w:type="dxa"/>
            <w:vAlign w:val="bottom"/>
          </w:tcPr>
          <w:p>
            <w:pPr>
              <w:ind w:left="20"/>
              <w:spacing w:after="0" w:line="162" w:lineRule="exact"/>
              <w:rPr>
                <w:sz w:val="20"/>
                <w:szCs w:val="20"/>
                <w:color w:val="auto"/>
              </w:rPr>
            </w:pPr>
            <w:r>
              <w:rPr>
                <w:rFonts w:ascii="Arial" w:cs="Arial" w:eastAsia="Arial" w:hAnsi="Arial"/>
                <w:sz w:val="18"/>
                <w:szCs w:val="18"/>
                <w:color w:val="auto"/>
                <w:w w:val="91"/>
              </w:rPr>
              <w:t>Short-term borrowings and current</w:t>
            </w:r>
          </w:p>
        </w:tc>
        <w:tc>
          <w:tcPr>
            <w:tcW w:w="1120" w:type="dxa"/>
            <w:vAlign w:val="bottom"/>
            <w:gridSpan w:val="3"/>
            <w:vMerge w:val="restart"/>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454.4</w:t>
            </w:r>
          </w:p>
        </w:tc>
        <w:tc>
          <w:tcPr>
            <w:tcW w:w="62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rPr>
              <w:t>maturities of long-term debt</w:t>
            </w:r>
          </w:p>
        </w:tc>
        <w:tc>
          <w:tcPr>
            <w:tcW w:w="1120" w:type="dxa"/>
            <w:vAlign w:val="bottom"/>
            <w:gridSpan w:val="3"/>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Euro Notes due in 2026</w:t>
            </w:r>
          </w:p>
        </w:tc>
        <w:tc>
          <w:tcPr>
            <w:tcW w:w="2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1120" w:type="dxa"/>
            <w:vAlign w:val="bottom"/>
            <w:gridSpan w:val="3"/>
            <w:shd w:val="clear" w:color="auto" w:fill="CFF0FC"/>
          </w:tcPr>
          <w:p>
            <w:pPr>
              <w:jc w:val="right"/>
              <w:ind w:right="77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565.2</w:t>
            </w: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0"/>
              <w:spacing w:after="0" w:line="202" w:lineRule="exact"/>
              <w:rPr>
                <w:sz w:val="20"/>
                <w:szCs w:val="20"/>
                <w:color w:val="auto"/>
              </w:rPr>
            </w:pPr>
            <w:r>
              <w:rPr>
                <w:rFonts w:ascii="Arial" w:cs="Arial" w:eastAsia="Arial" w:hAnsi="Arial"/>
                <w:sz w:val="18"/>
                <w:szCs w:val="18"/>
                <w:color w:val="auto"/>
              </w:rPr>
              <w:t>Cross-currency swaps</w:t>
            </w:r>
          </w:p>
        </w:tc>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Instruments not designated as hedges:</w:t>
            </w:r>
          </w:p>
        </w:tc>
        <w:tc>
          <w:tcPr>
            <w:tcW w:w="2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forward contracts</w:t>
            </w:r>
          </w:p>
        </w:tc>
        <w:tc>
          <w:tcPr>
            <w:tcW w:w="256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instruments</w:t>
            </w:r>
          </w:p>
        </w:tc>
        <w:tc>
          <w:tcPr>
            <w:tcW w:w="2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gridSpan w:val="2"/>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1,049.3</w:t>
            </w:r>
          </w:p>
        </w:tc>
        <w:tc>
          <w:tcPr>
            <w:tcW w:w="1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-24765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82A32"/>
        </w:rPr>
        <w:t>The fair value measurements of these items recorded in our Consolidated Balance Sheets for the years ended December 31, 2021 and 2020 are disclosed in Note 1 to the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Arial" w:cs="Arial" w:eastAsia="Arial" w:hAnsi="Arial"/>
                <w:sz w:val="18"/>
                <w:szCs w:val="18"/>
                <w:color w:val="auto"/>
              </w:rPr>
              <w:t>(13) Leases</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3"/>
          </w:tcPr>
          <w:p>
            <w:pPr>
              <w:spacing w:after="0"/>
              <w:rPr>
                <w:sz w:val="20"/>
                <w:szCs w:val="20"/>
                <w:color w:val="auto"/>
              </w:rPr>
            </w:pPr>
            <w:r>
              <w:rPr>
                <w:rFonts w:ascii="Arial" w:cs="Arial" w:eastAsia="Arial" w:hAnsi="Arial"/>
                <w:sz w:val="18"/>
                <w:szCs w:val="18"/>
                <w:color w:val="auto"/>
              </w:rPr>
              <w:t>The components of lease expense were as follows:</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w w:val="93"/>
              </w:rPr>
              <w:t>Year Ended December 31,</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552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1220" w:type="dxa"/>
            <w:vAlign w:val="bottom"/>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140.8</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143.1</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3"/>
        </w:trPr>
        <w:tc>
          <w:tcPr>
            <w:tcW w:w="55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1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7"/>
                <w:szCs w:val="17"/>
                <w:color w:val="auto"/>
              </w:rPr>
              <w:t>Other lease expense</w:t>
            </w:r>
            <w:r>
              <w:rPr>
                <w:rFonts w:ascii="Arial" w:cs="Arial" w:eastAsia="Arial" w:hAnsi="Arial"/>
                <w:sz w:val="23"/>
                <w:szCs w:val="23"/>
                <w:color w:val="auto"/>
                <w:vertAlign w:val="superscript"/>
              </w:rPr>
              <w:t>(1)</w:t>
            </w:r>
          </w:p>
        </w:tc>
        <w:tc>
          <w:tcPr>
            <w:tcW w:w="12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20.4</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4"/>
        </w:trPr>
        <w:tc>
          <w:tcPr>
            <w:tcW w:w="5520" w:type="dxa"/>
            <w:vAlign w:val="bottom"/>
            <w:gridSpan w:val="3"/>
          </w:tcPr>
          <w:p>
            <w:pPr>
              <w:ind w:left="200"/>
              <w:spacing w:after="0"/>
              <w:rPr>
                <w:sz w:val="20"/>
                <w:szCs w:val="20"/>
                <w:color w:val="auto"/>
              </w:rPr>
            </w:pPr>
            <w:r>
              <w:rPr>
                <w:rFonts w:ascii="Arial" w:cs="Arial" w:eastAsia="Arial" w:hAnsi="Arial"/>
                <w:sz w:val="18"/>
                <w:szCs w:val="18"/>
                <w:color w:val="auto"/>
              </w:rPr>
              <w:t>Total lease expense</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167.2</w:t>
            </w:r>
          </w:p>
        </w:tc>
        <w:tc>
          <w:tcPr>
            <w:tcW w:w="6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-151130</wp:posOffset>
            </wp:positionV>
            <wp:extent cx="946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-151130</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-17145</wp:posOffset>
            </wp:positionV>
            <wp:extent cx="362585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625850" cy="26035"/>
                    </a:xfrm>
                    <a:prstGeom prst="rect">
                      <a:avLst/>
                    </a:prstGeom>
                    <a:noFill/>
                  </pic:spPr>
                </pic:pic>
              </a:graphicData>
            </a:graphic>
          </wp:anchor>
        </w:drawing>
      </w:r>
    </w:p>
    <w:p>
      <w:pPr>
        <w:ind w:left="180" w:hanging="172"/>
        <w:spacing w:after="0"/>
        <w:tabs>
          <w:tab w:leader="none" w:pos="180" w:val="left"/>
        </w:tabs>
        <w:numPr>
          <w:ilvl w:val="0"/>
          <w:numId w:val="43"/>
        </w:numPr>
        <w:rPr>
          <w:rFonts w:ascii="Arial" w:cs="Arial" w:eastAsia="Arial" w:hAnsi="Arial"/>
          <w:sz w:val="11"/>
          <w:szCs w:val="11"/>
          <w:color w:val="282A32"/>
        </w:rPr>
      </w:pPr>
      <w:r>
        <w:rPr>
          <w:rFonts w:ascii="Arial" w:cs="Arial" w:eastAsia="Arial" w:hAnsi="Arial"/>
          <w:sz w:val="16"/>
          <w:szCs w:val="16"/>
          <w:color w:val="282A32"/>
        </w:rPr>
        <w:t>Other lease expense includes variable lease expense and sublease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0" w:type="dxa"/>
            <w:vAlign w:val="bottom"/>
            <w:gridSpan w:val="8"/>
            <w:vMerge w:val="restart"/>
          </w:tcPr>
          <w:p>
            <w:pPr>
              <w:jc w:val="right"/>
              <w:ind w:right="130"/>
              <w:spacing w:after="0"/>
              <w:rPr>
                <w:sz w:val="20"/>
                <w:szCs w:val="20"/>
                <w:color w:val="auto"/>
              </w:rPr>
            </w:pPr>
            <w:r>
              <w:rPr>
                <w:rFonts w:ascii="Arial" w:cs="Arial" w:eastAsia="Arial" w:hAnsi="Arial"/>
                <w:sz w:val="18"/>
                <w:szCs w:val="18"/>
                <w:b w:val="1"/>
                <w:bCs w:val="1"/>
                <w:color w:val="auto"/>
                <w:w w:val="97"/>
              </w:rPr>
              <w:t>Year Ended December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operating lease liabilities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139.6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142.0</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ind w:left="720"/>
              <w:spacing w:after="0" w:line="196" w:lineRule="exact"/>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Operating ROU assets obtained in exchange for lease obligations</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ind w:left="72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377"/>
        </w:trPr>
        <w:tc>
          <w:tcPr>
            <w:tcW w:w="6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Balance Sheet Information</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w w:val="94"/>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4"/>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ROU assets</w:t>
            </w:r>
          </w:p>
        </w:tc>
        <w:tc>
          <w:tcPr>
            <w:tcW w:w="3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373.4</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ind w:left="720"/>
              <w:spacing w:after="0" w:line="202" w:lineRule="exact"/>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Operating lease liabilities - current</w:t>
            </w:r>
            <w:r>
              <w:rPr>
                <w:rFonts w:ascii="Arial" w:cs="Arial" w:eastAsia="Arial" w:hAnsi="Arial"/>
                <w:sz w:val="23"/>
                <w:szCs w:val="23"/>
                <w:color w:val="auto"/>
                <w:vertAlign w:val="superscript"/>
              </w:rPr>
              <w:t>(1)</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110.0</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 long-term</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275.8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720"/>
              <w:spacing w:after="0" w:line="202" w:lineRule="exact"/>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0"/>
        </w:trPr>
        <w:tc>
          <w:tcPr>
            <w:tcW w:w="6480" w:type="dxa"/>
            <w:vAlign w:val="bottom"/>
          </w:tcPr>
          <w:p>
            <w:pPr>
              <w:ind w:left="200"/>
              <w:spacing w:after="0" w:line="201" w:lineRule="exact"/>
              <w:rPr>
                <w:sz w:val="20"/>
                <w:szCs w:val="20"/>
                <w:color w:val="auto"/>
              </w:rPr>
            </w:pPr>
            <w:r>
              <w:rPr>
                <w:rFonts w:ascii="Arial" w:cs="Arial" w:eastAsia="Arial" w:hAnsi="Arial"/>
                <w:sz w:val="18"/>
                <w:szCs w:val="18"/>
                <w:color w:val="auto"/>
              </w:rPr>
              <w:t>Total operating lease liabilities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ind w:right="190"/>
              <w:spacing w:after="0" w:line="201"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385.8</w:t>
            </w:r>
          </w:p>
        </w:tc>
        <w:tc>
          <w:tcPr>
            <w:tcW w:w="8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ind w:left="720"/>
              <w:spacing w:after="0" w:line="201" w:lineRule="exact"/>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-530860</wp:posOffset>
            </wp:positionV>
            <wp:extent cx="6032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hanging="172"/>
        <w:spacing w:after="0"/>
        <w:tabs>
          <w:tab w:leader="none" w:pos="180" w:val="left"/>
        </w:tabs>
        <w:numPr>
          <w:ilvl w:val="0"/>
          <w:numId w:val="44"/>
        </w:numPr>
        <w:rPr>
          <w:rFonts w:ascii="Arial" w:cs="Arial" w:eastAsia="Arial" w:hAnsi="Arial"/>
          <w:sz w:val="11"/>
          <w:szCs w:val="11"/>
          <w:color w:val="auto"/>
        </w:rPr>
      </w:pPr>
      <w:r>
        <w:rPr>
          <w:rFonts w:ascii="Arial" w:cs="Arial" w:eastAsia="Arial" w:hAnsi="Arial"/>
          <w:sz w:val="16"/>
          <w:szCs w:val="16"/>
          <w:color w:val="auto"/>
        </w:rPr>
        <w:t>Operating lease liabilities - current are included in accrued expenses on our 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144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2021</w:t>
            </w:r>
          </w:p>
        </w:tc>
        <w:tc>
          <w:tcPr>
            <w:tcW w:w="1560" w:type="dxa"/>
            <w:vAlign w:val="bottom"/>
            <w:gridSpan w:val="2"/>
          </w:tcPr>
          <w:p>
            <w:pPr>
              <w:jc w:val="right"/>
              <w:ind w:right="570"/>
              <w:spacing w:after="0" w:line="196" w:lineRule="exact"/>
              <w:rPr>
                <w:sz w:val="20"/>
                <w:szCs w:val="20"/>
                <w:color w:val="auto"/>
              </w:rPr>
            </w:pPr>
            <w:r>
              <w:rPr>
                <w:rFonts w:ascii="Arial" w:cs="Arial" w:eastAsia="Arial" w:hAnsi="Arial"/>
                <w:sz w:val="18"/>
                <w:szCs w:val="18"/>
                <w:b w:val="1"/>
                <w:bCs w:val="1"/>
                <w:color w:val="auto"/>
              </w:rPr>
              <w:t>2020</w:t>
            </w:r>
          </w:p>
        </w:tc>
        <w:tc>
          <w:tcPr>
            <w:tcW w:w="1500" w:type="dxa"/>
            <w:vAlign w:val="bottom"/>
            <w:gridSpan w:val="2"/>
          </w:tcPr>
          <w:p>
            <w:pPr>
              <w:jc w:val="right"/>
              <w:ind w:right="550"/>
              <w:spacing w:after="0" w:line="19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14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5.1 years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5.2 years</w:t>
            </w:r>
          </w:p>
        </w:tc>
        <w:tc>
          <w:tcPr>
            <w:tcW w:w="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5.6 years</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Weighted Average Discount Rate</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2.6 %</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Maturities of operating lease liabilities as of December 31, 2021 were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Period Ending December 31, 2021</w:t>
            </w:r>
          </w:p>
        </w:tc>
        <w:tc>
          <w:tcPr>
            <w:tcW w:w="3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Operating Leases</w:t>
            </w:r>
          </w:p>
        </w:tc>
      </w:tr>
      <w:tr>
        <w:trPr>
          <w:trHeight w:val="203"/>
        </w:trPr>
        <w:tc>
          <w:tcPr>
            <w:tcW w:w="8780" w:type="dxa"/>
            <w:vAlign w:val="bottom"/>
            <w:shd w:val="clear" w:color="auto" w:fill="CFF0FC"/>
          </w:tcPr>
          <w:p>
            <w:pPr>
              <w:jc w:val="right"/>
              <w:ind w:right="8270"/>
              <w:spacing w:after="0" w:line="202" w:lineRule="exact"/>
              <w:rPr>
                <w:sz w:val="20"/>
                <w:szCs w:val="20"/>
                <w:color w:val="auto"/>
              </w:rPr>
            </w:pPr>
            <w:r>
              <w:rPr>
                <w:rFonts w:ascii="Arial" w:cs="Arial" w:eastAsia="Arial" w:hAnsi="Arial"/>
                <w:sz w:val="18"/>
                <w:szCs w:val="18"/>
                <w:color w:val="auto"/>
                <w:w w:val="99"/>
              </w:rPr>
              <w:t>2022</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119.0</w:t>
            </w:r>
          </w:p>
        </w:tc>
      </w:tr>
      <w:tr>
        <w:trPr>
          <w:trHeight w:val="203"/>
        </w:trPr>
        <w:tc>
          <w:tcPr>
            <w:tcW w:w="8780" w:type="dxa"/>
            <w:vAlign w:val="bottom"/>
          </w:tcPr>
          <w:p>
            <w:pPr>
              <w:jc w:val="right"/>
              <w:ind w:right="8270"/>
              <w:spacing w:after="0" w:line="202" w:lineRule="exact"/>
              <w:rPr>
                <w:sz w:val="20"/>
                <w:szCs w:val="20"/>
                <w:color w:val="auto"/>
              </w:rPr>
            </w:pPr>
            <w:r>
              <w:rPr>
                <w:rFonts w:ascii="Arial" w:cs="Arial" w:eastAsia="Arial" w:hAnsi="Arial"/>
                <w:sz w:val="18"/>
                <w:szCs w:val="18"/>
                <w:color w:val="auto"/>
                <w:w w:val="99"/>
              </w:rPr>
              <w:t>2023</w:t>
            </w:r>
          </w:p>
        </w:tc>
        <w:tc>
          <w:tcPr>
            <w:tcW w:w="300" w:type="dxa"/>
            <w:vAlign w:val="bottom"/>
          </w:tcPr>
          <w:p>
            <w:pPr>
              <w:spacing w:after="0"/>
              <w:rPr>
                <w:sz w:val="17"/>
                <w:szCs w:val="17"/>
                <w:color w:val="auto"/>
              </w:rPr>
            </w:pPr>
          </w:p>
        </w:tc>
        <w:tc>
          <w:tcPr>
            <w:tcW w:w="2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91.7</w:t>
            </w:r>
          </w:p>
        </w:tc>
      </w:tr>
      <w:tr>
        <w:trPr>
          <w:trHeight w:val="203"/>
        </w:trPr>
        <w:tc>
          <w:tcPr>
            <w:tcW w:w="8780" w:type="dxa"/>
            <w:vAlign w:val="bottom"/>
            <w:shd w:val="clear" w:color="auto" w:fill="CFF0FC"/>
          </w:tcPr>
          <w:p>
            <w:pPr>
              <w:jc w:val="right"/>
              <w:ind w:right="8270"/>
              <w:spacing w:after="0" w:line="202" w:lineRule="exact"/>
              <w:rPr>
                <w:sz w:val="20"/>
                <w:szCs w:val="20"/>
                <w:color w:val="auto"/>
              </w:rPr>
            </w:pPr>
            <w:r>
              <w:rPr>
                <w:rFonts w:ascii="Arial" w:cs="Arial" w:eastAsia="Arial" w:hAnsi="Arial"/>
                <w:sz w:val="18"/>
                <w:szCs w:val="18"/>
                <w:color w:val="auto"/>
                <w:w w:val="99"/>
              </w:rPr>
              <w:t>2024</w:t>
            </w:r>
          </w:p>
        </w:tc>
        <w:tc>
          <w:tcPr>
            <w:tcW w:w="300" w:type="dxa"/>
            <w:vAlign w:val="bottom"/>
            <w:shd w:val="clear" w:color="auto" w:fill="CFF0FC"/>
          </w:tcPr>
          <w:p>
            <w:pPr>
              <w:spacing w:after="0"/>
              <w:rPr>
                <w:sz w:val="17"/>
                <w:szCs w:val="17"/>
                <w:color w:val="auto"/>
              </w:rPr>
            </w:pPr>
          </w:p>
        </w:tc>
        <w:tc>
          <w:tcPr>
            <w:tcW w:w="2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64.9</w:t>
            </w:r>
          </w:p>
        </w:tc>
      </w:tr>
      <w:tr>
        <w:trPr>
          <w:trHeight w:val="203"/>
        </w:trPr>
        <w:tc>
          <w:tcPr>
            <w:tcW w:w="8780" w:type="dxa"/>
            <w:vAlign w:val="bottom"/>
          </w:tcPr>
          <w:p>
            <w:pPr>
              <w:jc w:val="right"/>
              <w:ind w:right="8270"/>
              <w:spacing w:after="0" w:line="202" w:lineRule="exact"/>
              <w:rPr>
                <w:sz w:val="20"/>
                <w:szCs w:val="20"/>
                <w:color w:val="auto"/>
              </w:rPr>
            </w:pPr>
            <w:r>
              <w:rPr>
                <w:rFonts w:ascii="Arial" w:cs="Arial" w:eastAsia="Arial" w:hAnsi="Arial"/>
                <w:sz w:val="18"/>
                <w:szCs w:val="18"/>
                <w:color w:val="auto"/>
                <w:w w:val="99"/>
              </w:rPr>
              <w:t>2025</w:t>
            </w:r>
          </w:p>
        </w:tc>
        <w:tc>
          <w:tcPr>
            <w:tcW w:w="300" w:type="dxa"/>
            <w:vAlign w:val="bottom"/>
          </w:tcPr>
          <w:p>
            <w:pPr>
              <w:spacing w:after="0"/>
              <w:rPr>
                <w:sz w:val="17"/>
                <w:szCs w:val="17"/>
                <w:color w:val="auto"/>
              </w:rPr>
            </w:pPr>
          </w:p>
        </w:tc>
        <w:tc>
          <w:tcPr>
            <w:tcW w:w="2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41.9</w:t>
            </w:r>
          </w:p>
        </w:tc>
      </w:tr>
      <w:tr>
        <w:trPr>
          <w:trHeight w:val="203"/>
        </w:trPr>
        <w:tc>
          <w:tcPr>
            <w:tcW w:w="8780" w:type="dxa"/>
            <w:vAlign w:val="bottom"/>
            <w:shd w:val="clear" w:color="auto" w:fill="CFF0FC"/>
          </w:tcPr>
          <w:p>
            <w:pPr>
              <w:jc w:val="right"/>
              <w:ind w:right="8270"/>
              <w:spacing w:after="0" w:line="202" w:lineRule="exact"/>
              <w:rPr>
                <w:sz w:val="20"/>
                <w:szCs w:val="20"/>
                <w:color w:val="auto"/>
              </w:rPr>
            </w:pPr>
            <w:r>
              <w:rPr>
                <w:rFonts w:ascii="Arial" w:cs="Arial" w:eastAsia="Arial" w:hAnsi="Arial"/>
                <w:sz w:val="18"/>
                <w:szCs w:val="18"/>
                <w:color w:val="auto"/>
                <w:w w:val="99"/>
              </w:rPr>
              <w:t>2026</w:t>
            </w:r>
          </w:p>
        </w:tc>
        <w:tc>
          <w:tcPr>
            <w:tcW w:w="300" w:type="dxa"/>
            <w:vAlign w:val="bottom"/>
            <w:shd w:val="clear" w:color="auto" w:fill="CFF0FC"/>
          </w:tcPr>
          <w:p>
            <w:pPr>
              <w:spacing w:after="0"/>
              <w:rPr>
                <w:sz w:val="17"/>
                <w:szCs w:val="17"/>
                <w:color w:val="auto"/>
              </w:rPr>
            </w:pPr>
          </w:p>
        </w:tc>
        <w:tc>
          <w:tcPr>
            <w:tcW w:w="2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31.5</w:t>
            </w:r>
          </w:p>
        </w:tc>
      </w:tr>
      <w:tr>
        <w:trPr>
          <w:trHeight w:val="203"/>
        </w:trPr>
        <w:tc>
          <w:tcPr>
            <w:tcW w:w="87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67.7</w:t>
            </w:r>
          </w:p>
        </w:tc>
      </w:tr>
      <w:tr>
        <w:trPr>
          <w:trHeight w:val="196"/>
        </w:trPr>
        <w:tc>
          <w:tcPr>
            <w:tcW w:w="87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future undiscounted lease payments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1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416.7</w:t>
            </w:r>
          </w:p>
        </w:tc>
      </w:tr>
      <w:tr>
        <w:trPr>
          <w:trHeight w:val="203"/>
        </w:trPr>
        <w:tc>
          <w:tcPr>
            <w:tcW w:w="8780" w:type="dxa"/>
            <w:vAlign w:val="bottom"/>
            <w:tcBorders>
              <w:bottom w:val="single" w:sz="8" w:color="auto"/>
            </w:tcBorders>
          </w:tcPr>
          <w:p>
            <w:pPr>
              <w:jc w:val="right"/>
              <w:ind w:right="6770"/>
              <w:spacing w:after="0" w:line="202" w:lineRule="exact"/>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(30.9 )</w:t>
            </w:r>
          </w:p>
        </w:tc>
      </w:tr>
      <w:tr>
        <w:trPr>
          <w:trHeight w:val="236"/>
        </w:trPr>
        <w:tc>
          <w:tcPr>
            <w:tcW w:w="87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385.8</w:t>
            </w:r>
          </w:p>
        </w:tc>
      </w:tr>
    </w:tbl>
    <w:p>
      <w:pPr>
        <w:spacing w:after="0" w:line="350"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Effective January 1,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segments derive a significant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Total assets for the segments are reported after the elimination of investments in subsidiaries and intercompany accounts.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58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b w:val="1"/>
                <w:bCs w:val="1"/>
                <w:color w:val="auto"/>
              </w:rPr>
              <w:t>Revenues from Services</w:t>
            </w:r>
            <w:r>
              <w:rPr>
                <w:rFonts w:ascii="Arial" w:cs="Arial" w:eastAsia="Arial" w:hAnsi="Arial"/>
                <w:sz w:val="22"/>
                <w:szCs w:val="22"/>
                <w:b w:val="1"/>
                <w:bCs w:val="1"/>
                <w:color w:val="auto"/>
                <w:vertAlign w:val="superscript"/>
              </w:rPr>
              <w:t>(a)</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Americas: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United States</w:t>
            </w:r>
            <w:r>
              <w:rPr>
                <w:rFonts w:ascii="Arial" w:cs="Arial" w:eastAsia="Arial" w:hAnsi="Arial"/>
                <w:sz w:val="23"/>
                <w:szCs w:val="23"/>
                <w:color w:val="auto"/>
                <w:vertAlign w:val="superscript"/>
              </w:rPr>
              <w:t>(b)</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2,743.3</w:t>
            </w:r>
          </w:p>
        </w:tc>
        <w:tc>
          <w:tcPr>
            <w:tcW w:w="5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2,327.2</w:t>
            </w:r>
          </w:p>
        </w:tc>
        <w:tc>
          <w:tcPr>
            <w:tcW w:w="5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2,590.6</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Other Americas</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1,520.4</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1,465.2</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1,688.0</w:t>
            </w:r>
          </w:p>
        </w:tc>
      </w:tr>
      <w:tr>
        <w:trPr>
          <w:trHeight w:val="196"/>
        </w:trPr>
        <w:tc>
          <w:tcPr>
            <w:tcW w:w="65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4,263.7</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3,792.4</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4,278.6</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Southern Europe:</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France</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5,171.3</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4,338.1</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5,479.6</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c>
          <w:tcPr>
            <w:tcW w:w="4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1,795.4</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1,370.7</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1,508.3</w:t>
            </w: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Southern Europe</w:t>
            </w:r>
          </w:p>
        </w:tc>
        <w:tc>
          <w:tcPr>
            <w:tcW w:w="4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2,380.1</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2,146.4</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2,206.5</w:t>
            </w:r>
          </w:p>
        </w:tc>
      </w:tr>
      <w:tr>
        <w:trPr>
          <w:trHeight w:val="196"/>
        </w:trPr>
        <w:tc>
          <w:tcPr>
            <w:tcW w:w="65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9,346.8</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7,855.2</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9,194.4</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Northern Europe</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4,670.5</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3,976.7</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4,735.5</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APME</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2,481.1</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2,376.7</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2,655.0</w:t>
            </w:r>
          </w:p>
        </w:tc>
      </w:tr>
      <w:tr>
        <w:trPr>
          <w:trHeight w:val="196"/>
        </w:trPr>
        <w:tc>
          <w:tcPr>
            <w:tcW w:w="65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20,762.1</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18,001.0</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20,863.5</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Intercompany Eliminations</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(37.7 )</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36"/>
        </w:trPr>
        <w:tc>
          <w:tcPr>
            <w:tcW w:w="658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7"/>
                <w:szCs w:val="17"/>
                <w:color w:val="auto"/>
              </w:rPr>
              <w:t>Consolidated</w:t>
            </w:r>
            <w:r>
              <w:rPr>
                <w:rFonts w:ascii="Arial" w:cs="Arial" w:eastAsia="Arial" w:hAnsi="Arial"/>
                <w:sz w:val="22"/>
                <w:szCs w:val="22"/>
                <w:color w:val="auto"/>
                <w:vertAlign w:val="superscript"/>
              </w:rPr>
              <w:t>(b)</w:t>
            </w:r>
          </w:p>
        </w:tc>
        <w:tc>
          <w:tcPr>
            <w:tcW w:w="4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20,724.4</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18,001.0</w:t>
            </w:r>
          </w:p>
        </w:tc>
        <w:tc>
          <w:tcPr>
            <w:tcW w:w="1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20,863.5</w:t>
            </w:r>
          </w:p>
        </w:tc>
      </w:tr>
      <w:tr>
        <w:trPr>
          <w:trHeight w:val="183"/>
        </w:trPr>
        <w:tc>
          <w:tcPr>
            <w:tcW w:w="6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Unit Profit (Loss)</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Americas: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United States</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136.0</w:t>
            </w:r>
          </w:p>
        </w:tc>
        <w:tc>
          <w:tcPr>
            <w:tcW w:w="5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60.9</w:t>
            </w:r>
          </w:p>
        </w:tc>
        <w:tc>
          <w:tcPr>
            <w:tcW w:w="5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128.0</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Other Americas</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59.2</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55.1</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75.4</w:t>
            </w:r>
          </w:p>
        </w:tc>
      </w:tr>
      <w:tr>
        <w:trPr>
          <w:trHeight w:val="196"/>
        </w:trPr>
        <w:tc>
          <w:tcPr>
            <w:tcW w:w="65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195.2</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116.0</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203.4</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Southern Europe:</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France</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233.5</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149.0</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284.9</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c>
          <w:tcPr>
            <w:tcW w:w="4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102.5</w:t>
            </w: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Southern Europe</w:t>
            </w:r>
          </w:p>
        </w:tc>
        <w:tc>
          <w:tcPr>
            <w:tcW w:w="4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67.5</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23.8</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67.9</w:t>
            </w:r>
          </w:p>
        </w:tc>
      </w:tr>
      <w:tr>
        <w:trPr>
          <w:trHeight w:val="196"/>
        </w:trPr>
        <w:tc>
          <w:tcPr>
            <w:tcW w:w="65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416.3</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237.0</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455.3</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Northern Europe</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67.8</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(27.6 )</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74.4</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APME</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84.6</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70.1</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127.5</w:t>
            </w:r>
          </w:p>
        </w:tc>
      </w:tr>
      <w:tr>
        <w:trPr>
          <w:trHeight w:val="196"/>
        </w:trPr>
        <w:tc>
          <w:tcPr>
            <w:tcW w:w="65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763.9</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395.5</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860.6</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Corporate expenses</w:t>
            </w:r>
          </w:p>
        </w:tc>
        <w:tc>
          <w:tcPr>
            <w:tcW w:w="4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(154.3 )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(113.9 )</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(121.9 )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 impairment charges</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(66.8 )</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7"/>
                <w:szCs w:val="17"/>
                <w:color w:val="auto"/>
              </w:rPr>
              <w:t>Intangible asset amortization expense</w:t>
            </w:r>
            <w:r>
              <w:rPr>
                <w:rFonts w:ascii="Arial" w:cs="Arial" w:eastAsia="Arial" w:hAnsi="Arial"/>
                <w:sz w:val="23"/>
                <w:szCs w:val="23"/>
                <w:color w:val="auto"/>
                <w:vertAlign w:val="superscript"/>
              </w:rPr>
              <w:t>(c)</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(24.2 )</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(27.2 )</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(29.8 )</w:t>
            </w:r>
          </w:p>
        </w:tc>
      </w:tr>
      <w:tr>
        <w:trPr>
          <w:trHeight w:val="196"/>
        </w:trPr>
        <w:tc>
          <w:tcPr>
            <w:tcW w:w="65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profit</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585.4</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187.6</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644.9</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Interest and other (expenses) income, net</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(17.3 )</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(39.9 )</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40.6</w:t>
            </w:r>
          </w:p>
        </w:tc>
      </w:tr>
      <w:tr>
        <w:trPr>
          <w:trHeight w:val="236"/>
        </w:trPr>
        <w:tc>
          <w:tcPr>
            <w:tcW w:w="65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Earnings before income taxes</w:t>
            </w:r>
          </w:p>
        </w:tc>
        <w:tc>
          <w:tcPr>
            <w:tcW w:w="4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568.1</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147.7</w:t>
            </w:r>
          </w:p>
        </w:tc>
        <w:tc>
          <w:tcPr>
            <w:tcW w:w="1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685.5</w:t>
            </w:r>
          </w:p>
        </w:tc>
      </w:tr>
      <w:tr>
        <w:trPr>
          <w:trHeight w:val="385"/>
        </w:trPr>
        <w:tc>
          <w:tcPr>
            <w:tcW w:w="6580" w:type="dxa"/>
            <w:vAlign w:val="bottom"/>
          </w:tcPr>
          <w:p>
            <w:pPr>
              <w:spacing w:after="0"/>
              <w:rPr>
                <w:sz w:val="20"/>
                <w:szCs w:val="20"/>
                <w:color w:val="auto"/>
              </w:rPr>
            </w:pPr>
            <w:r>
              <w:rPr>
                <w:rFonts w:ascii="Arial" w:cs="Arial" w:eastAsia="Arial" w:hAnsi="Arial"/>
                <w:sz w:val="16"/>
                <w:szCs w:val="16"/>
                <w:color w:val="282A32"/>
              </w:rPr>
              <w:t>(a) Further breakdown of revenues from services by geographical region was as follows: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7"/>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Revenues from Services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2,743.3</w:t>
            </w:r>
          </w:p>
        </w:tc>
        <w:tc>
          <w:tcPr>
            <w:tcW w:w="54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2,327.2</w:t>
            </w:r>
          </w:p>
        </w:tc>
        <w:tc>
          <w:tcPr>
            <w:tcW w:w="56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2,590.6</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France</w:t>
            </w:r>
          </w:p>
        </w:tc>
        <w:tc>
          <w:tcPr>
            <w:tcW w:w="4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5,171.3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4,338.1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5,479.6</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Italy</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1,795.4</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1,370.7</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1,508.3</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4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1,733.0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1,402.9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1,598.6</w:t>
            </w:r>
          </w:p>
        </w:tc>
      </w:tr>
      <w:tr>
        <w:trPr>
          <w:trHeight w:val="203"/>
        </w:trPr>
        <w:tc>
          <w:tcPr>
            <w:tcW w:w="65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Total Foreign</w:t>
            </w:r>
          </w:p>
        </w:tc>
        <w:tc>
          <w:tcPr>
            <w:tcW w:w="4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17,981.1</w:t>
            </w:r>
          </w:p>
        </w:tc>
        <w:tc>
          <w:tcPr>
            <w:tcW w:w="1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15,673.8</w:t>
            </w:r>
          </w:p>
        </w:tc>
        <w:tc>
          <w:tcPr>
            <w:tcW w:w="1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18,272.9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-5080000</wp:posOffset>
            </wp:positionV>
            <wp:extent cx="939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-5080000</wp:posOffset>
            </wp:positionV>
            <wp:extent cx="939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-4556760</wp:posOffset>
            </wp:positionV>
            <wp:extent cx="939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-4556760</wp:posOffset>
            </wp:positionV>
            <wp:extent cx="939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-4017010</wp:posOffset>
            </wp:positionV>
            <wp:extent cx="939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-4017010</wp:posOffset>
            </wp:positionV>
            <wp:extent cx="939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-3745230</wp:posOffset>
            </wp:positionV>
            <wp:extent cx="939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-3728085</wp:posOffset>
            </wp:positionV>
            <wp:extent cx="939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-3745230</wp:posOffset>
            </wp:positionV>
            <wp:extent cx="939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-3728085</wp:posOffset>
            </wp:positionV>
            <wp:extent cx="939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-2936875</wp:posOffset>
            </wp:positionV>
            <wp:extent cx="939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-2936875</wp:posOffset>
            </wp:positionV>
            <wp:extent cx="939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-2413635</wp:posOffset>
            </wp:positionV>
            <wp:extent cx="939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-2413635</wp:posOffset>
            </wp:positionV>
            <wp:extent cx="939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-1873885</wp:posOffset>
            </wp:positionV>
            <wp:extent cx="939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-1873885</wp:posOffset>
            </wp:positionV>
            <wp:extent cx="939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-1079500</wp:posOffset>
            </wp:positionV>
            <wp:extent cx="939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-1062355</wp:posOffset>
            </wp:positionV>
            <wp:extent cx="93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-1079500</wp:posOffset>
            </wp:positionV>
            <wp:extent cx="93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-1062355</wp:posOffset>
            </wp:positionV>
            <wp:extent cx="93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ind w:firstLine="8"/>
        <w:spacing w:after="0" w:line="255" w:lineRule="auto"/>
        <w:tabs>
          <w:tab w:leader="none" w:pos="237" w:val="left"/>
        </w:tabs>
        <w:numPr>
          <w:ilvl w:val="0"/>
          <w:numId w:val="46"/>
        </w:numPr>
        <w:rPr>
          <w:rFonts w:ascii="Arial" w:cs="Arial" w:eastAsia="Arial" w:hAnsi="Arial"/>
          <w:sz w:val="16"/>
          <w:szCs w:val="16"/>
          <w:color w:val="282A32"/>
        </w:rPr>
      </w:pPr>
      <w:r>
        <w:rPr>
          <w:rFonts w:ascii="Arial" w:cs="Arial" w:eastAsia="Arial" w:hAnsi="Arial"/>
          <w:sz w:val="16"/>
          <w:szCs w:val="16"/>
          <w:color w:val="282A32"/>
        </w:rPr>
        <w:t>The United States revenues above represent revenues from our company-owned branches and franchise fees received from our franchise operations, which were $12.8, $12.6 and $15.6 for 2021, 2020 and 2019, respectively.</w:t>
      </w:r>
    </w:p>
    <w:p>
      <w:pPr>
        <w:ind w:left="220" w:hanging="212"/>
        <w:spacing w:after="0"/>
        <w:tabs>
          <w:tab w:leader="none" w:pos="220" w:val="left"/>
        </w:tabs>
        <w:numPr>
          <w:ilvl w:val="0"/>
          <w:numId w:val="46"/>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2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 Expense</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Americas:</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United States</w:t>
            </w:r>
          </w:p>
        </w:tc>
        <w:tc>
          <w:tcPr>
            <w:tcW w:w="230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6.9</w:t>
            </w:r>
          </w:p>
        </w:tc>
        <w:tc>
          <w:tcPr>
            <w:tcW w:w="54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7.8</w:t>
            </w:r>
          </w:p>
        </w:tc>
        <w:tc>
          <w:tcPr>
            <w:tcW w:w="68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8.6</w:t>
            </w:r>
          </w:p>
        </w:tc>
      </w:tr>
      <w:tr>
        <w:trPr>
          <w:trHeight w:val="203"/>
        </w:trPr>
        <w:tc>
          <w:tcPr>
            <w:tcW w:w="48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Americas</w:t>
            </w:r>
          </w:p>
        </w:tc>
        <w:tc>
          <w:tcPr>
            <w:tcW w:w="2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2.4</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w:t>
            </w:r>
          </w:p>
        </w:tc>
      </w:tr>
      <w:tr>
        <w:trPr>
          <w:trHeight w:val="196"/>
        </w:trPr>
        <w:tc>
          <w:tcPr>
            <w:tcW w:w="4860" w:type="dxa"/>
            <w:vAlign w:val="bottom"/>
            <w:tcBorders>
              <w:bottom w:val="single" w:sz="8" w:color="auto"/>
            </w:tcBorders>
            <w:shd w:val="clear" w:color="auto" w:fill="CFF0FC"/>
          </w:tcPr>
          <w:p>
            <w:pPr>
              <w:spacing w:after="0"/>
              <w:rPr>
                <w:sz w:val="17"/>
                <w:szCs w:val="17"/>
                <w:color w:val="auto"/>
              </w:rPr>
            </w:pPr>
          </w:p>
        </w:tc>
        <w:tc>
          <w:tcPr>
            <w:tcW w:w="2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9.3</w:t>
            </w: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10.1</w:t>
            </w: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color w:val="auto"/>
              </w:rPr>
              <w:t>Southern Europe:</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France</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12.5</w:t>
            </w: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13.9</w:t>
            </w: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c>
          <w:tcPr>
            <w:tcW w:w="2300" w:type="dxa"/>
            <w:vAlign w:val="bottom"/>
          </w:tcPr>
          <w:p>
            <w:pPr>
              <w:spacing w:after="0"/>
              <w:rPr>
                <w:sz w:val="17"/>
                <w:szCs w:val="17"/>
                <w:color w:val="auto"/>
              </w:rPr>
            </w:pP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2.5</w:t>
            </w:r>
          </w:p>
        </w:tc>
        <w:tc>
          <w:tcPr>
            <w:tcW w:w="5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486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Southern Europe</w:t>
            </w:r>
          </w:p>
        </w:tc>
        <w:tc>
          <w:tcPr>
            <w:tcW w:w="2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5.0</w:t>
            </w: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4.9</w:t>
            </w:r>
          </w:p>
        </w:tc>
      </w:tr>
      <w:tr>
        <w:trPr>
          <w:trHeight w:val="196"/>
        </w:trPr>
        <w:tc>
          <w:tcPr>
            <w:tcW w:w="48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20.0</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21.8</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20.6</w:t>
            </w: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Northern Europe</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10.9</w:t>
            </w: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9.8</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APME</w:t>
            </w:r>
          </w:p>
        </w:tc>
        <w:tc>
          <w:tcPr>
            <w:tcW w:w="2300" w:type="dxa"/>
            <w:vAlign w:val="bottom"/>
          </w:tcPr>
          <w:p>
            <w:pPr>
              <w:spacing w:after="0"/>
              <w:rPr>
                <w:sz w:val="17"/>
                <w:szCs w:val="17"/>
                <w:color w:val="auto"/>
              </w:rPr>
            </w:pP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8.3</w:t>
            </w:r>
          </w:p>
        </w:tc>
        <w:tc>
          <w:tcPr>
            <w:tcW w:w="5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w:t>
            </w: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expenses</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0.7</w:t>
            </w: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0.1</w:t>
            </w:r>
          </w:p>
        </w:tc>
      </w:tr>
      <w:tr>
        <w:trPr>
          <w:trHeight w:val="223"/>
        </w:trPr>
        <w:tc>
          <w:tcPr>
            <w:tcW w:w="4860" w:type="dxa"/>
            <w:vAlign w:val="bottom"/>
          </w:tcPr>
          <w:p>
            <w:pPr>
              <w:ind w:left="20"/>
              <w:spacing w:after="0" w:line="202" w:lineRule="exact"/>
              <w:rPr>
                <w:sz w:val="20"/>
                <w:szCs w:val="20"/>
                <w:color w:val="auto"/>
              </w:rPr>
            </w:pPr>
            <w:r>
              <w:rPr>
                <w:rFonts w:ascii="Arial" w:cs="Arial" w:eastAsia="Arial" w:hAnsi="Arial"/>
                <w:sz w:val="17"/>
                <w:szCs w:val="17"/>
                <w:color w:val="auto"/>
              </w:rPr>
              <w:t>Intangible asset amortization expense</w:t>
            </w:r>
            <w:r>
              <w:rPr>
                <w:rFonts w:ascii="Arial" w:cs="Arial" w:eastAsia="Arial" w:hAnsi="Arial"/>
                <w:sz w:val="23"/>
                <w:szCs w:val="23"/>
                <w:color w:val="auto"/>
                <w:vertAlign w:val="superscript"/>
              </w:rPr>
              <w:t>(a)</w:t>
            </w:r>
          </w:p>
        </w:tc>
        <w:tc>
          <w:tcPr>
            <w:tcW w:w="2300" w:type="dxa"/>
            <w:vAlign w:val="bottom"/>
          </w:tcPr>
          <w:p>
            <w:pPr>
              <w:spacing w:after="0"/>
              <w:rPr>
                <w:sz w:val="19"/>
                <w:szCs w:val="19"/>
                <w:color w:val="auto"/>
              </w:rPr>
            </w:pP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24.2</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29.8</w:t>
            </w:r>
          </w:p>
        </w:tc>
      </w:tr>
      <w:tr>
        <w:trPr>
          <w:trHeight w:val="176"/>
        </w:trPr>
        <w:tc>
          <w:tcPr>
            <w:tcW w:w="4860" w:type="dxa"/>
            <w:vAlign w:val="bottom"/>
            <w:tcBorders>
              <w:top w:val="single" w:sz="8" w:color="auto"/>
              <w:bottom w:val="single" w:sz="8" w:color="auto"/>
            </w:tcBorders>
            <w:shd w:val="clear" w:color="auto" w:fill="CFF0FC"/>
          </w:tcPr>
          <w:p>
            <w:pPr>
              <w:spacing w:after="0"/>
              <w:rPr>
                <w:sz w:val="15"/>
                <w:szCs w:val="15"/>
                <w:color w:val="auto"/>
              </w:rPr>
            </w:pPr>
          </w:p>
        </w:tc>
        <w:tc>
          <w:tcPr>
            <w:tcW w:w="2300" w:type="dxa"/>
            <w:vAlign w:val="bottom"/>
            <w:tcBorders>
              <w:top w:val="single" w:sz="8" w:color="auto"/>
              <w:bottom w:val="single" w:sz="8" w:color="auto"/>
            </w:tcBorders>
            <w:shd w:val="clear" w:color="auto" w:fill="CFF0FC"/>
          </w:tcPr>
          <w:p>
            <w:pPr>
              <w:jc w:val="right"/>
              <w:ind w:right="350"/>
              <w:spacing w:after="0" w:line="17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ind w:right="150"/>
              <w:spacing w:after="0" w:line="176" w:lineRule="exact"/>
              <w:rPr>
                <w:sz w:val="20"/>
                <w:szCs w:val="20"/>
                <w:color w:val="auto"/>
              </w:rPr>
            </w:pPr>
            <w:r>
              <w:rPr>
                <w:rFonts w:ascii="Arial" w:cs="Arial" w:eastAsia="Arial" w:hAnsi="Arial"/>
                <w:sz w:val="18"/>
                <w:szCs w:val="18"/>
                <w:color w:val="auto"/>
              </w:rPr>
              <w:t>73.4</w:t>
            </w:r>
          </w:p>
        </w:tc>
        <w:tc>
          <w:tcPr>
            <w:tcW w:w="540" w:type="dxa"/>
            <w:vAlign w:val="bottom"/>
            <w:tcBorders>
              <w:top w:val="single" w:sz="8" w:color="CFF0FC"/>
              <w:bottom w:val="single" w:sz="8" w:color="auto"/>
            </w:tcBorders>
            <w:shd w:val="clear" w:color="auto" w:fill="CFF0FC"/>
          </w:tcPr>
          <w:p>
            <w:pPr>
              <w:jc w:val="right"/>
              <w:ind w:right="330"/>
              <w:spacing w:after="0" w:line="17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CFF0FC"/>
              <w:bottom w:val="single" w:sz="8" w:color="auto"/>
            </w:tcBorders>
            <w:shd w:val="clear" w:color="auto" w:fill="CFF0FC"/>
          </w:tcPr>
          <w:p>
            <w:pPr>
              <w:jc w:val="right"/>
              <w:ind w:right="10"/>
              <w:spacing w:after="0" w:line="176" w:lineRule="exact"/>
              <w:rPr>
                <w:sz w:val="20"/>
                <w:szCs w:val="20"/>
                <w:color w:val="auto"/>
              </w:rPr>
            </w:pPr>
            <w:r>
              <w:rPr>
                <w:rFonts w:ascii="Arial" w:cs="Arial" w:eastAsia="Arial" w:hAnsi="Arial"/>
                <w:sz w:val="18"/>
                <w:szCs w:val="18"/>
                <w:color w:val="auto"/>
              </w:rPr>
              <w:t>76.3</w:t>
            </w:r>
          </w:p>
        </w:tc>
        <w:tc>
          <w:tcPr>
            <w:tcW w:w="140" w:type="dxa"/>
            <w:vAlign w:val="bottom"/>
            <w:tcBorders>
              <w:top w:val="single" w:sz="8" w:color="CFF0FC"/>
              <w:bottom w:val="single" w:sz="8" w:color="auto"/>
            </w:tcBorders>
            <w:shd w:val="clear" w:color="auto" w:fill="CFF0FC"/>
          </w:tcPr>
          <w:p>
            <w:pPr>
              <w:spacing w:after="0"/>
              <w:rPr>
                <w:sz w:val="15"/>
                <w:szCs w:val="15"/>
                <w:color w:val="auto"/>
              </w:rPr>
            </w:pPr>
          </w:p>
        </w:tc>
        <w:tc>
          <w:tcPr>
            <w:tcW w:w="540" w:type="dxa"/>
            <w:vAlign w:val="bottom"/>
            <w:tcBorders>
              <w:top w:val="single" w:sz="8" w:color="CFF0FC"/>
              <w:bottom w:val="single" w:sz="8" w:color="auto"/>
            </w:tcBorders>
            <w:shd w:val="clear" w:color="auto" w:fill="CFF0FC"/>
          </w:tcPr>
          <w:p>
            <w:pPr>
              <w:jc w:val="right"/>
              <w:ind w:right="330"/>
              <w:spacing w:after="0" w:line="17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CFF0FC"/>
              <w:bottom w:val="single" w:sz="8" w:color="auto"/>
            </w:tcBorders>
            <w:shd w:val="clear" w:color="auto" w:fill="CFF0FC"/>
          </w:tcPr>
          <w:p>
            <w:pPr>
              <w:jc w:val="right"/>
              <w:ind w:right="10"/>
              <w:spacing w:after="0" w:line="176" w:lineRule="exact"/>
              <w:rPr>
                <w:sz w:val="20"/>
                <w:szCs w:val="20"/>
                <w:color w:val="auto"/>
              </w:rPr>
            </w:pPr>
            <w:r>
              <w:rPr>
                <w:rFonts w:ascii="Arial" w:cs="Arial" w:eastAsia="Arial" w:hAnsi="Arial"/>
                <w:sz w:val="18"/>
                <w:szCs w:val="18"/>
                <w:color w:val="auto"/>
              </w:rPr>
              <w:t>77.2</w:t>
            </w:r>
          </w:p>
        </w:tc>
      </w:tr>
      <w:tr>
        <w:trPr>
          <w:trHeight w:val="196"/>
        </w:trPr>
        <w:tc>
          <w:tcPr>
            <w:tcW w:w="48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Earnings from Equity Investments</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Americas:</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United States</w:t>
            </w:r>
          </w:p>
        </w:tc>
        <w:tc>
          <w:tcPr>
            <w:tcW w:w="230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Americas</w:t>
            </w:r>
          </w:p>
        </w:tc>
        <w:tc>
          <w:tcPr>
            <w:tcW w:w="2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4860" w:type="dxa"/>
            <w:vAlign w:val="bottom"/>
            <w:tcBorders>
              <w:bottom w:val="single" w:sz="8" w:color="auto"/>
            </w:tcBorders>
            <w:shd w:val="clear" w:color="auto" w:fill="CFF0FC"/>
          </w:tcPr>
          <w:p>
            <w:pPr>
              <w:spacing w:after="0"/>
              <w:rPr>
                <w:sz w:val="17"/>
                <w:szCs w:val="17"/>
                <w:color w:val="auto"/>
              </w:rPr>
            </w:pPr>
          </w:p>
        </w:tc>
        <w:tc>
          <w:tcPr>
            <w:tcW w:w="2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color w:val="auto"/>
              </w:rPr>
              <w:t>Southern Europe:</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France</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c>
          <w:tcPr>
            <w:tcW w:w="2300" w:type="dxa"/>
            <w:vAlign w:val="bottom"/>
          </w:tcPr>
          <w:p>
            <w:pPr>
              <w:spacing w:after="0"/>
              <w:rPr>
                <w:sz w:val="17"/>
                <w:szCs w:val="17"/>
                <w:color w:val="auto"/>
              </w:rPr>
            </w:pP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(0.1 )</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(0.1 )</w:t>
            </w:r>
          </w:p>
        </w:tc>
      </w:tr>
      <w:tr>
        <w:trPr>
          <w:trHeight w:val="203"/>
        </w:trPr>
        <w:tc>
          <w:tcPr>
            <w:tcW w:w="486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Southern Europe</w:t>
            </w:r>
          </w:p>
        </w:tc>
        <w:tc>
          <w:tcPr>
            <w:tcW w:w="2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47.5</w:t>
            </w:r>
          </w:p>
        </w:tc>
      </w:tr>
      <w:tr>
        <w:trPr>
          <w:trHeight w:val="196"/>
        </w:trPr>
        <w:tc>
          <w:tcPr>
            <w:tcW w:w="48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(0.1 )</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47.4</w:t>
            </w: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Northern Europe</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APME</w:t>
            </w:r>
          </w:p>
        </w:tc>
        <w:tc>
          <w:tcPr>
            <w:tcW w:w="2300" w:type="dxa"/>
            <w:vAlign w:val="bottom"/>
          </w:tcPr>
          <w:p>
            <w:pPr>
              <w:spacing w:after="0"/>
              <w:rPr>
                <w:sz w:val="17"/>
                <w:szCs w:val="17"/>
                <w:color w:val="auto"/>
              </w:rPr>
            </w:pP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w:t>
            </w:r>
          </w:p>
        </w:tc>
        <w:tc>
          <w:tcPr>
            <w:tcW w:w="2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11.8</w:t>
            </w: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196"/>
        </w:trPr>
        <w:tc>
          <w:tcPr>
            <w:tcW w:w="48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11.8</w:t>
            </w:r>
          </w:p>
        </w:tc>
        <w:tc>
          <w:tcPr>
            <w:tcW w:w="5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w:t>
            </w:r>
          </w:p>
        </w:tc>
        <w:tc>
          <w:tcPr>
            <w:tcW w:w="680" w:type="dxa"/>
            <w:vAlign w:val="bottom"/>
            <w:tcBorders>
              <w:bottom w:val="single" w:sz="8" w:color="auto"/>
            </w:tcBorders>
            <w:gridSpan w:val="2"/>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50.5</w:t>
            </w:r>
          </w:p>
        </w:tc>
      </w:tr>
    </w:tbl>
    <w:p>
      <w:pPr>
        <w:spacing w:after="0" w:line="17" w:lineRule="exact"/>
        <w:rPr>
          <w:sz w:val="20"/>
          <w:szCs w:val="20"/>
          <w:color w:val="auto"/>
        </w:rPr>
      </w:pPr>
    </w:p>
    <w:p>
      <w:pPr>
        <w:ind w:left="220" w:hanging="212"/>
        <w:spacing w:after="0"/>
        <w:tabs>
          <w:tab w:leader="none" w:pos="220" w:val="left"/>
        </w:tabs>
        <w:numPr>
          <w:ilvl w:val="0"/>
          <w:numId w:val="47"/>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28" w:lineRule="exact"/>
        <w:rPr>
          <w:rFonts w:ascii="Arial" w:cs="Arial" w:eastAsia="Arial" w:hAnsi="Arial"/>
          <w:sz w:val="15"/>
          <w:szCs w:val="15"/>
          <w:color w:val="282A32"/>
        </w:rPr>
      </w:pPr>
    </w:p>
    <w:p>
      <w:pPr>
        <w:ind w:left="5540"/>
        <w:spacing w:after="0"/>
        <w:rPr>
          <w:rFonts w:ascii="Arial" w:cs="Arial" w:eastAsia="Arial" w:hAnsi="Arial"/>
          <w:sz w:val="15"/>
          <w:szCs w:val="15"/>
          <w:color w:val="282A32"/>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December 31</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Americas:</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United States</w:t>
            </w:r>
          </w:p>
        </w:tc>
        <w:tc>
          <w:tcPr>
            <w:tcW w:w="60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3,434.6</w:t>
            </w:r>
          </w:p>
        </w:tc>
        <w:tc>
          <w:tcPr>
            <w:tcW w:w="5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2,103.8</w:t>
            </w:r>
          </w:p>
        </w:tc>
        <w:tc>
          <w:tcPr>
            <w:tcW w:w="58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2,153.8</w:t>
            </w:r>
          </w:p>
        </w:tc>
      </w:tr>
      <w:tr>
        <w:trPr>
          <w:trHeight w:val="203"/>
        </w:trPr>
        <w:tc>
          <w:tcPr>
            <w:tcW w:w="64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Americas</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397.0</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381.3</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382.4</w:t>
            </w:r>
          </w:p>
        </w:tc>
      </w:tr>
      <w:tr>
        <w:trPr>
          <w:trHeight w:val="196"/>
        </w:trPr>
        <w:tc>
          <w:tcPr>
            <w:tcW w:w="64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3,831.6</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2,485.1</w:t>
            </w:r>
          </w:p>
        </w:tc>
        <w:tc>
          <w:tcPr>
            <w:tcW w:w="5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2,536.2</w:t>
            </w: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color w:val="auto"/>
              </w:rPr>
              <w:t>Southern Europe:</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France</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2,353.3</w:t>
            </w: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2,778.3</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2,732.6</w:t>
            </w:r>
          </w:p>
        </w:tc>
      </w:tr>
      <w:tr>
        <w:trPr>
          <w:trHeight w:val="203"/>
        </w:trPr>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c>
          <w:tcPr>
            <w:tcW w:w="6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509.7</w:t>
            </w:r>
          </w:p>
        </w:tc>
        <w:tc>
          <w:tcPr>
            <w:tcW w:w="560" w:type="dxa"/>
            <w:vAlign w:val="bottom"/>
          </w:tcPr>
          <w:p>
            <w:pPr>
              <w:spacing w:after="0"/>
              <w:rPr>
                <w:sz w:val="17"/>
                <w:szCs w:val="17"/>
                <w:color w:val="auto"/>
              </w:rPr>
            </w:pP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540.4</w:t>
            </w:r>
          </w:p>
        </w:tc>
        <w:tc>
          <w:tcPr>
            <w:tcW w:w="5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464.2</w:t>
            </w:r>
          </w:p>
        </w:tc>
      </w:tr>
      <w:tr>
        <w:trPr>
          <w:trHeight w:val="202"/>
        </w:trPr>
        <w:tc>
          <w:tcPr>
            <w:tcW w:w="644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Southern Europe</w:t>
            </w:r>
          </w:p>
        </w:tc>
        <w:tc>
          <w:tcPr>
            <w:tcW w:w="6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828.2</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848.5</w:t>
            </w:r>
          </w:p>
        </w:tc>
        <w:tc>
          <w:tcPr>
            <w:tcW w:w="5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778.7</w:t>
            </w:r>
          </w:p>
        </w:tc>
      </w:tr>
      <w:tr>
        <w:trPr>
          <w:trHeight w:val="196"/>
        </w:trPr>
        <w:tc>
          <w:tcPr>
            <w:tcW w:w="6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3,691.2</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4,167.2</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3,975.5</w:t>
            </w: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Northern Europe</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1,095.7</w:t>
            </w: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1,366.7</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1,478.5</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APME</w:t>
            </w:r>
          </w:p>
        </w:tc>
        <w:tc>
          <w:tcPr>
            <w:tcW w:w="6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813.8</w:t>
            </w:r>
          </w:p>
        </w:tc>
        <w:tc>
          <w:tcPr>
            <w:tcW w:w="560" w:type="dxa"/>
            <w:vAlign w:val="bottom"/>
          </w:tcPr>
          <w:p>
            <w:pPr>
              <w:spacing w:after="0"/>
              <w:rPr>
                <w:sz w:val="17"/>
                <w:szCs w:val="17"/>
                <w:color w:val="auto"/>
              </w:rPr>
            </w:pP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806.0</w:t>
            </w:r>
          </w:p>
        </w:tc>
        <w:tc>
          <w:tcPr>
            <w:tcW w:w="5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744.2</w:t>
            </w:r>
          </w:p>
        </w:tc>
      </w:tr>
      <w:tr>
        <w:trPr>
          <w:trHeight w:val="203"/>
        </w:trPr>
        <w:tc>
          <w:tcPr>
            <w:tcW w:w="644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Corporate</w:t>
            </w:r>
            <w:r>
              <w:rPr>
                <w:rFonts w:ascii="Arial" w:cs="Arial" w:eastAsia="Arial" w:hAnsi="Arial"/>
                <w:sz w:val="23"/>
                <w:szCs w:val="23"/>
                <w:color w:val="auto"/>
                <w:vertAlign w:val="superscript"/>
              </w:rPr>
              <w:t>(a)</w:t>
            </w:r>
          </w:p>
        </w:tc>
        <w:tc>
          <w:tcPr>
            <w:tcW w:w="6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396.6</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503.2</w:t>
            </w:r>
          </w:p>
        </w:tc>
        <w:tc>
          <w:tcPr>
            <w:tcW w:w="5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489.4</w:t>
            </w:r>
          </w:p>
        </w:tc>
      </w:tr>
      <w:tr>
        <w:trPr>
          <w:trHeight w:val="196"/>
        </w:trPr>
        <w:tc>
          <w:tcPr>
            <w:tcW w:w="6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9,828.9</w:t>
            </w:r>
          </w:p>
        </w:tc>
        <w:tc>
          <w:tcPr>
            <w:tcW w:w="5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9,328.2</w:t>
            </w:r>
          </w:p>
        </w:tc>
        <w:tc>
          <w:tcPr>
            <w:tcW w:w="5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9,223.8</w:t>
            </w: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Equity Investments</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Americas:</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United States</w:t>
            </w:r>
          </w:p>
        </w:tc>
        <w:tc>
          <w:tcPr>
            <w:tcW w:w="60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Americas</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64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color w:val="auto"/>
              </w:rPr>
              <w:t>Southern Europe:</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France</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c>
          <w:tcPr>
            <w:tcW w:w="6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w:t>
            </w:r>
          </w:p>
        </w:tc>
        <w:tc>
          <w:tcPr>
            <w:tcW w:w="560" w:type="dxa"/>
            <w:vAlign w:val="bottom"/>
          </w:tcPr>
          <w:p>
            <w:pPr>
              <w:spacing w:after="0"/>
              <w:rPr>
                <w:sz w:val="17"/>
                <w:szCs w:val="17"/>
                <w:color w:val="auto"/>
              </w:rPr>
            </w:pP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w:t>
            </w:r>
          </w:p>
        </w:tc>
        <w:tc>
          <w:tcPr>
            <w:tcW w:w="5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0.3</w:t>
            </w:r>
          </w:p>
        </w:tc>
      </w:tr>
      <w:tr>
        <w:trPr>
          <w:trHeight w:val="203"/>
        </w:trPr>
        <w:tc>
          <w:tcPr>
            <w:tcW w:w="644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Southern Europe</w:t>
            </w:r>
          </w:p>
        </w:tc>
        <w:tc>
          <w:tcPr>
            <w:tcW w:w="6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6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0.1</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0.3</w:t>
            </w: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Northern Europe</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APME</w:t>
            </w:r>
          </w:p>
        </w:tc>
        <w:tc>
          <w:tcPr>
            <w:tcW w:w="6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w:t>
            </w:r>
          </w:p>
        </w:tc>
        <w:tc>
          <w:tcPr>
            <w:tcW w:w="560" w:type="dxa"/>
            <w:vAlign w:val="bottom"/>
          </w:tcPr>
          <w:p>
            <w:pPr>
              <w:spacing w:after="0"/>
              <w:rPr>
                <w:sz w:val="17"/>
                <w:szCs w:val="17"/>
                <w:color w:val="auto"/>
              </w:rPr>
            </w:pP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644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w:t>
            </w:r>
          </w:p>
        </w:tc>
        <w:tc>
          <w:tcPr>
            <w:tcW w:w="6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114.0</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106.5</w:t>
            </w:r>
          </w:p>
        </w:tc>
        <w:tc>
          <w:tcPr>
            <w:tcW w:w="5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97.5</w:t>
            </w:r>
          </w:p>
        </w:tc>
      </w:tr>
      <w:tr>
        <w:trPr>
          <w:trHeight w:val="196"/>
        </w:trPr>
        <w:tc>
          <w:tcPr>
            <w:tcW w:w="6440" w:type="dxa"/>
            <w:vAlign w:val="bottom"/>
          </w:tcPr>
          <w:p>
            <w:pPr>
              <w:spacing w:after="0"/>
              <w:rPr>
                <w:sz w:val="17"/>
                <w:szCs w:val="17"/>
                <w:color w:val="auto"/>
              </w:rPr>
            </w:pPr>
          </w:p>
        </w:tc>
        <w:tc>
          <w:tcPr>
            <w:tcW w:w="6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114.2</w:t>
            </w:r>
          </w:p>
        </w:tc>
        <w:tc>
          <w:tcPr>
            <w:tcW w:w="5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106.6</w:t>
            </w:r>
          </w:p>
        </w:tc>
        <w:tc>
          <w:tcPr>
            <w:tcW w:w="5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97.8</w:t>
            </w:r>
          </w:p>
        </w:tc>
      </w:tr>
    </w:tbl>
    <w:p>
      <w:pPr>
        <w:spacing w:after="0" w:line="17"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6"/>
          <w:szCs w:val="16"/>
          <w:color w:val="282A32"/>
        </w:rPr>
      </w:pPr>
      <w:r>
        <w:rPr>
          <w:rFonts w:ascii="Arial" w:cs="Arial" w:eastAsia="Arial" w:hAnsi="Arial"/>
          <w:sz w:val="16"/>
          <w:szCs w:val="16"/>
          <w:color w:val="282A32"/>
        </w:rPr>
        <w:t>Corporate assets include assets that were not used in the operations of any segment, the most significant of which were purchased intangibles and cash.</w:t>
      </w:r>
    </w:p>
    <w:p>
      <w:pPr>
        <w:spacing w:after="0" w:line="216" w:lineRule="exact"/>
        <w:rPr>
          <w:rFonts w:ascii="Arial" w:cs="Arial" w:eastAsia="Arial" w:hAnsi="Arial"/>
          <w:sz w:val="16"/>
          <w:szCs w:val="16"/>
          <w:color w:val="282A32"/>
        </w:rPr>
      </w:pPr>
    </w:p>
    <w:p>
      <w:pPr>
        <w:ind w:left="5540"/>
        <w:spacing w:after="0"/>
        <w:rPr>
          <w:rFonts w:ascii="Arial" w:cs="Arial" w:eastAsia="Arial" w:hAnsi="Arial"/>
          <w:sz w:val="16"/>
          <w:szCs w:val="16"/>
          <w:color w:val="282A32"/>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and Year Ended December 31</w:t>
            </w:r>
          </w:p>
        </w:tc>
        <w:tc>
          <w:tcPr>
            <w:tcW w:w="2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196"/>
        </w:trPr>
        <w:tc>
          <w:tcPr>
            <w:tcW w:w="460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22"/>
                <w:szCs w:val="22"/>
                <w:b w:val="1"/>
                <w:bCs w:val="1"/>
                <w:color w:val="auto"/>
                <w:vertAlign w:val="superscript"/>
              </w:rPr>
              <w:t>(a)(b)</w:t>
            </w:r>
          </w:p>
        </w:tc>
        <w:tc>
          <w:tcPr>
            <w:tcW w:w="25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Americas:</w:t>
            </w:r>
          </w:p>
        </w:tc>
        <w:tc>
          <w:tcPr>
            <w:tcW w:w="2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United States</w:t>
            </w:r>
          </w:p>
        </w:tc>
        <w:tc>
          <w:tcPr>
            <w:tcW w:w="252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76.9</w:t>
            </w:r>
          </w:p>
        </w:tc>
        <w:tc>
          <w:tcPr>
            <w:tcW w:w="66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73.9</w:t>
            </w:r>
          </w:p>
        </w:tc>
        <w:tc>
          <w:tcPr>
            <w:tcW w:w="64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100.8</w:t>
            </w:r>
          </w:p>
        </w:tc>
      </w:tr>
      <w:tr>
        <w:trPr>
          <w:trHeight w:val="203"/>
        </w:trPr>
        <w:tc>
          <w:tcPr>
            <w:tcW w:w="460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Americas</w:t>
            </w:r>
          </w:p>
        </w:tc>
        <w:tc>
          <w:tcPr>
            <w:tcW w:w="2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16.3</w:t>
            </w: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19.6</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r>
      <w:tr>
        <w:trPr>
          <w:trHeight w:val="196"/>
        </w:trPr>
        <w:tc>
          <w:tcPr>
            <w:tcW w:w="4600" w:type="dxa"/>
            <w:vAlign w:val="bottom"/>
            <w:tcBorders>
              <w:bottom w:val="single" w:sz="8" w:color="auto"/>
            </w:tcBorders>
            <w:shd w:val="clear" w:color="auto" w:fill="CFF0FC"/>
          </w:tcPr>
          <w:p>
            <w:pPr>
              <w:spacing w:after="0"/>
              <w:rPr>
                <w:sz w:val="17"/>
                <w:szCs w:val="17"/>
                <w:color w:val="auto"/>
              </w:rPr>
            </w:pPr>
          </w:p>
        </w:tc>
        <w:tc>
          <w:tcPr>
            <w:tcW w:w="25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93.2</w:t>
            </w: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93.5</w:t>
            </w:r>
          </w:p>
        </w:tc>
        <w:tc>
          <w:tcPr>
            <w:tcW w:w="6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121.3</w:t>
            </w:r>
          </w:p>
        </w:tc>
      </w:tr>
      <w:tr>
        <w:trPr>
          <w:trHeight w:val="196"/>
        </w:trPr>
        <w:tc>
          <w:tcPr>
            <w:tcW w:w="4600" w:type="dxa"/>
            <w:vAlign w:val="bottom"/>
          </w:tcPr>
          <w:p>
            <w:pPr>
              <w:ind w:left="20"/>
              <w:spacing w:after="0" w:line="196" w:lineRule="exact"/>
              <w:rPr>
                <w:sz w:val="20"/>
                <w:szCs w:val="20"/>
                <w:color w:val="auto"/>
              </w:rPr>
            </w:pPr>
            <w:r>
              <w:rPr>
                <w:rFonts w:ascii="Arial" w:cs="Arial" w:eastAsia="Arial" w:hAnsi="Arial"/>
                <w:sz w:val="18"/>
                <w:szCs w:val="18"/>
                <w:color w:val="auto"/>
              </w:rPr>
              <w:t>Southern Europe:</w:t>
            </w:r>
          </w:p>
        </w:tc>
        <w:tc>
          <w:tcPr>
            <w:tcW w:w="2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France</w:t>
            </w:r>
          </w:p>
        </w:tc>
        <w:tc>
          <w:tcPr>
            <w:tcW w:w="25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135.0</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147.8</w:t>
            </w:r>
          </w:p>
        </w:tc>
        <w:tc>
          <w:tcPr>
            <w:tcW w:w="6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157.4</w:t>
            </w:r>
          </w:p>
        </w:tc>
      </w:tr>
      <w:tr>
        <w:trPr>
          <w:trHeight w:val="203"/>
        </w:trPr>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c>
          <w:tcPr>
            <w:tcW w:w="252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33.6</w:t>
            </w:r>
          </w:p>
        </w:tc>
        <w:tc>
          <w:tcPr>
            <w:tcW w:w="66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36.0</w:t>
            </w:r>
          </w:p>
        </w:tc>
        <w:tc>
          <w:tcPr>
            <w:tcW w:w="6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r>
      <w:tr>
        <w:trPr>
          <w:trHeight w:val="203"/>
        </w:trPr>
        <w:tc>
          <w:tcPr>
            <w:tcW w:w="46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Southern Europe</w:t>
            </w:r>
          </w:p>
        </w:tc>
        <w:tc>
          <w:tcPr>
            <w:tcW w:w="25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68.7</w:t>
            </w: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6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81.3</w:t>
            </w:r>
          </w:p>
        </w:tc>
      </w:tr>
      <w:tr>
        <w:trPr>
          <w:trHeight w:val="196"/>
        </w:trPr>
        <w:tc>
          <w:tcPr>
            <w:tcW w:w="46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237.3</w:t>
            </w: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251.8</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273.8</w:t>
            </w:r>
          </w:p>
        </w:tc>
      </w:tr>
      <w:tr>
        <w:trPr>
          <w:trHeight w:val="196"/>
        </w:trPr>
        <w:tc>
          <w:tcPr>
            <w:tcW w:w="4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Northern Europe</w:t>
            </w:r>
          </w:p>
        </w:tc>
        <w:tc>
          <w:tcPr>
            <w:tcW w:w="25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106.6</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127.1</w:t>
            </w:r>
          </w:p>
        </w:tc>
        <w:tc>
          <w:tcPr>
            <w:tcW w:w="6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141.7</w:t>
            </w: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APME</w:t>
            </w:r>
          </w:p>
        </w:tc>
        <w:tc>
          <w:tcPr>
            <w:tcW w:w="252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77.3</w:t>
            </w:r>
          </w:p>
        </w:tc>
        <w:tc>
          <w:tcPr>
            <w:tcW w:w="66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76.1</w:t>
            </w:r>
          </w:p>
        </w:tc>
        <w:tc>
          <w:tcPr>
            <w:tcW w:w="6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62.4</w:t>
            </w:r>
          </w:p>
        </w:tc>
      </w:tr>
      <w:tr>
        <w:trPr>
          <w:trHeight w:val="203"/>
        </w:trPr>
        <w:tc>
          <w:tcPr>
            <w:tcW w:w="460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w:t>
            </w:r>
          </w:p>
        </w:tc>
        <w:tc>
          <w:tcPr>
            <w:tcW w:w="25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14.0</w:t>
            </w: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6.5</w:t>
            </w:r>
          </w:p>
        </w:tc>
        <w:tc>
          <w:tcPr>
            <w:tcW w:w="6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r>
      <w:tr>
        <w:trPr>
          <w:trHeight w:val="196"/>
        </w:trPr>
        <w:tc>
          <w:tcPr>
            <w:tcW w:w="46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528.4</w:t>
            </w:r>
          </w:p>
        </w:tc>
        <w:tc>
          <w:tcPr>
            <w:tcW w:w="6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555.0</w:t>
            </w:r>
          </w:p>
        </w:tc>
        <w:tc>
          <w:tcPr>
            <w:tcW w:w="6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599.4</w:t>
            </w:r>
          </w:p>
        </w:tc>
      </w:tr>
    </w:tbl>
    <w:p>
      <w:pPr>
        <w:spacing w:after="0" w:line="17"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6"/>
          <w:szCs w:val="16"/>
          <w:color w:val="282A32"/>
        </w:rPr>
      </w:pPr>
      <w:r>
        <w:rPr>
          <w:rFonts w:ascii="Arial" w:cs="Arial" w:eastAsia="Arial" w:hAnsi="Arial"/>
          <w:sz w:val="16"/>
          <w:szCs w:val="16"/>
          <w:color w:val="282A32"/>
        </w:rPr>
        <w:t>Prior years have been recast to include lease right-of-use assets.</w:t>
      </w:r>
    </w:p>
    <w:p>
      <w:pPr>
        <w:spacing w:after="0" w:line="5" w:lineRule="exact"/>
        <w:rPr>
          <w:rFonts w:ascii="Arial" w:cs="Arial" w:eastAsia="Arial" w:hAnsi="Arial"/>
          <w:sz w:val="16"/>
          <w:szCs w:val="16"/>
          <w:color w:val="282A32"/>
        </w:rPr>
      </w:pPr>
    </w:p>
    <w:p>
      <w:pPr>
        <w:ind w:left="240" w:hanging="232"/>
        <w:spacing w:after="0"/>
        <w:tabs>
          <w:tab w:leader="none" w:pos="240" w:val="left"/>
        </w:tabs>
        <w:numPr>
          <w:ilvl w:val="0"/>
          <w:numId w:val="49"/>
        </w:numPr>
        <w:rPr>
          <w:rFonts w:ascii="Arial" w:cs="Arial" w:eastAsia="Arial" w:hAnsi="Arial"/>
          <w:sz w:val="16"/>
          <w:szCs w:val="16"/>
          <w:color w:val="282A32"/>
        </w:rPr>
      </w:pPr>
      <w:r>
        <w:rPr>
          <w:rFonts w:ascii="Arial" w:cs="Arial" w:eastAsia="Arial" w:hAnsi="Arial"/>
          <w:sz w:val="16"/>
          <w:szCs w:val="16"/>
          <w:color w:val="282A32"/>
        </w:rPr>
        <w:t>Further breakdown of long-lived assets by geographical region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Long-Lived Assets</w:t>
            </w:r>
          </w:p>
        </w:tc>
        <w:tc>
          <w:tcPr>
            <w:tcW w:w="3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r>
      <w:tr>
        <w:trPr>
          <w:trHeight w:val="196"/>
        </w:trPr>
        <w:tc>
          <w:tcPr>
            <w:tcW w:w="4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12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76.9</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73.9</w:t>
            </w:r>
          </w:p>
        </w:tc>
        <w:tc>
          <w:tcPr>
            <w:tcW w:w="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100.8</w:t>
            </w:r>
          </w:p>
        </w:tc>
        <w:tc>
          <w:tcPr>
            <w:tcW w:w="6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France</w:t>
            </w:r>
          </w:p>
        </w:tc>
        <w:tc>
          <w:tcPr>
            <w:tcW w:w="3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147.8</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157.4</w:t>
            </w:r>
          </w:p>
        </w:tc>
        <w:tc>
          <w:tcPr>
            <w:tcW w:w="60" w:type="dxa"/>
            <w:vAlign w:val="bottom"/>
          </w:tcPr>
          <w:p>
            <w:pPr>
              <w:spacing w:after="0"/>
              <w:rPr>
                <w:sz w:val="17"/>
                <w:szCs w:val="17"/>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Italy</w:t>
            </w:r>
          </w:p>
        </w:tc>
        <w:tc>
          <w:tcPr>
            <w:tcW w:w="3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w:t>
            </w:r>
          </w:p>
        </w:tc>
        <w:tc>
          <w:tcPr>
            <w:tcW w:w="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w:t>
            </w:r>
          </w:p>
        </w:tc>
        <w:tc>
          <w:tcPr>
            <w:tcW w:w="6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3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60" w:type="dxa"/>
            <w:vAlign w:val="bottom"/>
          </w:tcPr>
          <w:p>
            <w:pPr>
              <w:spacing w:after="0"/>
              <w:rPr>
                <w:sz w:val="17"/>
                <w:szCs w:val="17"/>
                <w:color w:val="auto"/>
              </w:rPr>
            </w:pPr>
          </w:p>
        </w:tc>
      </w:tr>
      <w:tr>
        <w:trPr>
          <w:trHeight w:val="203"/>
        </w:trPr>
        <w:tc>
          <w:tcPr>
            <w:tcW w:w="400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Total Foreign</w:t>
            </w:r>
          </w:p>
        </w:tc>
        <w:tc>
          <w:tcPr>
            <w:tcW w:w="3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451.5</w:t>
            </w:r>
          </w:p>
        </w:tc>
        <w:tc>
          <w:tcPr>
            <w:tcW w:w="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481.1</w:t>
            </w:r>
          </w:p>
        </w:tc>
        <w:tc>
          <w:tcPr>
            <w:tcW w:w="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498.6</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-5080</wp:posOffset>
            </wp:positionV>
            <wp:extent cx="431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-5080</wp:posOffset>
            </wp:positionV>
            <wp:extent cx="342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-5080</wp:posOffset>
            </wp:positionV>
            <wp:extent cx="3429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entered into certain guarantee contracts and stand-by letters of credit that total $769.3 as of December 31, 2021 ($717.7 for guarantees and $51.6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9" w:name="page100"/>
    <w:bookmarkEnd w:id="99"/>
    <w:p>
      <w:pPr>
        <w:ind w:right="3800"/>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internal control over financial reporting for the ettain group business was excluded from the evaluation the effectiveness of our disclosure controls and procedures as of December 31, 2021 because it was acquired in a purchase business combination on October 1, 2021. The total assets and total revenues acquired in the acquisition of ettain group represent approximately 10% and 1%, respectively, of the related consolidated financial amounts as of and for the fiscal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2021.</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evaluation of the effectiveness of the internal control over financial reporting as of December 31, 2021 did not include an evaluation of the internal control over financial reporting of the ettain business. We excluded ettain from our assessment of internal control over financial reporting as of December 31, 2021 because it was acquired in a purchase business combination on October 1, 2021. The total assets and total revenues acquired in the acquisition of ettain represent approximately 10% and 1%, respectively, of the related consolidated financial statement amounts as of and for the fiscal year ended December 31,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0" w:name="page101"/>
    <w:bookmarkEnd w:id="100"/>
    <w:p>
      <w:pPr>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Deloitte &amp; Touche LLP, an independent registered public accounting firm, as stated in their report which appears herein.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left="600" w:hanging="38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ManpowerGroup” in Part I after Item 4.</w:t>
      </w:r>
    </w:p>
    <w:p>
      <w:pPr>
        <w:spacing w:after="0" w:line="171" w:lineRule="exact"/>
        <w:rPr>
          <w:rFonts w:ascii="Arial" w:cs="Arial" w:eastAsia="Arial" w:hAnsi="Arial"/>
          <w:sz w:val="18"/>
          <w:szCs w:val="18"/>
          <w:color w:val="auto"/>
        </w:rPr>
      </w:pPr>
    </w:p>
    <w:p>
      <w:pPr>
        <w:ind w:left="600" w:right="20" w:hanging="382"/>
        <w:spacing w:after="0" w:line="261"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May 6, 2022 under the caption “Election of Directors,” which information is hereby incorporated herein by reference.</w:t>
      </w:r>
    </w:p>
    <w:p>
      <w:pPr>
        <w:spacing w:after="0" w:line="130" w:lineRule="exact"/>
        <w:rPr>
          <w:rFonts w:ascii="Arial" w:cs="Arial" w:eastAsia="Arial" w:hAnsi="Arial"/>
          <w:sz w:val="18"/>
          <w:szCs w:val="18"/>
          <w:color w:val="auto"/>
        </w:rPr>
      </w:pPr>
    </w:p>
    <w:p>
      <w:pPr>
        <w:jc w:val="both"/>
        <w:ind w:left="600" w:hanging="382"/>
        <w:spacing w:after="0" w:line="248"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of directors has determined that each of Gina R. Boswell, John F. Ferraro, and Paul Read, chair of the audit committee, is an “audit committee financial expert.” Ms. Boswell, Mr. Ferraro, and Mr. Read are all “independent” as that term is used in Item 7(d)(3)(iv) of Schedule 14A under the Exchange Act.</w:t>
      </w:r>
    </w:p>
    <w:p>
      <w:pPr>
        <w:spacing w:after="0" w:line="154" w:lineRule="exact"/>
        <w:rPr>
          <w:rFonts w:ascii="Arial" w:cs="Arial" w:eastAsia="Arial" w:hAnsi="Arial"/>
          <w:sz w:val="18"/>
          <w:szCs w:val="18"/>
          <w:color w:val="auto"/>
        </w:rPr>
      </w:pPr>
    </w:p>
    <w:p>
      <w:pPr>
        <w:jc w:val="both"/>
        <w:ind w:left="600" w:hanging="382"/>
        <w:spacing w:after="0" w:line="248"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 Committee. The information required by this Item is set forth in our Proxy Statement for the Annual Meeting of Shareholders to be held on May 6, 2022 under the caption “Election of Directors - Meetings and Committees of the Board,” which information is hereby incorporated herein by reference.</w:t>
      </w:r>
    </w:p>
    <w:p>
      <w:pPr>
        <w:spacing w:after="0" w:line="141" w:lineRule="exact"/>
        <w:rPr>
          <w:rFonts w:ascii="Arial" w:cs="Arial" w:eastAsia="Arial" w:hAnsi="Arial"/>
          <w:sz w:val="18"/>
          <w:szCs w:val="18"/>
          <w:color w:val="auto"/>
        </w:rPr>
      </w:pPr>
    </w:p>
    <w:p>
      <w:pPr>
        <w:jc w:val="both"/>
        <w:ind w:left="600" w:hanging="382"/>
        <w:spacing w:after="0" w:line="259"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6, 2022, under the captions "Compensation Discussion and Analysis," "Compensation Tables" and "CEO Pay Ratio;" under the caption “Compensation Committee Interlocks and Insider Participation;” and under the caption “Report of the People, Culture and Compensation Committee of the Board of Directors,” which information is hereby incorporated herein by reference.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6, 2022, under the caption “Security Ownership of Certain Beneficial Owners,” and under the caption “Beneficial Ownership of Directors and Executive Officers,” which information is hereby incorporated herein by reference.</w:t>
      </w:r>
    </w:p>
    <w:p>
      <w:pPr>
        <w:spacing w:after="0" w:line="1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sets forth information as of December 31, 2021 about our shares of common stock outstanding and available for issuance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95885</wp:posOffset>
            </wp:positionV>
            <wp:extent cx="102235" cy="7194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02235" cy="7194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95885</wp:posOffset>
            </wp:positionV>
            <wp:extent cx="93980" cy="7194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93980" cy="71945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95885</wp:posOffset>
            </wp:positionV>
            <wp:extent cx="93980" cy="7194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93980" cy="7194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0"/>
              </w:rPr>
              <w:t>Number of securities to be</w:t>
            </w:r>
          </w:p>
        </w:tc>
        <w:tc>
          <w:tcPr>
            <w:tcW w:w="120" w:type="dxa"/>
            <w:vAlign w:val="bottom"/>
          </w:tcPr>
          <w:p>
            <w:pPr>
              <w:spacing w:after="0"/>
              <w:rPr>
                <w:sz w:val="15"/>
                <w:szCs w:val="15"/>
                <w:color w:val="auto"/>
              </w:rPr>
            </w:pPr>
          </w:p>
        </w:tc>
        <w:tc>
          <w:tcPr>
            <w:tcW w:w="2080" w:type="dxa"/>
            <w:vAlign w:val="bottom"/>
            <w:tcBorders>
              <w:top w:val="single" w:sz="8" w:color="auto"/>
            </w:tcBorders>
          </w:tcPr>
          <w:p>
            <w:pPr>
              <w:jc w:val="center"/>
              <w:ind w:right="30"/>
              <w:spacing w:after="0" w:line="176" w:lineRule="exact"/>
              <w:rPr>
                <w:sz w:val="20"/>
                <w:szCs w:val="20"/>
                <w:color w:val="auto"/>
              </w:rPr>
            </w:pPr>
            <w:r>
              <w:rPr>
                <w:rFonts w:ascii="Arial" w:cs="Arial" w:eastAsia="Arial" w:hAnsi="Arial"/>
                <w:sz w:val="18"/>
                <w:szCs w:val="18"/>
                <w:color w:val="auto"/>
                <w:w w:val="87"/>
              </w:rPr>
              <w:t>Weighted-average exercise</w:t>
            </w:r>
          </w:p>
        </w:tc>
        <w:tc>
          <w:tcPr>
            <w:tcW w:w="120" w:type="dxa"/>
            <w:vAlign w:val="bottom"/>
          </w:tcPr>
          <w:p>
            <w:pPr>
              <w:spacing w:after="0"/>
              <w:rPr>
                <w:sz w:val="15"/>
                <w:szCs w:val="15"/>
                <w:color w:val="auto"/>
              </w:rPr>
            </w:pPr>
          </w:p>
        </w:tc>
        <w:tc>
          <w:tcPr>
            <w:tcW w:w="1740" w:type="dxa"/>
            <w:vAlign w:val="bottom"/>
            <w:tcBorders>
              <w:top w:val="single" w:sz="8" w:color="auto"/>
            </w:tcBorders>
          </w:tcPr>
          <w:p>
            <w:pPr>
              <w:jc w:val="center"/>
              <w:ind w:right="70"/>
              <w:spacing w:after="0" w:line="176" w:lineRule="exact"/>
              <w:rPr>
                <w:sz w:val="20"/>
                <w:szCs w:val="20"/>
                <w:color w:val="auto"/>
              </w:rPr>
            </w:pPr>
            <w:r>
              <w:rPr>
                <w:rFonts w:ascii="Arial" w:cs="Arial" w:eastAsia="Arial" w:hAnsi="Arial"/>
                <w:sz w:val="18"/>
                <w:szCs w:val="18"/>
                <w:color w:val="auto"/>
                <w:w w:val="88"/>
              </w:rPr>
              <w:t>Weighted-average</w:t>
            </w:r>
          </w:p>
        </w:tc>
        <w:tc>
          <w:tcPr>
            <w:tcW w:w="100" w:type="dxa"/>
            <w:vAlign w:val="bottom"/>
          </w:tcPr>
          <w:p>
            <w:pPr>
              <w:spacing w:after="0"/>
              <w:rPr>
                <w:sz w:val="15"/>
                <w:szCs w:val="15"/>
                <w:color w:val="auto"/>
              </w:rPr>
            </w:pPr>
          </w:p>
        </w:tc>
        <w:tc>
          <w:tcPr>
            <w:tcW w:w="2720" w:type="dxa"/>
            <w:vAlign w:val="bottom"/>
            <w:tcBorders>
              <w:top w:val="single" w:sz="8" w:color="auto"/>
            </w:tcBorders>
          </w:tcPr>
          <w:p>
            <w:pPr>
              <w:jc w:val="center"/>
              <w:ind w:right="71"/>
              <w:spacing w:after="0" w:line="176" w:lineRule="exact"/>
              <w:rPr>
                <w:sz w:val="20"/>
                <w:szCs w:val="20"/>
                <w:color w:val="auto"/>
              </w:rPr>
            </w:pPr>
            <w:r>
              <w:rPr>
                <w:rFonts w:ascii="Arial" w:cs="Arial" w:eastAsia="Arial" w:hAnsi="Arial"/>
                <w:sz w:val="18"/>
                <w:szCs w:val="18"/>
                <w:color w:val="auto"/>
                <w:w w:val="91"/>
              </w:rPr>
              <w:t>Number of securities remaining</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price of outstanding</w:t>
            </w:r>
          </w:p>
        </w:tc>
        <w:tc>
          <w:tcPr>
            <w:tcW w:w="120" w:type="dxa"/>
            <w:vAlign w:val="bottom"/>
          </w:tcPr>
          <w:p>
            <w:pPr>
              <w:spacing w:after="0"/>
              <w:rPr>
                <w:sz w:val="15"/>
                <w:szCs w:val="15"/>
                <w:color w:val="auto"/>
              </w:rPr>
            </w:pPr>
          </w:p>
        </w:tc>
        <w:tc>
          <w:tcPr>
            <w:tcW w:w="1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contractual term of</w:t>
            </w:r>
          </w:p>
        </w:tc>
        <w:tc>
          <w:tcPr>
            <w:tcW w:w="100" w:type="dxa"/>
            <w:vAlign w:val="bottom"/>
          </w:tcPr>
          <w:p>
            <w:pPr>
              <w:spacing w:after="0"/>
              <w:rPr>
                <w:sz w:val="15"/>
                <w:szCs w:val="15"/>
                <w:color w:val="auto"/>
              </w:rPr>
            </w:pPr>
          </w:p>
        </w:tc>
        <w:tc>
          <w:tcPr>
            <w:tcW w:w="2720" w:type="dxa"/>
            <w:vAlign w:val="bottom"/>
          </w:tcPr>
          <w:p>
            <w:pPr>
              <w:jc w:val="center"/>
              <w:ind w:right="51"/>
              <w:spacing w:after="0" w:line="176" w:lineRule="exact"/>
              <w:rPr>
                <w:sz w:val="20"/>
                <w:szCs w:val="20"/>
                <w:color w:val="auto"/>
              </w:rPr>
            </w:pPr>
            <w:r>
              <w:rPr>
                <w:rFonts w:ascii="Arial" w:cs="Arial" w:eastAsia="Arial" w:hAnsi="Arial"/>
                <w:sz w:val="18"/>
                <w:szCs w:val="18"/>
                <w:color w:val="auto"/>
                <w:w w:val="90"/>
              </w:rPr>
              <w:t>available for future issuance under</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issued upon exercise of</w:t>
            </w:r>
          </w:p>
        </w:tc>
        <w:tc>
          <w:tcPr>
            <w:tcW w:w="120" w:type="dxa"/>
            <w:vAlign w:val="bottom"/>
          </w:tcPr>
          <w:p>
            <w:pPr>
              <w:spacing w:after="0"/>
              <w:rPr>
                <w:sz w:val="15"/>
                <w:szCs w:val="15"/>
                <w:color w:val="auto"/>
              </w:rPr>
            </w:pPr>
          </w:p>
        </w:tc>
        <w:tc>
          <w:tcPr>
            <w:tcW w:w="20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options, warrants and</w:t>
            </w:r>
          </w:p>
        </w:tc>
        <w:tc>
          <w:tcPr>
            <w:tcW w:w="120" w:type="dxa"/>
            <w:vAlign w:val="bottom"/>
          </w:tcPr>
          <w:p>
            <w:pPr>
              <w:spacing w:after="0"/>
              <w:rPr>
                <w:sz w:val="15"/>
                <w:szCs w:val="15"/>
                <w:color w:val="auto"/>
              </w:rPr>
            </w:pPr>
          </w:p>
        </w:tc>
        <w:tc>
          <w:tcPr>
            <w:tcW w:w="1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outstanding options,</w:t>
            </w:r>
          </w:p>
        </w:tc>
        <w:tc>
          <w:tcPr>
            <w:tcW w:w="100" w:type="dxa"/>
            <w:vAlign w:val="bottom"/>
          </w:tcPr>
          <w:p>
            <w:pPr>
              <w:spacing w:after="0"/>
              <w:rPr>
                <w:sz w:val="15"/>
                <w:szCs w:val="15"/>
                <w:color w:val="auto"/>
              </w:rPr>
            </w:pPr>
          </w:p>
        </w:tc>
        <w:tc>
          <w:tcPr>
            <w:tcW w:w="2720" w:type="dxa"/>
            <w:vAlign w:val="bottom"/>
          </w:tcPr>
          <w:p>
            <w:pPr>
              <w:jc w:val="center"/>
              <w:ind w:right="51"/>
              <w:spacing w:after="0" w:line="176" w:lineRule="exact"/>
              <w:rPr>
                <w:sz w:val="20"/>
                <w:szCs w:val="20"/>
                <w:color w:val="auto"/>
              </w:rPr>
            </w:pPr>
            <w:r>
              <w:rPr>
                <w:rFonts w:ascii="Arial" w:cs="Arial" w:eastAsia="Arial" w:hAnsi="Arial"/>
                <w:sz w:val="18"/>
                <w:szCs w:val="18"/>
                <w:color w:val="auto"/>
                <w:w w:val="89"/>
              </w:rPr>
              <w:t>equity compensation plans as of</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outstanding options,</w:t>
            </w:r>
          </w:p>
        </w:tc>
        <w:tc>
          <w:tcPr>
            <w:tcW w:w="120" w:type="dxa"/>
            <w:vAlign w:val="bottom"/>
          </w:tcPr>
          <w:p>
            <w:pPr>
              <w:spacing w:after="0"/>
              <w:rPr>
                <w:sz w:val="15"/>
                <w:szCs w:val="15"/>
                <w:color w:val="auto"/>
              </w:rPr>
            </w:pPr>
          </w:p>
        </w:tc>
        <w:tc>
          <w:tcPr>
            <w:tcW w:w="20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5"/>
              </w:rPr>
              <w:t>rights</w:t>
            </w:r>
          </w:p>
        </w:tc>
        <w:tc>
          <w:tcPr>
            <w:tcW w:w="120" w:type="dxa"/>
            <w:vAlign w:val="bottom"/>
          </w:tcPr>
          <w:p>
            <w:pPr>
              <w:spacing w:after="0"/>
              <w:rPr>
                <w:sz w:val="15"/>
                <w:szCs w:val="15"/>
                <w:color w:val="auto"/>
              </w:rPr>
            </w:pPr>
          </w:p>
        </w:tc>
        <w:tc>
          <w:tcPr>
            <w:tcW w:w="1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warrants and rights</w:t>
            </w:r>
          </w:p>
        </w:tc>
        <w:tc>
          <w:tcPr>
            <w:tcW w:w="100" w:type="dxa"/>
            <w:vAlign w:val="bottom"/>
          </w:tcPr>
          <w:p>
            <w:pPr>
              <w:spacing w:after="0"/>
              <w:rPr>
                <w:sz w:val="15"/>
                <w:szCs w:val="15"/>
                <w:color w:val="auto"/>
              </w:rPr>
            </w:pPr>
          </w:p>
        </w:tc>
        <w:tc>
          <w:tcPr>
            <w:tcW w:w="2720" w:type="dxa"/>
            <w:vAlign w:val="bottom"/>
          </w:tcPr>
          <w:p>
            <w:pPr>
              <w:jc w:val="center"/>
              <w:ind w:right="51"/>
              <w:spacing w:after="0" w:line="176" w:lineRule="exact"/>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176"/>
        </w:trPr>
        <w:tc>
          <w:tcPr>
            <w:tcW w:w="2120" w:type="dxa"/>
            <w:vAlign w:val="bottom"/>
            <w:vMerge w:val="restart"/>
          </w:tcPr>
          <w:p>
            <w:pPr>
              <w:ind w:left="20"/>
              <w:spacing w:after="0"/>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15"/>
                <w:szCs w:val="15"/>
                <w:color w:val="auto"/>
              </w:rPr>
            </w:pPr>
          </w:p>
        </w:tc>
        <w:tc>
          <w:tcPr>
            <w:tcW w:w="21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15"/>
                <w:szCs w:val="15"/>
                <w:color w:val="auto"/>
              </w:rPr>
            </w:pPr>
          </w:p>
        </w:tc>
        <w:tc>
          <w:tcPr>
            <w:tcW w:w="20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as of December 31, 2021</w:t>
            </w:r>
          </w:p>
        </w:tc>
        <w:tc>
          <w:tcPr>
            <w:tcW w:w="120" w:type="dxa"/>
            <w:vAlign w:val="bottom"/>
          </w:tcPr>
          <w:p>
            <w:pPr>
              <w:spacing w:after="0"/>
              <w:rPr>
                <w:sz w:val="15"/>
                <w:szCs w:val="15"/>
                <w:color w:val="auto"/>
              </w:rPr>
            </w:pPr>
          </w:p>
        </w:tc>
        <w:tc>
          <w:tcPr>
            <w:tcW w:w="174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as of December 31,</w:t>
            </w:r>
          </w:p>
        </w:tc>
        <w:tc>
          <w:tcPr>
            <w:tcW w:w="100" w:type="dxa"/>
            <w:vAlign w:val="bottom"/>
          </w:tcPr>
          <w:p>
            <w:pPr>
              <w:spacing w:after="0"/>
              <w:rPr>
                <w:sz w:val="15"/>
                <w:szCs w:val="15"/>
                <w:color w:val="auto"/>
              </w:rPr>
            </w:pPr>
          </w:p>
        </w:tc>
        <w:tc>
          <w:tcPr>
            <w:tcW w:w="2720" w:type="dxa"/>
            <w:vAlign w:val="bottom"/>
          </w:tcPr>
          <w:p>
            <w:pPr>
              <w:jc w:val="center"/>
              <w:ind w:right="51"/>
              <w:spacing w:after="0" w:line="176" w:lineRule="exact"/>
              <w:rPr>
                <w:sz w:val="20"/>
                <w:szCs w:val="20"/>
                <w:color w:val="auto"/>
              </w:rPr>
            </w:pPr>
            <w:r>
              <w:rPr>
                <w:rFonts w:ascii="Arial" w:cs="Arial" w:eastAsia="Arial" w:hAnsi="Arial"/>
                <w:sz w:val="18"/>
                <w:szCs w:val="18"/>
                <w:color w:val="auto"/>
                <w:w w:val="91"/>
              </w:rPr>
              <w:t>(excluding securities reflected in</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2"/>
              </w:rPr>
              <w:t>as of December 31, 2021</w:t>
            </w:r>
          </w:p>
        </w:tc>
        <w:tc>
          <w:tcPr>
            <w:tcW w:w="22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7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9"/>
              </w:rPr>
              <w:t>2021 (years)</w:t>
            </w:r>
          </w:p>
        </w:tc>
        <w:tc>
          <w:tcPr>
            <w:tcW w:w="100" w:type="dxa"/>
            <w:vAlign w:val="bottom"/>
          </w:tcPr>
          <w:p>
            <w:pPr>
              <w:spacing w:after="0"/>
              <w:rPr>
                <w:sz w:val="17"/>
                <w:szCs w:val="17"/>
                <w:color w:val="auto"/>
              </w:rPr>
            </w:pPr>
          </w:p>
        </w:tc>
        <w:tc>
          <w:tcPr>
            <w:tcW w:w="2720" w:type="dxa"/>
            <w:vAlign w:val="bottom"/>
          </w:tcPr>
          <w:p>
            <w:pPr>
              <w:jc w:val="right"/>
              <w:ind w:right="651"/>
              <w:spacing w:after="0" w:line="202" w:lineRule="exact"/>
              <w:rPr>
                <w:sz w:val="20"/>
                <w:szCs w:val="20"/>
                <w:color w:val="auto"/>
              </w:rPr>
            </w:pPr>
            <w:r>
              <w:rPr>
                <w:rFonts w:ascii="Arial" w:cs="Arial" w:eastAsia="Arial" w:hAnsi="Arial"/>
                <w:sz w:val="17"/>
                <w:szCs w:val="17"/>
                <w:color w:val="auto"/>
              </w:rPr>
              <w:t>the first column)</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55"/>
        </w:trPr>
        <w:tc>
          <w:tcPr>
            <w:tcW w:w="2120" w:type="dxa"/>
            <w:vAlign w:val="bottom"/>
            <w:tcBorders>
              <w:top w:val="single" w:sz="8" w:color="auto"/>
            </w:tcBorders>
            <w:shd w:val="clear" w:color="auto" w:fill="CFF0FC"/>
          </w:tcPr>
          <w:p>
            <w:pPr>
              <w:ind w:left="20"/>
              <w:spacing w:after="0" w:line="156" w:lineRule="exact"/>
              <w:rPr>
                <w:sz w:val="20"/>
                <w:szCs w:val="20"/>
                <w:color w:val="auto"/>
              </w:rPr>
            </w:pPr>
            <w:r>
              <w:rPr>
                <w:rFonts w:ascii="Arial" w:cs="Arial" w:eastAsia="Arial" w:hAnsi="Arial"/>
                <w:sz w:val="18"/>
                <w:szCs w:val="18"/>
                <w:color w:val="auto"/>
                <w:w w:val="96"/>
              </w:rPr>
              <w:t>Equity compensation plans</w:t>
            </w:r>
          </w:p>
        </w:tc>
        <w:tc>
          <w:tcPr>
            <w:tcW w:w="120" w:type="dxa"/>
            <w:vAlign w:val="bottom"/>
            <w:shd w:val="clear" w:color="auto" w:fill="CFF0FC"/>
          </w:tcPr>
          <w:p>
            <w:pPr>
              <w:spacing w:after="0"/>
              <w:rPr>
                <w:sz w:val="13"/>
                <w:szCs w:val="13"/>
                <w:color w:val="auto"/>
              </w:rPr>
            </w:pPr>
          </w:p>
        </w:tc>
        <w:tc>
          <w:tcPr>
            <w:tcW w:w="21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7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7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approved by security</w:t>
            </w:r>
          </w:p>
        </w:tc>
        <w:tc>
          <w:tcPr>
            <w:tcW w:w="224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2,010,698</w:t>
            </w:r>
          </w:p>
        </w:tc>
        <w:tc>
          <w:tcPr>
            <w:tcW w:w="220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92.32</w:t>
            </w:r>
          </w:p>
        </w:tc>
        <w:tc>
          <w:tcPr>
            <w:tcW w:w="186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2820" w:type="dxa"/>
            <w:vAlign w:val="bottom"/>
            <w:gridSpan w:val="2"/>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4,632,297</w:t>
            </w: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holders</w:t>
            </w:r>
          </w:p>
        </w:tc>
        <w:tc>
          <w:tcPr>
            <w:tcW w:w="2240" w:type="dxa"/>
            <w:vAlign w:val="bottom"/>
            <w:gridSpan w:val="2"/>
            <w:vMerge w:val="continue"/>
            <w:shd w:val="clear" w:color="auto" w:fill="CFF0FC"/>
          </w:tcPr>
          <w:p>
            <w:pPr>
              <w:spacing w:after="0"/>
              <w:rPr>
                <w:sz w:val="18"/>
                <w:szCs w:val="18"/>
                <w:color w:val="auto"/>
              </w:rPr>
            </w:pPr>
          </w:p>
        </w:tc>
        <w:tc>
          <w:tcPr>
            <w:tcW w:w="2200" w:type="dxa"/>
            <w:vAlign w:val="bottom"/>
            <w:gridSpan w:val="2"/>
            <w:vMerge w:val="continue"/>
            <w:shd w:val="clear" w:color="auto" w:fill="CFF0FC"/>
          </w:tcPr>
          <w:p>
            <w:pPr>
              <w:spacing w:after="0"/>
              <w:rPr>
                <w:sz w:val="18"/>
                <w:szCs w:val="18"/>
                <w:color w:val="auto"/>
              </w:rPr>
            </w:pPr>
          </w:p>
        </w:tc>
        <w:tc>
          <w:tcPr>
            <w:tcW w:w="1860" w:type="dxa"/>
            <w:vAlign w:val="bottom"/>
            <w:gridSpan w:val="2"/>
            <w:vMerge w:val="continue"/>
            <w:shd w:val="clear" w:color="auto" w:fill="CFF0FC"/>
          </w:tcPr>
          <w:p>
            <w:pPr>
              <w:spacing w:after="0"/>
              <w:rPr>
                <w:sz w:val="18"/>
                <w:szCs w:val="18"/>
                <w:color w:val="auto"/>
              </w:rPr>
            </w:pPr>
          </w:p>
        </w:tc>
        <w:tc>
          <w:tcPr>
            <w:tcW w:w="2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line="162" w:lineRule="exact"/>
              <w:rPr>
                <w:sz w:val="20"/>
                <w:szCs w:val="20"/>
                <w:color w:val="auto"/>
              </w:rPr>
            </w:pPr>
            <w:r>
              <w:rPr>
                <w:rFonts w:ascii="Arial" w:cs="Arial" w:eastAsia="Arial" w:hAnsi="Arial"/>
                <w:sz w:val="18"/>
                <w:szCs w:val="18"/>
                <w:color w:val="auto"/>
                <w:w w:val="96"/>
              </w:rPr>
              <w:t>Equity compensation plans</w:t>
            </w: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rPr>
              <w:t>not approved by security</w:t>
            </w:r>
          </w:p>
        </w:tc>
        <w:tc>
          <w:tcPr>
            <w:tcW w:w="120" w:type="dxa"/>
            <w:vAlign w:val="bottom"/>
          </w:tcPr>
          <w:p>
            <w:pPr>
              <w:spacing w:after="0"/>
              <w:rPr>
                <w:sz w:val="15"/>
                <w:szCs w:val="15"/>
                <w:color w:val="auto"/>
              </w:rPr>
            </w:pPr>
          </w:p>
        </w:tc>
        <w:tc>
          <w:tcPr>
            <w:tcW w:w="21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7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7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holders</w:t>
            </w:r>
          </w:p>
        </w:tc>
        <w:tc>
          <w:tcPr>
            <w:tcW w:w="12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2,010,698</w:t>
            </w:r>
          </w:p>
        </w:tc>
        <w:tc>
          <w:tcPr>
            <w:tcW w:w="22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92.32</w:t>
            </w:r>
          </w:p>
        </w:tc>
        <w:tc>
          <w:tcPr>
            <w:tcW w:w="18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3.4</w:t>
            </w:r>
          </w:p>
        </w:tc>
        <w:tc>
          <w:tcPr>
            <w:tcW w:w="2820" w:type="dxa"/>
            <w:vAlign w:val="bottom"/>
            <w:gridSpan w:val="2"/>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4,632,297</w:t>
            </w:r>
          </w:p>
        </w:tc>
        <w:tc>
          <w:tcPr>
            <w:tcW w:w="0" w:type="dxa"/>
            <w:vAlign w:val="bottom"/>
          </w:tcPr>
          <w:p>
            <w:pPr>
              <w:spacing w:after="0"/>
              <w:rPr>
                <w:sz w:val="1"/>
                <w:szCs w:val="1"/>
                <w:color w:val="auto"/>
              </w:rPr>
            </w:pPr>
          </w:p>
        </w:tc>
      </w:tr>
    </w:tbl>
    <w:p>
      <w:pPr>
        <w:ind w:left="20" w:right="660" w:firstLine="1"/>
        <w:spacing w:after="0" w:line="233"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the number of shares remaining available for future issuance under the following plans: 1990 Employee Stock Purchase Plan – 45,635 shares; Savings Related Share Option Scheme – 586,941 shares; and 2011 Equity Incentive Plan – 3,999,721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6, 2022, under the caption “Board Independence and Related Party Transactions” and “Meetings and Committees of the Board,” which information is hereby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6, 2022, under the captions “Fees Billed by Deloitte &amp; Touche” and “Independent Auditor Services Policy” in the Audit Committee Report, which information is hereby incorporated herein by reference.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(a)(1) Financial Statements.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c>
          <w:tcPr>
            <w:tcW w:w="0" w:type="dxa"/>
            <w:vAlign w:val="bottom"/>
          </w:tcPr>
          <w:p>
            <w:pPr>
              <w:spacing w:after="0"/>
              <w:rPr>
                <w:sz w:val="1"/>
                <w:szCs w:val="1"/>
                <w:color w:val="auto"/>
              </w:rPr>
            </w:pPr>
          </w:p>
        </w:tc>
      </w:tr>
      <w:tr>
        <w:trPr>
          <w:trHeight w:val="203"/>
        </w:trPr>
        <w:tc>
          <w:tcPr>
            <w:tcW w:w="36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Consolidated Financial Statements: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220" w:type="dxa"/>
            <w:vAlign w:val="bottom"/>
            <w:tcBorders>
              <w:bottom w:val="single" w:sz="8" w:color="0000FF"/>
            </w:tcBorders>
            <w:gridSpan w:val="4"/>
          </w:tcPr>
          <w:p>
            <w:pPr>
              <w:spacing w:after="0" w:line="176"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Report of Independent Registered Public Accounting Firm</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234"/>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83"/>
        </w:trPr>
        <w:tc>
          <w:tcPr>
            <w:tcW w:w="460" w:type="dxa"/>
            <w:vAlign w:val="bottom"/>
            <w:tcBorders>
              <w:bottom w:val="single" w:sz="8" w:color="CFF0FC"/>
            </w:tcBorders>
            <w:shd w:val="clear" w:color="auto" w:fill="CFF0FC"/>
          </w:tcPr>
          <w:p>
            <w:pPr>
              <w:spacing w:after="0"/>
              <w:rPr>
                <w:sz w:val="15"/>
                <w:szCs w:val="15"/>
                <w:color w:val="auto"/>
              </w:rPr>
            </w:pPr>
          </w:p>
        </w:tc>
        <w:tc>
          <w:tcPr>
            <w:tcW w:w="6900" w:type="dxa"/>
            <w:vAlign w:val="bottom"/>
            <w:tcBorders>
              <w:bottom w:val="single" w:sz="8" w:color="0000FF"/>
              <w:right w:val="single" w:sz="8" w:color="CFF0FC"/>
            </w:tcBorders>
            <w:gridSpan w:val="14"/>
            <w:shd w:val="clear" w:color="auto" w:fill="CFF0FC"/>
          </w:tcPr>
          <w:p>
            <w:pPr>
              <w:spacing w:after="0" w:line="17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Consolidated Statements of Operations for the years ended December 31, 2021, 2020 and 2019</w:t>
              </w:r>
            </w:hyperlink>
          </w:p>
        </w:tc>
        <w:tc>
          <w:tcPr>
            <w:tcW w:w="6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ind w:right="234"/>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8180" w:type="dxa"/>
            <w:vAlign w:val="bottom"/>
            <w:gridSpan w:val="19"/>
          </w:tcPr>
          <w:p>
            <w:pPr>
              <w:spacing w:after="0" w:line="176" w:lineRule="exact"/>
              <w:rPr>
                <w:rFonts w:ascii="Arial" w:cs="Arial" w:eastAsia="Arial" w:hAnsi="Arial"/>
                <w:sz w:val="18"/>
                <w:szCs w:val="18"/>
                <w:color w:val="0000FF"/>
                <w:w w:val="93"/>
              </w:rPr>
            </w:pPr>
            <w:hyperlink w:anchor="page55">
              <w:r>
                <w:rPr>
                  <w:rFonts w:ascii="Arial" w:cs="Arial" w:eastAsia="Arial" w:hAnsi="Arial"/>
                  <w:sz w:val="18"/>
                  <w:szCs w:val="18"/>
                  <w:color w:val="0000FF"/>
                  <w:w w:val="93"/>
                </w:rPr>
                <w:t>Consolidated Statements of Comprehensive Income for the years ended December 31, 2021, 2020 and 2019</w:t>
              </w:r>
            </w:hyperlink>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234"/>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75"/>
        </w:trPr>
        <w:tc>
          <w:tcPr>
            <w:tcW w:w="460" w:type="dxa"/>
            <w:vAlign w:val="bottom"/>
            <w:shd w:val="clear" w:color="auto" w:fill="CFF0FC"/>
          </w:tcPr>
          <w:p>
            <w:pPr>
              <w:spacing w:after="0"/>
              <w:rPr>
                <w:sz w:val="15"/>
                <w:szCs w:val="15"/>
                <w:color w:val="auto"/>
              </w:rPr>
            </w:pPr>
          </w:p>
        </w:tc>
        <w:tc>
          <w:tcPr>
            <w:tcW w:w="5440" w:type="dxa"/>
            <w:vAlign w:val="bottom"/>
            <w:tcBorders>
              <w:top w:val="single" w:sz="8" w:color="0000FF"/>
            </w:tcBorders>
            <w:gridSpan w:val="9"/>
            <w:shd w:val="clear" w:color="auto" w:fill="CFF0FC"/>
          </w:tcPr>
          <w:p>
            <w:pPr>
              <w:spacing w:after="0" w:line="176" w:lineRule="exact"/>
              <w:rPr>
                <w:rFonts w:ascii="Arial" w:cs="Arial" w:eastAsia="Arial" w:hAnsi="Arial"/>
                <w:sz w:val="18"/>
                <w:szCs w:val="18"/>
                <w:color w:val="0000FF"/>
              </w:rPr>
            </w:pPr>
            <w:hyperlink w:anchor="page56">
              <w:r>
                <w:rPr>
                  <w:rFonts w:ascii="Arial" w:cs="Arial" w:eastAsia="Arial" w:hAnsi="Arial"/>
                  <w:sz w:val="18"/>
                  <w:szCs w:val="18"/>
                  <w:color w:val="0000FF"/>
                </w:rPr>
                <w:t>Consolidated Balance Sheets as of December 31, 2021 and 2020</w:t>
              </w:r>
            </w:hyperlink>
          </w:p>
        </w:tc>
        <w:tc>
          <w:tcPr>
            <w:tcW w:w="120" w:type="dxa"/>
            <w:vAlign w:val="bottom"/>
            <w:tcBorders>
              <w:top w:val="single" w:sz="8" w:color="0000FF"/>
            </w:tcBorders>
            <w:shd w:val="clear" w:color="auto" w:fill="CFF0FC"/>
          </w:tcPr>
          <w:p>
            <w:pPr>
              <w:spacing w:after="0"/>
              <w:rPr>
                <w:sz w:val="15"/>
                <w:szCs w:val="15"/>
                <w:color w:val="auto"/>
              </w:rPr>
            </w:pPr>
          </w:p>
        </w:tc>
        <w:tc>
          <w:tcPr>
            <w:tcW w:w="140" w:type="dxa"/>
            <w:vAlign w:val="bottom"/>
            <w:tcBorders>
              <w:top w:val="single" w:sz="8" w:color="0000FF"/>
            </w:tcBorders>
            <w:shd w:val="clear" w:color="auto" w:fill="CFF0FC"/>
          </w:tcPr>
          <w:p>
            <w:pPr>
              <w:spacing w:after="0"/>
              <w:rPr>
                <w:sz w:val="15"/>
                <w:szCs w:val="15"/>
                <w:color w:val="auto"/>
              </w:rPr>
            </w:pPr>
          </w:p>
        </w:tc>
        <w:tc>
          <w:tcPr>
            <w:tcW w:w="940" w:type="dxa"/>
            <w:vAlign w:val="bottom"/>
            <w:tcBorders>
              <w:top w:val="single" w:sz="8" w:color="0000FF"/>
            </w:tcBorders>
            <w:shd w:val="clear" w:color="auto" w:fill="CFF0FC"/>
          </w:tcPr>
          <w:p>
            <w:pPr>
              <w:spacing w:after="0"/>
              <w:rPr>
                <w:sz w:val="15"/>
                <w:szCs w:val="15"/>
                <w:color w:val="auto"/>
              </w:rPr>
            </w:pPr>
          </w:p>
        </w:tc>
        <w:tc>
          <w:tcPr>
            <w:tcW w:w="100" w:type="dxa"/>
            <w:vAlign w:val="bottom"/>
            <w:tcBorders>
              <w:top w:val="single" w:sz="8" w:color="0000FF"/>
            </w:tcBorders>
            <w:shd w:val="clear" w:color="auto" w:fill="CFF0FC"/>
          </w:tcPr>
          <w:p>
            <w:pPr>
              <w:spacing w:after="0"/>
              <w:rPr>
                <w:sz w:val="15"/>
                <w:szCs w:val="15"/>
                <w:color w:val="auto"/>
              </w:rPr>
            </w:pPr>
          </w:p>
        </w:tc>
        <w:tc>
          <w:tcPr>
            <w:tcW w:w="160" w:type="dxa"/>
            <w:vAlign w:val="bottom"/>
            <w:tcBorders>
              <w:top w:val="single" w:sz="8" w:color="0000FF"/>
              <w:right w:val="single" w:sz="8" w:color="CFF0FC"/>
            </w:tcBorders>
            <w:shd w:val="clear" w:color="auto" w:fill="CFF0FC"/>
          </w:tcPr>
          <w:p>
            <w:pPr>
              <w:spacing w:after="0"/>
              <w:rPr>
                <w:sz w:val="15"/>
                <w:szCs w:val="15"/>
                <w:color w:val="auto"/>
              </w:rPr>
            </w:pPr>
          </w:p>
        </w:tc>
        <w:tc>
          <w:tcPr>
            <w:tcW w:w="680" w:type="dxa"/>
            <w:vAlign w:val="bottom"/>
            <w:tcBorders>
              <w:top w:val="single" w:sz="8" w:color="0000FF"/>
            </w:tcBorders>
            <w:shd w:val="clear" w:color="auto" w:fill="CFF0FC"/>
          </w:tcPr>
          <w:p>
            <w:pPr>
              <w:spacing w:after="0"/>
              <w:rPr>
                <w:sz w:val="15"/>
                <w:szCs w:val="15"/>
                <w:color w:val="auto"/>
              </w:rPr>
            </w:pPr>
          </w:p>
        </w:tc>
        <w:tc>
          <w:tcPr>
            <w:tcW w:w="200" w:type="dxa"/>
            <w:vAlign w:val="bottom"/>
            <w:tcBorders>
              <w:top w:val="single" w:sz="8" w:color="0000FF"/>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center"/>
              <w:ind w:right="234"/>
              <w:spacing w:after="0" w:line="17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7"/>
        </w:trPr>
        <w:tc>
          <w:tcPr>
            <w:tcW w:w="460" w:type="dxa"/>
            <w:vAlign w:val="bottom"/>
            <w:shd w:val="clear" w:color="auto" w:fill="CFF0FC"/>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8180" w:type="dxa"/>
            <w:vAlign w:val="bottom"/>
            <w:gridSpan w:val="19"/>
          </w:tcPr>
          <w:p>
            <w:pPr>
              <w:spacing w:after="0" w:line="176" w:lineRule="exact"/>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Cash Flows for the years ended December 31, 2021, 2020 and 2019</w:t>
              </w:r>
            </w:hyperlink>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234"/>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shd w:val="clear" w:color="auto" w:fill="CFF0FC"/>
          </w:tcPr>
          <w:p>
            <w:pPr>
              <w:spacing w:after="0"/>
              <w:rPr>
                <w:sz w:val="15"/>
                <w:szCs w:val="15"/>
                <w:color w:val="auto"/>
              </w:rPr>
            </w:pPr>
          </w:p>
        </w:tc>
        <w:tc>
          <w:tcPr>
            <w:tcW w:w="8180" w:type="dxa"/>
            <w:vAlign w:val="bottom"/>
            <w:gridSpan w:val="19"/>
            <w:shd w:val="clear" w:color="auto" w:fill="CFF0FC"/>
          </w:tcPr>
          <w:p>
            <w:pPr>
              <w:spacing w:after="0" w:line="176" w:lineRule="exact"/>
              <w:rPr>
                <w:rFonts w:ascii="Arial" w:cs="Arial" w:eastAsia="Arial" w:hAnsi="Arial"/>
                <w:sz w:val="18"/>
                <w:szCs w:val="18"/>
                <w:color w:val="0000FF"/>
                <w:w w:val="96"/>
              </w:rPr>
            </w:pPr>
            <w:hyperlink w:anchor="page58">
              <w:r>
                <w:rPr>
                  <w:rFonts w:ascii="Arial" w:cs="Arial" w:eastAsia="Arial" w:hAnsi="Arial"/>
                  <w:sz w:val="18"/>
                  <w:szCs w:val="18"/>
                  <w:color w:val="0000FF"/>
                  <w:w w:val="96"/>
                </w:rPr>
                <w:t>Consolidated Statements of Shareholders’ Equity for the years ended December 31, 2021, 2020 and 2019</w:t>
              </w:r>
            </w:hyperlink>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center"/>
              <w:ind w:right="234"/>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76"/>
        </w:trPr>
        <w:tc>
          <w:tcPr>
            <w:tcW w:w="460" w:type="dxa"/>
            <w:vAlign w:val="bottom"/>
            <w:tcBorders>
              <w:top w:val="single" w:sz="8" w:color="CFF0FC"/>
            </w:tcBorders>
          </w:tcPr>
          <w:p>
            <w:pPr>
              <w:spacing w:after="0"/>
              <w:rPr>
                <w:sz w:val="15"/>
                <w:szCs w:val="15"/>
                <w:color w:val="auto"/>
              </w:rPr>
            </w:pPr>
          </w:p>
        </w:tc>
        <w:tc>
          <w:tcPr>
            <w:tcW w:w="3160" w:type="dxa"/>
            <w:vAlign w:val="bottom"/>
            <w:tcBorders>
              <w:top w:val="single" w:sz="8" w:color="0000FF"/>
              <w:bottom w:val="single" w:sz="8" w:color="0000FF"/>
            </w:tcBorders>
            <w:gridSpan w:val="2"/>
          </w:tcPr>
          <w:p>
            <w:pPr>
              <w:spacing w:after="0" w:line="176"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Notes to Consolidated Financial Statements</w:t>
              </w:r>
            </w:hyperlink>
          </w:p>
        </w:tc>
        <w:tc>
          <w:tcPr>
            <w:tcW w:w="12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3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940" w:type="dxa"/>
            <w:vAlign w:val="bottom"/>
            <w:tcBorders>
              <w:top w:val="single" w:sz="8" w:color="CFF0FC"/>
              <w:bottom w:val="single" w:sz="8" w:color="CFF0FC"/>
            </w:tcBorders>
            <w:vMerge w:val="restart"/>
          </w:tcPr>
          <w:p>
            <w:pPr>
              <w:jc w:val="center"/>
              <w:ind w:right="234"/>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196"/>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rPr>
              <w:t>(a)(2) Financial Statement Schedule.</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6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700" w:type="dxa"/>
            <w:vAlign w:val="bottom"/>
            <w:gridSpan w:val="6"/>
          </w:tcPr>
          <w:p>
            <w:pPr>
              <w:spacing w:after="0"/>
              <w:rPr>
                <w:sz w:val="20"/>
                <w:szCs w:val="20"/>
                <w:color w:val="auto"/>
              </w:rPr>
            </w:pPr>
            <w:r>
              <w:rPr>
                <w:rFonts w:ascii="Arial" w:cs="Arial" w:eastAsia="Arial" w:hAnsi="Arial"/>
                <w:sz w:val="18"/>
                <w:szCs w:val="18"/>
                <w:color w:val="auto"/>
              </w:rPr>
              <w:t>SCHEDULE II—Valuation and Qualifying Accounts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sz w:val="20"/>
                <w:szCs w:val="20"/>
                <w:color w:val="auto"/>
              </w:rPr>
            </w:pPr>
            <w:r>
              <w:rPr>
                <w:rFonts w:ascii="Arial" w:cs="Arial" w:eastAsia="Arial" w:hAnsi="Arial"/>
                <w:sz w:val="18"/>
                <w:szCs w:val="18"/>
                <w:color w:val="auto"/>
                <w:w w:val="90"/>
              </w:rPr>
              <w:t>For the years ended December 31, 2021, 2020 and 2019, in millions: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Provisions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5"/>
            <w:vMerge w:val="restart"/>
          </w:tcPr>
          <w:p>
            <w:pPr>
              <w:jc w:val="center"/>
              <w:ind w:right="450"/>
              <w:spacing w:after="0"/>
              <w:rPr>
                <w:sz w:val="20"/>
                <w:szCs w:val="20"/>
                <w:color w:val="auto"/>
              </w:rPr>
            </w:pPr>
            <w:r>
              <w:rPr>
                <w:rFonts w:ascii="Arial" w:cs="Arial" w:eastAsia="Arial" w:hAnsi="Arial"/>
                <w:sz w:val="14"/>
                <w:szCs w:val="14"/>
                <w:b w:val="1"/>
                <w:bCs w:val="1"/>
                <w:color w:val="auto"/>
                <w:w w:val="92"/>
              </w:rPr>
              <w:t>Translation</w:t>
            </w:r>
          </w:p>
        </w:tc>
        <w:tc>
          <w:tcPr>
            <w:tcW w:w="13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w w:val="90"/>
              </w:rPr>
              <w:t>Reclassifications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jc w:val="right"/>
              <w:ind w:right="430"/>
              <w:spacing w:after="0"/>
              <w:rPr>
                <w:sz w:val="20"/>
                <w:szCs w:val="20"/>
                <w:color w:val="auto"/>
              </w:rPr>
            </w:pPr>
            <w:r>
              <w:rPr>
                <w:rFonts w:ascii="Arial" w:cs="Arial" w:eastAsia="Arial" w:hAnsi="Arial"/>
                <w:sz w:val="14"/>
                <w:szCs w:val="14"/>
                <w:b w:val="1"/>
                <w:bCs w:val="1"/>
                <w:color w:val="auto"/>
                <w:w w:val="97"/>
              </w:rPr>
              <w:t>Write-Offs</w:t>
            </w:r>
          </w:p>
        </w:tc>
        <w:tc>
          <w:tcPr>
            <w:tcW w:w="1280" w:type="dxa"/>
            <w:vAlign w:val="bottom"/>
            <w:gridSpan w:val="5"/>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9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Year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80" w:type="dxa"/>
            <w:vAlign w:val="bottom"/>
            <w:gridSpan w:val="5"/>
          </w:tcPr>
          <w:p>
            <w:pPr>
              <w:jc w:val="center"/>
              <w:ind w:right="430"/>
              <w:spacing w:after="0"/>
              <w:rPr>
                <w:sz w:val="20"/>
                <w:szCs w:val="20"/>
                <w:color w:val="auto"/>
              </w:rPr>
            </w:pPr>
            <w:r>
              <w:rPr>
                <w:rFonts w:ascii="Arial" w:cs="Arial" w:eastAsia="Arial" w:hAnsi="Arial"/>
                <w:sz w:val="14"/>
                <w:szCs w:val="14"/>
                <w:b w:val="1"/>
                <w:bCs w:val="1"/>
                <w:color w:val="auto"/>
                <w:w w:val="89"/>
              </w:rPr>
              <w:t>Adjustments</w:t>
            </w:r>
          </w:p>
        </w:tc>
        <w:tc>
          <w:tcPr>
            <w:tcW w:w="1380" w:type="dxa"/>
            <w:vAlign w:val="bottom"/>
          </w:tcPr>
          <w:p>
            <w:pPr>
              <w:jc w:val="right"/>
              <w:ind w:right="417"/>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FF0FC"/>
          </w:tcPr>
          <w:p>
            <w:pPr>
              <w:ind w:left="1560"/>
              <w:spacing w:after="0" w:line="196" w:lineRule="exact"/>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128.1</w:t>
            </w: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(17.7 )</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(6.5 )</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(0.2 )</w:t>
            </w: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3"/>
        </w:trPr>
        <w:tc>
          <w:tcPr>
            <w:tcW w:w="360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113.5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FF0FC"/>
          </w:tcPr>
          <w:p>
            <w:pPr>
              <w:ind w:left="1560"/>
              <w:spacing w:after="0" w:line="202" w:lineRule="exact"/>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115.7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(19.1 )</w:t>
            </w:r>
          </w:p>
        </w:tc>
        <w:tc>
          <w:tcPr>
            <w:tcW w:w="10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(c) below.</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(c) Exhibits.</w:t>
      </w:r>
    </w:p>
    <w:p>
      <w:pPr>
        <w:spacing w:after="0" w:line="198" w:lineRule="exact"/>
        <w:rPr>
          <w:sz w:val="20"/>
          <w:szCs w:val="20"/>
          <w:color w:val="auto"/>
        </w:rPr>
      </w:pPr>
    </w:p>
    <w:p>
      <w:pPr>
        <w:ind w:left="920" w:right="180" w:hanging="904"/>
        <w:spacing w:after="0" w:line="21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265">
        <w:r>
          <w:rPr>
            <w:rFonts w:ascii="Arial" w:cs="Arial" w:eastAsia="Arial" w:hAnsi="Arial"/>
            <w:sz w:val="18"/>
            <w:szCs w:val="18"/>
            <w:u w:val="single" w:color="auto"/>
            <w:color w:val="0000FF"/>
          </w:rPr>
          <w:t>Equity Purchase and Merger Agreement, dated as of August 23,2021, by and among AMCP Staffing Holdings, LP, AMCP II Staffing Corp</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Holdings Holdco, LLC, solely in its capacity as the representative of the seller entities, AMCP Staffing Holdings GP, LLC, ManpowerGroup</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Global Inc., Longhorn 2021 LP and solely for the purposes of section 10.20 thereof, ManpowerGroup Inc., incorporated by reference to the</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Company’s Current Report on Form 8-K dated August 24,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-358775</wp:posOffset>
            </wp:positionV>
            <wp:extent cx="63912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3912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-247015</wp:posOffset>
            </wp:positionV>
            <wp:extent cx="64681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64681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-135890</wp:posOffset>
            </wp:positionV>
            <wp:extent cx="64058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4058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-24130</wp:posOffset>
            </wp:positionV>
            <wp:extent cx="29546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2954655" cy="8255"/>
                    </a:xfrm>
                    <a:prstGeom prst="rect">
                      <a:avLst/>
                    </a:prstGeom>
                    <a:noFill/>
                  </pic:spPr>
                </pic:pic>
              </a:graphicData>
            </a:graphic>
          </wp:anchor>
        </w:drawing>
      </w:r>
    </w:p>
    <w:p>
      <w:pPr>
        <w:spacing w:after="0" w:line="139"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0340" w:type="dxa"/>
            <w:vAlign w:val="bottom"/>
            <w:gridSpan w:val="34"/>
          </w:tcPr>
          <w:p>
            <w:pPr>
              <w:spacing w:after="0"/>
              <w:rPr>
                <w:rFonts w:ascii="Arial" w:cs="Arial" w:eastAsia="Arial" w:hAnsi="Arial"/>
                <w:sz w:val="18"/>
                <w:szCs w:val="18"/>
                <w:color w:val="0000FF"/>
                <w:w w:val="91"/>
              </w:rPr>
            </w:pPr>
            <w:hyperlink r:id="rId270">
              <w:r>
                <w:rPr>
                  <w:rFonts w:ascii="Arial" w:cs="Arial" w:eastAsia="Arial" w:hAnsi="Arial"/>
                  <w:sz w:val="18"/>
                  <w:szCs w:val="18"/>
                  <w:color w:val="0000FF"/>
                  <w:w w:val="91"/>
                </w:rPr>
                <w:t>Amended and Restated Articles of Incorporation of ManpowerGroup Inc., incorporated by reference to the Quarterly Report on Form 10-Q for</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3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70">
              <w:r>
                <w:rPr>
                  <w:rFonts w:ascii="Arial" w:cs="Arial" w:eastAsia="Arial" w:hAnsi="Arial"/>
                  <w:sz w:val="18"/>
                  <w:szCs w:val="18"/>
                  <w:color w:val="0000FF"/>
                </w:rPr>
                <w:t>the quarter ended June 30, 2013.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0340" w:type="dxa"/>
            <w:vAlign w:val="bottom"/>
            <w:gridSpan w:val="34"/>
          </w:tcPr>
          <w:p>
            <w:pPr>
              <w:spacing w:after="0"/>
              <w:rPr>
                <w:rFonts w:ascii="Arial" w:cs="Arial" w:eastAsia="Arial" w:hAnsi="Arial"/>
                <w:sz w:val="18"/>
                <w:szCs w:val="18"/>
                <w:color w:val="0000FF"/>
                <w:w w:val="95"/>
              </w:rPr>
            </w:pPr>
            <w:hyperlink r:id="rId271">
              <w:r>
                <w:rPr>
                  <w:rFonts w:ascii="Arial" w:cs="Arial" w:eastAsia="Arial" w:hAnsi="Arial"/>
                  <w:sz w:val="18"/>
                  <w:szCs w:val="18"/>
                  <w:color w:val="0000FF"/>
                  <w:w w:val="95"/>
                </w:rPr>
                <w:t>Text of Amendments to the ManpowerGroup Inc. Amended and Restated By-laws, incorporated by reference to the Company’s Current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271">
              <w:r>
                <w:rPr>
                  <w:rFonts w:ascii="Arial" w:cs="Arial" w:eastAsia="Arial" w:hAnsi="Arial"/>
                  <w:sz w:val="18"/>
                  <w:szCs w:val="18"/>
                  <w:color w:val="0000FF"/>
                  <w:w w:val="90"/>
                </w:rPr>
                <w:t>Report on Form 8-K dated November 12, 2021.</w:t>
              </w:r>
            </w:hyperlink>
          </w:p>
        </w:tc>
        <w:tc>
          <w:tcPr>
            <w:tcW w:w="63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3.3</w:t>
            </w:r>
          </w:p>
        </w:tc>
        <w:tc>
          <w:tcPr>
            <w:tcW w:w="10340" w:type="dxa"/>
            <w:vAlign w:val="bottom"/>
            <w:gridSpan w:val="34"/>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Amended and Restated By-laws of ManpowerGroup Inc., as amended through November 12, 2021 (complete version).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0340" w:type="dxa"/>
            <w:vAlign w:val="bottom"/>
            <w:gridSpan w:val="34"/>
          </w:tcPr>
          <w:p>
            <w:pPr>
              <w:spacing w:after="0"/>
              <w:rPr>
                <w:rFonts w:ascii="Arial" w:cs="Arial" w:eastAsia="Arial" w:hAnsi="Arial"/>
                <w:sz w:val="18"/>
                <w:szCs w:val="18"/>
                <w:color w:val="0000FF"/>
                <w:w w:val="92"/>
              </w:rPr>
            </w:pPr>
            <w:hyperlink r:id="rId272">
              <w:r>
                <w:rPr>
                  <w:rFonts w:ascii="Arial" w:cs="Arial" w:eastAsia="Arial" w:hAnsi="Arial"/>
                  <w:sz w:val="18"/>
                  <w:szCs w:val="18"/>
                  <w:color w:val="0000FF"/>
                  <w:w w:val="92"/>
                </w:rPr>
                <w:t>Fiscal and Paying Agency Agreement between the Company and Citibank, N.A., London Branch as Fiscal Agent, Principal Paying Agent and</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0"/>
              </w:rPr>
            </w:pPr>
            <w:hyperlink r:id="rId272">
              <w:r>
                <w:rPr>
                  <w:rFonts w:ascii="Arial" w:cs="Arial" w:eastAsia="Arial" w:hAnsi="Arial"/>
                  <w:sz w:val="18"/>
                  <w:szCs w:val="18"/>
                  <w:color w:val="0000FF"/>
                  <w:w w:val="90"/>
                </w:rPr>
                <w:t>Registrar and Transfer Agent, dated as of June 22, 2018 (including the form of Note attached thereto as Schedule I), incorporated by reference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4920" w:type="dxa"/>
            <w:vAlign w:val="bottom"/>
            <w:tcBorders>
              <w:bottom w:val="single" w:sz="8" w:color="0000FF"/>
            </w:tcBorders>
            <w:gridSpan w:val="8"/>
          </w:tcPr>
          <w:p>
            <w:pPr>
              <w:spacing w:after="0" w:line="156" w:lineRule="exact"/>
              <w:rPr>
                <w:rFonts w:ascii="Arial" w:cs="Arial" w:eastAsia="Arial" w:hAnsi="Arial"/>
                <w:sz w:val="18"/>
                <w:szCs w:val="18"/>
                <w:color w:val="0000FF"/>
                <w:w w:val="89"/>
              </w:rPr>
            </w:pPr>
            <w:hyperlink r:id="rId272">
              <w:r>
                <w:rPr>
                  <w:rFonts w:ascii="Arial" w:cs="Arial" w:eastAsia="Arial" w:hAnsi="Arial"/>
                  <w:sz w:val="18"/>
                  <w:szCs w:val="18"/>
                  <w:color w:val="0000FF"/>
                  <w:w w:val="89"/>
                </w:rPr>
                <w:t>to the Company’s Current Report on Form 8-K dated June 22, 2018.</w:t>
              </w:r>
            </w:hyperlink>
          </w:p>
        </w:tc>
        <w:tc>
          <w:tcPr>
            <w:tcW w:w="20" w:type="dxa"/>
            <w:vAlign w:val="bottom"/>
            <w:tcBorders>
              <w:bottom w:val="single" w:sz="8" w:color="0000EE"/>
            </w:tcBorders>
          </w:tcPr>
          <w:p>
            <w:pPr>
              <w:spacing w:after="0"/>
              <w:rPr>
                <w:sz w:val="13"/>
                <w:szCs w:val="13"/>
                <w:color w:val="auto"/>
              </w:rPr>
            </w:pPr>
          </w:p>
        </w:tc>
        <w:tc>
          <w:tcPr>
            <w:tcW w:w="5360" w:type="dxa"/>
            <w:vAlign w:val="bottom"/>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60"/>
              <w:spacing w:after="0"/>
              <w:rPr>
                <w:sz w:val="20"/>
                <w:szCs w:val="20"/>
                <w:color w:val="auto"/>
              </w:rPr>
            </w:pPr>
            <w:r>
              <w:rPr>
                <w:rFonts w:ascii="Arial" w:cs="Arial" w:eastAsia="Arial" w:hAnsi="Arial"/>
                <w:sz w:val="18"/>
                <w:szCs w:val="18"/>
                <w:color w:val="auto"/>
              </w:rPr>
              <w:t>4.2</w:t>
            </w:r>
          </w:p>
        </w:tc>
        <w:tc>
          <w:tcPr>
            <w:tcW w:w="10340" w:type="dxa"/>
            <w:vAlign w:val="bottom"/>
            <w:gridSpan w:val="34"/>
          </w:tcPr>
          <w:p>
            <w:pPr>
              <w:spacing w:after="0"/>
              <w:rPr>
                <w:rFonts w:ascii="Arial" w:cs="Arial" w:eastAsia="Arial" w:hAnsi="Arial"/>
                <w:sz w:val="18"/>
                <w:szCs w:val="18"/>
                <w:color w:val="0000FF"/>
                <w:w w:val="93"/>
              </w:rPr>
            </w:pPr>
            <w:hyperlink r:id="rId273">
              <w:r>
                <w:rPr>
                  <w:rFonts w:ascii="Arial" w:cs="Arial" w:eastAsia="Arial" w:hAnsi="Arial"/>
                  <w:sz w:val="18"/>
                  <w:szCs w:val="18"/>
                  <w:color w:val="0000FF"/>
                  <w:w w:val="93"/>
                </w:rPr>
                <w:t>Fiscal and Paying Agency Agreement between the Company and Citibank, N.A., as Fiscal Agent, Principal Paying Agent and Registrar and</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89"/>
              </w:rPr>
            </w:pPr>
            <w:hyperlink r:id="rId273">
              <w:r>
                <w:rPr>
                  <w:rFonts w:ascii="Arial" w:cs="Arial" w:eastAsia="Arial" w:hAnsi="Arial"/>
                  <w:sz w:val="18"/>
                  <w:szCs w:val="18"/>
                  <w:color w:val="0000FF"/>
                  <w:w w:val="89"/>
                </w:rPr>
                <w:t>Transfer Agent, dated as of September 11, 2015 (including the form of Note attached thereto as Schedule I), incorporated by reference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160" w:type="dxa"/>
            <w:vAlign w:val="bottom"/>
            <w:gridSpan w:val="30"/>
          </w:tcPr>
          <w:p>
            <w:pPr>
              <w:spacing w:after="0" w:line="156" w:lineRule="exact"/>
              <w:rPr>
                <w:rFonts w:ascii="Arial" w:cs="Arial" w:eastAsia="Arial" w:hAnsi="Arial"/>
                <w:sz w:val="18"/>
                <w:szCs w:val="18"/>
                <w:color w:val="0000FF"/>
              </w:rPr>
            </w:pPr>
            <w:hyperlink r:id="rId273">
              <w:r>
                <w:rPr>
                  <w:rFonts w:ascii="Arial" w:cs="Arial" w:eastAsia="Arial" w:hAnsi="Arial"/>
                  <w:sz w:val="18"/>
                  <w:szCs w:val="18"/>
                  <w:color w:val="0000FF"/>
                </w:rPr>
                <w:t>Company’s Current Report on Form 8-K dated September 11, 2015.</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9540" w:type="dxa"/>
            <w:vAlign w:val="bottom"/>
            <w:tcBorders>
              <w:bottom w:val="single" w:sz="8" w:color="0000FF"/>
            </w:tcBorders>
            <w:gridSpan w:val="21"/>
          </w:tcPr>
          <w:p>
            <w:pPr>
              <w:spacing w:after="0"/>
              <w:rPr>
                <w:rFonts w:ascii="Arial" w:cs="Arial" w:eastAsia="Arial" w:hAnsi="Arial"/>
                <w:sz w:val="18"/>
                <w:szCs w:val="18"/>
                <w:color w:val="0000FF"/>
                <w:w w:val="90"/>
              </w:rPr>
            </w:pPr>
            <w:hyperlink r:id="rId274">
              <w:r>
                <w:rPr>
                  <w:rFonts w:ascii="Arial" w:cs="Arial" w:eastAsia="Arial" w:hAnsi="Arial"/>
                  <w:sz w:val="18"/>
                  <w:szCs w:val="18"/>
                  <w:color w:val="0000FF"/>
                  <w:w w:val="90"/>
                </w:rPr>
                <w:t>Description of Securities Registered Pursuant to Section 12 of the Securities Exchange Act of 1934 incorporated by reference to the</w:t>
              </w:r>
            </w:hyperlink>
          </w:p>
        </w:tc>
        <w:tc>
          <w:tcPr>
            <w:tcW w:w="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vMerge w:val="continue"/>
          </w:tcPr>
          <w:p>
            <w:pPr>
              <w:spacing w:after="0"/>
              <w:rPr>
                <w:sz w:val="8"/>
                <w:szCs w:val="8"/>
                <w:color w:val="auto"/>
              </w:rPr>
            </w:pPr>
          </w:p>
        </w:tc>
        <w:tc>
          <w:tcPr>
            <w:tcW w:w="10340" w:type="dxa"/>
            <w:vAlign w:val="bottom"/>
            <w:gridSpan w:val="34"/>
            <w:vMerge w:val="restart"/>
          </w:tcPr>
          <w:p>
            <w:pPr>
              <w:spacing w:after="0" w:line="156" w:lineRule="exact"/>
              <w:rPr>
                <w:rFonts w:ascii="Arial" w:cs="Arial" w:eastAsia="Arial" w:hAnsi="Arial"/>
                <w:sz w:val="18"/>
                <w:szCs w:val="18"/>
                <w:color w:val="0000FF"/>
              </w:rPr>
            </w:pPr>
            <w:hyperlink r:id="rId274">
              <w:r>
                <w:rPr>
                  <w:rFonts w:ascii="Arial" w:cs="Arial" w:eastAsia="Arial" w:hAnsi="Arial"/>
                  <w:sz w:val="18"/>
                  <w:szCs w:val="18"/>
                  <w:color w:val="0000FF"/>
                </w:rPr>
                <w:t>Company’s Annual Report on Form 10-K for the year ended December 31, 2020.</w:t>
              </w:r>
            </w:hyperlink>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10340" w:type="dxa"/>
            <w:vAlign w:val="bottom"/>
            <w:gridSpan w:val="3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340" w:type="dxa"/>
            <w:vAlign w:val="bottom"/>
            <w:gridSpan w:val="34"/>
          </w:tcPr>
          <w:p>
            <w:pPr>
              <w:spacing w:after="0"/>
              <w:rPr>
                <w:rFonts w:ascii="Arial" w:cs="Arial" w:eastAsia="Arial" w:hAnsi="Arial"/>
                <w:sz w:val="18"/>
                <w:szCs w:val="18"/>
                <w:color w:val="0000FF"/>
                <w:w w:val="90"/>
              </w:rPr>
            </w:pPr>
            <w:hyperlink r:id="rId275">
              <w:r>
                <w:rPr>
                  <w:rFonts w:ascii="Arial" w:cs="Arial" w:eastAsia="Arial" w:hAnsi="Arial"/>
                  <w:sz w:val="18"/>
                  <w:szCs w:val="18"/>
                  <w:color w:val="0000FF"/>
                  <w:w w:val="90"/>
                </w:rPr>
                <w:t>Amended and Restated Five-Year Credit Agreement dated as of June 18, 2018 among the Company, a syndicate of lenders and Citibank, N.A.,</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3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75">
              <w:r>
                <w:rPr>
                  <w:rFonts w:ascii="Arial" w:cs="Arial" w:eastAsia="Arial" w:hAnsi="Arial"/>
                  <w:sz w:val="18"/>
                  <w:szCs w:val="18"/>
                  <w:color w:val="0000FF"/>
                </w:rPr>
                <w:t>as Administrative Agent, incorporated by reference to the Company’s Current Report on Form 8-K dated June 22,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0340" w:type="dxa"/>
            <w:vAlign w:val="bottom"/>
            <w:gridSpan w:val="34"/>
          </w:tcPr>
          <w:p>
            <w:pPr>
              <w:spacing w:after="0"/>
              <w:rPr>
                <w:rFonts w:ascii="Arial" w:cs="Arial" w:eastAsia="Arial" w:hAnsi="Arial"/>
                <w:sz w:val="18"/>
                <w:szCs w:val="18"/>
                <w:color w:val="0000FF"/>
                <w:w w:val="94"/>
              </w:rPr>
            </w:pPr>
            <w:hyperlink r:id="rId276">
              <w:r>
                <w:rPr>
                  <w:rFonts w:ascii="Arial" w:cs="Arial" w:eastAsia="Arial" w:hAnsi="Arial"/>
                  <w:sz w:val="18"/>
                  <w:szCs w:val="18"/>
                  <w:color w:val="0000FF"/>
                  <w:w w:val="94"/>
                </w:rPr>
                <w:t>Manpower Savings Related Share Option Scheme incorporated by reference to the Company’s Annual Report on Form 10-K for the year</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99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76">
              <w:r>
                <w:rPr>
                  <w:rFonts w:ascii="Arial" w:cs="Arial" w:eastAsia="Arial" w:hAnsi="Arial"/>
                  <w:sz w:val="18"/>
                  <w:szCs w:val="18"/>
                  <w:color w:val="0000FF"/>
                </w:rPr>
                <w:t>ended December 31, 2010. **</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0340" w:type="dxa"/>
            <w:vAlign w:val="bottom"/>
            <w:gridSpan w:val="34"/>
          </w:tcPr>
          <w:p>
            <w:pPr>
              <w:spacing w:after="0"/>
              <w:rPr>
                <w:rFonts w:ascii="Arial" w:cs="Arial" w:eastAsia="Arial" w:hAnsi="Arial"/>
                <w:sz w:val="18"/>
                <w:szCs w:val="18"/>
                <w:color w:val="0000FF"/>
                <w:w w:val="98"/>
              </w:rPr>
            </w:pPr>
            <w:hyperlink r:id="rId277">
              <w:r>
                <w:rPr>
                  <w:rFonts w:ascii="Arial" w:cs="Arial" w:eastAsia="Arial" w:hAnsi="Arial"/>
                  <w:sz w:val="18"/>
                  <w:szCs w:val="18"/>
                  <w:color w:val="0000FF"/>
                  <w:w w:val="98"/>
                </w:rPr>
                <w:t>Manpower 1990 Employee Stock Purchase Plan (Amended and Restated effective April 26, 2005), incorporated by reference to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277">
              <w:r>
                <w:rPr>
                  <w:rFonts w:ascii="Arial" w:cs="Arial" w:eastAsia="Arial" w:hAnsi="Arial"/>
                  <w:sz w:val="18"/>
                  <w:szCs w:val="18"/>
                  <w:color w:val="0000FF"/>
                  <w:w w:val="91"/>
                </w:rPr>
                <w:t>Company’s Proxy Statement for the 2005 Annual Meeting of Shareholders.**</w:t>
              </w:r>
            </w:hyperlink>
          </w:p>
        </w:tc>
        <w:tc>
          <w:tcPr>
            <w:tcW w:w="20" w:type="dxa"/>
            <w:vAlign w:val="bottom"/>
            <w:tcBorders>
              <w:top w:val="single" w:sz="8" w:color="0000FF"/>
              <w:bottom w:val="single" w:sz="8" w:color="0000EE"/>
            </w:tcBorders>
          </w:tcPr>
          <w:p>
            <w:pPr>
              <w:spacing w:after="0"/>
              <w:rPr>
                <w:sz w:val="13"/>
                <w:szCs w:val="13"/>
                <w:color w:val="auto"/>
              </w:rPr>
            </w:pPr>
          </w:p>
        </w:tc>
        <w:tc>
          <w:tcPr>
            <w:tcW w:w="3880" w:type="dxa"/>
            <w:vAlign w:val="bottom"/>
            <w:tcBorders>
              <w:top w:val="single" w:sz="8" w:color="0000FF"/>
            </w:tcBorders>
            <w:gridSpan w:val="6"/>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10.6(a)</w:t>
            </w:r>
          </w:p>
        </w:tc>
        <w:tc>
          <w:tcPr>
            <w:tcW w:w="9840" w:type="dxa"/>
            <w:vAlign w:val="bottom"/>
            <w:tcBorders>
              <w:bottom w:val="single" w:sz="8" w:color="0000FF"/>
            </w:tcBorders>
            <w:gridSpan w:val="24"/>
          </w:tcPr>
          <w:p>
            <w:pPr>
              <w:spacing w:after="0"/>
              <w:rPr>
                <w:rFonts w:ascii="Arial" w:cs="Arial" w:eastAsia="Arial" w:hAnsi="Arial"/>
                <w:sz w:val="18"/>
                <w:szCs w:val="18"/>
                <w:color w:val="0000FF"/>
                <w:w w:val="91"/>
              </w:rPr>
            </w:pPr>
            <w:hyperlink r:id="rId278">
              <w:r>
                <w:rPr>
                  <w:rFonts w:ascii="Arial" w:cs="Arial" w:eastAsia="Arial" w:hAnsi="Arial"/>
                  <w:sz w:val="18"/>
                  <w:szCs w:val="18"/>
                  <w:color w:val="0000FF"/>
                  <w:w w:val="91"/>
                </w:rPr>
                <w:t>Terms and Conditions Regarding the Grant of Awards to Non-Employee Directors Under the 2011 Equity Incentive Plan (Amended and</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340" w:type="dxa"/>
            <w:vAlign w:val="bottom"/>
            <w:gridSpan w:val="34"/>
          </w:tcPr>
          <w:p>
            <w:pPr>
              <w:spacing w:after="0" w:line="156" w:lineRule="exact"/>
              <w:rPr>
                <w:rFonts w:ascii="Arial" w:cs="Arial" w:eastAsia="Arial" w:hAnsi="Arial"/>
                <w:sz w:val="18"/>
                <w:szCs w:val="18"/>
                <w:color w:val="0000FF"/>
                <w:w w:val="92"/>
              </w:rPr>
            </w:pPr>
            <w:hyperlink r:id="rId278">
              <w:r>
                <w:rPr>
                  <w:rFonts w:ascii="Arial" w:cs="Arial" w:eastAsia="Arial" w:hAnsi="Arial"/>
                  <w:sz w:val="18"/>
                  <w:szCs w:val="18"/>
                  <w:color w:val="0000FF"/>
                  <w:w w:val="92"/>
                </w:rPr>
                <w:t>Restated January 1, 2020), incorporated by reference to the Company's Annual Report on Form 10-K for the year ended December 31, 2019</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rPr>
            </w:pPr>
            <w:hyperlink r:id="rId278">
              <w:r>
                <w:rPr>
                  <w:rFonts w:ascii="Arial" w:cs="Arial" w:eastAsia="Arial" w:hAnsi="Arial"/>
                  <w:sz w:val="18"/>
                  <w:szCs w:val="18"/>
                  <w:color w:val="0000FF"/>
                </w:rPr>
                <w:t>**</w:t>
              </w:r>
            </w:hyperlink>
          </w:p>
        </w:tc>
        <w:tc>
          <w:tcPr>
            <w:tcW w:w="20" w:type="dxa"/>
            <w:vAlign w:val="bottom"/>
            <w:tcBorders>
              <w:top w:val="single" w:sz="8" w:color="0000FF"/>
              <w:bottom w:val="single" w:sz="8" w:color="0000EE"/>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10.6(b)</w:t>
            </w:r>
          </w:p>
        </w:tc>
        <w:tc>
          <w:tcPr>
            <w:tcW w:w="848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131">
              <w:r>
                <w:rPr>
                  <w:rFonts w:ascii="Arial" w:cs="Arial" w:eastAsia="Arial" w:hAnsi="Arial"/>
                  <w:sz w:val="18"/>
                  <w:szCs w:val="18"/>
                  <w:color w:val="0000FF"/>
                  <w:w w:val="91"/>
                </w:rPr>
                <w:t>ManpowerGroup Inc. Compensation for Non-Employee Directors (Amended and Restated Effective January 1, 2022.</w:t>
              </w:r>
            </w:hyperlink>
          </w:p>
        </w:tc>
        <w:tc>
          <w:tcPr>
            <w:tcW w:w="20" w:type="dxa"/>
            <w:vAlign w:val="bottom"/>
            <w:tcBorders>
              <w:bottom w:val="single" w:sz="8" w:color="0000EE"/>
            </w:tcBorders>
          </w:tcPr>
          <w:p>
            <w:pPr>
              <w:spacing w:after="0"/>
              <w:rPr>
                <w:sz w:val="24"/>
                <w:szCs w:val="24"/>
                <w:color w:val="auto"/>
              </w:rPr>
            </w:pPr>
          </w:p>
        </w:tc>
        <w:tc>
          <w:tcPr>
            <w:tcW w:w="18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10.6(c)</w:t>
            </w:r>
          </w:p>
        </w:tc>
        <w:tc>
          <w:tcPr>
            <w:tcW w:w="10340" w:type="dxa"/>
            <w:vAlign w:val="bottom"/>
            <w:gridSpan w:val="34"/>
          </w:tcPr>
          <w:p>
            <w:pPr>
              <w:spacing w:after="0"/>
              <w:rPr>
                <w:rFonts w:ascii="Arial" w:cs="Arial" w:eastAsia="Arial" w:hAnsi="Arial"/>
                <w:sz w:val="18"/>
                <w:szCs w:val="18"/>
                <w:color w:val="0000FF"/>
                <w:w w:val="92"/>
              </w:rPr>
            </w:pPr>
            <w:hyperlink r:id="rId279">
              <w:r>
                <w:rPr>
                  <w:rFonts w:ascii="Arial" w:cs="Arial" w:eastAsia="Arial" w:hAnsi="Arial"/>
                  <w:sz w:val="18"/>
                  <w:szCs w:val="18"/>
                  <w:color w:val="0000FF"/>
                  <w:w w:val="92"/>
                </w:rPr>
                <w:t>Severance Agreement between Jonas Prising and the Company dated as of February 14, 2020, incorporated by reference to the Company’s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79">
              <w:r>
                <w:rPr>
                  <w:rFonts w:ascii="Arial" w:cs="Arial" w:eastAsia="Arial" w:hAnsi="Arial"/>
                  <w:sz w:val="18"/>
                  <w:szCs w:val="18"/>
                  <w:color w:val="0000FF"/>
                  <w:w w:val="91"/>
                </w:rPr>
                <w:t>Quarterly Report on Form 10-Q for the quarter ended March 31, 2020. **</w:t>
              </w:r>
            </w:hyperlink>
          </w:p>
        </w:tc>
        <w:tc>
          <w:tcPr>
            <w:tcW w:w="20" w:type="dxa"/>
            <w:vAlign w:val="bottom"/>
            <w:tcBorders>
              <w:top w:val="single" w:sz="8" w:color="0000FF"/>
              <w:bottom w:val="single" w:sz="8" w:color="0000EE"/>
            </w:tcBorders>
          </w:tcPr>
          <w:p>
            <w:pPr>
              <w:spacing w:after="0"/>
              <w:rPr>
                <w:sz w:val="13"/>
                <w:szCs w:val="13"/>
                <w:color w:val="auto"/>
              </w:rPr>
            </w:pPr>
          </w:p>
        </w:tc>
        <w:tc>
          <w:tcPr>
            <w:tcW w:w="470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10.6(d)</w:t>
            </w:r>
          </w:p>
        </w:tc>
        <w:tc>
          <w:tcPr>
            <w:tcW w:w="10340" w:type="dxa"/>
            <w:vAlign w:val="bottom"/>
            <w:gridSpan w:val="34"/>
          </w:tcPr>
          <w:p>
            <w:pPr>
              <w:spacing w:after="0"/>
              <w:rPr>
                <w:rFonts w:ascii="Arial" w:cs="Arial" w:eastAsia="Arial" w:hAnsi="Arial"/>
                <w:sz w:val="18"/>
                <w:szCs w:val="18"/>
                <w:color w:val="0000FF"/>
                <w:w w:val="91"/>
              </w:rPr>
            </w:pPr>
            <w:hyperlink r:id="rId280">
              <w:r>
                <w:rPr>
                  <w:rFonts w:ascii="Arial" w:cs="Arial" w:eastAsia="Arial" w:hAnsi="Arial"/>
                  <w:sz w:val="18"/>
                  <w:szCs w:val="18"/>
                  <w:color w:val="0000FF"/>
                  <w:w w:val="91"/>
                </w:rPr>
                <w:t>Severance Agreement dated November 12, 2021 between the Company and Richard Buchband, incorporated by reference to the Company's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280">
              <w:r>
                <w:rPr>
                  <w:rFonts w:ascii="Arial" w:cs="Arial" w:eastAsia="Arial" w:hAnsi="Arial"/>
                  <w:sz w:val="18"/>
                  <w:szCs w:val="18"/>
                  <w:color w:val="0000FF"/>
                  <w:w w:val="91"/>
                </w:rPr>
                <w:t>Current Report on Form 8-K for the quarter ended November 12,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780" w:type="dxa"/>
            <w:vAlign w:val="bottom"/>
            <w:tcBorders>
              <w:top w:val="single" w:sz="8" w:color="0000FF"/>
            </w:tcBorders>
            <w:gridSpan w:val="17"/>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10.6(e)</w:t>
            </w:r>
          </w:p>
        </w:tc>
        <w:tc>
          <w:tcPr>
            <w:tcW w:w="10340" w:type="dxa"/>
            <w:vAlign w:val="bottom"/>
            <w:gridSpan w:val="34"/>
          </w:tcPr>
          <w:p>
            <w:pPr>
              <w:spacing w:after="0"/>
              <w:rPr>
                <w:rFonts w:ascii="Arial" w:cs="Arial" w:eastAsia="Arial" w:hAnsi="Arial"/>
                <w:sz w:val="18"/>
                <w:szCs w:val="18"/>
                <w:color w:val="0000FF"/>
                <w:w w:val="93"/>
              </w:rPr>
            </w:pPr>
            <w:hyperlink r:id="rId281">
              <w:r>
                <w:rPr>
                  <w:rFonts w:ascii="Arial" w:cs="Arial" w:eastAsia="Arial" w:hAnsi="Arial"/>
                  <w:sz w:val="18"/>
                  <w:szCs w:val="18"/>
                  <w:color w:val="0000FF"/>
                  <w:w w:val="93"/>
                </w:rPr>
                <w:t>2011 Equity Incentive Plan of Manpower Inc. (Amended and Restated Effective May 8, 2020), incorporated by reference to the Company’s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281">
              <w:r>
                <w:rPr>
                  <w:rFonts w:ascii="Arial" w:cs="Arial" w:eastAsia="Arial" w:hAnsi="Arial"/>
                  <w:sz w:val="18"/>
                  <w:szCs w:val="18"/>
                  <w:color w:val="0000FF"/>
                  <w:w w:val="91"/>
                </w:rPr>
                <w:t>Registration Statement on Form S-8 dated May 29, 2020. **</w:t>
              </w:r>
            </w:hyperlink>
          </w:p>
        </w:tc>
        <w:tc>
          <w:tcPr>
            <w:tcW w:w="20" w:type="dxa"/>
            <w:vAlign w:val="bottom"/>
            <w:tcBorders>
              <w:top w:val="single" w:sz="8" w:color="0000FF"/>
              <w:bottom w:val="single" w:sz="8" w:color="0000EE"/>
            </w:tcBorders>
          </w:tcPr>
          <w:p>
            <w:pPr>
              <w:spacing w:after="0"/>
              <w:rPr>
                <w:sz w:val="13"/>
                <w:szCs w:val="13"/>
                <w:color w:val="auto"/>
              </w:rPr>
            </w:pPr>
          </w:p>
        </w:tc>
        <w:tc>
          <w:tcPr>
            <w:tcW w:w="5720" w:type="dxa"/>
            <w:vAlign w:val="bottom"/>
            <w:tcBorders>
              <w:top w:val="single" w:sz="8" w:color="0000FF"/>
            </w:tcBorders>
            <w:gridSpan w:val="20"/>
          </w:tcPr>
          <w:p>
            <w:pPr>
              <w:spacing w:after="0"/>
              <w:rPr>
                <w:sz w:val="13"/>
                <w:szCs w:val="13"/>
                <w:color w:val="auto"/>
              </w:rPr>
            </w:pPr>
          </w:p>
        </w:tc>
        <w:tc>
          <w:tcPr>
            <w:tcW w:w="2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10.6(f)</w:t>
            </w:r>
          </w:p>
        </w:tc>
        <w:tc>
          <w:tcPr>
            <w:tcW w:w="10340" w:type="dxa"/>
            <w:vAlign w:val="bottom"/>
            <w:gridSpan w:val="34"/>
          </w:tcPr>
          <w:p>
            <w:pPr>
              <w:spacing w:after="0"/>
              <w:rPr>
                <w:rFonts w:ascii="Arial" w:cs="Arial" w:eastAsia="Arial" w:hAnsi="Arial"/>
                <w:sz w:val="18"/>
                <w:szCs w:val="18"/>
                <w:color w:val="0000FF"/>
                <w:w w:val="96"/>
              </w:rPr>
            </w:pPr>
            <w:hyperlink r:id="rId282">
              <w:r>
                <w:rPr>
                  <w:rFonts w:ascii="Arial" w:cs="Arial" w:eastAsia="Arial" w:hAnsi="Arial"/>
                  <w:sz w:val="18"/>
                  <w:szCs w:val="18"/>
                  <w:color w:val="0000FF"/>
                  <w:w w:val="96"/>
                </w:rPr>
                <w:t>Form of Indemnification Agreement, incorporated by reference to the Company’s Current Report on Form 8-K dated October 31, 2006.</w:t>
              </w:r>
            </w:hyperlink>
          </w:p>
        </w:tc>
        <w:tc>
          <w:tcPr>
            <w:tcW w:w="0" w:type="dxa"/>
            <w:vAlign w:val="bottom"/>
          </w:tcPr>
          <w:p>
            <w:pPr>
              <w:spacing w:after="0"/>
              <w:rPr>
                <w:sz w:val="1"/>
                <w:szCs w:val="1"/>
                <w:color w:val="auto"/>
              </w:rPr>
            </w:pPr>
          </w:p>
        </w:tc>
      </w:tr>
      <w:tr>
        <w:trPr>
          <w:trHeight w:val="642"/>
        </w:trPr>
        <w:tc>
          <w:tcPr>
            <w:tcW w:w="920" w:type="dxa"/>
            <w:vAlign w:val="bottom"/>
          </w:tcPr>
          <w:p>
            <w:pPr>
              <w:spacing w:after="0"/>
              <w:rPr>
                <w:sz w:val="24"/>
                <w:szCs w:val="24"/>
                <w:color w:val="auto"/>
              </w:rPr>
            </w:pPr>
          </w:p>
        </w:tc>
        <w:tc>
          <w:tcPr>
            <w:tcW w:w="4920" w:type="dxa"/>
            <w:vAlign w:val="bottom"/>
            <w:tcBorders>
              <w:top w:val="single" w:sz="8" w:color="0000FF"/>
            </w:tcBorders>
            <w:gridSpan w:val="8"/>
          </w:tcPr>
          <w:p>
            <w:pPr>
              <w:ind w:left="4560"/>
              <w:spacing w:after="0"/>
              <w:rPr>
                <w:sz w:val="20"/>
                <w:szCs w:val="20"/>
                <w:color w:val="auto"/>
              </w:rPr>
            </w:pPr>
            <w:r>
              <w:rPr>
                <w:rFonts w:ascii="Arial" w:cs="Arial" w:eastAsia="Arial" w:hAnsi="Arial"/>
                <w:sz w:val="18"/>
                <w:szCs w:val="18"/>
                <w:color w:val="auto"/>
              </w:rPr>
              <w:t>105</w:t>
            </w: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ind w:left="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10.7(a)</w:t>
      </w:r>
      <w:r>
        <w:rPr>
          <w:sz w:val="20"/>
          <w:szCs w:val="20"/>
          <w:color w:val="auto"/>
        </w:rPr>
        <w:tab/>
      </w:r>
      <w:hyperlink r:id="rId285">
        <w:r>
          <w:rPr>
            <w:rFonts w:ascii="Arial" w:cs="Arial" w:eastAsia="Arial" w:hAnsi="Arial"/>
            <w:sz w:val="16"/>
            <w:szCs w:val="16"/>
            <w:u w:val="single" w:color="auto"/>
            <w:color w:val="0000FF"/>
          </w:rPr>
          <w:t>Form of Stock Option Agreement under 2011 Equity Incentive Plan, incorporated by reference to the Company’s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wp:posOffset>
            </wp:positionV>
            <wp:extent cx="64211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6421120" cy="8255"/>
                    </a:xfrm>
                    <a:prstGeom prst="rect">
                      <a:avLst/>
                    </a:prstGeom>
                    <a:noFill/>
                  </pic:spPr>
                </pic:pic>
              </a:graphicData>
            </a:graphic>
          </wp:anchor>
        </w:drawing>
      </w:r>
    </w:p>
    <w:p>
      <w:pPr>
        <w:ind w:left="920"/>
        <w:spacing w:after="0"/>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10-Q for the quarter ended March 31,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-20320</wp:posOffset>
            </wp:positionV>
            <wp:extent cx="21450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162" w:lineRule="exact"/>
        <w:rPr>
          <w:sz w:val="20"/>
          <w:szCs w:val="20"/>
          <w:color w:val="auto"/>
        </w:rPr>
      </w:pPr>
    </w:p>
    <w:p>
      <w:pPr>
        <w:ind w:left="920" w:right="80" w:hanging="904"/>
        <w:spacing w:after="0" w:line="23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10.7(b)</w:t>
      </w:r>
      <w:r>
        <w:rPr>
          <w:sz w:val="20"/>
          <w:szCs w:val="20"/>
          <w:color w:val="auto"/>
        </w:rPr>
        <w:tab/>
      </w:r>
      <w:hyperlink r:id="rId288">
        <w:r>
          <w:rPr>
            <w:rFonts w:ascii="Arial" w:cs="Arial" w:eastAsia="Arial" w:hAnsi="Arial"/>
            <w:sz w:val="18"/>
            <w:szCs w:val="18"/>
            <w:u w:val="single" w:color="auto"/>
            <w:color w:val="0000FF"/>
          </w:rPr>
          <w:t>Form of Restricted Stock Unit Agreement under 2011 Equity Incentive Plan, incorporated by reference to the Company’s Quarterly Report on</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Form 10-Q for the quarter ended March 31, 2012.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65220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65220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24206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55" w:lineRule="exact"/>
        <w:rPr>
          <w:sz w:val="20"/>
          <w:szCs w:val="20"/>
          <w:color w:val="auto"/>
        </w:rPr>
      </w:pPr>
    </w:p>
    <w:p>
      <w:pPr>
        <w:ind w:left="920" w:right="40" w:hanging="904"/>
        <w:spacing w:after="0" w:line="23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10.7(c)</w:t>
      </w:r>
      <w:r>
        <w:rPr>
          <w:sz w:val="20"/>
          <w:szCs w:val="20"/>
          <w:color w:val="auto"/>
        </w:rPr>
        <w:tab/>
      </w:r>
      <w:hyperlink r:id="rId291">
        <w:r>
          <w:rPr>
            <w:rFonts w:ascii="Arial" w:cs="Arial" w:eastAsia="Arial" w:hAnsi="Arial"/>
            <w:sz w:val="18"/>
            <w:szCs w:val="18"/>
            <w:u w:val="single" w:color="auto"/>
            <w:color w:val="0000FF"/>
          </w:rPr>
          <w:t>Form of 2014 Career Share Agreement under the 2011 Equity Incentive Plan, incorporated by reference to the Company’s Quarterly Report on</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Form 10-Q for the quarter ended March 31, 2014.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65405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24206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55" w:lineRule="exact"/>
        <w:rPr>
          <w:sz w:val="20"/>
          <w:szCs w:val="20"/>
          <w:color w:val="auto"/>
        </w:rPr>
      </w:pPr>
    </w:p>
    <w:p>
      <w:pPr>
        <w:ind w:left="920" w:right="60" w:hanging="904"/>
        <w:spacing w:after="0" w:line="23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 (d)</w:t>
      </w:r>
      <w:r>
        <w:rPr>
          <w:sz w:val="20"/>
          <w:szCs w:val="20"/>
          <w:color w:val="auto"/>
        </w:rPr>
        <w:tab/>
      </w:r>
      <w:hyperlink r:id="rId294">
        <w:r>
          <w:rPr>
            <w:rFonts w:ascii="Arial" w:cs="Arial" w:eastAsia="Arial" w:hAnsi="Arial"/>
            <w:sz w:val="18"/>
            <w:szCs w:val="18"/>
            <w:u w:val="single" w:color="auto"/>
            <w:color w:val="0000FF"/>
          </w:rPr>
          <w:t>Form of 2019 Performance Share Unit Agreement under 2011 Equity Incentive Plan of ManpowerGroup Inc., incorporated by reference to the</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Company’s Quarterly Report on Form 10-Q for the Quarter ended March 31,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65405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39439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3943985" cy="8255"/>
                    </a:xfrm>
                    <a:prstGeom prst="rect">
                      <a:avLst/>
                    </a:prstGeom>
                    <a:noFill/>
                  </pic:spPr>
                </pic:pic>
              </a:graphicData>
            </a:graphic>
          </wp:anchor>
        </w:drawing>
      </w:r>
    </w:p>
    <w:p>
      <w:pPr>
        <w:spacing w:after="0" w:line="155" w:lineRule="exact"/>
        <w:rPr>
          <w:sz w:val="20"/>
          <w:szCs w:val="20"/>
          <w:color w:val="auto"/>
        </w:rPr>
      </w:pPr>
    </w:p>
    <w:p>
      <w:pPr>
        <w:ind w:left="920" w:right="200" w:hanging="904"/>
        <w:spacing w:after="0" w:line="22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10.7(e)</w:t>
      </w:r>
      <w:r>
        <w:rPr>
          <w:sz w:val="20"/>
          <w:szCs w:val="20"/>
          <w:color w:val="auto"/>
        </w:rPr>
        <w:tab/>
      </w:r>
      <w:hyperlink r:id="rId297">
        <w:r>
          <w:rPr>
            <w:rFonts w:ascii="Arial" w:cs="Arial" w:eastAsia="Arial" w:hAnsi="Arial"/>
            <w:sz w:val="18"/>
            <w:szCs w:val="18"/>
            <w:u w:val="single" w:color="auto"/>
            <w:color w:val="0000FF"/>
          </w:rPr>
          <w:t>2019 Restricted Stock Unit Agreement, under the 2011 Equity Incentive Plan of ManpowerGroup Inc., dated as of August 14, 2019 between</w:t>
        </w:r>
      </w:hyperlink>
      <w:r>
        <w:rPr>
          <w:rFonts w:ascii="Arial" w:cs="Arial" w:eastAsia="Arial" w:hAnsi="Arial"/>
          <w:sz w:val="18"/>
          <w:szCs w:val="18"/>
          <w:u w:val="single" w:color="auto"/>
          <w:color w:val="0000FF"/>
        </w:rPr>
        <w:t xml:space="preserve"> </w:t>
      </w:r>
      <w:hyperlink r:id="rId297">
        <w:r>
          <w:rPr>
            <w:rFonts w:ascii="Arial" w:cs="Arial" w:eastAsia="Arial" w:hAnsi="Arial"/>
            <w:sz w:val="18"/>
            <w:szCs w:val="18"/>
            <w:u w:val="single" w:color="auto"/>
            <w:color w:val="0000FF"/>
          </w:rPr>
          <w:t>Michelle S. Nettles and the Company and incorporated by reference to the Company’s Annual Report on Form 10-K for the year ended</w:t>
        </w:r>
      </w:hyperlink>
      <w:r>
        <w:rPr>
          <w:rFonts w:ascii="Arial" w:cs="Arial" w:eastAsia="Arial" w:hAnsi="Arial"/>
          <w:sz w:val="18"/>
          <w:szCs w:val="18"/>
          <w:u w:val="single" w:color="auto"/>
          <w:color w:val="0000FF"/>
        </w:rPr>
        <w:t xml:space="preserve"> </w:t>
      </w:r>
      <w:hyperlink r:id="rId297">
        <w:r>
          <w:rPr>
            <w:rFonts w:ascii="Arial" w:cs="Arial" w:eastAsia="Arial" w:hAnsi="Arial"/>
            <w:sz w:val="18"/>
            <w:szCs w:val="18"/>
            <w:u w:val="single" w:color="auto"/>
            <w:color w:val="0000FF"/>
          </w:rPr>
          <w:t>December 31, 2020. **</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-247015</wp:posOffset>
            </wp:positionV>
            <wp:extent cx="645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645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-135255</wp:posOffset>
            </wp:positionV>
            <wp:extent cx="62153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62153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-24130</wp:posOffset>
            </wp:positionV>
            <wp:extent cx="10693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56" w:lineRule="exact"/>
        <w:rPr>
          <w:rFonts w:ascii="Arial" w:cs="Arial" w:eastAsia="Arial" w:hAnsi="Arial"/>
          <w:sz w:val="18"/>
          <w:szCs w:val="18"/>
          <w:u w:val="single" w:color="auto"/>
          <w:color w:val="0000FF"/>
        </w:rPr>
      </w:pPr>
    </w:p>
    <w:p>
      <w:pPr>
        <w:ind w:left="920" w:right="200" w:hanging="904"/>
        <w:spacing w:after="0" w:line="23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10.7(f)</w:t>
      </w:r>
      <w:r>
        <w:rPr>
          <w:sz w:val="20"/>
          <w:szCs w:val="20"/>
          <w:color w:val="auto"/>
        </w:rPr>
        <w:tab/>
      </w:r>
      <w:hyperlink r:id="rId301">
        <w:r>
          <w:rPr>
            <w:rFonts w:ascii="Arial" w:cs="Arial" w:eastAsia="Arial" w:hAnsi="Arial"/>
            <w:sz w:val="18"/>
            <w:szCs w:val="18"/>
            <w:u w:val="single" w:color="auto"/>
            <w:color w:val="0000FF"/>
          </w:rPr>
          <w:t>Form of 2021 Performance Share Unit Agreement Under the 2011 Equity Incentive Plan of ManpowerGroup Inc., incorporated by reference</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to the Company’s Quarterly Report on Form 10-Q for the Quarter ended March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64522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64522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4115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4115435" cy="8255"/>
                    </a:xfrm>
                    <a:prstGeom prst="rect">
                      <a:avLst/>
                    </a:prstGeom>
                    <a:noFill/>
                  </pic:spPr>
                </pic:pic>
              </a:graphicData>
            </a:graphic>
          </wp:anchor>
        </w:drawing>
      </w:r>
    </w:p>
    <w:p>
      <w:pPr>
        <w:spacing w:after="0" w:line="155" w:lineRule="exact"/>
        <w:rPr>
          <w:sz w:val="20"/>
          <w:szCs w:val="20"/>
          <w:color w:val="auto"/>
        </w:rPr>
      </w:pPr>
    </w:p>
    <w:p>
      <w:pPr>
        <w:ind w:left="920" w:right="340" w:hanging="904"/>
        <w:spacing w:after="0" w:line="23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10.7(g)</w:t>
      </w:r>
      <w:r>
        <w:rPr>
          <w:sz w:val="20"/>
          <w:szCs w:val="20"/>
          <w:color w:val="auto"/>
        </w:rPr>
        <w:tab/>
      </w:r>
      <w:hyperlink r:id="rId304">
        <w:r>
          <w:rPr>
            <w:rFonts w:ascii="Arial" w:cs="Arial" w:eastAsia="Arial" w:hAnsi="Arial"/>
            <w:sz w:val="18"/>
            <w:szCs w:val="18"/>
            <w:u w:val="single" w:color="auto"/>
            <w:color w:val="0000FF"/>
          </w:rPr>
          <w:t>Form of 2021 Special Performance Share Unit Agreement Under the 2011 Equity Incentive Plan of ManpowerGroup Inc., incorporated by</w:t>
        </w:r>
      </w:hyperlink>
      <w:r>
        <w:rPr>
          <w:rFonts w:ascii="Arial" w:cs="Arial" w:eastAsia="Arial" w:hAnsi="Arial"/>
          <w:sz w:val="18"/>
          <w:szCs w:val="18"/>
          <w:u w:val="single" w:color="auto"/>
          <w:color w:val="0000FF"/>
        </w:rPr>
        <w:t xml:space="preserve"> </w:t>
      </w:r>
      <w:hyperlink r:id="rId304">
        <w:r>
          <w:rPr>
            <w:rFonts w:ascii="Arial" w:cs="Arial" w:eastAsia="Arial" w:hAnsi="Arial"/>
            <w:sz w:val="18"/>
            <w:szCs w:val="18"/>
            <w:u w:val="single" w:color="auto"/>
            <w:color w:val="0000FF"/>
          </w:rPr>
          <w:t>reference to the Company’s Quarterly Report on Form 10-Q for the Quarter ended March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63633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63633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45688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55" w:lineRule="exact"/>
        <w:rPr>
          <w:sz w:val="20"/>
          <w:szCs w:val="20"/>
          <w:color w:val="auto"/>
        </w:rPr>
      </w:pPr>
    </w:p>
    <w:p>
      <w:pPr>
        <w:ind w:left="920" w:right="40" w:hanging="904"/>
        <w:spacing w:after="0" w:line="23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10.8(a)</w:t>
      </w:r>
      <w:r>
        <w:rPr>
          <w:sz w:val="20"/>
          <w:szCs w:val="20"/>
          <w:color w:val="auto"/>
        </w:rPr>
        <w:tab/>
      </w:r>
      <w:hyperlink r:id="rId307">
        <w:r>
          <w:rPr>
            <w:rFonts w:ascii="Arial" w:cs="Arial" w:eastAsia="Arial" w:hAnsi="Arial"/>
            <w:sz w:val="18"/>
            <w:szCs w:val="18"/>
            <w:u w:val="single" w:color="auto"/>
            <w:color w:val="0000FF"/>
          </w:rPr>
          <w:t>Severance Agreement between Michelle S. Nettles and the Company dated as of August 14, 2019, incorporated by reference to the Company's</w:t>
        </w:r>
      </w:hyperlink>
      <w:r>
        <w:rPr>
          <w:rFonts w:ascii="Arial" w:cs="Arial" w:eastAsia="Arial" w:hAnsi="Arial"/>
          <w:sz w:val="18"/>
          <w:szCs w:val="18"/>
          <w:u w:val="single" w:color="auto"/>
          <w:color w:val="0000FF"/>
        </w:rPr>
        <w:t xml:space="preserve"> </w:t>
      </w:r>
      <w:hyperlink r:id="rId307">
        <w:r>
          <w:rPr>
            <w:rFonts w:ascii="Arial" w:cs="Arial" w:eastAsia="Arial" w:hAnsi="Arial"/>
            <w:sz w:val="18"/>
            <w:szCs w:val="18"/>
            <w:u w:val="single" w:color="auto"/>
            <w:color w:val="0000FF"/>
          </w:rPr>
          <w:t>Current Report on Form 10-K for the year ended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6540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329628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155" w:lineRule="exact"/>
        <w:rPr>
          <w:sz w:val="20"/>
          <w:szCs w:val="20"/>
          <w:color w:val="auto"/>
        </w:rPr>
      </w:pPr>
    </w:p>
    <w:p>
      <w:pPr>
        <w:ind w:left="920" w:right="280" w:hanging="904"/>
        <w:spacing w:after="0" w:line="23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10.8(b)</w:t>
      </w:r>
      <w:r>
        <w:rPr>
          <w:sz w:val="20"/>
          <w:szCs w:val="20"/>
          <w:color w:val="auto"/>
        </w:rPr>
        <w:tab/>
      </w:r>
      <w:hyperlink r:id="rId310">
        <w:r>
          <w:rPr>
            <w:rFonts w:ascii="Arial" w:cs="Arial" w:eastAsia="Arial" w:hAnsi="Arial"/>
            <w:sz w:val="18"/>
            <w:szCs w:val="18"/>
            <w:u w:val="single" w:color="auto"/>
            <w:color w:val="0000FF"/>
          </w:rPr>
          <w:t>Severance Agreement between John T. McGinnis and the Company dated November 12, 2021, incorporated by reference to the Company's</w:t>
        </w:r>
      </w:hyperlink>
      <w:r>
        <w:rPr>
          <w:rFonts w:ascii="Arial" w:cs="Arial" w:eastAsia="Arial" w:hAnsi="Arial"/>
          <w:sz w:val="18"/>
          <w:szCs w:val="18"/>
          <w:u w:val="single" w:color="auto"/>
          <w:color w:val="0000FF"/>
        </w:rPr>
        <w:t xml:space="preserve"> </w:t>
      </w:r>
      <w:hyperlink r:id="rId310">
        <w:r>
          <w:rPr>
            <w:rFonts w:ascii="Arial" w:cs="Arial" w:eastAsia="Arial" w:hAnsi="Arial"/>
            <w:sz w:val="18"/>
            <w:szCs w:val="18"/>
            <w:u w:val="single" w:color="auto"/>
            <w:color w:val="0000FF"/>
          </w:rPr>
          <w:t>Current Report on Form 8-K dated November 12,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63957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63957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27000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55" w:lineRule="exact"/>
        <w:rPr>
          <w:sz w:val="20"/>
          <w:szCs w:val="20"/>
          <w:color w:val="auto"/>
        </w:rPr>
      </w:pPr>
    </w:p>
    <w:p>
      <w:pPr>
        <w:ind w:left="920" w:right="200" w:hanging="904"/>
        <w:spacing w:after="0" w:line="23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10.8(c)</w:t>
      </w:r>
      <w:r>
        <w:rPr>
          <w:sz w:val="20"/>
          <w:szCs w:val="20"/>
          <w:color w:val="auto"/>
        </w:rPr>
        <w:tab/>
      </w:r>
      <w:hyperlink r:id="rId313">
        <w:r>
          <w:rPr>
            <w:rFonts w:ascii="Arial" w:cs="Arial" w:eastAsia="Arial" w:hAnsi="Arial"/>
            <w:sz w:val="18"/>
            <w:szCs w:val="18"/>
            <w:u w:val="single" w:color="auto"/>
            <w:color w:val="0000FF"/>
          </w:rPr>
          <w:t>Letter Agreement between John T. McGinnis and the Company dated as of November 17, 2015, incorporated by reference to the Company's</w:t>
        </w:r>
      </w:hyperlink>
      <w:r>
        <w:rPr>
          <w:rFonts w:ascii="Arial" w:cs="Arial" w:eastAsia="Arial" w:hAnsi="Arial"/>
          <w:sz w:val="18"/>
          <w:szCs w:val="18"/>
          <w:u w:val="single" w:color="auto"/>
          <w:color w:val="0000FF"/>
        </w:rPr>
        <w:t xml:space="preserve"> </w:t>
      </w:r>
      <w:hyperlink r:id="rId313">
        <w:r>
          <w:rPr>
            <w:rFonts w:ascii="Arial" w:cs="Arial" w:eastAsia="Arial" w:hAnsi="Arial"/>
            <w:sz w:val="18"/>
            <w:szCs w:val="18"/>
            <w:u w:val="single" w:color="auto"/>
            <w:color w:val="0000FF"/>
          </w:rPr>
          <w:t>Current Report on Form 8-K dated January 28,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64465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25736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2573655" cy="8255"/>
                    </a:xfrm>
                    <a:prstGeom prst="rect">
                      <a:avLst/>
                    </a:prstGeom>
                    <a:noFill/>
                  </pic:spPr>
                </pic:pic>
              </a:graphicData>
            </a:graphic>
          </wp:anchor>
        </w:drawing>
      </w:r>
    </w:p>
    <w:p>
      <w:pPr>
        <w:spacing w:after="0" w:line="140" w:lineRule="exact"/>
        <w:rPr>
          <w:sz w:val="20"/>
          <w:szCs w:val="20"/>
          <w:color w:val="auto"/>
        </w:rPr>
      </w:pPr>
    </w:p>
    <w:p>
      <w:pPr>
        <w:ind w:left="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316">
        <w:r>
          <w:rPr>
            <w:rFonts w:ascii="Arial" w:cs="Arial" w:eastAsia="Arial" w:hAnsi="Arial"/>
            <w:sz w:val="16"/>
            <w:szCs w:val="16"/>
            <w:u w:val="single" w:color="auto"/>
            <w:color w:val="0000FF"/>
          </w:rPr>
          <w:t>ManpowerGroup Inc. Annual Incentive Plan, incorporated by reference to the Company's Current Report on Form 8-K dated February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wp:posOffset>
            </wp:positionV>
            <wp:extent cx="63538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6353810" cy="8255"/>
                    </a:xfrm>
                    <a:prstGeom prst="rect">
                      <a:avLst/>
                    </a:prstGeom>
                    <a:noFill/>
                  </pic:spPr>
                </pic:pic>
              </a:graphicData>
            </a:graphic>
          </wp:anchor>
        </w:drawing>
      </w:r>
    </w:p>
    <w:p>
      <w:pPr>
        <w:ind w:left="920"/>
        <w:spacing w:after="0"/>
        <w:rPr>
          <w:rFonts w:ascii="Arial" w:cs="Arial" w:eastAsia="Arial" w:hAnsi="Arial"/>
          <w:sz w:val="18"/>
          <w:szCs w:val="18"/>
          <w:u w:val="single" w:color="auto"/>
          <w:color w:val="0000FF"/>
        </w:rPr>
      </w:pPr>
      <w:hyperlink r:id="rId316">
        <w:r>
          <w:rPr>
            <w:rFonts w:ascii="Arial" w:cs="Arial" w:eastAsia="Arial" w:hAnsi="Arial"/>
            <w:sz w:val="18"/>
            <w:szCs w:val="18"/>
            <w:u w:val="single" w:color="auto"/>
            <w:color w:val="0000FF"/>
          </w:rPr>
          <w:t>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-20320</wp:posOffset>
            </wp:positionV>
            <wp:extent cx="4000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2" w:lineRule="exact"/>
        <w:rPr>
          <w:sz w:val="20"/>
          <w:szCs w:val="20"/>
          <w:color w:val="auto"/>
        </w:rPr>
      </w:pPr>
    </w:p>
    <w:p>
      <w:pPr>
        <w:ind w:left="920" w:hanging="899"/>
        <w:spacing w:after="0"/>
        <w:tabs>
          <w:tab w:leader="none" w:pos="920" w:val="left"/>
        </w:tabs>
        <w:numPr>
          <w:ilvl w:val="0"/>
          <w:numId w:val="52"/>
        </w:numPr>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Subsidiaries of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-10160</wp:posOffset>
            </wp:positionV>
            <wp:extent cx="13442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78" w:lineRule="exact"/>
        <w:rPr>
          <w:sz w:val="20"/>
          <w:szCs w:val="20"/>
          <w:color w:val="auto"/>
        </w:rPr>
      </w:pPr>
    </w:p>
    <w:p>
      <w:pPr>
        <w:ind w:left="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43">
        <w:r>
          <w:rPr>
            <w:rFonts w:ascii="Arial" w:cs="Arial" w:eastAsia="Arial" w:hAnsi="Arial"/>
            <w:sz w:val="16"/>
            <w:szCs w:val="16"/>
            <w:u w:val="single" w:color="auto"/>
            <w:color w:val="0000FF"/>
          </w:rPr>
          <w:t>Consent of Deloitte &amp; Touche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-10160</wp:posOffset>
            </wp:positionV>
            <wp:extent cx="16230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178" w:lineRule="exact"/>
        <w:rPr>
          <w:sz w:val="20"/>
          <w:szCs w:val="20"/>
          <w:color w:val="auto"/>
        </w:rPr>
      </w:pPr>
    </w:p>
    <w:p>
      <w:pPr>
        <w:ind w:left="920" w:hanging="899"/>
        <w:spacing w:after="0"/>
        <w:tabs>
          <w:tab w:leader="none" w:pos="920" w:val="left"/>
        </w:tabs>
        <w:numPr>
          <w:ilvl w:val="0"/>
          <w:numId w:val="53"/>
        </w:numPr>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-10160</wp:posOffset>
            </wp:positionV>
            <wp:extent cx="8712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906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45">
              <w:r>
                <w:rPr>
                  <w:rFonts w:ascii="Arial" w:cs="Arial" w:eastAsia="Arial" w:hAnsi="Arial"/>
                  <w:sz w:val="18"/>
                  <w:szCs w:val="18"/>
                  <w:color w:val="0000FF"/>
                  <w:w w:val="91"/>
                </w:rPr>
                <w:t>Certification of Jonas Prising, Chief Executive Officer, pursuant to Section 13a-14(a) of the Securities Exchange Act of 1934.</w:t>
              </w:r>
            </w:hyperlink>
          </w:p>
        </w:tc>
        <w:tc>
          <w:tcPr>
            <w:tcW w:w="1260" w:type="dxa"/>
            <w:vAlign w:val="bottom"/>
            <w:gridSpan w:val="2"/>
          </w:tcPr>
          <w:p>
            <w:pPr>
              <w:spacing w:after="0"/>
              <w:rPr>
                <w:sz w:val="18"/>
                <w:szCs w:val="18"/>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0320" w:type="dxa"/>
            <w:vAlign w:val="bottom"/>
            <w:gridSpan w:val="7"/>
          </w:tcPr>
          <w:p>
            <w:pPr>
              <w:spacing w:after="0"/>
              <w:rPr>
                <w:rFonts w:ascii="Arial" w:cs="Arial" w:eastAsia="Arial" w:hAnsi="Arial"/>
                <w:sz w:val="18"/>
                <w:szCs w:val="18"/>
                <w:color w:val="0000FF"/>
                <w:w w:val="96"/>
              </w:rPr>
            </w:pPr>
            <w:hyperlink w:anchor="page146">
              <w:r>
                <w:rPr>
                  <w:rFonts w:ascii="Arial" w:cs="Arial" w:eastAsia="Arial" w:hAnsi="Arial"/>
                  <w:sz w:val="18"/>
                  <w:szCs w:val="18"/>
                  <w:color w:val="0000FF"/>
                  <w:w w:val="96"/>
                </w:rPr>
                <w:t>Certification of John T. McGinnis, Executive Vice President and Chief Financial Officer, pursuant to Section 13a-14(a) of the Securities</w:t>
              </w:r>
            </w:hyperlink>
          </w:p>
        </w:tc>
      </w:tr>
      <w:tr>
        <w:trPr>
          <w:trHeight w:val="155"/>
        </w:trPr>
        <w:tc>
          <w:tcPr>
            <w:tcW w:w="920" w:type="dxa"/>
            <w:vAlign w:val="bottom"/>
          </w:tcPr>
          <w:p>
            <w:pPr>
              <w:spacing w:after="0"/>
              <w:rPr>
                <w:sz w:val="13"/>
                <w:szCs w:val="13"/>
                <w:color w:val="auto"/>
              </w:rPr>
            </w:pPr>
          </w:p>
        </w:tc>
        <w:tc>
          <w:tcPr>
            <w:tcW w:w="98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46">
              <w:r>
                <w:rPr>
                  <w:rFonts w:ascii="Arial" w:cs="Arial" w:eastAsia="Arial" w:hAnsi="Arial"/>
                  <w:sz w:val="18"/>
                  <w:szCs w:val="18"/>
                  <w:color w:val="0000FF"/>
                </w:rPr>
                <w:t>Exchange Act of 1934.</w:t>
              </w:r>
            </w:hyperlink>
          </w:p>
        </w:tc>
        <w:tc>
          <w:tcPr>
            <w:tcW w:w="4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606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47">
              <w:r>
                <w:rPr>
                  <w:rFonts w:ascii="Arial" w:cs="Arial" w:eastAsia="Arial" w:hAnsi="Arial"/>
                  <w:sz w:val="18"/>
                  <w:szCs w:val="18"/>
                  <w:color w:val="0000FF"/>
                  <w:w w:val="90"/>
                </w:rPr>
                <w:t>Statement of Jonas Prising, Chief Executive Officer, pursuant to 18 U.S.C. ss. 1350.</w:t>
              </w:r>
            </w:hyperlink>
          </w:p>
        </w:tc>
        <w:tc>
          <w:tcPr>
            <w:tcW w:w="20" w:type="dxa"/>
            <w:vAlign w:val="bottom"/>
            <w:tcBorders>
              <w:bottom w:val="single" w:sz="8" w:color="0000EE"/>
            </w:tcBorders>
          </w:tcPr>
          <w:p>
            <w:pPr>
              <w:spacing w:after="0"/>
              <w:rPr>
                <w:sz w:val="24"/>
                <w:szCs w:val="24"/>
                <w:color w:val="auto"/>
              </w:rPr>
            </w:pPr>
          </w:p>
        </w:tc>
        <w:tc>
          <w:tcPr>
            <w:tcW w:w="4240" w:type="dxa"/>
            <w:vAlign w:val="bottom"/>
            <w:gridSpan w:val="4"/>
          </w:tcPr>
          <w:p>
            <w:pPr>
              <w:spacing w:after="0"/>
              <w:rPr>
                <w:sz w:val="24"/>
                <w:szCs w:val="24"/>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0320" w:type="dxa"/>
            <w:vAlign w:val="bottom"/>
            <w:gridSpan w:val="7"/>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Statement of John T. McGinnis, Executive Vice President and Chief Financial Officer, pursuant to 18 U.S.C. ss. 1350.</w:t>
              </w:r>
            </w:hyperlink>
          </w:p>
        </w:tc>
      </w:tr>
      <w:tr>
        <w:trPr>
          <w:trHeight w:val="20"/>
        </w:trPr>
        <w:tc>
          <w:tcPr>
            <w:tcW w:w="920" w:type="dxa"/>
            <w:vAlign w:val="bottom"/>
          </w:tcPr>
          <w:p>
            <w:pPr>
              <w:spacing w:after="0" w:line="20" w:lineRule="exact"/>
              <w:rPr>
                <w:sz w:val="1"/>
                <w:szCs w:val="1"/>
                <w:color w:val="auto"/>
              </w:rPr>
            </w:pPr>
          </w:p>
        </w:tc>
        <w:tc>
          <w:tcPr>
            <w:tcW w:w="8520" w:type="dxa"/>
            <w:vAlign w:val="bottom"/>
            <w:tcBorders>
              <w:right w:val="single" w:sz="8" w:color="0000EE"/>
            </w:tcBorders>
            <w:gridSpan w:val="4"/>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0320" w:type="dxa"/>
            <w:vAlign w:val="bottom"/>
            <w:gridSpan w:val="7"/>
          </w:tcPr>
          <w:p>
            <w:pPr>
              <w:spacing w:after="0"/>
              <w:rPr>
                <w:sz w:val="20"/>
                <w:szCs w:val="20"/>
                <w:color w:val="auto"/>
              </w:rPr>
            </w:pPr>
            <w:r>
              <w:rPr>
                <w:rFonts w:ascii="Arial" w:cs="Arial" w:eastAsia="Arial" w:hAnsi="Arial"/>
                <w:sz w:val="18"/>
                <w:szCs w:val="18"/>
                <w:color w:val="212529"/>
                <w:w w:val="92"/>
              </w:rPr>
              <w:t xml:space="preserve">Inline XBRL Instance Document </w:t>
            </w:r>
            <w:r>
              <w:rPr>
                <w:rFonts w:ascii="Arial" w:cs="Arial" w:eastAsia="Arial" w:hAnsi="Arial"/>
                <w:sz w:val="18"/>
                <w:szCs w:val="18"/>
                <w:color w:val="000000"/>
                <w:w w:val="92"/>
              </w:rPr>
              <w:t>- the instance document does not appear in the Interactive Data File because its XBRL tags are embedded</w:t>
            </w:r>
          </w:p>
        </w:tc>
      </w:tr>
      <w:tr>
        <w:trPr>
          <w:trHeight w:val="230"/>
        </w:trPr>
        <w:tc>
          <w:tcPr>
            <w:tcW w:w="920" w:type="dxa"/>
            <w:vAlign w:val="bottom"/>
          </w:tcPr>
          <w:p>
            <w:pPr>
              <w:spacing w:after="0"/>
              <w:rPr>
                <w:sz w:val="20"/>
                <w:szCs w:val="20"/>
                <w:color w:val="auto"/>
              </w:rPr>
            </w:pPr>
          </w:p>
        </w:tc>
        <w:tc>
          <w:tcPr>
            <w:tcW w:w="1032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404"/>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03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320" w:type="dxa"/>
            <w:vAlign w:val="bottom"/>
            <w:gridSpan w:val="7"/>
          </w:tcPr>
          <w:p>
            <w:pPr>
              <w:spacing w:after="0"/>
              <w:rPr>
                <w:sz w:val="20"/>
                <w:szCs w:val="20"/>
                <w:color w:val="auto"/>
              </w:rPr>
            </w:pPr>
            <w:r>
              <w:rPr>
                <w:rFonts w:ascii="Arial" w:cs="Arial" w:eastAsia="Arial" w:hAnsi="Arial"/>
                <w:sz w:val="18"/>
                <w:szCs w:val="18"/>
                <w:color w:val="212529"/>
              </w:rPr>
              <w:t>Inline XBRL Taxonomy Extension Calculation Linkbase Document</w:t>
            </w:r>
          </w:p>
        </w:tc>
      </w:tr>
      <w:tr>
        <w:trPr>
          <w:trHeight w:val="405"/>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0320" w:type="dxa"/>
            <w:vAlign w:val="bottom"/>
            <w:gridSpan w:val="7"/>
          </w:tcPr>
          <w:p>
            <w:pPr>
              <w:spacing w:after="0"/>
              <w:rPr>
                <w:sz w:val="20"/>
                <w:szCs w:val="20"/>
                <w:color w:val="auto"/>
              </w:rPr>
            </w:pPr>
            <w:r>
              <w:rPr>
                <w:rFonts w:ascii="Arial" w:cs="Arial" w:eastAsia="Arial" w:hAnsi="Arial"/>
                <w:sz w:val="18"/>
                <w:szCs w:val="18"/>
                <w:color w:val="212529"/>
              </w:rPr>
              <w:t>Inline XBRL Taxonomy Extension Definition Linkbase Document</w:t>
            </w:r>
          </w:p>
        </w:tc>
      </w:tr>
      <w:tr>
        <w:trPr>
          <w:trHeight w:val="824"/>
        </w:trPr>
        <w:tc>
          <w:tcPr>
            <w:tcW w:w="920" w:type="dxa"/>
            <w:vAlign w:val="bottom"/>
          </w:tcPr>
          <w:p>
            <w:pPr>
              <w:spacing w:after="0"/>
              <w:rPr>
                <w:sz w:val="24"/>
                <w:szCs w:val="24"/>
                <w:color w:val="auto"/>
              </w:rPr>
            </w:pPr>
          </w:p>
        </w:tc>
        <w:tc>
          <w:tcPr>
            <w:tcW w:w="6060" w:type="dxa"/>
            <w:vAlign w:val="bottom"/>
            <w:gridSpan w:val="2"/>
          </w:tcPr>
          <w:p>
            <w:pPr>
              <w:ind w:left="45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06" w:name="page107"/>
    <w:bookmarkEnd w:id="106"/>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5060" w:type="dxa"/>
            <w:vAlign w:val="bottom"/>
          </w:tcPr>
          <w:p>
            <w:pPr>
              <w:ind w:left="100"/>
              <w:spacing w:after="0"/>
              <w:rPr>
                <w:sz w:val="20"/>
                <w:szCs w:val="20"/>
                <w:color w:val="auto"/>
              </w:rPr>
            </w:pPr>
            <w:r>
              <w:rPr>
                <w:rFonts w:ascii="Arial" w:cs="Arial" w:eastAsia="Arial" w:hAnsi="Arial"/>
                <w:sz w:val="18"/>
                <w:szCs w:val="18"/>
                <w:color w:val="212529"/>
              </w:rPr>
              <w:t>Inline XBRL Taxonomy Extension Label Linkbase Document</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5060" w:type="dxa"/>
            <w:vAlign w:val="bottom"/>
          </w:tcPr>
          <w:p>
            <w:pPr>
              <w:ind w:left="100"/>
              <w:spacing w:after="0"/>
              <w:rPr>
                <w:sz w:val="20"/>
                <w:szCs w:val="20"/>
                <w:color w:val="auto"/>
              </w:rPr>
            </w:pPr>
            <w:r>
              <w:rPr>
                <w:rFonts w:ascii="Arial" w:cs="Arial" w:eastAsia="Arial" w:hAnsi="Arial"/>
                <w:sz w:val="18"/>
                <w:szCs w:val="18"/>
                <w:color w:val="212529"/>
                <w:w w:val="91"/>
              </w:rPr>
              <w:t>Inline XBRL Taxonomy Extension Presentation Linkbase Document</w:t>
            </w:r>
          </w:p>
        </w:tc>
      </w:tr>
    </w:tbl>
    <w:p>
      <w:pPr>
        <w:spacing w:after="0" w:line="175" w:lineRule="exact"/>
        <w:rPr>
          <w:sz w:val="20"/>
          <w:szCs w:val="20"/>
          <w:color w:val="auto"/>
        </w:rPr>
      </w:pPr>
    </w:p>
    <w:p>
      <w:pPr>
        <w:ind w:left="920" w:hanging="899"/>
        <w:spacing w:after="0" w:line="235"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cover page from the Company’s Annual Report on Form 10-K for the fiscal year ended December 31, 2021 has been formatted in Inline</w:t>
      </w:r>
      <w:r>
        <w:rPr>
          <w:rFonts w:ascii="Arial" w:cs="Arial" w:eastAsia="Arial" w:hAnsi="Arial"/>
          <w:sz w:val="18"/>
          <w:szCs w:val="18"/>
          <w:color w:val="212529"/>
        </w:rPr>
        <w:t xml:space="preserve"> </w:t>
      </w:r>
      <w:r>
        <w:rPr>
          <w:rFonts w:ascii="Arial" w:cs="Arial" w:eastAsia="Arial" w:hAnsi="Arial"/>
          <w:sz w:val="18"/>
          <w:szCs w:val="18"/>
          <w:color w:val="000000"/>
        </w:rPr>
        <w:t>XBRL (Inline Extensible Business Reporting Language).</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MANPOWERGROUP INC.</w:t>
      </w:r>
    </w:p>
    <w:p>
      <w:pPr>
        <w:spacing w:after="0" w:line="306" w:lineRule="exact"/>
        <w:rPr>
          <w:sz w:val="20"/>
          <w:szCs w:val="20"/>
          <w:color w:val="auto"/>
        </w:rPr>
      </w:pPr>
    </w:p>
    <w:p>
      <w:pPr>
        <w:ind w:left="702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Jonas Prising</w:t>
      </w:r>
    </w:p>
    <w:p>
      <w:pPr>
        <w:ind w:left="7560"/>
        <w:spacing w:after="0" w:line="216" w:lineRule="auto"/>
        <w:rPr>
          <w:sz w:val="20"/>
          <w:szCs w:val="20"/>
          <w:color w:val="auto"/>
        </w:rPr>
      </w:pPr>
      <w:r>
        <w:rPr>
          <w:rFonts w:ascii="Arial" w:cs="Arial" w:eastAsia="Arial" w:hAnsi="Arial"/>
          <w:sz w:val="18"/>
          <w:szCs w:val="18"/>
          <w:color w:val="auto"/>
        </w:rPr>
        <w:t>Jonas Prising</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Chairman and Chief Executive Officer</w:t>
      </w:r>
    </w:p>
    <w:p>
      <w:pPr>
        <w:spacing w:after="0" w:line="371" w:lineRule="exact"/>
        <w:rPr>
          <w:sz w:val="20"/>
          <w:szCs w:val="20"/>
          <w:color w:val="auto"/>
        </w:rPr>
      </w:pPr>
    </w:p>
    <w:p>
      <w:pPr>
        <w:ind w:left="7020"/>
        <w:spacing w:after="0"/>
        <w:tabs>
          <w:tab w:leader="none" w:pos="7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18, 2022</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11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562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19"/>
                <w:szCs w:val="19"/>
                <w:color w:val="auto"/>
              </w:rPr>
            </w:pPr>
          </w:p>
        </w:tc>
        <w:tc>
          <w:tcPr>
            <w:tcW w:w="26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Date</w:t>
            </w:r>
          </w:p>
        </w:tc>
      </w:tr>
      <w:tr>
        <w:trPr>
          <w:trHeight w:val="432"/>
        </w:trPr>
        <w:tc>
          <w:tcPr>
            <w:tcW w:w="2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/s/ Jonas Prising</w:t>
            </w:r>
          </w:p>
        </w:tc>
        <w:tc>
          <w:tcPr>
            <w:tcW w:w="12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Chairman, Chief Executive Officer and a 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18, 2022</w:t>
            </w:r>
          </w:p>
        </w:tc>
      </w:tr>
      <w:tr>
        <w:trPr>
          <w:trHeight w:val="224"/>
        </w:trPr>
        <w:tc>
          <w:tcPr>
            <w:tcW w:w="2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Jonas Prising</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539"/>
        </w:trPr>
        <w:tc>
          <w:tcPr>
            <w:tcW w:w="2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/s/ John T. McGinnis</w:t>
            </w:r>
          </w:p>
        </w:tc>
        <w:tc>
          <w:tcPr>
            <w:tcW w:w="12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18, 2022</w:t>
            </w:r>
          </w:p>
        </w:tc>
      </w:tr>
      <w:tr>
        <w:trPr>
          <w:trHeight w:val="224"/>
        </w:trPr>
        <w:tc>
          <w:tcPr>
            <w:tcW w:w="20" w:type="dxa"/>
            <w:vAlign w:val="bottom"/>
          </w:tcPr>
          <w:p>
            <w:pPr>
              <w:spacing w:after="0"/>
              <w:rPr>
                <w:sz w:val="19"/>
                <w:szCs w:val="19"/>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John T. McGinnis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99"/>
        </w:trPr>
        <w:tc>
          <w:tcPr>
            <w:tcW w:w="2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/s/ Donald Mondano</w:t>
            </w:r>
          </w:p>
        </w:tc>
        <w:tc>
          <w:tcPr>
            <w:tcW w:w="12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Senior Vice President, Global Controller and Treasurer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18, 2022</w:t>
            </w:r>
          </w:p>
        </w:tc>
      </w:tr>
      <w:tr>
        <w:trPr>
          <w:trHeight w:val="224"/>
        </w:trPr>
        <w:tc>
          <w:tcPr>
            <w:tcW w:w="2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Donald Mondano</w:t>
            </w:r>
          </w:p>
        </w:tc>
        <w:tc>
          <w:tcPr>
            <w:tcW w:w="1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bl>
    <w:p>
      <w:pPr>
        <w:spacing w:after="0" w:line="25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Directors: Gina R. Boswell, Jean-Philippe Courtois, William Downe, John F. Ferraro, William P. Gipson, Patricia A. Hemingway Hall, Julie M. Howard, Ulice Payne, Jr., Paul Read, Elizabeth P. Sartain, and Michael J. Van Handel</w:t>
      </w:r>
    </w:p>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Richard Buchband</w:t>
      </w:r>
    </w:p>
    <w:p>
      <w:pPr>
        <w:spacing w:after="0" w:line="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Richard Buchband</w:t>
      </w:r>
    </w:p>
    <w:p>
      <w:pPr>
        <w:ind w:left="720"/>
        <w:spacing w:after="0"/>
        <w:rPr>
          <w:sz w:val="20"/>
          <w:szCs w:val="20"/>
          <w:color w:val="auto"/>
        </w:rPr>
      </w:pPr>
      <w:r>
        <w:rPr>
          <w:rFonts w:ascii="Arial" w:cs="Arial" w:eastAsia="Arial" w:hAnsi="Arial"/>
          <w:sz w:val="18"/>
          <w:szCs w:val="18"/>
          <w:color w:val="auto"/>
        </w:rPr>
        <w:t>Attorney-In-Fact*</w:t>
      </w:r>
    </w:p>
    <w:p>
      <w:pPr>
        <w:spacing w:after="0" w:line="27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18, 2022</w:t>
      </w:r>
    </w:p>
    <w:p>
      <w:pPr>
        <w:spacing w:after="0" w:line="198" w:lineRule="exact"/>
        <w:rPr>
          <w:sz w:val="20"/>
          <w:szCs w:val="20"/>
          <w:color w:val="auto"/>
        </w:rPr>
      </w:pPr>
    </w:p>
    <w:p>
      <w:pPr>
        <w:ind w:left="5480" w:right="4800" w:hanging="5472"/>
        <w:spacing w:after="0" w:line="606" w:lineRule="auto"/>
        <w:tabs>
          <w:tab w:leader="none" w:pos="134"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Pursuant to authority granted by powers of attorney, copies of which are filed herewith.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45565" cy="7283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1345565" cy="728345"/>
                    </a:xfrm>
                    <a:prstGeom prst="rect">
                      <a:avLst/>
                    </a:prstGeom>
                    <a:noFill/>
                  </pic:spPr>
                </pic:pic>
              </a:graphicData>
            </a:graphic>
          </wp:anchor>
        </w:drawing>
        <w:t>Exhibit 3.3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November 12, 2021)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 OFFICES</w:t>
      </w:r>
    </w:p>
    <w:p>
      <w:pPr>
        <w:spacing w:after="0" w:line="202" w:lineRule="exact"/>
        <w:rPr>
          <w:sz w:val="20"/>
          <w:szCs w:val="20"/>
          <w:color w:val="auto"/>
        </w:rPr>
      </w:pPr>
    </w:p>
    <w:p>
      <w:pPr>
        <w:ind w:right="80" w:firstLine="749"/>
        <w:spacing w:after="0" w:line="23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Principal and Other Offices</w:t>
      </w:r>
      <w:r>
        <w:rPr>
          <w:rFonts w:ascii="Arial" w:cs="Arial" w:eastAsia="Arial" w:hAnsi="Arial"/>
          <w:sz w:val="20"/>
          <w:szCs w:val="20"/>
          <w:color w:val="auto"/>
        </w:rPr>
        <w:t>. The principal office of the Corporation shall be located at any place either within or outside the State of Wisconsin as designated in the Corporation’s most current Annual Report filed with the Wisconsin Secretary of State. The Corporation may have such other offices, either within or outside the State of Wisconsin as the Board of Directors may designate or as the business of the Corporation may require from time to time.</w:t>
      </w:r>
    </w:p>
    <w:p>
      <w:pPr>
        <w:spacing w:after="0" w:line="198" w:lineRule="exact"/>
        <w:rPr>
          <w:sz w:val="20"/>
          <w:szCs w:val="20"/>
          <w:color w:val="auto"/>
        </w:rPr>
      </w:pPr>
    </w:p>
    <w:p>
      <w:pPr>
        <w:ind w:right="80" w:firstLine="749"/>
        <w:spacing w:after="0" w:line="232"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Registered Office</w:t>
      </w:r>
      <w:r>
        <w:rPr>
          <w:rFonts w:ascii="Arial" w:cs="Arial" w:eastAsia="Arial" w:hAnsi="Arial"/>
          <w:sz w:val="20"/>
          <w:szCs w:val="20"/>
          <w:color w:val="auto"/>
        </w:rPr>
        <w:t>. The registered office of the Corporation required by the Wisconsin business corporation law to be maintained in the State of Wisconsin may, but need not, be the same as any of its places of business. The registered office may be changed from time to time.</w:t>
      </w:r>
    </w:p>
    <w:p>
      <w:pPr>
        <w:spacing w:after="0" w:line="197" w:lineRule="exact"/>
        <w:rPr>
          <w:sz w:val="20"/>
          <w:szCs w:val="20"/>
          <w:color w:val="auto"/>
        </w:rPr>
      </w:pPr>
    </w:p>
    <w:p>
      <w:pPr>
        <w:ind w:right="100" w:firstLine="749"/>
        <w:spacing w:after="0" w:line="230"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Registered Agent</w:t>
      </w:r>
      <w:r>
        <w:rPr>
          <w:rFonts w:ascii="Arial" w:cs="Arial" w:eastAsia="Arial" w:hAnsi="Arial"/>
          <w:sz w:val="20"/>
          <w:szCs w:val="20"/>
          <w:color w:val="auto"/>
        </w:rPr>
        <w:t>. The registered agent of the Corporation required by the Wisconsin business corporation law to maintain a business office in the State of Wisconsin may, but need not, be an officer or employee of the Corporation as long as such agent’s business office is identical with the registered office. The registered agent may be changed from time to time.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 SHAREHOLDERS</w:t>
      </w:r>
    </w:p>
    <w:p>
      <w:pPr>
        <w:spacing w:after="0" w:line="202" w:lineRule="exact"/>
        <w:rPr>
          <w:sz w:val="20"/>
          <w:szCs w:val="20"/>
          <w:color w:val="auto"/>
        </w:rPr>
      </w:pPr>
    </w:p>
    <w:p>
      <w:pPr>
        <w:ind w:right="120" w:firstLine="749"/>
        <w:spacing w:after="0" w:line="229"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Annual Meeting</w:t>
      </w:r>
      <w:r>
        <w:rPr>
          <w:rFonts w:ascii="Arial" w:cs="Arial" w:eastAsia="Arial" w:hAnsi="Arial"/>
          <w:sz w:val="20"/>
          <w:szCs w:val="20"/>
          <w:color w:val="auto"/>
        </w:rPr>
        <w:t>. The annual meeting of shareholders shall be held on the third Tuesday in the month of April for each year at 10:00 a.m. (local time) or at such other date and time as shall be fixed by, or at the direction of, the Board of Directors, for the purpose of electing directors and for the transaction of such other business as may have been properly brought before the meeting in compliance with the provisions of Section 2.5. If the day fixed for the annual meeting shall be a legal holiday in the State of Wisconsin, such meeting shall be held on the next succeeding business day.</w:t>
      </w:r>
    </w:p>
    <w:p>
      <w:pPr>
        <w:spacing w:after="0" w:line="199" w:lineRule="exact"/>
        <w:rPr>
          <w:sz w:val="20"/>
          <w:szCs w:val="20"/>
          <w:color w:val="auto"/>
        </w:rPr>
      </w:pPr>
    </w:p>
    <w:p>
      <w:pPr>
        <w:ind w:right="160" w:firstLine="749"/>
        <w:spacing w:after="0" w:line="228"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Special Meetings</w:t>
      </w:r>
      <w:r>
        <w:rPr>
          <w:rFonts w:ascii="Arial" w:cs="Arial" w:eastAsia="Arial" w:hAnsi="Arial"/>
          <w:sz w:val="20"/>
          <w:szCs w:val="20"/>
          <w:color w:val="auto"/>
        </w:rPr>
        <w:t xml:space="preserve">. Except as otherwise required by applicable law, special meetings of shareholders of the Corporation may only be called by the Chairman of the Board or the Chief Executive Officer pursuant to a resolution approved by not less than three-quarters of the Board of Directors;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Corporation shall hold a special meeting of shareholders of the Corporation if a signed and dated written demand or demands by the holders of at least 10% of all the votes entitled to be cast on any issue proposed to be considered at the proposed special meeting is delivered to the Corporation as required under the Wisconsin business corporation law, which demand or demands must describe one or more identical purposes for which the shareholders demand a meeting be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109" w:name="page110"/>
    <w:bookmarkEnd w:id="109"/>
    <w:p>
      <w:pPr>
        <w:ind w:firstLine="749"/>
        <w:spacing w:after="0" w:line="229"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Place of Meeting</w:t>
      </w:r>
      <w:r>
        <w:rPr>
          <w:rFonts w:ascii="Arial" w:cs="Arial" w:eastAsia="Arial" w:hAnsi="Arial"/>
          <w:sz w:val="20"/>
          <w:szCs w:val="20"/>
          <w:color w:val="auto"/>
        </w:rPr>
        <w:t>. The Board of Directors, the Chairman of the Board or the Chief Executive Officer may designate any place, within or outside the State of Wisconsin, and may, in their sole discretion, determine that a virtual meeting of shareholders by means of remote communication shall be held instead of a physical meeting of the shareholders as the place of meeting for the annual meeting or for any special meeting. If no designation is made the place of meeting shall be the principal office of the Corporation, but any meeting may be adjourned to reconvene at any place, including by remote communication, as designated by vote of a majority of the shares represented thereat.</w:t>
      </w:r>
    </w:p>
    <w:p>
      <w:pPr>
        <w:spacing w:after="0" w:line="195" w:lineRule="exact"/>
        <w:rPr>
          <w:sz w:val="20"/>
          <w:szCs w:val="20"/>
          <w:color w:val="auto"/>
        </w:rPr>
      </w:pPr>
    </w:p>
    <w:p>
      <w:pPr>
        <w:ind w:firstLine="749"/>
        <w:spacing w:after="0" w:line="227"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Notice of Meeting</w:t>
      </w:r>
      <w:r>
        <w:rPr>
          <w:rFonts w:ascii="Arial" w:cs="Arial" w:eastAsia="Arial" w:hAnsi="Arial"/>
          <w:sz w:val="20"/>
          <w:szCs w:val="20"/>
          <w:color w:val="auto"/>
        </w:rPr>
        <w:t>. The Corporation shall notify shareholders of the date, time and place of each annual and special shareholders meeting. Notice of a special meeting shall include a description of each purpose for which the meeting is called. Notice of all meetings need be given only to shareholders entitled to vote, unless otherwise required by the Wisconsin business corporation law, and shall be given not less than ten nor more than sixty days before the meeting date. The Corporation may give notice in person, by mail or other method of delivery, by telephone, including voice mail, answering machine or answering service or by any other electronic means and, if these forms of personal notice are impracticable, notice may be communicated by a newspaper of general circulation in the area where published, or by radio, television or other form of public broadcast communication. Written notice, which includes notice by electronic transmission, shall be effective when mailed postpaid and addressed to the shareholder’s address shown in the Corporation’s current record of shareholders, or when electronically transmitted to the shareholder in a manner authorized by the shareholder. Oral notice shall be deemed to be effective when communicated. Notice by newspaper, radio, television or other form of public broadcast communication shall be deemed to be effective the date of publication or broadcast.</w:t>
      </w:r>
    </w:p>
    <w:p>
      <w:pPr>
        <w:spacing w:after="0" w:line="198" w:lineRule="exact"/>
        <w:rPr>
          <w:sz w:val="20"/>
          <w:szCs w:val="20"/>
          <w:color w:val="auto"/>
        </w:rPr>
      </w:pPr>
    </w:p>
    <w:p>
      <w:pPr>
        <w:ind w:right="20" w:firstLine="749"/>
        <w:spacing w:after="0" w:line="238"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Advance Notice Shareholder-Proposed Business at Annual Meeting</w:t>
      </w:r>
      <w:r>
        <w:rPr>
          <w:rFonts w:ascii="Arial" w:cs="Arial" w:eastAsia="Arial" w:hAnsi="Arial"/>
          <w:sz w:val="19"/>
          <w:szCs w:val="19"/>
          <w:color w:val="auto"/>
        </w:rPr>
        <w:t>. At an annual meeting of shareholders, only such business shall be conducted as shall have been properly brought before the meeting. To be properly brought before an annual meeting, business must be: (a) specified in the notice of meeting (or any amendment or supplement thereto) given in accordance with Section 2.4, (b) otherwise properly brought before the meeting by or at the direction of the Board of Directors, the Chairman of the Board or the Chief Executive Officer, or (c) otherwise properly brought before the meeting by a shareholder. In addition to any other requirements under applicable law, the Articles of Incorporation or the By-Laws for business to be properly brought before an annual meeting by a shareholder, the shareholder must have given timely notice thereof in writing to the Secretary of the Corporation. To be timely, a shareholder’s notice must be delivered to or mailed and received at the principal office of the Corporation, not less than 90 days prior to the anniversary of the annual meeting of shareholders held in the prior year.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address, as they appear on the Corporation’s books, of the shareholder proposing such business, (iii) (A) the class and number of shares of the Corporation which are owned of record and shares of the Corporation which are owned beneficially but not of record by such shareholder as well as by any Associated Person (as defined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9" w:right="379" w:bottom="1440" w:gutter="0" w:footer="0" w:header="0"/>
        </w:sectPr>
      </w:pPr>
    </w:p>
    <w:bookmarkStart w:id="110" w:name="page111"/>
    <w:bookmarkEnd w:id="110"/>
    <w:p>
      <w:pPr>
        <w:spacing w:after="0" w:line="226" w:lineRule="auto"/>
        <w:rPr>
          <w:sz w:val="20"/>
          <w:szCs w:val="20"/>
          <w:color w:val="auto"/>
        </w:rPr>
      </w:pPr>
      <w:r>
        <w:rPr>
          <w:rFonts w:ascii="Arial" w:cs="Arial" w:eastAsia="Arial" w:hAnsi="Arial"/>
          <w:sz w:val="20"/>
          <w:szCs w:val="20"/>
          <w:color w:val="auto"/>
        </w:rPr>
        <w:t>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ten days after the record date for the meeting to disclose such ownership as of the record date); (iv) any other information relating to such shareholder and beneficial owner, if any, that would be required to be disclosed in a proxy statement or other filings that would be required to be made in connection with solicitations of proxies for the proposal pursuant to Section 14 of the Securities Exchange Act of 1934, as amended, and the rules and regulations promulgated thereunder; (v) a representation that the shareholder is a holder of record of stock of the Corporation entitled to vote at such meeting and intends to appear in person or by proxy at the meeting to present the proposed business specified in the notice; and (vi) any interest of the shareholder in such business. In addition, any such shareholder shall be required to provide such further information as may be requested by the Corporation. The Corporation may require evidence by any person giving notice under this Section 2.5 that such person is a bona fide beneficial owner of the Corporation’s shares.</w:t>
      </w:r>
    </w:p>
    <w:p>
      <w:pPr>
        <w:spacing w:after="0" w:line="202" w:lineRule="exact"/>
        <w:rPr>
          <w:sz w:val="20"/>
          <w:szCs w:val="20"/>
          <w:color w:val="auto"/>
        </w:rPr>
      </w:pPr>
    </w:p>
    <w:p>
      <w:pPr>
        <w:ind w:right="120" w:firstLine="749"/>
        <w:spacing w:after="0" w:line="230" w:lineRule="auto"/>
        <w:rPr>
          <w:sz w:val="20"/>
          <w:szCs w:val="20"/>
          <w:color w:val="auto"/>
        </w:rPr>
      </w:pPr>
      <w:r>
        <w:rPr>
          <w:rFonts w:ascii="Arial" w:cs="Arial" w:eastAsia="Arial" w:hAnsi="Arial"/>
          <w:sz w:val="20"/>
          <w:szCs w:val="20"/>
          <w:color w:val="auto"/>
        </w:rPr>
        <w:t xml:space="preserve">Notwithstanding anything in the By-Laws to the contrary, no business shall be conducted at the annual meeting except in accordance with the procedures set forth in this Section 2.5;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nothing in this Section 2.5 shall be deemed to preclude discussion by any shareholder of any business properly brought before the annual meeting in accordance with said procedure.</w:t>
      </w:r>
    </w:p>
    <w:p>
      <w:pPr>
        <w:spacing w:after="0" w:line="198" w:lineRule="exact"/>
        <w:rPr>
          <w:sz w:val="20"/>
          <w:szCs w:val="20"/>
          <w:color w:val="auto"/>
        </w:rPr>
      </w:pPr>
    </w:p>
    <w:p>
      <w:pPr>
        <w:ind w:right="120" w:firstLine="749"/>
        <w:spacing w:after="0" w:line="230" w:lineRule="auto"/>
        <w:rPr>
          <w:sz w:val="20"/>
          <w:szCs w:val="20"/>
          <w:color w:val="auto"/>
        </w:rPr>
      </w:pPr>
      <w:r>
        <w:rPr>
          <w:rFonts w:ascii="Arial" w:cs="Arial" w:eastAsia="Arial" w:hAnsi="Arial"/>
          <w:sz w:val="20"/>
          <w:szCs w:val="20"/>
          <w:color w:val="auto"/>
        </w:rPr>
        <w:t>The presiding officer at an annual meeting shall, if the facts warrant, determine and declare to the meeting that business was not properly brought before the meeting in accordance with the provisions of this Section 2.5, and if he should so determine, he shall so declare to the meeting and any such business not properly brought before the meeting shall not be transacted.</w:t>
      </w:r>
    </w:p>
    <w:p>
      <w:pPr>
        <w:spacing w:after="0" w:line="19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9"/>
          <w:szCs w:val="19"/>
          <w:color w:val="auto"/>
        </w:rPr>
        <w:t>For purposes of Sections 2.5 and 2.6, “Associated Person” of any shareholder means any person controlling, directly or indirectly, or acting in concert with, such shareholder; any beneficial owner of shares of stock of the Corporation owned of record or beneficially by such shareholder; and any person controlling, controlled by, or under common control with such shareholder.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9" w:right="359" w:bottom="1440" w:gutter="0" w:footer="0" w:header="0"/>
        </w:sectPr>
      </w:pPr>
    </w:p>
    <w:bookmarkStart w:id="111" w:name="page112"/>
    <w:bookmarkEnd w:id="111"/>
    <w:p>
      <w:pPr>
        <w:ind w:right="260" w:firstLine="749"/>
        <w:spacing w:after="0" w:line="232" w:lineRule="auto"/>
        <w:rPr>
          <w:sz w:val="20"/>
          <w:szCs w:val="20"/>
          <w:color w:val="auto"/>
        </w:rPr>
      </w:pPr>
      <w:r>
        <w:rPr>
          <w:rFonts w:ascii="Arial" w:cs="Arial" w:eastAsia="Arial" w:hAnsi="Arial"/>
          <w:sz w:val="20"/>
          <w:szCs w:val="20"/>
          <w:color w:val="auto"/>
        </w:rPr>
        <w:t>Notwithstanding anything contained in this Section 2.5, any shareholder-proposed business that relates to the nomination of directors may only be properly brought before a meeting of shareholders in accordance with the procedures set forth in Section 2.6.</w:t>
      </w:r>
    </w:p>
    <w:p>
      <w:pPr>
        <w:spacing w:after="0" w:line="197" w:lineRule="exact"/>
        <w:rPr>
          <w:sz w:val="20"/>
          <w:szCs w:val="20"/>
          <w:color w:val="auto"/>
        </w:rPr>
      </w:pPr>
    </w:p>
    <w:p>
      <w:pPr>
        <w:ind w:firstLine="749"/>
        <w:spacing w:after="0" w:line="229"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Procedure for Nomination of Directors</w:t>
      </w:r>
      <w:r>
        <w:rPr>
          <w:rFonts w:ascii="Arial" w:cs="Arial" w:eastAsia="Arial" w:hAnsi="Arial"/>
          <w:sz w:val="20"/>
          <w:szCs w:val="20"/>
          <w:color w:val="auto"/>
        </w:rPr>
        <w:t>. Only persons nominated in accordance with all of the procedures set forth in the Corporation’s Articles of Incorporation and By-Laws shall be eligible for election as directors. Nominations of persons for election to the Board of Directors of the Corporation may be made at a meeting of shareholders by or at the direction of the Board of Directors, by any nominating committee or persons appointed by the Board, or by any shareholder of the Corporation entitled to vote for election of directors at the meeting who complies with all of the notice procedures set forth in this Section 2.6.</w:t>
      </w:r>
    </w:p>
    <w:p>
      <w:pPr>
        <w:spacing w:after="0" w:line="195" w:lineRule="exact"/>
        <w:rPr>
          <w:sz w:val="20"/>
          <w:szCs w:val="20"/>
          <w:color w:val="auto"/>
        </w:rPr>
      </w:pPr>
    </w:p>
    <w:p>
      <w:pPr>
        <w:ind w:firstLine="749"/>
        <w:spacing w:after="0" w:line="226" w:lineRule="auto"/>
        <w:rPr>
          <w:sz w:val="20"/>
          <w:szCs w:val="20"/>
          <w:color w:val="auto"/>
        </w:rPr>
      </w:pPr>
      <w:r>
        <w:rPr>
          <w:rFonts w:ascii="Arial" w:cs="Arial" w:eastAsia="Arial" w:hAnsi="Arial"/>
          <w:sz w:val="20"/>
          <w:szCs w:val="20"/>
          <w:color w:val="auto"/>
        </w:rPr>
        <w:t>Nominations other than those made by or at the direction of the Board of Directors or any nominating committee or person appointed by the Board shall be made pursuant to timely notice in proper written form to the Secretary of the Corporation. To be timely, a shareholder’s request to nominate a person for director, together with the written consent of such person to serve as a director, must be received by the Secretary of the Corporation at the Corporation’s principal office (i) with respect to an election held at an annual meeting of shareholders, not less than 90 days nor more than 150 days prior to the anniversary of the annual meeting of shareholders held in the prior year, or (ii) with respect to an election held at a special meeting of shareholders for the election of directors, not later than the close of business on the eighth day following the date on which notice of such meeting is given to shareholders. To be in proper written form, such shareholder’s notice shall set forth in writing (a) as to each person whom the shareholder proposes to nominate for election or reelection as a director (i) the name, age, business address and residence address of such person, (ii) the principal occupation or employment of such person, (iii) the class and number of shares of stock of the Corporation which are beneficially owned by such person, and (iv) such other information relating to such person as is required to be disclosed in solicitations of proxies for election of directors, or as otherwise required, in each case pursuant to Regulation 14A under the Securities Exchange Act of 1934, as amended, and any successor to such Regulation; and (b) as to the shareholder giving the notice (i) the name and address, as they appear on the Corporation’s books, of such shareholder, (ii) (A) the class and number of shares of the Corporation which are owned of record and shares of the Corporation which are owned beneficially but not of record by such shareholder as well as by any Associated Person,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 owned beneficially by such shareholder that are separated or separable from the underlying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12" w:name="page113"/>
    <w:bookmarkEnd w:id="112"/>
    <w:p>
      <w:pPr>
        <w:spacing w:after="0" w:line="226" w:lineRule="auto"/>
        <w:rPr>
          <w:sz w:val="20"/>
          <w:szCs w:val="20"/>
          <w:color w:val="auto"/>
        </w:rPr>
      </w:pPr>
      <w:r>
        <w:rPr>
          <w:rFonts w:ascii="Arial" w:cs="Arial" w:eastAsia="Arial" w:hAnsi="Arial"/>
          <w:sz w:val="20"/>
          <w:szCs w:val="20"/>
          <w:color w:val="auto"/>
        </w:rPr>
        <w:t>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ten days after the record date for the meeting to disclose such ownership as of the record date); (iii) any other information relating to such shareholder and beneficial owner, if any, that would be required to be disclosed in a proxy statement or other filings that would be required to be made in connection with solicitations of proxies for the election of directors in a contested election pursuant to Section 14 of the Securities Exchange Act of 1934, as amended, and the rules and regulations promulgated thereunder; (iv) a representation that the shareholder is a holder of record of stock of the Corporation entitled to vote at such meeting and intends to appear in person or by proxy at the meeting to nominate the person or persons specified in the notice; and (v) any interest of the shareholder in such nomination. The Corporation may require any proposed nominee to furnish such other information as may reasonably be required by the Corporation to determine the eligibility of such proposed nominee to serve as a director of the Corporation or the shareholder to nominate the proposed nominee. The presiding officer at the meeting shall, if the facts so warrant, determine and declare to the meeting that a nomination was not made in accordance with the procedures or other requirements prescribed by the Corporation’s Articles of Incorporation and By-Laws; and if he should so determine, such presiding officer shall so declare to the meeting and the defective nomination(s) shall be disregarded.</w:t>
      </w:r>
    </w:p>
    <w:p>
      <w:pPr>
        <w:spacing w:after="0" w:line="205" w:lineRule="exact"/>
        <w:rPr>
          <w:sz w:val="20"/>
          <w:szCs w:val="20"/>
          <w:color w:val="auto"/>
        </w:rPr>
      </w:pPr>
    </w:p>
    <w:p>
      <w:pPr>
        <w:ind w:firstLine="749"/>
        <w:spacing w:after="0" w:line="227" w:lineRule="auto"/>
        <w:rPr>
          <w:sz w:val="20"/>
          <w:szCs w:val="20"/>
          <w:color w:val="auto"/>
        </w:rPr>
      </w:pPr>
      <w:r>
        <w:rPr>
          <w:rFonts w:ascii="Arial" w:cs="Arial" w:eastAsia="Arial" w:hAnsi="Arial"/>
          <w:sz w:val="20"/>
          <w:szCs w:val="20"/>
          <w:color w:val="auto"/>
        </w:rPr>
        <w:t xml:space="preserve">SECTION 2.7. </w:t>
      </w:r>
      <w:r>
        <w:rPr>
          <w:rFonts w:ascii="Arial" w:cs="Arial" w:eastAsia="Arial" w:hAnsi="Arial"/>
          <w:sz w:val="20"/>
          <w:szCs w:val="20"/>
          <w:u w:val="single" w:color="auto"/>
          <w:color w:val="auto"/>
        </w:rPr>
        <w:t>Fixing of Record Date</w:t>
      </w:r>
      <w:r>
        <w:rPr>
          <w:rFonts w:ascii="Arial" w:cs="Arial" w:eastAsia="Arial" w:hAnsi="Arial"/>
          <w:sz w:val="20"/>
          <w:szCs w:val="20"/>
          <w:color w:val="auto"/>
        </w:rPr>
        <w:t>. For the purpose of determining shareholders of any voting group entitled to notice of or to vote at any meeting of shareholders or any adjournment thereof, or shareholders entitled to receive payment of any distribution or dividend, or in order to make a determination of shareholders for any other proper purpose, the Board of Directors may fix in advance a date as the record date for any such determination of shareholders. Such record date shall not be more than 70 days prior to the date on which the particular action, requiring such determination of shareholders, is to be taken; provided that for the purpose of determining shareholders of any voting group entitled to notice of or to vote at the annual meeting of shareholders or any adjournment thereof, the record date shall be 70 days prior to the date of the annual meeting of shareholders, unless otherwise determined by the Board of Directors. If no record date is so fixed for the determination of shareholders entitled to notice of, or to vote at a meeting of shareholders, or shareholders entitled to receive a share dividend or distribution, the record date for determination of such shareholders shall be at the close of business on:</w:t>
      </w:r>
    </w:p>
    <w:p>
      <w:pPr>
        <w:spacing w:after="0" w:line="201" w:lineRule="exact"/>
        <w:rPr>
          <w:sz w:val="20"/>
          <w:szCs w:val="20"/>
          <w:color w:val="auto"/>
        </w:rPr>
      </w:pPr>
    </w:p>
    <w:p>
      <w:pPr>
        <w:ind w:left="760" w:right="260" w:firstLine="745"/>
        <w:spacing w:after="0" w:line="232" w:lineRule="auto"/>
        <w:tabs>
          <w:tab w:leader="none" w:pos="2257" w:val="left"/>
        </w:tabs>
        <w:numPr>
          <w:ilvl w:val="0"/>
          <w:numId w:val="56"/>
        </w:numPr>
        <w:rPr>
          <w:rFonts w:ascii="Arial" w:cs="Arial" w:eastAsia="Arial" w:hAnsi="Arial"/>
          <w:sz w:val="20"/>
          <w:szCs w:val="20"/>
          <w:color w:val="auto"/>
        </w:rPr>
      </w:pPr>
      <w:r>
        <w:rPr>
          <w:rFonts w:ascii="Arial" w:cs="Arial" w:eastAsia="Arial" w:hAnsi="Arial"/>
          <w:sz w:val="20"/>
          <w:szCs w:val="20"/>
          <w:color w:val="auto"/>
        </w:rPr>
        <w:t>With respect to an annual shareholders meeting or any special shareholders meeting called by the Board of Directors or any person specifically authorized by the Board of Directors or these By-Laws to call a meeting, the day before the first notice is given to shareholders;</w:t>
      </w:r>
    </w:p>
    <w:p>
      <w:pPr>
        <w:spacing w:after="0" w:line="197" w:lineRule="exact"/>
        <w:rPr>
          <w:rFonts w:ascii="Arial" w:cs="Arial" w:eastAsia="Arial" w:hAnsi="Arial"/>
          <w:sz w:val="20"/>
          <w:szCs w:val="20"/>
          <w:color w:val="auto"/>
        </w:rPr>
      </w:pPr>
    </w:p>
    <w:p>
      <w:pPr>
        <w:ind w:left="760" w:right="560" w:firstLine="745"/>
        <w:spacing w:after="0" w:line="236" w:lineRule="auto"/>
        <w:tabs>
          <w:tab w:leader="none" w:pos="2257" w:val="left"/>
        </w:tabs>
        <w:numPr>
          <w:ilvl w:val="0"/>
          <w:numId w:val="56"/>
        </w:numPr>
        <w:rPr>
          <w:rFonts w:ascii="Arial" w:cs="Arial" w:eastAsia="Arial" w:hAnsi="Arial"/>
          <w:sz w:val="20"/>
          <w:szCs w:val="20"/>
          <w:color w:val="auto"/>
        </w:rPr>
      </w:pPr>
      <w:r>
        <w:rPr>
          <w:rFonts w:ascii="Arial" w:cs="Arial" w:eastAsia="Arial" w:hAnsi="Arial"/>
          <w:sz w:val="20"/>
          <w:szCs w:val="20"/>
          <w:color w:val="auto"/>
        </w:rPr>
        <w:t>With respect to a special shareholders meeting demanded by the shareholders, the date the first shareholder signs the demand;</w:t>
      </w:r>
    </w:p>
    <w:p>
      <w:pPr>
        <w:spacing w:after="0" w:line="181" w:lineRule="exact"/>
        <w:rPr>
          <w:rFonts w:ascii="Arial" w:cs="Arial" w:eastAsia="Arial" w:hAnsi="Arial"/>
          <w:sz w:val="20"/>
          <w:szCs w:val="20"/>
          <w:color w:val="auto"/>
        </w:rPr>
      </w:pPr>
    </w:p>
    <w:p>
      <w:pPr>
        <w:ind w:left="2260" w:hanging="755"/>
        <w:spacing w:after="0"/>
        <w:tabs>
          <w:tab w:leader="none" w:pos="22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With respect to the payment of a share dividend, the date the Board of Directors authorizes the share</w:t>
      </w:r>
    </w:p>
    <w:p>
      <w:pPr>
        <w:ind w:left="760"/>
        <w:spacing w:after="0"/>
        <w:rPr>
          <w:rFonts w:ascii="Arial" w:cs="Arial" w:eastAsia="Arial" w:hAnsi="Arial"/>
          <w:sz w:val="20"/>
          <w:szCs w:val="20"/>
          <w:color w:val="auto"/>
        </w:rPr>
      </w:pPr>
      <w:r>
        <w:rPr>
          <w:rFonts w:ascii="Arial" w:cs="Arial" w:eastAsia="Arial" w:hAnsi="Arial"/>
          <w:sz w:val="20"/>
          <w:szCs w:val="20"/>
          <w:color w:val="auto"/>
        </w:rPr>
        <w:t>dividend;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13" w:name="page114"/>
    <w:bookmarkEnd w:id="113"/>
    <w:p>
      <w:pPr>
        <w:ind w:left="760" w:firstLine="745"/>
        <w:spacing w:after="0" w:line="236" w:lineRule="auto"/>
        <w:tabs>
          <w:tab w:leader="none" w:pos="2257" w:val="left"/>
        </w:tabs>
        <w:numPr>
          <w:ilvl w:val="0"/>
          <w:numId w:val="57"/>
        </w:numPr>
        <w:rPr>
          <w:rFonts w:ascii="Arial" w:cs="Arial" w:eastAsia="Arial" w:hAnsi="Arial"/>
          <w:sz w:val="20"/>
          <w:szCs w:val="20"/>
          <w:color w:val="auto"/>
        </w:rPr>
      </w:pPr>
      <w:r>
        <w:rPr>
          <w:rFonts w:ascii="Arial" w:cs="Arial" w:eastAsia="Arial" w:hAnsi="Arial"/>
          <w:sz w:val="20"/>
          <w:szCs w:val="20"/>
          <w:color w:val="auto"/>
        </w:rPr>
        <w:t>With respect to a distribution to shareholders (other than one involving a repurchase or reacquisition of shares), the date the Board of Directors authorizes the distribution.</w:t>
      </w:r>
    </w:p>
    <w:p>
      <w:pPr>
        <w:spacing w:after="0" w:line="196" w:lineRule="exact"/>
        <w:rPr>
          <w:sz w:val="20"/>
          <w:szCs w:val="20"/>
          <w:color w:val="auto"/>
        </w:rPr>
      </w:pPr>
    </w:p>
    <w:p>
      <w:pPr>
        <w:ind w:right="20" w:firstLine="749"/>
        <w:spacing w:after="0" w:line="227" w:lineRule="auto"/>
        <w:rPr>
          <w:sz w:val="20"/>
          <w:szCs w:val="20"/>
          <w:color w:val="auto"/>
        </w:rPr>
      </w:pPr>
      <w:r>
        <w:rPr>
          <w:rFonts w:ascii="Arial" w:cs="Arial" w:eastAsia="Arial" w:hAnsi="Arial"/>
          <w:sz w:val="20"/>
          <w:szCs w:val="20"/>
          <w:color w:val="auto"/>
        </w:rPr>
        <w:t xml:space="preserve">SECTION 2.8. </w:t>
      </w:r>
      <w:r>
        <w:rPr>
          <w:rFonts w:ascii="Arial" w:cs="Arial" w:eastAsia="Arial" w:hAnsi="Arial"/>
          <w:sz w:val="20"/>
          <w:szCs w:val="20"/>
          <w:u w:val="single" w:color="auto"/>
          <w:color w:val="auto"/>
        </w:rPr>
        <w:t>Voting Lists</w:t>
      </w:r>
      <w:r>
        <w:rPr>
          <w:rFonts w:ascii="Arial" w:cs="Arial" w:eastAsia="Arial" w:hAnsi="Arial"/>
          <w:sz w:val="20"/>
          <w:szCs w:val="20"/>
          <w:color w:val="auto"/>
        </w:rPr>
        <w:t>. After fixing a record date for a meeting, the Corporation shall prepare a list of the names of all its shareholders who are entitled to notice of a shareholders meeting. The list shall be arranged by class or series of shares and show the address of and the number of shares held by each shareholder. The shareholders list must be available for inspection by any shareholder, beginning two business days after notice of the meeting is given for which the list was prepared and continuing to the date of the meeting. The list shall be available at the Corporation’s principal office or at a place identified in the meeting notice in the city where the meeting is to be held. Subject to the provisions of the Wisconsin business corporation law, a shareholder or his or her agent or attorney may, on written demand, inspect and copy the list during regular business hours and at his or her expense, during the period it is available for inspection. The Corporation shall make the shareholders list available at the meeting, and any shareholder or his or her agent or attorney may inspect the list at any time during the meeting or any adjournment thereof. Refusal or failure to prepare or make available the shareholders list shall not affect the validity of any action taken at such meeting.</w:t>
      </w:r>
    </w:p>
    <w:p>
      <w:pPr>
        <w:spacing w:after="0" w:line="199" w:lineRule="exact"/>
        <w:rPr>
          <w:sz w:val="20"/>
          <w:szCs w:val="20"/>
          <w:color w:val="auto"/>
        </w:rPr>
      </w:pPr>
    </w:p>
    <w:p>
      <w:pPr>
        <w:ind w:right="120" w:firstLine="749"/>
        <w:spacing w:after="0" w:line="229" w:lineRule="auto"/>
        <w:rPr>
          <w:sz w:val="20"/>
          <w:szCs w:val="20"/>
          <w:color w:val="auto"/>
        </w:rPr>
      </w:pPr>
      <w:r>
        <w:rPr>
          <w:rFonts w:ascii="Arial" w:cs="Arial" w:eastAsia="Arial" w:hAnsi="Arial"/>
          <w:sz w:val="20"/>
          <w:szCs w:val="20"/>
          <w:color w:val="auto"/>
        </w:rPr>
        <w:t xml:space="preserve">SECTION 2.9. </w:t>
      </w:r>
      <w:r>
        <w:rPr>
          <w:rFonts w:ascii="Arial" w:cs="Arial" w:eastAsia="Arial" w:hAnsi="Arial"/>
          <w:sz w:val="20"/>
          <w:szCs w:val="20"/>
          <w:u w:val="single" w:color="auto"/>
          <w:color w:val="auto"/>
        </w:rPr>
        <w:t>Shareholder Quorum and Voting Requirements</w:t>
      </w:r>
      <w:r>
        <w:rPr>
          <w:rFonts w:ascii="Arial" w:cs="Arial" w:eastAsia="Arial" w:hAnsi="Arial"/>
          <w:sz w:val="20"/>
          <w:szCs w:val="20"/>
          <w:color w:val="auto"/>
        </w:rPr>
        <w:t>. Shares entitled to vote as a separate voting group may take action on a matter at a meeting only if a quorum of those shares exists with respect to that matter. Unless the Articles of Incorporation, By-Laws adopted under authority granted in the Articles of Incorporation or the Wisconsin business corporation law provide otherwise, a majority of the votes entitled to be cast on the matter by the voting group constitutes a quorum of that voting group for action on that matter.</w:t>
      </w:r>
    </w:p>
    <w:p>
      <w:pPr>
        <w:spacing w:after="0" w:line="199" w:lineRule="exact"/>
        <w:rPr>
          <w:sz w:val="20"/>
          <w:szCs w:val="20"/>
          <w:color w:val="auto"/>
        </w:rPr>
      </w:pPr>
    </w:p>
    <w:p>
      <w:pPr>
        <w:ind w:right="80" w:firstLine="749"/>
        <w:spacing w:after="0" w:line="230" w:lineRule="auto"/>
        <w:rPr>
          <w:sz w:val="20"/>
          <w:szCs w:val="20"/>
          <w:color w:val="auto"/>
        </w:rPr>
      </w:pPr>
      <w:r>
        <w:rPr>
          <w:rFonts w:ascii="Arial" w:cs="Arial" w:eastAsia="Arial" w:hAnsi="Arial"/>
          <w:sz w:val="20"/>
          <w:szCs w:val="20"/>
          <w:color w:val="auto"/>
        </w:rPr>
        <w:t>If the Articles of Incorporation or the Wisconsin business corporation law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198" w:lineRule="exact"/>
        <w:rPr>
          <w:sz w:val="20"/>
          <w:szCs w:val="20"/>
          <w:color w:val="auto"/>
        </w:rPr>
      </w:pPr>
    </w:p>
    <w:p>
      <w:pPr>
        <w:ind w:right="200" w:firstLine="749"/>
        <w:spacing w:after="0" w:line="232" w:lineRule="auto"/>
        <w:rPr>
          <w:sz w:val="20"/>
          <w:szCs w:val="20"/>
          <w:color w:val="auto"/>
        </w:rPr>
      </w:pPr>
      <w:r>
        <w:rPr>
          <w:rFonts w:ascii="Arial" w:cs="Arial" w:eastAsia="Arial" w:hAnsi="Arial"/>
          <w:sz w:val="20"/>
          <w:szCs w:val="20"/>
          <w:color w:val="auto"/>
        </w:rPr>
        <w:t>Once a share is represented for any purpose at a meeting, other than for the purpose of objecting to holding the meeting or transacting business at the meeting, it is deemed present for purposes of determining whether a quorum exists, for the remainder of the meeting and for any adjournment of that meeting to the extent provided in Section 2.14.</w:t>
      </w:r>
    </w:p>
    <w:p>
      <w:pPr>
        <w:spacing w:after="0" w:line="197" w:lineRule="exact"/>
        <w:rPr>
          <w:sz w:val="20"/>
          <w:szCs w:val="20"/>
          <w:color w:val="auto"/>
        </w:rPr>
      </w:pPr>
    </w:p>
    <w:p>
      <w:pPr>
        <w:ind w:firstLine="749"/>
        <w:spacing w:after="0"/>
        <w:rPr>
          <w:sz w:val="20"/>
          <w:szCs w:val="20"/>
          <w:color w:val="auto"/>
        </w:rPr>
      </w:pPr>
      <w:r>
        <w:rPr>
          <w:rFonts w:ascii="Arial" w:cs="Arial" w:eastAsia="Arial" w:hAnsi="Arial"/>
          <w:sz w:val="19"/>
          <w:szCs w:val="19"/>
          <w:color w:val="auto"/>
        </w:rPr>
        <w:t xml:space="preserve">If a quorum exists, action on a matter by a voting group is approved if the votes cast within the voting group favoring the action exceed the votes cast opposing the action, unless the Articles of Incorporation, the By-Laws or the Wisconsin business corporation law require a greater number of affirmative votes;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electing directors, unless otherwise provided in the Articles of Incorporation, directors are elected by a plurality of the votes cast by the shares entitled to vote in the election at a meeting at which a quorum is present. For purposes of electing directors, (i) a “plurality” means that the individuals with the largest number of votes are elected as directors up to the maximum number of directors to be chosen at the election, and (ii) votes against a candidate are not given legal effect and are not counted as votes cast in an election of directors. The voting requirements for the election of directors shall be governed by Section 3.2(d) of these By-Laws.</w:t>
      </w:r>
    </w:p>
    <w:p>
      <w:pPr>
        <w:spacing w:after="0" w:line="196" w:lineRule="exact"/>
        <w:rPr>
          <w:sz w:val="20"/>
          <w:szCs w:val="20"/>
          <w:color w:val="auto"/>
        </w:rPr>
      </w:pPr>
    </w:p>
    <w:p>
      <w:pPr>
        <w:ind w:right="280" w:firstLine="749"/>
        <w:spacing w:after="0" w:line="236"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Proxies</w:t>
      </w:r>
      <w:r>
        <w:rPr>
          <w:rFonts w:ascii="Arial" w:cs="Arial" w:eastAsia="Arial" w:hAnsi="Arial"/>
          <w:sz w:val="20"/>
          <w:szCs w:val="20"/>
          <w:color w:val="auto"/>
        </w:rPr>
        <w:t>. For all meetings of shareholders, a shareholder may authorize another person to act for the shareholder by appointing the person as proxy. A shareholder or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9" w:right="359" w:bottom="1440" w:gutter="0" w:footer="0" w:header="0"/>
        </w:sectPr>
      </w:pPr>
    </w:p>
    <w:bookmarkStart w:id="114" w:name="page115"/>
    <w:bookmarkEnd w:id="114"/>
    <w:p>
      <w:pPr>
        <w:ind w:right="100"/>
        <w:spacing w:after="0" w:line="236" w:lineRule="auto"/>
        <w:rPr>
          <w:sz w:val="20"/>
          <w:szCs w:val="20"/>
          <w:color w:val="auto"/>
        </w:rPr>
      </w:pPr>
      <w:r>
        <w:rPr>
          <w:rFonts w:ascii="Arial" w:cs="Arial" w:eastAsia="Arial" w:hAnsi="Arial"/>
          <w:sz w:val="20"/>
          <w:szCs w:val="20"/>
          <w:color w:val="auto"/>
        </w:rPr>
        <w:t>the shareholder’s authorized officer, director, employee, agent or attorney-in-fact may use any of the following means to appoint a proxy:</w:t>
      </w:r>
    </w:p>
    <w:p>
      <w:pPr>
        <w:spacing w:after="0" w:line="196" w:lineRule="exact"/>
        <w:rPr>
          <w:sz w:val="20"/>
          <w:szCs w:val="20"/>
          <w:color w:val="auto"/>
        </w:rPr>
      </w:pPr>
    </w:p>
    <w:p>
      <w:pPr>
        <w:ind w:left="760" w:right="360" w:firstLine="745"/>
        <w:spacing w:after="0" w:line="236" w:lineRule="auto"/>
        <w:tabs>
          <w:tab w:leader="none" w:pos="2257"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writing by signing or causing the shareholder’s signature to be affixed to an appointment form by any reasonable means, including, but not limited to, by facsimile signature;</w:t>
      </w:r>
    </w:p>
    <w:p>
      <w:pPr>
        <w:spacing w:after="0" w:line="195" w:lineRule="exact"/>
        <w:rPr>
          <w:rFonts w:ascii="Arial" w:cs="Arial" w:eastAsia="Arial" w:hAnsi="Arial"/>
          <w:sz w:val="20"/>
          <w:szCs w:val="20"/>
          <w:color w:val="auto"/>
        </w:rPr>
      </w:pPr>
    </w:p>
    <w:p>
      <w:pPr>
        <w:ind w:left="760" w:right="120" w:firstLine="745"/>
        <w:spacing w:after="0" w:line="232" w:lineRule="auto"/>
        <w:tabs>
          <w:tab w:leader="none" w:pos="2257" w:val="left"/>
        </w:tabs>
        <w:numPr>
          <w:ilvl w:val="0"/>
          <w:numId w:val="58"/>
        </w:numPr>
        <w:rPr>
          <w:rFonts w:ascii="Arial" w:cs="Arial" w:eastAsia="Arial" w:hAnsi="Arial"/>
          <w:sz w:val="20"/>
          <w:szCs w:val="20"/>
          <w:color w:val="auto"/>
        </w:rPr>
      </w:pPr>
      <w:r>
        <w:rPr>
          <w:rFonts w:ascii="Arial" w:cs="Arial" w:eastAsia="Arial" w:hAnsi="Arial"/>
          <w:sz w:val="20"/>
          <w:szCs w:val="20"/>
          <w:color w:val="auto"/>
        </w:rPr>
        <w:t>By transmitting or authorizing the transmission of an electronic transmission of the appointment to the person who will be appointed as proxy or to a proxy solicitation firm, proxy support service organization or like agent authorized to receive the transmission by the person who will be appointed as proxy; or</w:t>
      </w:r>
    </w:p>
    <w:p>
      <w:pPr>
        <w:spacing w:after="0" w:line="197" w:lineRule="exact"/>
        <w:rPr>
          <w:rFonts w:ascii="Arial" w:cs="Arial" w:eastAsia="Arial" w:hAnsi="Arial"/>
          <w:sz w:val="20"/>
          <w:szCs w:val="20"/>
          <w:color w:val="auto"/>
        </w:rPr>
      </w:pPr>
    </w:p>
    <w:p>
      <w:pPr>
        <w:ind w:left="2260" w:hanging="755"/>
        <w:spacing w:after="0"/>
        <w:tabs>
          <w:tab w:leader="none" w:pos="22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By any other means permitted by the Wisconsin business corporation law.</w:t>
      </w:r>
    </w:p>
    <w:p>
      <w:pPr>
        <w:spacing w:after="0" w:line="20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An appointment of a proxy shall be effective when a signed appointment form or an electronic transmission of the appointment is received by the inspector of election or the officer or agent authorized to tabulate votes. No appointment shall be valid after eleven months, unless otherwise provided in the appointment.</w:t>
      </w:r>
    </w:p>
    <w:p>
      <w:pPr>
        <w:spacing w:after="0" w:line="197" w:lineRule="exact"/>
        <w:rPr>
          <w:sz w:val="20"/>
          <w:szCs w:val="20"/>
          <w:color w:val="auto"/>
        </w:rPr>
      </w:pPr>
    </w:p>
    <w:p>
      <w:pPr>
        <w:ind w:right="340" w:firstLine="749"/>
        <w:spacing w:after="0" w:line="236"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Voting of Shares</w:t>
      </w:r>
      <w:r>
        <w:rPr>
          <w:rFonts w:ascii="Arial" w:cs="Arial" w:eastAsia="Arial" w:hAnsi="Arial"/>
          <w:sz w:val="20"/>
          <w:szCs w:val="20"/>
          <w:color w:val="auto"/>
        </w:rPr>
        <w:t>. Unless otherwise provided in the Articles of Incorporation, each outstanding share entitled to vote shall be entitled to one vote upon each matter submitted to a vote at a meeting of shareholders.</w:t>
      </w:r>
    </w:p>
    <w:p>
      <w:pPr>
        <w:spacing w:after="0" w:line="196" w:lineRule="exact"/>
        <w:rPr>
          <w:sz w:val="20"/>
          <w:szCs w:val="20"/>
          <w:color w:val="auto"/>
        </w:rPr>
      </w:pPr>
    </w:p>
    <w:p>
      <w:pPr>
        <w:ind w:right="140" w:firstLine="749"/>
        <w:spacing w:after="0" w:line="232" w:lineRule="auto"/>
        <w:rPr>
          <w:sz w:val="20"/>
          <w:szCs w:val="20"/>
          <w:color w:val="auto"/>
        </w:rPr>
      </w:pPr>
      <w:r>
        <w:rPr>
          <w:rFonts w:ascii="Arial" w:cs="Arial" w:eastAsia="Arial" w:hAnsi="Arial"/>
          <w:sz w:val="20"/>
          <w:szCs w:val="20"/>
          <w:color w:val="auto"/>
        </w:rPr>
        <w:t>No shares in the Corporation held by another corporation may be voted if the Corporation owns, directly or indirectly, a sufficient number of shares entitled to elect a majority of the directors of such other corporation; provided, however, that the Corporation shall not be limited in its power to vote any shares, including its own shares, held by it in a fiduciary capacity.</w:t>
      </w:r>
    </w:p>
    <w:p>
      <w:pPr>
        <w:spacing w:after="0" w:line="197" w:lineRule="exact"/>
        <w:rPr>
          <w:sz w:val="20"/>
          <w:szCs w:val="20"/>
          <w:color w:val="auto"/>
        </w:rPr>
      </w:pPr>
    </w:p>
    <w:p>
      <w:pPr>
        <w:ind w:right="120" w:firstLine="749"/>
        <w:spacing w:after="0" w:line="230" w:lineRule="auto"/>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Voting Shares Owned by the Corporation</w:t>
      </w:r>
      <w:r>
        <w:rPr>
          <w:rFonts w:ascii="Arial" w:cs="Arial" w:eastAsia="Arial" w:hAnsi="Arial"/>
          <w:sz w:val="20"/>
          <w:szCs w:val="20"/>
          <w:color w:val="auto"/>
        </w:rPr>
        <w:t>. Shares of the Corporation belonging to it shall not be voted directly or indirectly at any meeting and shall not be counted in determining the total number of outstanding shares at any given time, but shares held by the Corporation in a fiduciary capacity may be voted and shall be counted in determining the total number of outstanding shares at any given time.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Acceptance of Instruments Showing Shareholder Action</w:t>
      </w:r>
      <w:r>
        <w:rPr>
          <w:rFonts w:ascii="Arial" w:cs="Arial" w:eastAsia="Arial" w:hAnsi="Arial"/>
          <w:sz w:val="20"/>
          <w:szCs w:val="20"/>
          <w:color w:val="auto"/>
        </w:rPr>
        <w:t>.</w:t>
      </w:r>
    </w:p>
    <w:p>
      <w:pPr>
        <w:spacing w:after="0" w:line="202" w:lineRule="exact"/>
        <w:rPr>
          <w:sz w:val="20"/>
          <w:szCs w:val="20"/>
          <w:color w:val="auto"/>
        </w:rPr>
      </w:pPr>
    </w:p>
    <w:p>
      <w:pPr>
        <w:ind w:left="760" w:right="380" w:firstLine="745"/>
        <w:spacing w:after="0" w:line="232" w:lineRule="auto"/>
        <w:tabs>
          <w:tab w:leader="none" w:pos="2257" w:val="left"/>
        </w:tabs>
        <w:numPr>
          <w:ilvl w:val="0"/>
          <w:numId w:val="59"/>
        </w:numPr>
        <w:rPr>
          <w:rFonts w:ascii="Arial" w:cs="Arial" w:eastAsia="Arial" w:hAnsi="Arial"/>
          <w:sz w:val="20"/>
          <w:szCs w:val="20"/>
          <w:color w:val="auto"/>
        </w:rPr>
      </w:pPr>
      <w:r>
        <w:rPr>
          <w:rFonts w:ascii="Arial" w:cs="Arial" w:eastAsia="Arial" w:hAnsi="Arial"/>
          <w:sz w:val="20"/>
          <w:szCs w:val="20"/>
          <w:color w:val="auto"/>
        </w:rPr>
        <w:t>If the name signed on a vote, consent, waiver or proxy appointment corresponds to the name of a shareholder, the Corporation, if acting in good faith, may accept the vote, consent, waiver or proxy appointment and give it effect as the act of the shareholder.</w:t>
      </w:r>
    </w:p>
    <w:p>
      <w:pPr>
        <w:spacing w:after="0" w:line="197" w:lineRule="exact"/>
        <w:rPr>
          <w:rFonts w:ascii="Arial" w:cs="Arial" w:eastAsia="Arial" w:hAnsi="Arial"/>
          <w:sz w:val="20"/>
          <w:szCs w:val="20"/>
          <w:color w:val="auto"/>
        </w:rPr>
      </w:pPr>
    </w:p>
    <w:p>
      <w:pPr>
        <w:ind w:left="760" w:right="140" w:firstLine="745"/>
        <w:spacing w:after="0" w:line="232" w:lineRule="auto"/>
        <w:tabs>
          <w:tab w:leader="none" w:pos="2257" w:val="left"/>
        </w:tabs>
        <w:numPr>
          <w:ilvl w:val="0"/>
          <w:numId w:val="59"/>
        </w:numPr>
        <w:rPr>
          <w:rFonts w:ascii="Arial" w:cs="Arial" w:eastAsia="Arial" w:hAnsi="Arial"/>
          <w:sz w:val="20"/>
          <w:szCs w:val="20"/>
          <w:color w:val="auto"/>
        </w:rPr>
      </w:pPr>
      <w:r>
        <w:rPr>
          <w:rFonts w:ascii="Arial" w:cs="Arial" w:eastAsia="Arial" w:hAnsi="Arial"/>
          <w:sz w:val="20"/>
          <w:szCs w:val="20"/>
          <w:color w:val="auto"/>
        </w:rPr>
        <w:t>If the name signed on a vote, consent, waiver or proxy appointment does not correspond to the name of its shareholder, the Corporation, if acting in good faith, may accept the vote, consent, waiver or proxy appointment and give it effect as the act of the shareholder if any of the following apply:</w:t>
      </w:r>
    </w:p>
    <w:p>
      <w:pPr>
        <w:spacing w:after="0" w:line="197" w:lineRule="exact"/>
        <w:rPr>
          <w:rFonts w:ascii="Arial" w:cs="Arial" w:eastAsia="Arial" w:hAnsi="Arial"/>
          <w:sz w:val="20"/>
          <w:szCs w:val="20"/>
          <w:color w:val="auto"/>
        </w:rPr>
      </w:pPr>
    </w:p>
    <w:p>
      <w:pPr>
        <w:ind w:left="1500" w:right="340" w:firstLine="754"/>
        <w:spacing w:after="0" w:line="225" w:lineRule="auto"/>
        <w:tabs>
          <w:tab w:leader="none" w:pos="2997"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shareholder is an entity, within the meaning of the Wisconsin business corporation law, and the name signed purports to be that of an officer or agent of the entity;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15" w:name="page116"/>
    <w:bookmarkEnd w:id="115"/>
    <w:p>
      <w:pPr>
        <w:ind w:left="1500" w:right="120" w:firstLine="754"/>
        <w:spacing w:after="0" w:line="230" w:lineRule="auto"/>
        <w:tabs>
          <w:tab w:leader="none" w:pos="2997"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name signed purports to be that of a personal representative, administrator, executor, guardian or conservator representing the shareholder and, if the Corporation or its agent request, evidence of fiduciary status acceptable to the Corporation is presented with respect to the vote, consent, waiver or proxy appointment;</w:t>
      </w:r>
    </w:p>
    <w:p>
      <w:pPr>
        <w:spacing w:after="0" w:line="198" w:lineRule="exact"/>
        <w:rPr>
          <w:rFonts w:ascii="Arial" w:cs="Arial" w:eastAsia="Arial" w:hAnsi="Arial"/>
          <w:sz w:val="20"/>
          <w:szCs w:val="20"/>
          <w:color w:val="auto"/>
        </w:rPr>
      </w:pPr>
    </w:p>
    <w:p>
      <w:pPr>
        <w:jc w:val="both"/>
        <w:ind w:left="1500" w:right="120" w:firstLine="754"/>
        <w:spacing w:after="0" w:line="232" w:lineRule="auto"/>
        <w:tabs>
          <w:tab w:leader="none" w:pos="2997"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name signed purports to be that of a receiver or trustee in bankruptcy of the shareholder and, if the Corporation or its agent request, evidence of this status acceptable to the Corporation is presented with respect to the vote, consent, waiver or proxy appointment;</w:t>
      </w:r>
    </w:p>
    <w:p>
      <w:pPr>
        <w:spacing w:after="0" w:line="197" w:lineRule="exact"/>
        <w:rPr>
          <w:rFonts w:ascii="Arial" w:cs="Arial" w:eastAsia="Arial" w:hAnsi="Arial"/>
          <w:sz w:val="20"/>
          <w:szCs w:val="20"/>
          <w:color w:val="auto"/>
        </w:rPr>
      </w:pPr>
    </w:p>
    <w:p>
      <w:pPr>
        <w:ind w:left="1500" w:right="80" w:firstLine="754"/>
        <w:spacing w:after="0" w:line="230" w:lineRule="auto"/>
        <w:tabs>
          <w:tab w:leader="none" w:pos="2997"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name signed purports to be that of a pledgee, beneficial owner, or attorney-in-fact of the shareholder and, if the Corporation or its agent request, evidence acceptable to the Corporation of the signatory’s authority to sign for the shareholder is presented with respect to the vote, consent, waiver or proxy appointment; or</w:t>
      </w:r>
    </w:p>
    <w:p>
      <w:pPr>
        <w:spacing w:after="0" w:line="198" w:lineRule="exact"/>
        <w:rPr>
          <w:rFonts w:ascii="Arial" w:cs="Arial" w:eastAsia="Arial" w:hAnsi="Arial"/>
          <w:sz w:val="20"/>
          <w:szCs w:val="20"/>
          <w:color w:val="auto"/>
        </w:rPr>
      </w:pPr>
    </w:p>
    <w:p>
      <w:pPr>
        <w:ind w:left="1500" w:right="240" w:firstLine="754"/>
        <w:spacing w:after="0" w:line="232" w:lineRule="auto"/>
        <w:tabs>
          <w:tab w:leader="none" w:pos="2997" w:val="left"/>
        </w:tabs>
        <w:numPr>
          <w:ilvl w:val="1"/>
          <w:numId w:val="60"/>
        </w:numPr>
        <w:rPr>
          <w:rFonts w:ascii="Arial" w:cs="Arial" w:eastAsia="Arial" w:hAnsi="Arial"/>
          <w:sz w:val="20"/>
          <w:szCs w:val="20"/>
          <w:color w:val="auto"/>
        </w:rPr>
      </w:pPr>
      <w:r>
        <w:rPr>
          <w:rFonts w:ascii="Arial" w:cs="Arial" w:eastAsia="Arial" w:hAnsi="Arial"/>
          <w:sz w:val="20"/>
          <w:szCs w:val="20"/>
          <w:color w:val="auto"/>
        </w:rPr>
        <w:t>two or more persons are the shareholders as cotenants or fiduciaries and the name signed purports to be the name of at least one of the co-owners and the persons signing appears to be acting on behalf of all co-owners.</w:t>
      </w:r>
    </w:p>
    <w:p>
      <w:pPr>
        <w:spacing w:after="0" w:line="197" w:lineRule="exact"/>
        <w:rPr>
          <w:rFonts w:ascii="Arial" w:cs="Arial" w:eastAsia="Arial" w:hAnsi="Arial"/>
          <w:sz w:val="20"/>
          <w:szCs w:val="20"/>
          <w:color w:val="auto"/>
        </w:rPr>
      </w:pPr>
    </w:p>
    <w:p>
      <w:pPr>
        <w:ind w:left="760" w:right="320" w:firstLine="745"/>
        <w:spacing w:after="0" w:line="247" w:lineRule="auto"/>
        <w:tabs>
          <w:tab w:leader="none" w:pos="2257"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189" w:lineRule="exact"/>
        <w:rPr>
          <w:sz w:val="20"/>
          <w:szCs w:val="20"/>
          <w:color w:val="auto"/>
        </w:rPr>
      </w:pPr>
    </w:p>
    <w:p>
      <w:pPr>
        <w:ind w:firstLine="749"/>
        <w:spacing w:after="0" w:line="228" w:lineRule="auto"/>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u w:val="single" w:color="auto"/>
          <w:color w:val="auto"/>
        </w:rPr>
        <w:t>Adjournments</w:t>
      </w:r>
      <w:r>
        <w:rPr>
          <w:rFonts w:ascii="Arial" w:cs="Arial" w:eastAsia="Arial" w:hAnsi="Arial"/>
          <w:sz w:val="20"/>
          <w:szCs w:val="20"/>
          <w:color w:val="auto"/>
        </w:rPr>
        <w:t>. An annual or special meeting of shareholders may be adjourned at any time, including after action on one or more matters, by a majority of shares represented, even if less than a quorum. An annual or special meeting may also be adjourned at any time, including after action on one or more matters, by the Chairman of the Board, by the presiding officer of such meeting or by any duly authorized officer of the Corporation. The meeting may be adjourned for any purpose, including, but not limited to, allowing additional time to solicit votes on one or more matters, to disseminate additional information to shareholders or to count votes. Upon being reconvened, the adjourned meeting shall be deemed to be a continuation of the initial meeting.</w:t>
      </w:r>
    </w:p>
    <w:p>
      <w:pPr>
        <w:spacing w:after="0" w:line="199" w:lineRule="exact"/>
        <w:rPr>
          <w:sz w:val="20"/>
          <w:szCs w:val="20"/>
          <w:color w:val="auto"/>
        </w:rPr>
      </w:pPr>
    </w:p>
    <w:p>
      <w:pPr>
        <w:ind w:left="760" w:right="100" w:firstLine="745"/>
        <w:spacing w:after="0" w:line="230" w:lineRule="auto"/>
        <w:tabs>
          <w:tab w:leader="none" w:pos="2257"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Quorum</w:t>
      </w:r>
      <w:r>
        <w:rPr>
          <w:rFonts w:ascii="Arial" w:cs="Arial" w:eastAsia="Arial" w:hAnsi="Arial"/>
          <w:sz w:val="20"/>
          <w:szCs w:val="20"/>
          <w:color w:val="auto"/>
        </w:rPr>
        <w:t>. Once a share is represented for any purpose at the original meeting, other than for the purpose of objecting to holding the meeting or transacting business at a meeting, it is considered present for purposes of determining if a quorum exists, for the remainder of the meeting and for any adjournment of that meeting unless a new record date is or must be set for that adjourned meeting.</w:t>
      </w:r>
    </w:p>
    <w:p>
      <w:pPr>
        <w:spacing w:after="0" w:line="198" w:lineRule="exact"/>
        <w:rPr>
          <w:rFonts w:ascii="Arial" w:cs="Arial" w:eastAsia="Arial" w:hAnsi="Arial"/>
          <w:sz w:val="20"/>
          <w:szCs w:val="20"/>
          <w:color w:val="auto"/>
        </w:rPr>
      </w:pPr>
    </w:p>
    <w:p>
      <w:pPr>
        <w:ind w:left="760" w:right="180" w:firstLine="745"/>
        <w:spacing w:after="0" w:line="230" w:lineRule="auto"/>
        <w:tabs>
          <w:tab w:leader="none" w:pos="2257"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Record Date</w:t>
      </w:r>
      <w:r>
        <w:rPr>
          <w:rFonts w:ascii="Arial" w:cs="Arial" w:eastAsia="Arial" w:hAnsi="Arial"/>
          <w:sz w:val="20"/>
          <w:szCs w:val="20"/>
          <w:color w:val="auto"/>
        </w:rPr>
        <w:t>. When a determination of shareholders entitled to notice of or to vote at any meeting of shareholders has been made as provided in Section 2.7, such determination shall be applied to any adjournment thereof unless the Board of Directors fixes a new record date, which it shall do if the meeting is adjourned to a date more than 120 days after the date fixed for the original meeting.</w:t>
      </w:r>
    </w:p>
    <w:p>
      <w:pPr>
        <w:spacing w:after="0" w:line="198" w:lineRule="exact"/>
        <w:rPr>
          <w:rFonts w:ascii="Arial" w:cs="Arial" w:eastAsia="Arial" w:hAnsi="Arial"/>
          <w:sz w:val="20"/>
          <w:szCs w:val="20"/>
          <w:color w:val="auto"/>
        </w:rPr>
      </w:pPr>
    </w:p>
    <w:p>
      <w:pPr>
        <w:ind w:left="760" w:right="340" w:firstLine="745"/>
        <w:spacing w:after="0" w:line="236" w:lineRule="auto"/>
        <w:tabs>
          <w:tab w:leader="none" w:pos="2257"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Unless a new record date for an adjourned meeting is or must be fixed pursuant to Section 2.14(b), the Corporation is not required to give notice of the</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5" w:right="399" w:bottom="1440" w:gutter="0" w:footer="0" w:header="0"/>
        </w:sectPr>
      </w:pPr>
    </w:p>
    <w:bookmarkStart w:id="116" w:name="page117"/>
    <w:bookmarkEnd w:id="116"/>
    <w:p>
      <w:pPr>
        <w:ind w:left="760"/>
        <w:spacing w:after="0"/>
        <w:rPr>
          <w:sz w:val="20"/>
          <w:szCs w:val="20"/>
          <w:color w:val="auto"/>
        </w:rPr>
      </w:pPr>
      <w:r>
        <w:rPr>
          <w:rFonts w:ascii="Arial" w:cs="Arial" w:eastAsia="Arial" w:hAnsi="Arial"/>
          <w:sz w:val="20"/>
          <w:szCs w:val="20"/>
          <w:color w:val="auto"/>
        </w:rPr>
        <w:t>new date, time or place if the new date, time or place is announced at the meeting before adjournment.</w:t>
      </w:r>
    </w:p>
    <w:p>
      <w:pPr>
        <w:spacing w:after="0" w:line="202" w:lineRule="exact"/>
        <w:rPr>
          <w:sz w:val="20"/>
          <w:szCs w:val="20"/>
          <w:color w:val="auto"/>
        </w:rPr>
      </w:pPr>
    </w:p>
    <w:p>
      <w:pPr>
        <w:ind w:right="220" w:firstLine="749"/>
        <w:spacing w:after="0" w:line="228" w:lineRule="auto"/>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Polling</w:t>
      </w:r>
      <w:r>
        <w:rPr>
          <w:rFonts w:ascii="Arial" w:cs="Arial" w:eastAsia="Arial" w:hAnsi="Arial"/>
          <w:sz w:val="20"/>
          <w:szCs w:val="20"/>
          <w:color w:val="auto"/>
        </w:rPr>
        <w:t>. In the sole discretion of the presiding officer of an annual or special meeting of shareholders, polls may be closed at any time after commencement of any annual or special meeting. When there are several matters to be considered at a meeting, the polls may remain open during the meeting as to any or all matters to be considered, as the presiding officer may declare. Polls will remain open as to matters to be considered at any adjournment of the meeting unless the presiding officer declares otherwise. At the sole discretion of the presiding officer, the polls may remain open after adjournment of a meeting for not more than 72 hours for the purpose of collecting proxies and counting votes. All votes submitted prior to the announcement of the results of the balloting shall be valid and counted. The results of balloting shall be final and binding after announcement of such results.</w:t>
      </w:r>
    </w:p>
    <w:p>
      <w:pPr>
        <w:spacing w:after="0" w:line="196" w:lineRule="exact"/>
        <w:rPr>
          <w:sz w:val="20"/>
          <w:szCs w:val="20"/>
          <w:color w:val="auto"/>
        </w:rPr>
      </w:pPr>
    </w:p>
    <w:p>
      <w:pPr>
        <w:ind w:firstLine="749"/>
        <w:spacing w:after="0" w:line="227" w:lineRule="auto"/>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Waiver of Notice by Shareholders</w:t>
      </w:r>
      <w:r>
        <w:rPr>
          <w:rFonts w:ascii="Arial" w:cs="Arial" w:eastAsia="Arial" w:hAnsi="Arial"/>
          <w:sz w:val="20"/>
          <w:szCs w:val="20"/>
          <w:color w:val="auto"/>
        </w:rPr>
        <w:t>. A shareholder may waive any notice required by the Wisconsin business corporation law, the Articles of Incorporation or the By-Laws before or after the date and time stated in the notice. The waiver shall be in writing and signed by the shareholder entitled to the notice, contain the same information that would have been required in the notice under any applicable provisions of the Wisconsin business corporation law, except that the time and place of the meeting need not be stated, and be delivered to the Corporation for inclusion in the Corporation’s records. A shareholder’s attendance at a meeting, in person or by proxy, waives objection to (i) lack of notice or defective notice of the meeting, unless the shareholder at the beginning of the meeting or promptly upon arrival objects to the holding of the meeting or transacting business at the meeting, and (ii) consideration of a particular matter at the meeting that is not within the purpose described in the meeting notice, unless the shareholder objects to considering the matter when it is presented.</w:t>
      </w:r>
    </w:p>
    <w:p>
      <w:pPr>
        <w:spacing w:after="0" w:line="202" w:lineRule="exact"/>
        <w:rPr>
          <w:sz w:val="20"/>
          <w:szCs w:val="20"/>
          <w:color w:val="auto"/>
        </w:rPr>
      </w:pPr>
    </w:p>
    <w:p>
      <w:pPr>
        <w:ind w:right="120" w:firstLine="749"/>
        <w:spacing w:after="0" w:line="232" w:lineRule="auto"/>
        <w:rPr>
          <w:sz w:val="20"/>
          <w:szCs w:val="20"/>
          <w:color w:val="auto"/>
        </w:rPr>
      </w:pPr>
      <w:r>
        <w:rPr>
          <w:rFonts w:ascii="Arial" w:cs="Arial" w:eastAsia="Arial" w:hAnsi="Arial"/>
          <w:sz w:val="20"/>
          <w:szCs w:val="20"/>
          <w:color w:val="auto"/>
        </w:rPr>
        <w:t xml:space="preserve">SECTION 2.17. </w:t>
      </w:r>
      <w:r>
        <w:rPr>
          <w:rFonts w:ascii="Arial" w:cs="Arial" w:eastAsia="Arial" w:hAnsi="Arial"/>
          <w:sz w:val="20"/>
          <w:szCs w:val="20"/>
          <w:u w:val="single" w:color="auto"/>
          <w:color w:val="auto"/>
        </w:rPr>
        <w:t>Unanimous Consent without Meeting</w:t>
      </w:r>
      <w:r>
        <w:rPr>
          <w:rFonts w:ascii="Arial" w:cs="Arial" w:eastAsia="Arial" w:hAnsi="Arial"/>
          <w:sz w:val="20"/>
          <w:szCs w:val="20"/>
          <w:color w:val="auto"/>
        </w:rPr>
        <w:t>. Any action required or permitted to be taken at a meeting of shareholders may be taken without a meeting only by unanimous written consent or consents signed by all of the shareholders of the Corporation and delivered to the Corporation for inclusion in the Corporation’s records.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ARTICLE III. BOARD OF DIRECTORS</w:t>
      </w:r>
    </w:p>
    <w:p>
      <w:pPr>
        <w:spacing w:after="0" w:line="202" w:lineRule="exact"/>
        <w:rPr>
          <w:sz w:val="20"/>
          <w:szCs w:val="20"/>
          <w:color w:val="auto"/>
        </w:rPr>
      </w:pPr>
    </w:p>
    <w:p>
      <w:pPr>
        <w:ind w:right="120" w:firstLine="749"/>
        <w:spacing w:after="0" w:line="232"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General Powers</w:t>
      </w:r>
      <w:r>
        <w:rPr>
          <w:rFonts w:ascii="Arial" w:cs="Arial" w:eastAsia="Arial" w:hAnsi="Arial"/>
          <w:sz w:val="20"/>
          <w:szCs w:val="20"/>
          <w:color w:val="auto"/>
        </w:rPr>
        <w:t>. All corporate powers shall be exercised by or under the authority of, and the business and affairs of the Corporation managed under the direction of, its Board of Directors, subject to any limitations set forth in the Articles of Incorporation.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Number, Tenure and, Qualifications and Election</w:t>
      </w:r>
      <w:r>
        <w:rPr>
          <w:rFonts w:ascii="Arial" w:cs="Arial" w:eastAsia="Arial" w:hAnsi="Arial"/>
          <w:sz w:val="20"/>
          <w:szCs w:val="20"/>
          <w:color w:val="auto"/>
        </w:rPr>
        <w:t>.</w:t>
      </w:r>
    </w:p>
    <w:p>
      <w:pPr>
        <w:spacing w:after="0" w:line="202" w:lineRule="exact"/>
        <w:rPr>
          <w:sz w:val="20"/>
          <w:szCs w:val="20"/>
          <w:color w:val="auto"/>
        </w:rPr>
      </w:pPr>
    </w:p>
    <w:p>
      <w:pPr>
        <w:ind w:left="760" w:firstLine="745"/>
        <w:spacing w:after="0" w:line="229" w:lineRule="auto"/>
        <w:tabs>
          <w:tab w:leader="none" w:pos="2257"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Number</w:t>
      </w:r>
      <w:r>
        <w:rPr>
          <w:rFonts w:ascii="Arial" w:cs="Arial" w:eastAsia="Arial" w:hAnsi="Arial"/>
          <w:sz w:val="20"/>
          <w:szCs w:val="20"/>
          <w:color w:val="auto"/>
        </w:rPr>
        <w:t>. Except as otherwise provided in the Articles of Incorporation, the number of directors (exclusive of directors, if any, elected by the holders of one or more series of preferred stock, voting separately as a series pursuant to the provisions of the Articles of Incorporation) shall be not less than 3 nor more than 15 directors, the exact number of directors to be determined from time to time by resolution adopted by affirmative vote of a majority of the entire Board of Directors then in office.</w:t>
      </w:r>
    </w:p>
    <w:p>
      <w:pPr>
        <w:spacing w:after="0" w:line="198" w:lineRule="exact"/>
        <w:rPr>
          <w:rFonts w:ascii="Arial" w:cs="Arial" w:eastAsia="Arial" w:hAnsi="Arial"/>
          <w:sz w:val="20"/>
          <w:szCs w:val="20"/>
          <w:color w:val="auto"/>
        </w:rPr>
      </w:pPr>
    </w:p>
    <w:p>
      <w:pPr>
        <w:jc w:val="both"/>
        <w:ind w:left="760" w:right="400" w:firstLine="745"/>
        <w:spacing w:after="0" w:line="230" w:lineRule="auto"/>
        <w:tabs>
          <w:tab w:leader="none" w:pos="2257"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Tenure.</w:t>
      </w:r>
      <w:r>
        <w:rPr>
          <w:rFonts w:ascii="Arial" w:cs="Arial" w:eastAsia="Arial" w:hAnsi="Arial"/>
          <w:sz w:val="20"/>
          <w:szCs w:val="20"/>
          <w:color w:val="auto"/>
        </w:rPr>
        <w:t xml:space="preserve"> At the 2014 annual meeting of shareholders, the successors of the directors whose terms expire at the meeting shall be elected for a term expiring at the 2015 annual meeting of shareholders and until their successors shall be elected and shall qualify; at the 2015 annual meeting of shareholders, the successors of the directors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9" w:right="379" w:bottom="1440" w:gutter="0" w:footer="0" w:header="0"/>
        </w:sectPr>
      </w:pPr>
    </w:p>
    <w:bookmarkStart w:id="117" w:name="page118"/>
    <w:bookmarkEnd w:id="117"/>
    <w:p>
      <w:pPr>
        <w:ind w:right="60"/>
        <w:spacing w:after="0" w:line="229" w:lineRule="auto"/>
        <w:rPr>
          <w:sz w:val="20"/>
          <w:szCs w:val="20"/>
          <w:color w:val="auto"/>
        </w:rPr>
      </w:pPr>
      <w:r>
        <w:rPr>
          <w:rFonts w:ascii="Arial" w:cs="Arial" w:eastAsia="Arial" w:hAnsi="Arial"/>
          <w:sz w:val="20"/>
          <w:szCs w:val="20"/>
          <w:color w:val="auto"/>
        </w:rPr>
        <w:t>whose terms expire at that meeting shall be elected for a term expiring at the 2016 annual meeting of shareholders and until their successors shall be elected and shall qualify; and at each annual meeting of shareholders thereafter, the successors of the directors whose terms expire at that meeting shall be elected for terms expiring at the next annual meeting of shareholders and until the successors of such directors shall be duly and shall qualify, until such director resigns or until there is a decrease in the number of directors.</w:t>
      </w:r>
    </w:p>
    <w:p>
      <w:pPr>
        <w:spacing w:after="0" w:line="199" w:lineRule="exact"/>
        <w:rPr>
          <w:sz w:val="20"/>
          <w:szCs w:val="20"/>
          <w:color w:val="auto"/>
        </w:rPr>
      </w:pPr>
    </w:p>
    <w:p>
      <w:pPr>
        <w:ind w:right="300" w:firstLine="745"/>
        <w:spacing w:after="0" w:line="244" w:lineRule="auto"/>
        <w:tabs>
          <w:tab w:leader="none" w:pos="155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Qualifications</w:t>
      </w:r>
      <w:r>
        <w:rPr>
          <w:rFonts w:ascii="Arial" w:cs="Arial" w:eastAsia="Arial" w:hAnsi="Arial"/>
          <w:sz w:val="19"/>
          <w:szCs w:val="19"/>
          <w:color w:val="auto"/>
        </w:rPr>
        <w:t>. A director need not be a resident of the state of Wisconsin or a shareholder of the Corporation except if required by the Articles of Incorporation. The Board of Directors, at its discretion, may establish any qualifications for directors, which qualifications, if any, shall only be applied for determining qualifications of a nominee for director as of the date of the meeting at which such nominee is to be elected or appointed.</w:t>
      </w:r>
    </w:p>
    <w:p>
      <w:pPr>
        <w:spacing w:after="0" w:line="191" w:lineRule="exact"/>
        <w:rPr>
          <w:sz w:val="20"/>
          <w:szCs w:val="20"/>
          <w:color w:val="auto"/>
        </w:rPr>
      </w:pPr>
    </w:p>
    <w:p>
      <w:pPr>
        <w:ind w:right="120" w:firstLine="745"/>
        <w:spacing w:after="0" w:line="227" w:lineRule="auto"/>
        <w:tabs>
          <w:tab w:leader="none" w:pos="1497"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Election</w:t>
      </w:r>
      <w:r>
        <w:rPr>
          <w:rFonts w:ascii="Arial" w:cs="Arial" w:eastAsia="Arial" w:hAnsi="Arial"/>
          <w:sz w:val="20"/>
          <w:szCs w:val="20"/>
          <w:color w:val="auto"/>
        </w:rPr>
        <w:t>. 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Section 3.2(d),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w:t>
      </w:r>
    </w:p>
    <w:p>
      <w:pPr>
        <w:spacing w:after="0" w:line="20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If an incumbent director fails to receive the affirmative vote of a majority of the votes cast in a non-contested election, then following the announcement of the final results of balloting for the election, such director shall promptly tender his or her resignation to the Governance and Sustainability Committee. Any such resignation shall be effective only upon its acceptance by the Board of Directors. The Governance and Sustainability Committee shall recommend to the Board of Directors whether to accept or reject the tendered resignation, or whether other action should be taken. The Board of Directors shall act on the recommendation of the Governance and Sustainability Committee and publicly disclose its decision, and the rationale behind its decision, within 90 days from the date of the announcement of the final results of balloting for the election.</w:t>
      </w:r>
    </w:p>
    <w:p>
      <w:pPr>
        <w:spacing w:after="0" w:line="196" w:lineRule="exact"/>
        <w:rPr>
          <w:sz w:val="20"/>
          <w:szCs w:val="20"/>
          <w:color w:val="auto"/>
        </w:rPr>
      </w:pPr>
    </w:p>
    <w:p>
      <w:pPr>
        <w:ind w:right="460"/>
        <w:spacing w:after="0" w:line="229" w:lineRule="auto"/>
        <w:rPr>
          <w:sz w:val="20"/>
          <w:szCs w:val="20"/>
          <w:color w:val="auto"/>
        </w:rPr>
      </w:pPr>
      <w:r>
        <w:rPr>
          <w:rFonts w:ascii="Arial" w:cs="Arial" w:eastAsia="Arial" w:hAnsi="Arial"/>
          <w:sz w:val="20"/>
          <w:szCs w:val="20"/>
          <w:color w:val="auto"/>
        </w:rPr>
        <w:t>The director who has tendered his or her resignation in accordance with this By-Law shall not participate in the Governance and Sustainability Committee’s or the Board of Directors’ deliberations or decision with respect to the tendered resignation. If one or more directors’ resignations are accepted by the Board, the Governance and Sustainability Committee shall recommend to the Board of Directors whether to fill such vacancy or vacancies or to reduce the size of the Board.</w:t>
      </w:r>
    </w:p>
    <w:p>
      <w:pPr>
        <w:spacing w:after="0" w:line="199"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In the event that a director does not promptly tender his or her resignation pursuant to the requirements of this Section, the Governance and Sustainability Committee shall recommend to the Board of Directors whether to take such actions as may be necessary to reduce the size of the Board to eliminate such director’s position, or whether other action should be taken. The Board of Directors shall act on the recommendation of the</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49530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79" w:right="339" w:bottom="1440" w:gutter="0" w:footer="0" w:header="0"/>
        </w:sectPr>
      </w:pPr>
    </w:p>
    <w:bookmarkStart w:id="118" w:name="page119"/>
    <w:bookmarkEnd w:id="118"/>
    <w:p>
      <w:pPr>
        <w:ind w:left="760"/>
        <w:spacing w:after="0" w:line="229" w:lineRule="auto"/>
        <w:rPr>
          <w:sz w:val="20"/>
          <w:szCs w:val="20"/>
          <w:color w:val="auto"/>
        </w:rPr>
      </w:pPr>
      <w:r>
        <w:rPr>
          <w:rFonts w:ascii="Arial" w:cs="Arial" w:eastAsia="Arial" w:hAnsi="Arial"/>
          <w:sz w:val="20"/>
          <w:szCs w:val="20"/>
          <w:color w:val="auto"/>
        </w:rPr>
        <w:t>Governance and Sustainability Committee and publicly disclose its decision, and the rationale behind its decision, within 90 days from the date of the announcement of the final results of balloting for the election. If all the members of the Governance and Sustainability Committee are required under this By-Law to resign, then the Board of Directors shall make its decision with respect to the tendered resignations, the size of the Board or any vacancy, as the case may be, without the recommendation of the Governance and Sustainability Committee.</w:t>
      </w:r>
    </w:p>
    <w:p>
      <w:pPr>
        <w:spacing w:after="0" w:line="199" w:lineRule="exact"/>
        <w:rPr>
          <w:sz w:val="20"/>
          <w:szCs w:val="20"/>
          <w:color w:val="auto"/>
        </w:rPr>
      </w:pPr>
    </w:p>
    <w:p>
      <w:pPr>
        <w:ind w:right="20" w:firstLine="749"/>
        <w:spacing w:after="0" w:line="229" w:lineRule="auto"/>
        <w:rPr>
          <w:sz w:val="20"/>
          <w:szCs w:val="20"/>
          <w:color w:val="auto"/>
        </w:rPr>
      </w:pPr>
      <w:r>
        <w:rPr>
          <w:rFonts w:ascii="Arial" w:cs="Arial" w:eastAsia="Arial" w:hAnsi="Arial"/>
          <w:sz w:val="20"/>
          <w:szCs w:val="20"/>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of vacancies and other features of such directorships shall be governed by the terms of the Articles of Incorporation applicable thereto. Directors so elected shall not be divided into classes unless expressly provided by such Articles, and during the prescribed terms of office of such directors, the Board of Directors shall consist of such directors in addition to the number of directors determined as provided in Section 3.2(a).</w:t>
      </w:r>
    </w:p>
    <w:p>
      <w:pPr>
        <w:spacing w:after="0" w:line="195" w:lineRule="exact"/>
        <w:rPr>
          <w:sz w:val="20"/>
          <w:szCs w:val="20"/>
          <w:color w:val="auto"/>
        </w:rPr>
      </w:pPr>
    </w:p>
    <w:p>
      <w:pPr>
        <w:ind w:right="80" w:firstLine="749"/>
        <w:spacing w:after="0" w:line="229"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Removal</w:t>
      </w:r>
      <w:r>
        <w:rPr>
          <w:rFonts w:ascii="Arial" w:cs="Arial" w:eastAsia="Arial" w:hAnsi="Arial"/>
          <w:sz w:val="20"/>
          <w:szCs w:val="20"/>
          <w:color w:val="auto"/>
        </w:rPr>
        <w:t>. Exclusive of directors, if any, elected by the holders of one or more classes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Section 3.3, the term “Cause” shall mean solely malfeasance arising from the performance of a director’s duties which has a materially adverse effect on the business of the Corporation.</w:t>
      </w:r>
    </w:p>
    <w:p>
      <w:pPr>
        <w:spacing w:after="0" w:line="199" w:lineRule="exact"/>
        <w:rPr>
          <w:sz w:val="20"/>
          <w:szCs w:val="20"/>
          <w:color w:val="auto"/>
        </w:rPr>
      </w:pPr>
    </w:p>
    <w:p>
      <w:pPr>
        <w:ind w:right="40" w:firstLine="749"/>
        <w:spacing w:after="0" w:line="244"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Resignation</w:t>
      </w:r>
      <w:r>
        <w:rPr>
          <w:rFonts w:ascii="Arial" w:cs="Arial" w:eastAsia="Arial" w:hAnsi="Arial"/>
          <w:sz w:val="19"/>
          <w:szCs w:val="19"/>
          <w:color w:val="auto"/>
        </w:rPr>
        <w:t>. A director may resign at any time by delivering written notice to the Board of Directors, the Chairman of the Board or to the Corporation (which shall be directed to the Secretary). Notwithstanding the foregoing, however, in the event of the tender of a resignation by a director pursuant to the requirements of Section 3.2(d), such director and the Board of Directors shall proceed in accordance with the requirements of Section 3.2(d) with respect to such resignation.</w:t>
      </w:r>
    </w:p>
    <w:p>
      <w:pPr>
        <w:spacing w:after="0" w:line="191" w:lineRule="exact"/>
        <w:rPr>
          <w:sz w:val="20"/>
          <w:szCs w:val="20"/>
          <w:color w:val="auto"/>
        </w:rPr>
      </w:pPr>
    </w:p>
    <w:p>
      <w:pPr>
        <w:ind w:right="220" w:firstLine="749"/>
        <w:spacing w:after="0"/>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Vacancies</w:t>
      </w:r>
      <w:r>
        <w:rPr>
          <w:rFonts w:ascii="Arial" w:cs="Arial" w:eastAsia="Arial" w:hAnsi="Arial"/>
          <w:sz w:val="19"/>
          <w:szCs w:val="19"/>
          <w:color w:val="auto"/>
        </w:rPr>
        <w:t>. Exclusive of a vacancy in directors, if any, elected by the holders of one or more classes of preferred stock,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until the next annual meeting of shareholders and until such director’s successor shall be duly elected and shall qualify. A vacancy that will occur at a specific later date may be filled before the vacancy occurs, but the new director will not take office until the vacancy occurs.</w:t>
      </w:r>
    </w:p>
    <w:p>
      <w:pPr>
        <w:spacing w:after="0" w:line="199" w:lineRule="exact"/>
        <w:rPr>
          <w:sz w:val="20"/>
          <w:szCs w:val="20"/>
          <w:color w:val="auto"/>
        </w:rPr>
      </w:pPr>
    </w:p>
    <w:p>
      <w:pPr>
        <w:ind w:right="40" w:firstLine="749"/>
        <w:spacing w:after="0" w:line="241"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by resolution adopted by the affirmative vote of a majority of the number of directors fixed by Section 3.2(a) then in office may create one or more committees, appoint members of the Board of Directors to serve on the committees and designate other members of the Board of Directors to serve as alternates. Each committee shall consist of one or more members of the Board of Directors. Unless otherwise provided by the Board of Directors, members of the committee shall serve at the pleasure of the Board of Directors. The committee may exercise those aspects of the authority of the Board of Directors which are within the scope of the committee’s assigned responsibilities or which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 xml:space="preserve">Board of Directors otherwise confers upon such committee;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a committee may not do any of the following:</w:t>
      </w:r>
    </w:p>
    <w:p>
      <w:pPr>
        <w:spacing w:after="0" w:line="202" w:lineRule="exact"/>
        <w:rPr>
          <w:sz w:val="20"/>
          <w:szCs w:val="20"/>
          <w:color w:val="auto"/>
        </w:rPr>
      </w:pPr>
    </w:p>
    <w:p>
      <w:pPr>
        <w:ind w:left="760" w:right="340" w:firstLine="745"/>
        <w:spacing w:after="0" w:line="236" w:lineRule="auto"/>
        <w:tabs>
          <w:tab w:leader="none" w:pos="2257" w:val="left"/>
        </w:tabs>
        <w:numPr>
          <w:ilvl w:val="0"/>
          <w:numId w:val="66"/>
        </w:numPr>
        <w:rPr>
          <w:rFonts w:ascii="Arial" w:cs="Arial" w:eastAsia="Arial" w:hAnsi="Arial"/>
          <w:sz w:val="20"/>
          <w:szCs w:val="20"/>
          <w:color w:val="auto"/>
        </w:rPr>
      </w:pPr>
      <w:r>
        <w:rPr>
          <w:rFonts w:ascii="Arial" w:cs="Arial" w:eastAsia="Arial" w:hAnsi="Arial"/>
          <w:sz w:val="20"/>
          <w:szCs w:val="20"/>
          <w:color w:val="auto"/>
        </w:rPr>
        <w:t>approve or recommend to shareholders for approval any action or matter expressly required by the Wisconsin business corporation law to be submitted to shareholders for approval; or</w:t>
      </w:r>
    </w:p>
    <w:p>
      <w:pPr>
        <w:spacing w:after="0" w:line="195" w:lineRule="exact"/>
        <w:rPr>
          <w:rFonts w:ascii="Arial" w:cs="Arial" w:eastAsia="Arial" w:hAnsi="Arial"/>
          <w:sz w:val="20"/>
          <w:szCs w:val="20"/>
          <w:color w:val="auto"/>
        </w:rPr>
      </w:pPr>
    </w:p>
    <w:p>
      <w:pPr>
        <w:ind w:left="2260" w:hanging="755"/>
        <w:spacing w:after="0"/>
        <w:tabs>
          <w:tab w:leader="none" w:pos="22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adopt, amend, or repeal any by-law of the Corporation.</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Except as required or limited by the Articles of Incorporation, the By-Laws, the Wisconsin business corporation law, or resolution of the Board of Directors, each committee shall be authorized to fix its own rules governing the conduct of its activities. Each committee shall make such reports to the Board of Directors of its activities as the Board of Directors may request.</w:t>
      </w:r>
    </w:p>
    <w:p>
      <w:pPr>
        <w:spacing w:after="0" w:line="189" w:lineRule="exact"/>
        <w:rPr>
          <w:sz w:val="20"/>
          <w:szCs w:val="20"/>
          <w:color w:val="auto"/>
        </w:rPr>
      </w:pPr>
    </w:p>
    <w:p>
      <w:pPr>
        <w:ind w:right="20" w:firstLine="749"/>
        <w:spacing w:after="0" w:line="236" w:lineRule="auto"/>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Compensation</w:t>
      </w:r>
      <w:r>
        <w:rPr>
          <w:rFonts w:ascii="Arial" w:cs="Arial" w:eastAsia="Arial" w:hAnsi="Arial"/>
          <w:sz w:val="20"/>
          <w:szCs w:val="20"/>
          <w:color w:val="auto"/>
        </w:rPr>
        <w:t>. Except as provided in the Articles of Incorporation, the Board of Directors, irrespective of any personal interest of any of its members, may fix the compensation of directors.</w:t>
      </w:r>
    </w:p>
    <w:p>
      <w:pPr>
        <w:spacing w:after="0" w:line="196" w:lineRule="exact"/>
        <w:rPr>
          <w:sz w:val="20"/>
          <w:szCs w:val="20"/>
          <w:color w:val="auto"/>
        </w:rPr>
      </w:pPr>
    </w:p>
    <w:p>
      <w:pPr>
        <w:ind w:firstLine="749"/>
        <w:spacing w:after="0" w:line="229" w:lineRule="auto"/>
        <w:rPr>
          <w:sz w:val="20"/>
          <w:szCs w:val="20"/>
          <w:color w:val="auto"/>
        </w:rPr>
      </w:pPr>
      <w:r>
        <w:rPr>
          <w:rFonts w:ascii="Arial" w:cs="Arial" w:eastAsia="Arial" w:hAnsi="Arial"/>
          <w:sz w:val="20"/>
          <w:szCs w:val="20"/>
          <w:color w:val="auto"/>
        </w:rPr>
        <w:t xml:space="preserve">SECTION 3.8. </w:t>
      </w:r>
      <w:r>
        <w:rPr>
          <w:rFonts w:ascii="Arial" w:cs="Arial" w:eastAsia="Arial" w:hAnsi="Arial"/>
          <w:sz w:val="20"/>
          <w:szCs w:val="20"/>
          <w:u w:val="single" w:color="auto"/>
          <w:color w:val="auto"/>
        </w:rPr>
        <w:t>Regular Meeting</w:t>
      </w:r>
      <w:r>
        <w:rPr>
          <w:rFonts w:ascii="Arial" w:cs="Arial" w:eastAsia="Arial" w:hAnsi="Arial"/>
          <w:sz w:val="20"/>
          <w:szCs w:val="20"/>
          <w:color w:val="auto"/>
        </w:rPr>
        <w:t>. A regular meeting of the Board of Directors shall be held without other notice than this By-Law immediately after, and at the same place as, the annual meeting of shareholders, and each adjourned session thereof. A regular meeting of a committee, if any, shall be at such date, place, either within or outside the state of Wisconsin, and time as such committee determines. Other regular meetings of the Board of Directors shall be held at such dates, times and places, either within or without the State of Wisconsin, as the Board of Directors may provide by resolution, which resolution shall constitute exclusive notice of such meeting.</w:t>
      </w:r>
    </w:p>
    <w:p>
      <w:pPr>
        <w:spacing w:after="0" w:line="195" w:lineRule="exact"/>
        <w:rPr>
          <w:sz w:val="20"/>
          <w:szCs w:val="20"/>
          <w:color w:val="auto"/>
        </w:rPr>
      </w:pPr>
    </w:p>
    <w:p>
      <w:pPr>
        <w:ind w:firstLine="749"/>
        <w:spacing w:after="0" w:line="242"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Board of Directors may be called by or at the request of the Chairman of the Board, the Chief Executive Officer or three-quarters of the members of the Board of Directors. Special meetings of a committee may be called by or at the request of the Chairman of a committee or a majority of the committee members. The person or persons authorized to call special meetings of the Board of Directors or a committee may fix any date, time and place, either within or outside the State of Wisconsin, for any special meeting of the Board of Directors or committee called by them.</w:t>
      </w:r>
    </w:p>
    <w:p>
      <w:pPr>
        <w:spacing w:after="0" w:line="194" w:lineRule="exact"/>
        <w:rPr>
          <w:sz w:val="20"/>
          <w:szCs w:val="20"/>
          <w:color w:val="auto"/>
        </w:rPr>
      </w:pPr>
    </w:p>
    <w:p>
      <w:pPr>
        <w:ind w:firstLine="749"/>
        <w:spacing w:after="0" w:line="227"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Notice; Waiver</w:t>
      </w:r>
      <w:r>
        <w:rPr>
          <w:rFonts w:ascii="Arial" w:cs="Arial" w:eastAsia="Arial" w:hAnsi="Arial"/>
          <w:sz w:val="20"/>
          <w:szCs w:val="20"/>
          <w:color w:val="auto"/>
        </w:rPr>
        <w:t>. Notice of meetings, except for regular meetings, shall be given at least five days previously thereto and shall state the date, time and place of the meeting of the Board of Directors or committee. Neither the business to be transacted at, nor the purpose of, any regular or special meeting of the Board of Directors or committee need be specified in the notice of such meeting. Notice may be communicated in person, by mail or other method of delivery, by telephone, including voice mail, answering machine or answering service or by any other electronic means. Written notice, which includes notice by electronic transmission, is effective at the earliest of the following: (1) when received; (2) on the date shown on the return receipt, if sent by registered or certified mail, return receipt requested, and the receipt is signed by or on behalf of the addressee; (3) two days after it is deposited with a private carrier; or (4) when electronically transmitted. Oral notice is deemed effective when communicated. Facsimile notice is deemed effective when sent.</w:t>
      </w:r>
    </w:p>
    <w:p>
      <w:pPr>
        <w:spacing w:after="0" w:line="202" w:lineRule="exact"/>
        <w:rPr>
          <w:sz w:val="20"/>
          <w:szCs w:val="20"/>
          <w:color w:val="auto"/>
        </w:rPr>
      </w:pPr>
    </w:p>
    <w:p>
      <w:pPr>
        <w:ind w:right="40" w:firstLine="749"/>
        <w:spacing w:after="0" w:line="232" w:lineRule="auto"/>
        <w:rPr>
          <w:sz w:val="20"/>
          <w:szCs w:val="20"/>
          <w:color w:val="auto"/>
        </w:rPr>
      </w:pPr>
      <w:r>
        <w:rPr>
          <w:rFonts w:ascii="Arial" w:cs="Arial" w:eastAsia="Arial" w:hAnsi="Arial"/>
          <w:sz w:val="20"/>
          <w:szCs w:val="20"/>
          <w:color w:val="auto"/>
        </w:rPr>
        <w:t>A director may waive any notice required by the Wisconsin business corporation law, the Articles of Incorporation or the By-Laws before or after the date and time stated in the notice. The waiver shall be in writing, signed by the director entitled to the notice and retained by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9" w:right="359" w:bottom="1440" w:gutter="0" w:footer="0" w:header="0"/>
        </w:sectPr>
      </w:pPr>
    </w:p>
    <w:bookmarkStart w:id="120" w:name="page121"/>
    <w:bookmarkEnd w:id="120"/>
    <w:p>
      <w:pPr>
        <w:spacing w:after="0" w:line="230" w:lineRule="auto"/>
        <w:rPr>
          <w:sz w:val="20"/>
          <w:szCs w:val="20"/>
          <w:color w:val="auto"/>
        </w:rPr>
      </w:pPr>
      <w:r>
        <w:rPr>
          <w:rFonts w:ascii="Arial" w:cs="Arial" w:eastAsia="Arial" w:hAnsi="Arial"/>
          <w:sz w:val="20"/>
          <w:szCs w:val="20"/>
          <w:color w:val="auto"/>
        </w:rPr>
        <w:t>Corporation. Notwithstanding the foregoing, a director’s attendance at or participation in a meeting waives any required notice to such director of the meeting unless the director at the beginning of the meeting or promptly upon such director’s arrival objects to holding the meeting or transacting business at the meeting and does not thereafter vote for or assent to action taken at the meeting.</w:t>
      </w:r>
    </w:p>
    <w:p>
      <w:pPr>
        <w:spacing w:after="0" w:line="198" w:lineRule="exact"/>
        <w:rPr>
          <w:sz w:val="20"/>
          <w:szCs w:val="20"/>
          <w:color w:val="auto"/>
        </w:rPr>
      </w:pPr>
    </w:p>
    <w:p>
      <w:pPr>
        <w:ind w:right="180" w:firstLine="749"/>
        <w:spacing w:after="0" w:line="228"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Quorum; Voting</w:t>
      </w:r>
      <w:r>
        <w:rPr>
          <w:rFonts w:ascii="Arial" w:cs="Arial" w:eastAsia="Arial" w:hAnsi="Arial"/>
          <w:sz w:val="20"/>
          <w:szCs w:val="20"/>
          <w:color w:val="auto"/>
        </w:rPr>
        <w:t xml:space="preserve">. Unless otherwise provided in the Articles of Incorporation or the Wisconsin business corporation law, a majority of the number of directors fixed by Section 3.2(a) or appointed by the Board of Directors to a committee shall constitute a quorum for the transaction of business at any meeting of the Board of Directors or committee;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even though less than such quorum is present at a meeting, a majority of the directors present may adjourn the meeting from time to time without further notice. Except as otherwise provided in the Articles of Incorporation, the By-Laws or the Wisconsin business corporation law, if a quorum is present when a vote is taken, the affirmative vote of a majority of directors present is the act of the Board of Directors or committee.</w:t>
      </w:r>
    </w:p>
    <w:p>
      <w:pPr>
        <w:spacing w:after="0" w:line="199" w:lineRule="exact"/>
        <w:rPr>
          <w:sz w:val="20"/>
          <w:szCs w:val="20"/>
          <w:color w:val="auto"/>
        </w:rPr>
      </w:pPr>
    </w:p>
    <w:p>
      <w:pPr>
        <w:ind w:right="20" w:firstLine="749"/>
        <w:spacing w:after="0" w:line="227"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Presumption of Assent</w:t>
      </w:r>
      <w:r>
        <w:rPr>
          <w:rFonts w:ascii="Arial" w:cs="Arial" w:eastAsia="Arial" w:hAnsi="Arial"/>
          <w:sz w:val="20"/>
          <w:szCs w:val="20"/>
          <w:color w:val="auto"/>
        </w:rPr>
        <w:t>. A director of the Corporation who is present and is announced as present at a meeting of the Board of Directors or a committee thereof at which action on any corporate matter is taken is deemed to have assented to the action taken unless (i) such director objects at the beginning of the meeting or promptly upon arrival to holding the meeting or transacting business at the meeting, (ii) such director dissents or abstains from an action taken and minutes of the meeting are prepared that show the director’s dissent or abstention from the action taken, (iii) such director delivers written notice of his dissent or abstention to the presiding officer of the meeting before its adjournment or to the Corporation (directed to the Secretary) immediately after adjournment of the meeting, or (iv) such director dissents or abstains from an action taken, minutes of the meeting are prepared that fail to show the director’s dissent or abstention from the action taken and the director delivers to the Corporation (directed to the Secretary) a written notice of that failure promptly after receiving the minutes. A director who votes in favor of action taken may not dissent or abstain from that action.</w:t>
      </w:r>
    </w:p>
    <w:p>
      <w:pPr>
        <w:spacing w:after="0" w:line="201" w:lineRule="exact"/>
        <w:rPr>
          <w:sz w:val="20"/>
          <w:szCs w:val="20"/>
          <w:color w:val="auto"/>
        </w:rPr>
      </w:pPr>
    </w:p>
    <w:p>
      <w:pPr>
        <w:ind w:right="180" w:firstLine="749"/>
        <w:spacing w:after="0" w:line="229"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u w:val="single" w:color="auto"/>
          <w:color w:val="auto"/>
        </w:rPr>
        <w:t>Informal Action Without Meeting</w:t>
      </w:r>
      <w:r>
        <w:rPr>
          <w:rFonts w:ascii="Arial" w:cs="Arial" w:eastAsia="Arial" w:hAnsi="Arial"/>
          <w:sz w:val="20"/>
          <w:szCs w:val="20"/>
          <w:color w:val="auto"/>
        </w:rPr>
        <w:t>. Any action required or permitted by the Articles of Incorporation, the By-Laws or any provision of law to be taken by the Board of Directors or a committee at a meeting may be taken without a meeting if the action is taken by all of the directors or committee members then in office. The action shall be evidenced by one or more written consents describing the action taken, signed by each director and retained by the Corporation. Any such consent is effective when the last director signs the consent, unless the consent specifies a different effective date.</w:t>
      </w:r>
    </w:p>
    <w:p>
      <w:pPr>
        <w:spacing w:after="0" w:line="199" w:lineRule="exact"/>
        <w:rPr>
          <w:sz w:val="20"/>
          <w:szCs w:val="20"/>
          <w:color w:val="auto"/>
        </w:rPr>
      </w:pPr>
    </w:p>
    <w:p>
      <w:pPr>
        <w:ind w:right="120" w:firstLine="749"/>
        <w:spacing w:after="0" w:line="237"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Telephonic or Other Meetings</w:t>
      </w:r>
      <w:r>
        <w:rPr>
          <w:rFonts w:ascii="Arial" w:cs="Arial" w:eastAsia="Arial" w:hAnsi="Arial"/>
          <w:sz w:val="19"/>
          <w:szCs w:val="19"/>
          <w:color w:val="auto"/>
        </w:rPr>
        <w:t>. Unless the Articles of Incorporation provide otherwise, any or all directors may participate in a regular or special meeting of the Board of Directors or any committee thereof by, or conduct the meeting through the use of, any means of communication by which (i) all directors participating may simultaneously hear each other during the meeting, (ii) all communication during the meeting is immediately transmitted to each participating director and</w:t>
      </w:r>
    </w:p>
    <w:p>
      <w:pPr>
        <w:spacing w:after="0" w:line="1" w:lineRule="exact"/>
        <w:rPr>
          <w:sz w:val="20"/>
          <w:szCs w:val="20"/>
          <w:color w:val="auto"/>
        </w:rPr>
      </w:pPr>
    </w:p>
    <w:p>
      <w:pPr>
        <w:ind w:right="180" w:firstLine="8"/>
        <w:spacing w:after="0" w:line="229" w:lineRule="auto"/>
        <w:tabs>
          <w:tab w:leader="none" w:pos="319" w:val="left"/>
        </w:tabs>
        <w:numPr>
          <w:ilvl w:val="0"/>
          <w:numId w:val="67"/>
        </w:numPr>
        <w:rPr>
          <w:rFonts w:ascii="Arial" w:cs="Arial" w:eastAsia="Arial" w:hAnsi="Arial"/>
          <w:sz w:val="20"/>
          <w:szCs w:val="20"/>
          <w:color w:val="auto"/>
        </w:rPr>
      </w:pPr>
      <w:r>
        <w:rPr>
          <w:rFonts w:ascii="Arial" w:cs="Arial" w:eastAsia="Arial" w:hAnsi="Arial"/>
          <w:sz w:val="20"/>
          <w:szCs w:val="20"/>
          <w:color w:val="auto"/>
        </w:rPr>
        <w:t>each participating director is able to immediately send messages to all other participating directors. If the meeting is to be conducted through the use of any such means of communication all participating directors shall be informed that a meeting is taking place at which official business may be transacted. A director participating in a meeting by this means is deemed to be present in person at the meeting. Notwithstanding the foregoing, the Chairman of the Board, or other presiding officer, shall, at any time, have the authority to</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9" w:right="37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deem any business or resolution not appropriate for meetings held pursuant to this Section 3.14.</w:t>
      </w:r>
    </w:p>
    <w:p>
      <w:pPr>
        <w:spacing w:after="0" w:line="202" w:lineRule="exact"/>
        <w:rPr>
          <w:sz w:val="20"/>
          <w:szCs w:val="20"/>
          <w:color w:val="auto"/>
        </w:rPr>
      </w:pPr>
    </w:p>
    <w:p>
      <w:pPr>
        <w:ind w:firstLine="749"/>
        <w:spacing w:after="0" w:line="227" w:lineRule="auto"/>
        <w:rPr>
          <w:sz w:val="20"/>
          <w:szCs w:val="20"/>
          <w:color w:val="auto"/>
        </w:rPr>
      </w:pPr>
      <w:r>
        <w:rPr>
          <w:rFonts w:ascii="Arial" w:cs="Arial" w:eastAsia="Arial" w:hAnsi="Arial"/>
          <w:sz w:val="20"/>
          <w:szCs w:val="20"/>
          <w:color w:val="auto"/>
        </w:rPr>
        <w:t xml:space="preserve">SECTION 3.15. </w:t>
      </w:r>
      <w:r>
        <w:rPr>
          <w:rFonts w:ascii="Arial" w:cs="Arial" w:eastAsia="Arial" w:hAnsi="Arial"/>
          <w:sz w:val="20"/>
          <w:szCs w:val="20"/>
          <w:u w:val="single" w:color="auto"/>
          <w:color w:val="auto"/>
        </w:rPr>
        <w:t>Chairman of the Board</w:t>
      </w:r>
      <w:r>
        <w:rPr>
          <w:rFonts w:ascii="Arial" w:cs="Arial" w:eastAsia="Arial" w:hAnsi="Arial"/>
          <w:sz w:val="20"/>
          <w:szCs w:val="20"/>
          <w:color w:val="auto"/>
        </w:rPr>
        <w:t>. The Board of Directors shall have a Chairman of the Board, who shall be one of its members, to serve as its leader with respect to its activities. The Chairman of the Board shall be elected by the Board of Directors. The Board of Directors may remove and replace the Chairman of the Board at any time with or without cause, but such removal shall be without prejudice to the contract rights, if any, of the person so removed, if the Chairman of the Board has been appointed as a principal officer of the Corporation pursuant to Section 4.1. Unless appointed as a principal officer of the Corporation pursuant to Section 4.1, the Chairman of the Board shall not be an officer or employee of the Corporation by virtue of such position. In addition to such authority, duties and responsibilities established by the Board of Directors pursuant to Section 4.2 if the Chairman of the Board has been appointed as a principal officer of the Corporation pursuant to Section 4.1, the Chairman of the Board shall preside at all annual and special meetings of shareholders and all regular and special meetings of the Board of Directors, in each case except as he delegates to the Chief Executive Officer or as otherwise may be determined by the Board of Directors.</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20"/>
          <w:szCs w:val="20"/>
          <w:u w:val="single" w:color="auto"/>
          <w:color w:val="auto"/>
        </w:rPr>
        <w:t>ARTICLE IV. OFFICERS</w:t>
      </w:r>
    </w:p>
    <w:p>
      <w:pPr>
        <w:spacing w:after="0" w:line="202" w:lineRule="exact"/>
        <w:rPr>
          <w:sz w:val="20"/>
          <w:szCs w:val="20"/>
          <w:color w:val="auto"/>
        </w:rPr>
      </w:pPr>
    </w:p>
    <w:p>
      <w:pPr>
        <w:ind w:firstLine="749"/>
        <w:spacing w:after="0" w:line="227"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Principal Officers</w:t>
      </w:r>
      <w:r>
        <w:rPr>
          <w:rFonts w:ascii="Arial" w:cs="Arial" w:eastAsia="Arial" w:hAnsi="Arial"/>
          <w:sz w:val="20"/>
          <w:szCs w:val="20"/>
          <w:color w:val="auto"/>
        </w:rPr>
        <w:t>. The principal officers of the Corporation shall be appointed by the Board of Directors and shall be comprised of a Chief Executive Officer, a President or two or more Presidents, as determined by the Board of Directors, and an Executive Vice President and Chief Financial Officer. Furthermore, the Board of Directors may appoint the Chairman of the Board to hold the principal officer position of Executive Chairman. In the event of such appointment, the Chairman of the Board may be referred to as Executive Chairman. The Chief Executive Officer shall have the authority, subject to such requirements, terms and conditions as may be prescribed by the Board of Directors, to appoint such other officers of the Corporation as the Chief Executive Officer deems necessary or appropriate, to prescribe their powers and duties, and to delegate authority to them. Each of the officers shall hold office until a successor for such office is appointed or until his or her earlier death or removal by the Board of Directors or by the Chief Executive Officer if such officer was initially appointed by him. At the end of the term of a Chairman of the Board appointed as a principal officer of the Corporation pursuant to this Section 4.1 where there is no successor, his or her authority, duties and responsibilities prescribed pursuant to Section 4.2 shall revert to the Chief Executive Officer. At the end of the term of a President where there is no successor, his or her responsibilities and authority shall revert to the Chief Executive Officer.</w:t>
      </w:r>
    </w:p>
    <w:p>
      <w:pPr>
        <w:spacing w:after="0" w:line="196" w:lineRule="exact"/>
        <w:rPr>
          <w:sz w:val="20"/>
          <w:szCs w:val="20"/>
          <w:color w:val="auto"/>
        </w:rPr>
      </w:pPr>
    </w:p>
    <w:p>
      <w:pPr>
        <w:ind w:firstLine="749"/>
        <w:spacing w:after="0" w:line="227" w:lineRule="auto"/>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Duties of Principal Officers</w:t>
      </w:r>
      <w:r>
        <w:rPr>
          <w:rFonts w:ascii="Arial" w:cs="Arial" w:eastAsia="Arial" w:hAnsi="Arial"/>
          <w:sz w:val="20"/>
          <w:szCs w:val="20"/>
          <w:color w:val="auto"/>
        </w:rPr>
        <w:t>. Subject to such requirements, terms and conditions as may be prescribed by the Board of Directors and the duties established by the Board of Directors for the Chairman of the Board, if appointed as a principal officer of the Corporation pursuant to Section 4.1, and the President or Presidents, the Chief Executive Officer shall have overall responsibility for the business and affairs of the Corporation including such duties as are regularly and customarily performed by the chief executive officer of a corporation. Without limiting the foregoing, the Chief Executive Officer shall have authority to see that all orders and resolutions of the Board of Directors are carried into effect and shall, subject to the control vested in the Board of Directors by the Wisconsin Business Corporation Law, administer and be responsible for the management of the business and affairs of the Corporation. In the absence of the Chairman of the Board, the Chief Executive Officer shall preside at annual and special meetings of shareholders. The Chief Executive Officer shall have authority, including the authority to delegate to any officer of the Corporation, to sign, execute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9" w:right="359" w:bottom="1440" w:gutter="0" w:footer="0" w:header="0"/>
        </w:sectPr>
      </w:pPr>
    </w:p>
    <w:bookmarkStart w:id="122" w:name="page123"/>
    <w:bookmarkEnd w:id="122"/>
    <w:p>
      <w:pPr>
        <w:jc w:val="both"/>
        <w:spacing w:after="0" w:line="232" w:lineRule="auto"/>
        <w:rPr>
          <w:sz w:val="20"/>
          <w:szCs w:val="20"/>
          <w:color w:val="auto"/>
        </w:rPr>
      </w:pPr>
      <w:r>
        <w:rPr>
          <w:rFonts w:ascii="Arial" w:cs="Arial" w:eastAsia="Arial" w:hAnsi="Arial"/>
          <w:sz w:val="20"/>
          <w:szCs w:val="20"/>
          <w:color w:val="auto"/>
        </w:rPr>
        <w:t>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197"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The President shall have such authority as is assigned to the person holding that office by the Board of Directors or the Chief Executive Officer. In the absence of the Chief Executive Officer or in the event of his death, inability or refusal to act, a President will have the authority to perform the duties of the Chief Executive Officer and when so acting shall have all the powers of and be subject to all the restrictions upon the Chief Executive Officer. Without limiting the foregoing, the President shall be responsible for the management of the business and affairs of the Corporation within the area of responsibility assigned to him. Within such area of responsibility, the President shall have the authority, including the authority to delegate to any officer of the Corporation,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202"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The Executive Vice President and Chief Financial Officer shall be the chief financial officer of the Corporation and perform such duties as are regularly and customarily performed by individuals generally holding the position of chief financial officer of a corporation.</w:t>
      </w:r>
    </w:p>
    <w:p>
      <w:pPr>
        <w:spacing w:after="0" w:line="197" w:lineRule="exact"/>
        <w:rPr>
          <w:sz w:val="20"/>
          <w:szCs w:val="20"/>
          <w:color w:val="auto"/>
        </w:rPr>
      </w:pPr>
    </w:p>
    <w:p>
      <w:pPr>
        <w:ind w:right="400"/>
        <w:spacing w:after="0" w:line="232" w:lineRule="auto"/>
        <w:rPr>
          <w:sz w:val="20"/>
          <w:szCs w:val="20"/>
          <w:color w:val="auto"/>
        </w:rPr>
      </w:pPr>
      <w:r>
        <w:rPr>
          <w:rFonts w:ascii="Arial" w:cs="Arial" w:eastAsia="Arial" w:hAnsi="Arial"/>
          <w:sz w:val="20"/>
          <w:szCs w:val="20"/>
          <w:color w:val="auto"/>
        </w:rPr>
        <w:t>In addition to the authority, duties and responsibilities specified in Section 3.15, the Chairman of the Board, if appointed as a principal officer of the Corporation pursuant to Section 4.1, shall have such authority, duties and responsibilities as may be prescribed from time to time by the Board of Directors.</w:t>
      </w:r>
    </w:p>
    <w:p>
      <w:pPr>
        <w:spacing w:after="0" w:line="197" w:lineRule="exact"/>
        <w:rPr>
          <w:sz w:val="20"/>
          <w:szCs w:val="20"/>
          <w:color w:val="auto"/>
        </w:rPr>
      </w:pPr>
    </w:p>
    <w:p>
      <w:pPr>
        <w:ind w:right="60" w:firstLine="749"/>
        <w:spacing w:after="0" w:line="230"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of the Corporation may be removed by the Board of Directors, and any officer of the Corporation appointed by the Chief Executive Officer may be removed by the Chief Executive Officer whenever in his or her judgment the best interests of the Corporation will be served thereby, but such removal shall be without prejudice to the contract rights, if any, of the person so removed. Election or appointment shall not in and of itself create contract rights.</w:t>
      </w:r>
    </w:p>
    <w:p>
      <w:pPr>
        <w:spacing w:after="0" w:line="198" w:lineRule="exact"/>
        <w:rPr>
          <w:sz w:val="20"/>
          <w:szCs w:val="20"/>
          <w:color w:val="auto"/>
        </w:rPr>
      </w:pPr>
    </w:p>
    <w:p>
      <w:pPr>
        <w:ind w:right="20" w:firstLine="749"/>
        <w:spacing w:after="0" w:line="242"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Vice Presidents</w:t>
      </w:r>
      <w:r>
        <w:rPr>
          <w:rFonts w:ascii="Arial" w:cs="Arial" w:eastAsia="Arial" w:hAnsi="Arial"/>
          <w:sz w:val="19"/>
          <w:szCs w:val="19"/>
          <w:color w:val="auto"/>
        </w:rPr>
        <w:t>. One or more of the Vice Presidents may be designated as Executive Vice President or Senior Vice President. The Chief Executive Officer or a President may appoint one or more Vice Presidents who shall have such duties and responsibilities as are designated by the Chief Executive Officer or President, whoever makes such appointment. Any Vice President shall perform such duties as are incident to the area of responsibility assigned in the appointment of Vice President or as may be prescribed from time to time by the Board of Directors, a President, or the Chief Executive Officer.</w:t>
      </w:r>
    </w:p>
    <w:p>
      <w:pPr>
        <w:spacing w:after="0" w:line="194" w:lineRule="exact"/>
        <w:rPr>
          <w:sz w:val="20"/>
          <w:szCs w:val="20"/>
          <w:color w:val="auto"/>
        </w:rPr>
      </w:pPr>
    </w:p>
    <w:p>
      <w:pPr>
        <w:ind w:right="20" w:firstLine="749"/>
        <w:spacing w:after="0" w:line="228"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Secretary</w:t>
      </w:r>
      <w:r>
        <w:rPr>
          <w:rFonts w:ascii="Arial" w:cs="Arial" w:eastAsia="Arial" w:hAnsi="Arial"/>
          <w:sz w:val="20"/>
          <w:szCs w:val="20"/>
          <w:color w:val="auto"/>
        </w:rPr>
        <w:t>. The Secretary shall: (i) keep the minutes of the shareholders and Board of Directors meetings in one or more books provided for that purpose, (ii) see that all notices are duly given in accordance with the provisions of the By-Laws or as required by law, (iii) be custodian of the Corporation’s records and of the seal of the Corporation, (iv) see that the seal of the Corporation is affixed to all appropriate documents the execution of which on behalf of the Corporation under its seal is duly authorized, (v) keep a register of the address of each shareholder which shall be furnished to the Secretary by such shareholder and (vi) perform all duties incident to the office of Secretary and such other duties as may be prescribed from time to time by the Board of Directors or the President and Chief Executive Officer.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23" w:name="page124"/>
    <w:bookmarkEnd w:id="123"/>
    <w:p>
      <w:pPr>
        <w:ind w:right="120" w:firstLine="749"/>
        <w:spacing w:after="0" w:line="229" w:lineRule="auto"/>
        <w:rPr>
          <w:sz w:val="20"/>
          <w:szCs w:val="20"/>
          <w:color w:val="auto"/>
        </w:rPr>
      </w:pPr>
      <w:r>
        <w:rPr>
          <w:rFonts w:ascii="Arial" w:cs="Arial" w:eastAsia="Arial" w:hAnsi="Arial"/>
          <w:sz w:val="20"/>
          <w:szCs w:val="20"/>
          <w:color w:val="auto"/>
        </w:rPr>
        <w:t xml:space="preserve">SECTION 4.6. </w:t>
      </w:r>
      <w:r>
        <w:rPr>
          <w:rFonts w:ascii="Arial" w:cs="Arial" w:eastAsia="Arial" w:hAnsi="Arial"/>
          <w:sz w:val="20"/>
          <w:szCs w:val="20"/>
          <w:u w:val="single" w:color="auto"/>
          <w:color w:val="auto"/>
        </w:rPr>
        <w:t>Treasurer</w:t>
      </w:r>
      <w:r>
        <w:rPr>
          <w:rFonts w:ascii="Arial" w:cs="Arial" w:eastAsia="Arial" w:hAnsi="Arial"/>
          <w:sz w:val="20"/>
          <w:szCs w:val="20"/>
          <w:color w:val="auto"/>
        </w:rPr>
        <w:t>. The Treasurer shall: (i) have charge and custody of and be responsible for all funds and securities of the Corporation, (ii) receive and give receipts for moneys due and payable to the Corporation from any source whatsoever, and deposit all such moneys in the name of the Corporation, and (iii) in general perform all of the duties incident to the office of Treasurer and have such other duties and exercise such other authority as from time to time may be delegated or assigned by the Board of Directors or the Chief Executive Officer.</w:t>
      </w:r>
    </w:p>
    <w:p>
      <w:pPr>
        <w:spacing w:after="0" w:line="199" w:lineRule="exact"/>
        <w:rPr>
          <w:sz w:val="20"/>
          <w:szCs w:val="20"/>
          <w:color w:val="auto"/>
        </w:rPr>
      </w:pPr>
    </w:p>
    <w:p>
      <w:pPr>
        <w:ind w:right="20" w:firstLine="749"/>
        <w:spacing w:after="0" w:line="241"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Assistant Secretaries and Assistant Treasurers</w:t>
      </w:r>
      <w:r>
        <w:rPr>
          <w:rFonts w:ascii="Arial" w:cs="Arial" w:eastAsia="Arial" w:hAnsi="Arial"/>
          <w:sz w:val="19"/>
          <w:szCs w:val="19"/>
          <w:color w:val="auto"/>
        </w:rPr>
        <w:t>. An Assistant Secretary, if any, when authorized by the Board of Directors, may sign with the Chief Executive Officer or any Vice President certificates for shares of the Corporation, the issuance of which shall have been authorized by a resolution of the Board of Directors. An Assistant Treasurer, if any, shall, if required by the Board of Directors, give bonds for the faithful discharge of his duties in such sums and with such sureties as the Board of Directors shall determine. The Assistant Secretaries and Assistant Treasurers, in general, shall perform such duties as shall be assigned to them by the Board of Directors, the Chief Executive Officer or the Secretary or the Treasurer, respectively.</w:t>
      </w:r>
    </w:p>
    <w:p>
      <w:pPr>
        <w:spacing w:after="0" w:line="196" w:lineRule="exact"/>
        <w:rPr>
          <w:sz w:val="20"/>
          <w:szCs w:val="20"/>
          <w:color w:val="auto"/>
        </w:rPr>
      </w:pPr>
    </w:p>
    <w:p>
      <w:pPr>
        <w:ind w:firstLine="749"/>
        <w:spacing w:after="0" w:line="232"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Salaries</w:t>
      </w:r>
      <w:r>
        <w:rPr>
          <w:rFonts w:ascii="Arial" w:cs="Arial" w:eastAsia="Arial" w:hAnsi="Arial"/>
          <w:sz w:val="20"/>
          <w:szCs w:val="20"/>
          <w:color w:val="auto"/>
        </w:rPr>
        <w:t>. The salaries of the officers shall be fixed from time to time by the Board of Directors or a committee authorized by the Board to fix the same, and no officer shall be prevented from receiving such salary by reason of the fact that he is also a director of the Corporation or a member of such committee.</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20"/>
          <w:szCs w:val="20"/>
          <w:u w:val="single" w:color="auto"/>
          <w:color w:val="auto"/>
        </w:rPr>
        <w:t>ARTICLE V. CONTRACTS; VOTING OF STOCK IN OTHER CORPORATIONS</w:t>
      </w:r>
    </w:p>
    <w:p>
      <w:pPr>
        <w:spacing w:after="0" w:line="202" w:lineRule="exact"/>
        <w:rPr>
          <w:sz w:val="20"/>
          <w:szCs w:val="20"/>
          <w:color w:val="auto"/>
        </w:rPr>
      </w:pPr>
    </w:p>
    <w:p>
      <w:pPr>
        <w:ind w:right="380" w:firstLine="749"/>
        <w:spacing w:after="0" w:line="232"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Contracts</w:t>
      </w:r>
      <w:r>
        <w:rPr>
          <w:rFonts w:ascii="Arial" w:cs="Arial" w:eastAsia="Arial" w:hAnsi="Arial"/>
          <w:sz w:val="20"/>
          <w:szCs w:val="20"/>
          <w:color w:val="auto"/>
        </w:rPr>
        <w:t>. The Board of Directors may authorize any officer or officers, committee, or any agent or agents to enter into any contract or execute and deliver any instrument in the name of and on behalf of the Corporation, and such authorization may be general or confined to specific instances.</w:t>
      </w:r>
    </w:p>
    <w:p>
      <w:pPr>
        <w:spacing w:after="0" w:line="197" w:lineRule="exact"/>
        <w:rPr>
          <w:sz w:val="20"/>
          <w:szCs w:val="20"/>
          <w:color w:val="auto"/>
        </w:rPr>
      </w:pPr>
    </w:p>
    <w:p>
      <w:pPr>
        <w:ind w:right="140" w:firstLine="749"/>
        <w:spacing w:after="0" w:line="229"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Voting of Stock in Other Corporations</w:t>
      </w:r>
      <w:r>
        <w:rPr>
          <w:rFonts w:ascii="Arial" w:cs="Arial" w:eastAsia="Arial" w:hAnsi="Arial"/>
          <w:sz w:val="20"/>
          <w:szCs w:val="20"/>
          <w:color w:val="auto"/>
        </w:rPr>
        <w:t>. The Board of Directors by resolution shall from time to time designate one or more persons to vote all stock held by this Corporation in any other corporation or entity, may designate such persons in the alternative and may empower them to execute proxies to vote in their stead. In the absence of any such designation by the Board of Directors, the Chief Executive Officer shall be authorized to vote any stock held by the Corporation or execute proxies to vote such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VI. CERTIFICATES FOR SHARES AND THEIR TRANSFER</w:t>
      </w:r>
    </w:p>
    <w:p>
      <w:pPr>
        <w:spacing w:after="0" w:line="202" w:lineRule="exact"/>
        <w:rPr>
          <w:sz w:val="20"/>
          <w:szCs w:val="20"/>
          <w:color w:val="auto"/>
        </w:rPr>
      </w:pPr>
    </w:p>
    <w:p>
      <w:pPr>
        <w:jc w:val="both"/>
        <w:ind w:right="200" w:firstLine="749"/>
        <w:spacing w:after="0" w:line="232"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Certificates for Shares</w:t>
      </w:r>
      <w:r>
        <w:rPr>
          <w:rFonts w:ascii="Arial" w:cs="Arial" w:eastAsia="Arial" w:hAnsi="Arial"/>
          <w:sz w:val="20"/>
          <w:szCs w:val="20"/>
          <w:color w:val="auto"/>
        </w:rPr>
        <w:t>. Shares of the Corporation may be issued in certificated or uncertificated form. Such shares shall be in the form determined by, or under the authority of a resolution of, the Board of Directors, which shall be consistent with the requirements of the Wisconsin business corporation law.</w:t>
      </w:r>
    </w:p>
    <w:p>
      <w:pPr>
        <w:spacing w:after="0" w:line="197" w:lineRule="exact"/>
        <w:rPr>
          <w:sz w:val="20"/>
          <w:szCs w:val="20"/>
          <w:color w:val="auto"/>
        </w:rPr>
      </w:pPr>
    </w:p>
    <w:p>
      <w:pPr>
        <w:ind w:left="760" w:right="100" w:firstLine="745"/>
        <w:spacing w:after="0" w:line="229" w:lineRule="auto"/>
        <w:tabs>
          <w:tab w:leader="none" w:pos="2257"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Certificated Shares</w:t>
      </w:r>
      <w:r>
        <w:rPr>
          <w:rFonts w:ascii="Arial" w:cs="Arial" w:eastAsia="Arial" w:hAnsi="Arial"/>
          <w:sz w:val="20"/>
          <w:szCs w:val="20"/>
          <w:color w:val="auto"/>
        </w:rPr>
        <w:t>. Shares represented by certificates shall be signed by the Chief Executive Officer, President or a Vice President and by the Secretary or an Assistant Secretary. The validity of a share certificate is not affected if a person who signed the certificate no longer holds office when the certificate is issued. All certificates for shares shall be consecutively numbered or otherwise identified. The name and address of the person to whom shares are issued, with the number of shares and date of issue, shall be entered on the stock transfer books of the Corporation. All certificates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9" w:right="359" w:bottom="1440" w:gutter="0" w:footer="0" w:header="0"/>
        </w:sectPr>
      </w:pPr>
    </w:p>
    <w:bookmarkStart w:id="124" w:name="page125"/>
    <w:bookmarkEnd w:id="124"/>
    <w:p>
      <w:pPr>
        <w:ind w:left="760" w:right="280"/>
        <w:spacing w:after="0" w:line="230" w:lineRule="auto"/>
        <w:rPr>
          <w:sz w:val="20"/>
          <w:szCs w:val="20"/>
          <w:color w:val="auto"/>
        </w:rPr>
      </w:pPr>
      <w:r>
        <w:rPr>
          <w:rFonts w:ascii="Arial" w:cs="Arial" w:eastAsia="Arial" w:hAnsi="Arial"/>
          <w:sz w:val="20"/>
          <w:szCs w:val="20"/>
          <w:color w:val="auto"/>
        </w:rPr>
        <w:t>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upon such terms and indemnity to the Corporation as the Board of Directors may prescribe.</w:t>
      </w:r>
    </w:p>
    <w:p>
      <w:pPr>
        <w:spacing w:after="0" w:line="198" w:lineRule="exact"/>
        <w:rPr>
          <w:sz w:val="20"/>
          <w:szCs w:val="20"/>
          <w:color w:val="auto"/>
        </w:rPr>
      </w:pPr>
    </w:p>
    <w:p>
      <w:pPr>
        <w:ind w:left="760" w:right="60" w:firstLine="745"/>
        <w:spacing w:after="0" w:line="227" w:lineRule="auto"/>
        <w:tabs>
          <w:tab w:leader="none" w:pos="2257"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Uncertificated Shares</w:t>
      </w:r>
      <w:r>
        <w:rPr>
          <w:rFonts w:ascii="Arial" w:cs="Arial" w:eastAsia="Arial" w:hAnsi="Arial"/>
          <w:sz w:val="20"/>
          <w:szCs w:val="20"/>
          <w:color w:val="auto"/>
        </w:rPr>
        <w:t>. Shares may also be issued in uncertificated form. Within a reasonable time after issuance or transfer of such shares, the Corporation shall send the shareholder a written statement of the information required on share certificates under the Wisconsin business corporation law, including: (1) the name of the Corporation; (2) the name of person to whom shares were issued; (3) the number and class of shares and the designation of the series, if any, of the shares issued; and (4) either a summary of the designations, relative rights, preferences and limitations, applicable to each class, and the variations in rights, preferences and limitations determined for each series and the authority of the Board of Directors to determine variations for future series, or a conspicuous statement that the Corporation will furnish the information specified in this subsection without charge upon the written request of the shareholder.</w:t>
      </w:r>
    </w:p>
    <w:p>
      <w:pPr>
        <w:spacing w:after="0" w:line="202" w:lineRule="exact"/>
        <w:rPr>
          <w:sz w:val="20"/>
          <w:szCs w:val="20"/>
          <w:color w:val="auto"/>
        </w:rPr>
      </w:pPr>
    </w:p>
    <w:p>
      <w:pPr>
        <w:ind w:firstLine="749"/>
        <w:spacing w:after="0" w:line="229"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Transfer of Shares</w:t>
      </w:r>
      <w:r>
        <w:rPr>
          <w:rFonts w:ascii="Arial" w:cs="Arial" w:eastAsia="Arial" w:hAnsi="Arial"/>
          <w:sz w:val="20"/>
          <w:szCs w:val="20"/>
          <w:color w:val="auto"/>
        </w:rPr>
        <w:t>. Transfer of shares of the Corporation shall be made only on the stock transfer books of the Corporation by the holder of record of such shares, or his or her legal representative, who shall furnish proper evidence of authority to transfer or by an attorney thereunto authorized by power of attorney duly executed and filed with the Secretary of the Corporation, and on surrender for cancellation of the certificate for such shares, if any. The person in whose name shares stand on the books and records of the Corporation shall be deemed by the Corporation to be the owner thereof for all purposes, except as otherwise required by the Wisconsin business corporation law.</w:t>
      </w:r>
    </w:p>
    <w:p>
      <w:pPr>
        <w:spacing w:after="0" w:line="195" w:lineRule="exact"/>
        <w:rPr>
          <w:sz w:val="20"/>
          <w:szCs w:val="20"/>
          <w:color w:val="auto"/>
        </w:rPr>
      </w:pPr>
    </w:p>
    <w:p>
      <w:pPr>
        <w:ind w:right="280" w:firstLine="749"/>
        <w:spacing w:after="0" w:line="230"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Stock Regulations</w:t>
      </w:r>
      <w:r>
        <w:rPr>
          <w:rFonts w:ascii="Arial" w:cs="Arial" w:eastAsia="Arial" w:hAnsi="Arial"/>
          <w:sz w:val="20"/>
          <w:szCs w:val="20"/>
          <w:color w:val="auto"/>
        </w:rPr>
        <w:t>. The Board of Directors shall have the power and authority to make all such further rules and regulations not inconsistent with the statutes of the State of Wisconsin as they may deem expedient concerning the issue, transfer and registration of shares of the Corporation represented in certificated or uncertificated form, including the appointment or designation of one or more stock transfer agents and one or more stock registrars.</w:t>
      </w:r>
    </w:p>
    <w:p>
      <w:pPr>
        <w:spacing w:after="0" w:line="198" w:lineRule="exact"/>
        <w:rPr>
          <w:sz w:val="20"/>
          <w:szCs w:val="20"/>
          <w:color w:val="auto"/>
        </w:rPr>
      </w:pPr>
    </w:p>
    <w:p>
      <w:pPr>
        <w:ind w:left="3500"/>
        <w:spacing w:after="0"/>
        <w:rPr>
          <w:sz w:val="20"/>
          <w:szCs w:val="20"/>
          <w:color w:val="auto"/>
        </w:rPr>
      </w:pPr>
      <w:r>
        <w:rPr>
          <w:rFonts w:ascii="Arial" w:cs="Arial" w:eastAsia="Arial" w:hAnsi="Arial"/>
          <w:sz w:val="20"/>
          <w:szCs w:val="20"/>
          <w:u w:val="single" w:color="auto"/>
          <w:color w:val="auto"/>
        </w:rPr>
        <w:t>ARTICLE VII. INDEMNIFICATION; INSURANCE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Indemnity of Directors, Officers, Employees and Designated Agents</w:t>
      </w:r>
      <w:r>
        <w:rPr>
          <w:rFonts w:ascii="Arial" w:cs="Arial" w:eastAsia="Arial" w:hAnsi="Arial"/>
          <w:sz w:val="20"/>
          <w:szCs w:val="20"/>
          <w:color w:val="auto"/>
        </w:rPr>
        <w:t>.</w:t>
      </w:r>
    </w:p>
    <w:p>
      <w:pPr>
        <w:spacing w:after="0" w:line="202" w:lineRule="exact"/>
        <w:rPr>
          <w:sz w:val="20"/>
          <w:szCs w:val="20"/>
          <w:color w:val="auto"/>
        </w:rPr>
      </w:pPr>
    </w:p>
    <w:p>
      <w:pPr>
        <w:ind w:left="2260" w:hanging="755"/>
        <w:spacing w:after="0"/>
        <w:tabs>
          <w:tab w:leader="none" w:pos="226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Definitions to Indemnification and Insurance Provisions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500" w:right="40" w:firstLine="754"/>
        <w:spacing w:after="0" w:line="225" w:lineRule="auto"/>
        <w:tabs>
          <w:tab w:leader="none" w:pos="3052" w:val="left"/>
        </w:tabs>
        <w:numPr>
          <w:ilvl w:val="1"/>
          <w:numId w:val="70"/>
        </w:numPr>
        <w:rPr>
          <w:rFonts w:ascii="Arial" w:cs="Arial" w:eastAsia="Arial" w:hAnsi="Arial"/>
          <w:sz w:val="20"/>
          <w:szCs w:val="20"/>
          <w:color w:val="auto"/>
        </w:rPr>
      </w:pPr>
      <w:r>
        <w:rPr>
          <w:rFonts w:ascii="Arial" w:cs="Arial" w:eastAsia="Arial" w:hAnsi="Arial"/>
          <w:sz w:val="20"/>
          <w:szCs w:val="20"/>
          <w:color w:val="auto"/>
        </w:rPr>
        <w:t>“Director, Officer, Employee or Agent” means any of the following: (i) A natural person who is or was a director, officer, employee or agent of the Corporation; (ii) A natural person who, while a director, officer, employee or agent of the Corporation, is or was serving either pursuant to the Corporation’s specific request or as a result of the nature of such person’s duties to the Corporation as a director, officer, partner, trustee, member of any governing or decision making committee, employee or agent of another corporation or foreign corporation, partnership, joint venture, trust or other enterprise; (iii) A natural person who, while a director, officer, employee or agent of the Corporation, is or was serving an employee benefit plan because his or her duties to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25" w:name="page126"/>
    <w:bookmarkEnd w:id="125"/>
    <w:p>
      <w:pPr>
        <w:ind w:left="380" w:right="20"/>
        <w:spacing w:after="0" w:line="229" w:lineRule="auto"/>
        <w:rPr>
          <w:sz w:val="20"/>
          <w:szCs w:val="20"/>
          <w:color w:val="auto"/>
        </w:rPr>
      </w:pPr>
      <w:r>
        <w:rPr>
          <w:rFonts w:ascii="Arial" w:cs="Arial" w:eastAsia="Arial" w:hAnsi="Arial"/>
          <w:sz w:val="20"/>
          <w:szCs w:val="20"/>
          <w:color w:val="auto"/>
        </w:rPr>
        <w:t>Corporation also impose duties on, or otherwise involve services by, the person to the plan or to participants in or beneficiaries of the plan; or (iv) Unless the context requires otherwise, the estate or personal representative of a director, officer, employee or agent. Notwithstanding the foregoing, an agent falls within the foregoing definition only upon a resolution of the Board of Directors or committee appointed thereby that such agent shall be entitled to the indemnification provided herein.</w:t>
      </w:r>
    </w:p>
    <w:p>
      <w:pPr>
        <w:spacing w:after="0" w:line="199" w:lineRule="exact"/>
        <w:rPr>
          <w:sz w:val="20"/>
          <w:szCs w:val="20"/>
          <w:color w:val="auto"/>
        </w:rPr>
      </w:pPr>
    </w:p>
    <w:p>
      <w:pPr>
        <w:ind w:left="380" w:right="160" w:firstLine="754"/>
        <w:spacing w:after="0" w:line="230" w:lineRule="auto"/>
        <w:tabs>
          <w:tab w:leader="none" w:pos="1877" w:val="left"/>
        </w:tabs>
        <w:numPr>
          <w:ilvl w:val="1"/>
          <w:numId w:val="71"/>
        </w:numPr>
        <w:rPr>
          <w:rFonts w:ascii="Arial" w:cs="Arial" w:eastAsia="Arial" w:hAnsi="Arial"/>
          <w:sz w:val="20"/>
          <w:szCs w:val="20"/>
          <w:color w:val="auto"/>
        </w:rPr>
      </w:pPr>
      <w:r>
        <w:rPr>
          <w:rFonts w:ascii="Arial" w:cs="Arial" w:eastAsia="Arial" w:hAnsi="Arial"/>
          <w:sz w:val="20"/>
          <w:szCs w:val="20"/>
          <w:color w:val="auto"/>
        </w:rPr>
        <w:t>“Liability” means the obligation to pay a judgment, penalty, assessment, forfeiture or fine, including an excise tax assessed with respect to an employee benefit plan, the agreement to pay any amount in settlement of a Proceeding (whether or not approved by a court order), and reasonable expenses and interest related to the foregoing.</w:t>
      </w:r>
    </w:p>
    <w:p>
      <w:pPr>
        <w:spacing w:after="0" w:line="198" w:lineRule="exact"/>
        <w:rPr>
          <w:rFonts w:ascii="Arial" w:cs="Arial" w:eastAsia="Arial" w:hAnsi="Arial"/>
          <w:sz w:val="20"/>
          <w:szCs w:val="20"/>
          <w:color w:val="auto"/>
        </w:rPr>
      </w:pPr>
    </w:p>
    <w:p>
      <w:pPr>
        <w:ind w:left="380" w:right="400" w:firstLine="754"/>
        <w:spacing w:after="0" w:line="236" w:lineRule="auto"/>
        <w:tabs>
          <w:tab w:leader="none" w:pos="1877" w:val="left"/>
        </w:tabs>
        <w:numPr>
          <w:ilvl w:val="1"/>
          <w:numId w:val="71"/>
        </w:numPr>
        <w:rPr>
          <w:rFonts w:ascii="Arial" w:cs="Arial" w:eastAsia="Arial" w:hAnsi="Arial"/>
          <w:sz w:val="20"/>
          <w:szCs w:val="20"/>
          <w:color w:val="auto"/>
        </w:rPr>
      </w:pPr>
      <w:r>
        <w:rPr>
          <w:rFonts w:ascii="Arial" w:cs="Arial" w:eastAsia="Arial" w:hAnsi="Arial"/>
          <w:sz w:val="20"/>
          <w:szCs w:val="20"/>
          <w:color w:val="auto"/>
        </w:rPr>
        <w:t>“Party” means a natural person who was or is, or who is threatened to be made, a named defendant or respondent in a Proceeding.</w:t>
      </w:r>
    </w:p>
    <w:p>
      <w:pPr>
        <w:spacing w:after="0" w:line="195" w:lineRule="exact"/>
        <w:rPr>
          <w:rFonts w:ascii="Arial" w:cs="Arial" w:eastAsia="Arial" w:hAnsi="Arial"/>
          <w:sz w:val="20"/>
          <w:szCs w:val="20"/>
          <w:color w:val="auto"/>
        </w:rPr>
      </w:pPr>
    </w:p>
    <w:p>
      <w:pPr>
        <w:ind w:left="380" w:right="40" w:firstLine="754"/>
        <w:spacing w:after="0" w:line="228" w:lineRule="auto"/>
        <w:tabs>
          <w:tab w:leader="none" w:pos="1877" w:val="left"/>
        </w:tabs>
        <w:numPr>
          <w:ilvl w:val="1"/>
          <w:numId w:val="71"/>
        </w:numPr>
        <w:rPr>
          <w:rFonts w:ascii="Arial" w:cs="Arial" w:eastAsia="Arial" w:hAnsi="Arial"/>
          <w:sz w:val="20"/>
          <w:szCs w:val="20"/>
          <w:color w:val="auto"/>
        </w:rPr>
      </w:pPr>
      <w:r>
        <w:rPr>
          <w:rFonts w:ascii="Arial" w:cs="Arial" w:eastAsia="Arial" w:hAnsi="Arial"/>
          <w:sz w:val="20"/>
          <w:szCs w:val="20"/>
          <w:color w:val="auto"/>
        </w:rPr>
        <w:t>“Proceeding” means any threatened, pending or completed civil, criminal, administrative or investigative action, suit, arbitration or other proceeding, whether formal or informal (including but not limited to any act or failure to act alleged or determined to have been negligent, to have violated the Employee Retirement Income Security Act of 1974, or to have violated Section 180.0833 of the Wisconsin Statutes, or any successor thereto, regarding improper dividends, distributions of assets, purchases of shares of the Corporation, or loans to officers), which involves foreign, federal, state or local law and which is brought by or in the right of the Corporation or by any other person or entity.</w:t>
      </w:r>
    </w:p>
    <w:p>
      <w:pPr>
        <w:spacing w:after="0" w:line="198" w:lineRule="exact"/>
        <w:rPr>
          <w:rFonts w:ascii="Arial" w:cs="Arial" w:eastAsia="Arial" w:hAnsi="Arial"/>
          <w:sz w:val="20"/>
          <w:szCs w:val="20"/>
          <w:color w:val="auto"/>
        </w:rPr>
      </w:pPr>
    </w:p>
    <w:p>
      <w:pPr>
        <w:ind w:left="380" w:right="280" w:firstLine="754"/>
        <w:spacing w:after="0" w:line="236" w:lineRule="auto"/>
        <w:tabs>
          <w:tab w:leader="none" w:pos="1877" w:val="left"/>
        </w:tabs>
        <w:numPr>
          <w:ilvl w:val="1"/>
          <w:numId w:val="71"/>
        </w:numPr>
        <w:rPr>
          <w:rFonts w:ascii="Arial" w:cs="Arial" w:eastAsia="Arial" w:hAnsi="Arial"/>
          <w:sz w:val="20"/>
          <w:szCs w:val="20"/>
          <w:color w:val="auto"/>
        </w:rPr>
      </w:pPr>
      <w:r>
        <w:rPr>
          <w:rFonts w:ascii="Arial" w:cs="Arial" w:eastAsia="Arial" w:hAnsi="Arial"/>
          <w:sz w:val="20"/>
          <w:szCs w:val="20"/>
          <w:color w:val="auto"/>
        </w:rPr>
        <w:t>“Expenses” means all reasonable fees, costs, charges, disbursements, attorneys’ fees and any other expenses incurred in connection with a Proceeding.</w:t>
      </w:r>
    </w:p>
    <w:p>
      <w:pPr>
        <w:spacing w:after="0" w:line="195" w:lineRule="exact"/>
        <w:rPr>
          <w:rFonts w:ascii="Arial" w:cs="Arial" w:eastAsia="Arial" w:hAnsi="Arial"/>
          <w:sz w:val="20"/>
          <w:szCs w:val="20"/>
          <w:color w:val="auto"/>
        </w:rPr>
      </w:pPr>
    </w:p>
    <w:p>
      <w:pPr>
        <w:ind w:left="1140" w:hanging="755"/>
        <w:spacing w:after="0"/>
        <w:tabs>
          <w:tab w:leader="none" w:pos="114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Indemnification of Officers, Directors, Employees and Agents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380" w:right="20" w:firstLine="754"/>
        <w:spacing w:after="0" w:line="230" w:lineRule="auto"/>
        <w:tabs>
          <w:tab w:leader="none" w:pos="1877"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Corporation shall indemnify a Director, Officer, Employee or Agent to the extent he or she has been successful on the merits or otherwise in the defense of any Proceeding, for all reasonable Expenses in a Proceeding if the Director, Officer, Employee or Agent was a Party because he or she is a Director, Officer, Employee or Agent of the Corporation.</w:t>
      </w:r>
    </w:p>
    <w:p>
      <w:pPr>
        <w:spacing w:after="0" w:line="198" w:lineRule="exact"/>
        <w:rPr>
          <w:rFonts w:ascii="Arial" w:cs="Arial" w:eastAsia="Arial" w:hAnsi="Arial"/>
          <w:sz w:val="20"/>
          <w:szCs w:val="20"/>
          <w:color w:val="auto"/>
        </w:rPr>
      </w:pPr>
    </w:p>
    <w:p>
      <w:pPr>
        <w:ind w:left="380" w:firstLine="754"/>
        <w:spacing w:after="0" w:line="229" w:lineRule="auto"/>
        <w:tabs>
          <w:tab w:leader="none" w:pos="1877" w:val="left"/>
        </w:tabs>
        <w:numPr>
          <w:ilvl w:val="1"/>
          <w:numId w:val="72"/>
        </w:numPr>
        <w:rPr>
          <w:rFonts w:ascii="Arial" w:cs="Arial" w:eastAsia="Arial" w:hAnsi="Arial"/>
          <w:sz w:val="20"/>
          <w:szCs w:val="20"/>
          <w:color w:val="auto"/>
        </w:rPr>
      </w:pPr>
      <w:r>
        <w:rPr>
          <w:rFonts w:ascii="Arial" w:cs="Arial" w:eastAsia="Arial" w:hAnsi="Arial"/>
          <w:sz w:val="20"/>
          <w:szCs w:val="20"/>
          <w:color w:val="auto"/>
        </w:rPr>
        <w:t>In cases not included under subsection (1), the Corporation shall indemnify a Director, Officer, Employee or Agent against Liability and Expenses incurred in a Proceeding to which the Director, Officer, Employee or Agent was a Party because he or she is a Director, Officer, Employee or Agent of the Corporation, unless it is determined by final judicial adjudication that such person breached or failed to perform a duty owed to the Corporation which constituted any of the following:</w:t>
      </w:r>
    </w:p>
    <w:p>
      <w:pPr>
        <w:spacing w:after="0" w:line="198" w:lineRule="exact"/>
        <w:rPr>
          <w:rFonts w:ascii="Arial" w:cs="Arial" w:eastAsia="Arial" w:hAnsi="Arial"/>
          <w:sz w:val="20"/>
          <w:szCs w:val="20"/>
          <w:color w:val="auto"/>
        </w:rPr>
      </w:pPr>
    </w:p>
    <w:p>
      <w:pPr>
        <w:ind w:left="1140" w:right="360" w:firstLine="743"/>
        <w:spacing w:after="0" w:line="237" w:lineRule="auto"/>
        <w:tabs>
          <w:tab w:leader="none" w:pos="2638" w:val="left"/>
        </w:tabs>
        <w:numPr>
          <w:ilvl w:val="2"/>
          <w:numId w:val="72"/>
        </w:numPr>
        <w:rPr>
          <w:rFonts w:ascii="Arial" w:cs="Arial" w:eastAsia="Arial" w:hAnsi="Arial"/>
          <w:sz w:val="19"/>
          <w:szCs w:val="19"/>
          <w:color w:val="auto"/>
        </w:rPr>
      </w:pPr>
      <w:r>
        <w:rPr>
          <w:rFonts w:ascii="Arial" w:cs="Arial" w:eastAsia="Arial" w:hAnsi="Arial"/>
          <w:sz w:val="19"/>
          <w:szCs w:val="19"/>
          <w:color w:val="auto"/>
        </w:rPr>
        <w:t>A willful failure to deal fairly with the Corporation or its shareholders in connection with a matter in which the Director, Officer, Employee or Agent has a material conflict of interest;</w:t>
      </w:r>
    </w:p>
    <w:p>
      <w:pPr>
        <w:ind w:left="440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595" w:right="359" w:bottom="1440" w:gutter="0" w:footer="0" w:header="0"/>
        </w:sectPr>
      </w:pPr>
    </w:p>
    <w:bookmarkStart w:id="126" w:name="page127"/>
    <w:bookmarkEnd w:id="126"/>
    <w:p>
      <w:pPr>
        <w:ind w:left="1140" w:right="20" w:firstLine="743"/>
        <w:spacing w:after="0" w:line="232" w:lineRule="auto"/>
        <w:tabs>
          <w:tab w:leader="none" w:pos="2638" w:val="left"/>
        </w:tabs>
        <w:numPr>
          <w:ilvl w:val="2"/>
          <w:numId w:val="73"/>
        </w:numPr>
        <w:rPr>
          <w:rFonts w:ascii="Arial" w:cs="Arial" w:eastAsia="Arial" w:hAnsi="Arial"/>
          <w:sz w:val="20"/>
          <w:szCs w:val="20"/>
          <w:color w:val="auto"/>
        </w:rPr>
      </w:pPr>
      <w:r>
        <w:rPr>
          <w:rFonts w:ascii="Arial" w:cs="Arial" w:eastAsia="Arial" w:hAnsi="Arial"/>
          <w:sz w:val="20"/>
          <w:szCs w:val="20"/>
          <w:color w:val="auto"/>
        </w:rPr>
        <w:t>A violation of criminal law, unless the Director, Officer, Employee or Agent had reasonable cause to believe his or her conduct was lawful or no reasonable cause to believe his or her conduct was unlawful;</w:t>
      </w:r>
    </w:p>
    <w:p>
      <w:pPr>
        <w:spacing w:after="0" w:line="197" w:lineRule="exact"/>
        <w:rPr>
          <w:rFonts w:ascii="Arial" w:cs="Arial" w:eastAsia="Arial" w:hAnsi="Arial"/>
          <w:sz w:val="20"/>
          <w:szCs w:val="20"/>
          <w:color w:val="auto"/>
        </w:rPr>
      </w:pPr>
    </w:p>
    <w:p>
      <w:pPr>
        <w:ind w:left="1140" w:right="800" w:firstLine="743"/>
        <w:spacing w:after="0" w:line="236" w:lineRule="auto"/>
        <w:tabs>
          <w:tab w:leader="none" w:pos="2638" w:val="left"/>
        </w:tabs>
        <w:numPr>
          <w:ilvl w:val="2"/>
          <w:numId w:val="73"/>
        </w:numPr>
        <w:rPr>
          <w:rFonts w:ascii="Arial" w:cs="Arial" w:eastAsia="Arial" w:hAnsi="Arial"/>
          <w:sz w:val="20"/>
          <w:szCs w:val="20"/>
          <w:color w:val="auto"/>
        </w:rPr>
      </w:pPr>
      <w:r>
        <w:rPr>
          <w:rFonts w:ascii="Arial" w:cs="Arial" w:eastAsia="Arial" w:hAnsi="Arial"/>
          <w:sz w:val="20"/>
          <w:szCs w:val="20"/>
          <w:color w:val="auto"/>
        </w:rPr>
        <w:t>A transaction from which the Director, Officer, Employee or Agent derived an improper personal profit; or</w:t>
      </w:r>
    </w:p>
    <w:p>
      <w:pPr>
        <w:spacing w:after="0" w:line="195" w:lineRule="exact"/>
        <w:rPr>
          <w:rFonts w:ascii="Arial" w:cs="Arial" w:eastAsia="Arial" w:hAnsi="Arial"/>
          <w:sz w:val="20"/>
          <w:szCs w:val="20"/>
          <w:color w:val="auto"/>
        </w:rPr>
      </w:pPr>
    </w:p>
    <w:p>
      <w:pPr>
        <w:ind w:left="2640" w:hanging="757"/>
        <w:spacing w:after="0"/>
        <w:tabs>
          <w:tab w:leader="none" w:pos="2640" w:val="left"/>
        </w:tabs>
        <w:numPr>
          <w:ilvl w:val="2"/>
          <w:numId w:val="73"/>
        </w:numPr>
        <w:rPr>
          <w:rFonts w:ascii="Arial" w:cs="Arial" w:eastAsia="Arial" w:hAnsi="Arial"/>
          <w:sz w:val="20"/>
          <w:szCs w:val="20"/>
          <w:color w:val="auto"/>
        </w:rPr>
      </w:pPr>
      <w:r>
        <w:rPr>
          <w:rFonts w:ascii="Arial" w:cs="Arial" w:eastAsia="Arial" w:hAnsi="Arial"/>
          <w:sz w:val="20"/>
          <w:szCs w:val="20"/>
          <w:color w:val="auto"/>
        </w:rPr>
        <w:t>Willful misconduct.</w:t>
      </w:r>
    </w:p>
    <w:p>
      <w:pPr>
        <w:spacing w:after="0" w:line="202" w:lineRule="exact"/>
        <w:rPr>
          <w:rFonts w:ascii="Arial" w:cs="Arial" w:eastAsia="Arial" w:hAnsi="Arial"/>
          <w:sz w:val="20"/>
          <w:szCs w:val="20"/>
          <w:color w:val="auto"/>
        </w:rPr>
      </w:pPr>
    </w:p>
    <w:p>
      <w:pPr>
        <w:ind w:left="380" w:right="560" w:firstLine="754"/>
        <w:spacing w:after="0" w:line="232" w:lineRule="auto"/>
        <w:tabs>
          <w:tab w:leader="none" w:pos="1877" w:val="left"/>
        </w:tabs>
        <w:numPr>
          <w:ilvl w:val="1"/>
          <w:numId w:val="74"/>
        </w:numPr>
        <w:rPr>
          <w:rFonts w:ascii="Arial" w:cs="Arial" w:eastAsia="Arial" w:hAnsi="Arial"/>
          <w:sz w:val="20"/>
          <w:szCs w:val="20"/>
          <w:color w:val="auto"/>
        </w:rPr>
      </w:pPr>
      <w:r>
        <w:rPr>
          <w:rFonts w:ascii="Arial" w:cs="Arial" w:eastAsia="Arial" w:hAnsi="Arial"/>
          <w:sz w:val="20"/>
          <w:szCs w:val="20"/>
          <w:color w:val="auto"/>
        </w:rPr>
        <w:t>Indemnification under this Section 7.1 is not required to the extent the Director, Officer, Employee or Agent has previously received indemnification or allowance of expenses from any person or entity, including the Corporation, in connection with the same Proceeding.</w:t>
      </w:r>
    </w:p>
    <w:p>
      <w:pPr>
        <w:spacing w:after="0" w:line="197" w:lineRule="exact"/>
        <w:rPr>
          <w:rFonts w:ascii="Arial" w:cs="Arial" w:eastAsia="Arial" w:hAnsi="Arial"/>
          <w:sz w:val="20"/>
          <w:szCs w:val="20"/>
          <w:color w:val="auto"/>
        </w:rPr>
      </w:pPr>
    </w:p>
    <w:p>
      <w:pPr>
        <w:ind w:left="380" w:right="120" w:firstLine="754"/>
        <w:spacing w:after="0" w:line="232" w:lineRule="auto"/>
        <w:tabs>
          <w:tab w:leader="none" w:pos="1877" w:val="left"/>
        </w:tabs>
        <w:numPr>
          <w:ilvl w:val="1"/>
          <w:numId w:val="74"/>
        </w:numPr>
        <w:rPr>
          <w:rFonts w:ascii="Arial" w:cs="Arial" w:eastAsia="Arial" w:hAnsi="Arial"/>
          <w:sz w:val="20"/>
          <w:szCs w:val="20"/>
          <w:color w:val="auto"/>
        </w:rPr>
      </w:pPr>
      <w:r>
        <w:rPr>
          <w:rFonts w:ascii="Arial" w:cs="Arial" w:eastAsia="Arial" w:hAnsi="Arial"/>
          <w:sz w:val="20"/>
          <w:szCs w:val="20"/>
          <w:color w:val="auto"/>
        </w:rPr>
        <w:t>Indemnification required under subsection (b) (1) shall be made within 10 days of receipt of a written demand for indemnification. Indemnification required under subsection (b) (2) shall be made within 30 days of receipt of a written demand for indemnification.</w:t>
      </w:r>
    </w:p>
    <w:p>
      <w:pPr>
        <w:spacing w:after="0" w:line="197" w:lineRule="exact"/>
        <w:rPr>
          <w:rFonts w:ascii="Arial" w:cs="Arial" w:eastAsia="Arial" w:hAnsi="Arial"/>
          <w:sz w:val="20"/>
          <w:szCs w:val="20"/>
          <w:color w:val="auto"/>
        </w:rPr>
      </w:pPr>
    </w:p>
    <w:p>
      <w:pPr>
        <w:ind w:left="380" w:right="120" w:firstLine="754"/>
        <w:spacing w:after="0" w:line="232" w:lineRule="auto"/>
        <w:tabs>
          <w:tab w:leader="none" w:pos="1877" w:val="left"/>
        </w:tabs>
        <w:numPr>
          <w:ilvl w:val="1"/>
          <w:numId w:val="74"/>
        </w:numPr>
        <w:rPr>
          <w:rFonts w:ascii="Arial" w:cs="Arial" w:eastAsia="Arial" w:hAnsi="Arial"/>
          <w:sz w:val="20"/>
          <w:szCs w:val="20"/>
          <w:color w:val="auto"/>
        </w:rPr>
      </w:pPr>
      <w:r>
        <w:rPr>
          <w:rFonts w:ascii="Arial" w:cs="Arial" w:eastAsia="Arial" w:hAnsi="Arial"/>
          <w:sz w:val="20"/>
          <w:szCs w:val="20"/>
          <w:color w:val="auto"/>
        </w:rPr>
        <w:t>Upon written request by a Director, Officer, Employee or Agent who is a Party to a Proceeding, the Corporation shall pay or reimburse his or her reasonable Expenses as incurred if the Director, Officer, Employee or Agent provides the Corporation with all of the following:</w:t>
      </w:r>
    </w:p>
    <w:p>
      <w:pPr>
        <w:spacing w:after="0" w:line="197" w:lineRule="exact"/>
        <w:rPr>
          <w:rFonts w:ascii="Arial" w:cs="Arial" w:eastAsia="Arial" w:hAnsi="Arial"/>
          <w:sz w:val="20"/>
          <w:szCs w:val="20"/>
          <w:color w:val="auto"/>
        </w:rPr>
      </w:pPr>
    </w:p>
    <w:p>
      <w:pPr>
        <w:ind w:left="1140" w:right="820" w:firstLine="743"/>
        <w:spacing w:after="0" w:line="236" w:lineRule="auto"/>
        <w:tabs>
          <w:tab w:leader="none" w:pos="2638" w:val="left"/>
        </w:tabs>
        <w:numPr>
          <w:ilvl w:val="2"/>
          <w:numId w:val="74"/>
        </w:numPr>
        <w:rPr>
          <w:rFonts w:ascii="Arial" w:cs="Arial" w:eastAsia="Arial" w:hAnsi="Arial"/>
          <w:sz w:val="20"/>
          <w:szCs w:val="20"/>
          <w:color w:val="auto"/>
        </w:rPr>
      </w:pPr>
      <w:r>
        <w:rPr>
          <w:rFonts w:ascii="Arial" w:cs="Arial" w:eastAsia="Arial" w:hAnsi="Arial"/>
          <w:sz w:val="20"/>
          <w:szCs w:val="20"/>
          <w:color w:val="auto"/>
        </w:rPr>
        <w:t>A written affirmation of his or her good faith belief that he or she is entitled to indemnification under Section 7.1; and</w:t>
      </w:r>
    </w:p>
    <w:p>
      <w:pPr>
        <w:spacing w:after="0" w:line="195" w:lineRule="exact"/>
        <w:rPr>
          <w:rFonts w:ascii="Arial" w:cs="Arial" w:eastAsia="Arial" w:hAnsi="Arial"/>
          <w:sz w:val="20"/>
          <w:szCs w:val="20"/>
          <w:color w:val="auto"/>
        </w:rPr>
      </w:pPr>
    </w:p>
    <w:p>
      <w:pPr>
        <w:ind w:left="1140" w:right="80" w:firstLine="743"/>
        <w:spacing w:after="0" w:line="229" w:lineRule="auto"/>
        <w:tabs>
          <w:tab w:leader="none" w:pos="2638" w:val="left"/>
        </w:tabs>
        <w:numPr>
          <w:ilvl w:val="2"/>
          <w:numId w:val="74"/>
        </w:numPr>
        <w:rPr>
          <w:rFonts w:ascii="Arial" w:cs="Arial" w:eastAsia="Arial" w:hAnsi="Arial"/>
          <w:sz w:val="20"/>
          <w:szCs w:val="20"/>
          <w:color w:val="auto"/>
        </w:rPr>
      </w:pPr>
      <w:r>
        <w:rPr>
          <w:rFonts w:ascii="Arial" w:cs="Arial" w:eastAsia="Arial" w:hAnsi="Arial"/>
          <w:sz w:val="20"/>
          <w:szCs w:val="20"/>
          <w:color w:val="auto"/>
        </w:rPr>
        <w:t>A written undertaking, executed personally or on his or her behalf, to repay all amounts advanced without interest to the extent that it is ultimately determined that indemnification under Section 7.1(b)(2) is prohibited. The undertaking under this subsection shall be accepted without reference to the ability of the Director, Officer, Employee or Agent to repay the allowance. The undertaking shall be unsecured.</w:t>
      </w:r>
    </w:p>
    <w:p>
      <w:pPr>
        <w:spacing w:after="0" w:line="198" w:lineRule="exact"/>
        <w:rPr>
          <w:rFonts w:ascii="Arial" w:cs="Arial" w:eastAsia="Arial" w:hAnsi="Arial"/>
          <w:sz w:val="20"/>
          <w:szCs w:val="20"/>
          <w:color w:val="auto"/>
        </w:rPr>
      </w:pPr>
    </w:p>
    <w:p>
      <w:pPr>
        <w:ind w:left="1140" w:hanging="755"/>
        <w:spacing w:after="0"/>
        <w:tabs>
          <w:tab w:leader="none" w:pos="114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Determination that Indemnification is Proper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380" w:firstLine="754"/>
        <w:spacing w:after="0" w:line="237" w:lineRule="auto"/>
        <w:tabs>
          <w:tab w:leader="none" w:pos="1877" w:val="left"/>
        </w:tabs>
        <w:numPr>
          <w:ilvl w:val="1"/>
          <w:numId w:val="75"/>
        </w:numPr>
        <w:rPr>
          <w:rFonts w:ascii="Arial" w:cs="Arial" w:eastAsia="Arial" w:hAnsi="Arial"/>
          <w:sz w:val="19"/>
          <w:szCs w:val="19"/>
          <w:color w:val="auto"/>
        </w:rPr>
      </w:pPr>
      <w:r>
        <w:rPr>
          <w:rFonts w:ascii="Arial" w:cs="Arial" w:eastAsia="Arial" w:hAnsi="Arial"/>
          <w:sz w:val="19"/>
          <w:szCs w:val="19"/>
          <w:color w:val="auto"/>
        </w:rPr>
        <w:t>Unless provided otherwise by a written agreement between the Director, Officer, Employee or Agent and the Corporation, determination of whether indemnification is required under subsection (b) shall be made by one of the following methods, which in the case of a Director or Officer seeking indemnification shall be selected by such Director or Officer: (i) by a majority vote of a quorum of the Board of Directors consisting of directors who are not at the time parties to the same or related proceedings or, if a quorum of disinterested directors cannot be obtained, by a majority vote of a committee duly appointed by the Board of Directors (which appointment by the Board may be made by directors who are parties to the proceeding) consisting solely of two or more directors who are not at the time parties to the same or related proceedings, (ii) by a panel of three arbitrators consisting of (a) one arbitrator selected by a quorum of the Board of Directors or its committee</w:t>
      </w:r>
    </w:p>
    <w:p>
      <w:pPr>
        <w:spacing w:after="0" w:line="2" w:lineRule="exact"/>
        <w:rPr>
          <w:sz w:val="20"/>
          <w:szCs w:val="20"/>
          <w:color w:val="auto"/>
        </w:rPr>
      </w:pPr>
    </w:p>
    <w:p>
      <w:pPr>
        <w:ind w:left="380" w:right="120"/>
        <w:spacing w:after="0" w:line="225" w:lineRule="auto"/>
        <w:rPr>
          <w:sz w:val="20"/>
          <w:szCs w:val="20"/>
          <w:color w:val="auto"/>
        </w:rPr>
      </w:pPr>
      <w:r>
        <w:rPr>
          <w:rFonts w:ascii="Arial" w:cs="Arial" w:eastAsia="Arial" w:hAnsi="Arial"/>
          <w:sz w:val="20"/>
          <w:szCs w:val="20"/>
          <w:color w:val="auto"/>
        </w:rPr>
        <w:t>constituted as required under (i), above, or, if unable to obtain such a quorum or committee, by a majority vote of the full Board of Directors, including directors who are parties to the same or</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95" w:right="339" w:bottom="1440" w:gutter="0" w:footer="0" w:header="0"/>
        </w:sectPr>
      </w:pPr>
    </w:p>
    <w:bookmarkStart w:id="127" w:name="page128"/>
    <w:bookmarkEnd w:id="127"/>
    <w:p>
      <w:pPr>
        <w:ind w:left="380" w:right="60"/>
        <w:spacing w:after="0" w:line="227" w:lineRule="auto"/>
        <w:rPr>
          <w:sz w:val="20"/>
          <w:szCs w:val="20"/>
          <w:color w:val="auto"/>
        </w:rPr>
      </w:pPr>
      <w:r>
        <w:rPr>
          <w:rFonts w:ascii="Arial" w:cs="Arial" w:eastAsia="Arial" w:hAnsi="Arial"/>
          <w:sz w:val="20"/>
          <w:szCs w:val="20"/>
          <w:color w:val="auto"/>
        </w:rPr>
        <w:t xml:space="preserve">related proceedings, (b) one arbitrator selected by the person seeking indemnification and (c) one arbitrator selected by the other two arbitrators, (iii) by an affirmative vote of shareholders as provided under Section 2.9, except that shares owned by, or voted under the control of, persons who are at the time parties to the same or related proceedings, whether as plaintiffs or defendants or in any other capacity, may not be voted in making the determination, or (iv) by a court of competent jurisdiction as permitted under the Wisconsin business corporation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additional right to indemnification permissible under the Wisconsin business corporation law and granted by the Corporation, the determination of whether such additional right of indemnification is required shall be made by any method permissible under the Wisconsin business corporation law, as such methods may be limited by the grant of such additional right to indemnification.</w:t>
      </w:r>
    </w:p>
    <w:p>
      <w:pPr>
        <w:spacing w:after="0" w:line="201" w:lineRule="exact"/>
        <w:rPr>
          <w:sz w:val="20"/>
          <w:szCs w:val="20"/>
          <w:color w:val="auto"/>
        </w:rPr>
      </w:pPr>
    </w:p>
    <w:p>
      <w:pPr>
        <w:ind w:left="380" w:right="40" w:firstLine="754"/>
        <w:spacing w:after="0" w:line="228" w:lineRule="auto"/>
        <w:tabs>
          <w:tab w:leader="none" w:pos="1877" w:val="left"/>
        </w:tabs>
        <w:numPr>
          <w:ilvl w:val="1"/>
          <w:numId w:val="76"/>
        </w:numPr>
        <w:rPr>
          <w:rFonts w:ascii="Arial" w:cs="Arial" w:eastAsia="Arial" w:hAnsi="Arial"/>
          <w:sz w:val="20"/>
          <w:szCs w:val="20"/>
          <w:color w:val="auto"/>
        </w:rPr>
      </w:pPr>
      <w:r>
        <w:rPr>
          <w:rFonts w:ascii="Arial" w:cs="Arial" w:eastAsia="Arial" w:hAnsi="Arial"/>
          <w:sz w:val="20"/>
          <w:szCs w:val="20"/>
          <w:color w:val="auto"/>
        </w:rPr>
        <w:t>A Director, Officer, Employee or Agent who seeks indemnification under this Section 7.1 shall make a written request to the Corporation. As a further precondition to any right to receive indemnification, the writing shall contain a declaration that the Corporation shall have the right to exercise all rights and remedies available to such Director, Officer, Employee or Agent against any other person, corporation, foreign corporation, partnership, joint venture, trust or other enterprise, arising out of, or related to, the Proceeding which resulted in the Liability and the Expense for which such Director, Officer, Employee or Agent is seeking indemnification, and that the Director, Officer, Employee or Agent is hereby deemed to have assigned to the Corporation all such rights and remedies.</w:t>
      </w:r>
    </w:p>
    <w:p>
      <w:pPr>
        <w:spacing w:after="0" w:line="196" w:lineRule="exact"/>
        <w:rPr>
          <w:rFonts w:ascii="Arial" w:cs="Arial" w:eastAsia="Arial" w:hAnsi="Arial"/>
          <w:sz w:val="20"/>
          <w:szCs w:val="20"/>
          <w:color w:val="auto"/>
        </w:rPr>
      </w:pPr>
    </w:p>
    <w:p>
      <w:pPr>
        <w:ind w:left="-360" w:firstLine="745"/>
        <w:spacing w:after="0" w:line="230" w:lineRule="auto"/>
        <w:tabs>
          <w:tab w:leader="none" w:pos="113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shall have the power to purchase and maintain insurance on behalf of any person who is a Director, Officer, Employee or Agent against any Liability asserted against or incurred by the individual in any such capacity or arising out of his or her status as such, regardless of whether the Corporation is required or authorized to indemnify or allow expenses to the individual under this Section 7.1.</w:t>
      </w:r>
    </w:p>
    <w:p>
      <w:pPr>
        <w:spacing w:after="0" w:line="198" w:lineRule="exact"/>
        <w:rPr>
          <w:rFonts w:ascii="Arial" w:cs="Arial" w:eastAsia="Arial" w:hAnsi="Arial"/>
          <w:sz w:val="20"/>
          <w:szCs w:val="20"/>
          <w:color w:val="auto"/>
        </w:rPr>
      </w:pPr>
    </w:p>
    <w:p>
      <w:pPr>
        <w:ind w:left="-360" w:right="280" w:firstLine="745"/>
        <w:spacing w:after="0" w:line="230" w:lineRule="auto"/>
        <w:tabs>
          <w:tab w:leader="none" w:pos="113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Section 7.1 shall not apply in any circumstance where a court of competent jurisdiction determines that indemnification would be invalid as against public policy, but such provisions shall not apply only to the extent that they are invalid as against public policy and shall otherwise remain in full force and effect.</w:t>
      </w:r>
    </w:p>
    <w:p>
      <w:pPr>
        <w:spacing w:after="0" w:line="198" w:lineRule="exact"/>
        <w:rPr>
          <w:rFonts w:ascii="Arial" w:cs="Arial" w:eastAsia="Arial" w:hAnsi="Arial"/>
          <w:sz w:val="20"/>
          <w:szCs w:val="20"/>
          <w:color w:val="auto"/>
        </w:rPr>
      </w:pPr>
    </w:p>
    <w:p>
      <w:pPr>
        <w:ind w:left="-360" w:right="100" w:firstLine="745"/>
        <w:spacing w:after="0" w:line="229" w:lineRule="auto"/>
        <w:tabs>
          <w:tab w:leader="none" w:pos="113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Limitation or Expansion of Indemnification</w:t>
      </w:r>
      <w:r>
        <w:rPr>
          <w:rFonts w:ascii="Arial" w:cs="Arial" w:eastAsia="Arial" w:hAnsi="Arial"/>
          <w:sz w:val="20"/>
          <w:szCs w:val="20"/>
          <w:color w:val="auto"/>
        </w:rPr>
        <w:t>. The right to indemnification under this Section 7.1 may be limited or reduced only by subsequent affirmative vote of not less than two-thirds of the Corporation’s outstanding capital stock entitled to vote on such matters. Any limitation or reduction in the right to indemnification may only be prospective from the date of such vote. The Board of Directors, however, shall have the authority to expand the indemnification permitted under this Section 7.1 to the fullest extent permissible under the Wisconsin business corporation law as in effect on the date of any such resolution with or without further amendment to this 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595" w:right="39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20"/>
          <w:szCs w:val="20"/>
          <w:u w:val="single" w:color="auto"/>
          <w:color w:val="auto"/>
        </w:rPr>
        <w:t>ARTICLE VIII. AMENDMENTS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Amendment by the Board of Directors</w:t>
      </w:r>
      <w:r>
        <w:rPr>
          <w:rFonts w:ascii="Arial" w:cs="Arial" w:eastAsia="Arial" w:hAnsi="Arial"/>
          <w:sz w:val="19"/>
          <w:szCs w:val="19"/>
          <w:color w:val="auto"/>
        </w:rPr>
        <w:t>. The Board of Directors may amend or repeal the By-Laws of the</w:t>
      </w:r>
    </w:p>
    <w:p>
      <w:pPr>
        <w:spacing w:after="0"/>
        <w:rPr>
          <w:sz w:val="20"/>
          <w:szCs w:val="20"/>
          <w:color w:val="auto"/>
        </w:rPr>
      </w:pPr>
      <w:r>
        <w:rPr>
          <w:rFonts w:ascii="Arial" w:cs="Arial" w:eastAsia="Arial" w:hAnsi="Arial"/>
          <w:sz w:val="20"/>
          <w:szCs w:val="20"/>
          <w:color w:val="auto"/>
        </w:rPr>
        <w:t>Corporation or adopt new by-laws except to the extent any of the following apply:</w:t>
      </w:r>
    </w:p>
    <w:p>
      <w:pPr>
        <w:spacing w:after="0" w:line="202" w:lineRule="exact"/>
        <w:rPr>
          <w:sz w:val="20"/>
          <w:szCs w:val="20"/>
          <w:color w:val="auto"/>
        </w:rPr>
      </w:pPr>
    </w:p>
    <w:p>
      <w:pPr>
        <w:ind w:left="760" w:right="20" w:firstLine="745"/>
        <w:spacing w:after="0" w:line="236" w:lineRule="auto"/>
        <w:tabs>
          <w:tab w:leader="none" w:pos="2257"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Articles of Incorporation or the Wisconsin business corporation law reserve that power exclusively to the shareholders; or</w:t>
      </w:r>
    </w:p>
    <w:p>
      <w:pPr>
        <w:spacing w:after="0" w:line="195" w:lineRule="exact"/>
        <w:rPr>
          <w:rFonts w:ascii="Arial" w:cs="Arial" w:eastAsia="Arial" w:hAnsi="Arial"/>
          <w:sz w:val="20"/>
          <w:szCs w:val="20"/>
          <w:color w:val="auto"/>
        </w:rPr>
      </w:pPr>
    </w:p>
    <w:p>
      <w:pPr>
        <w:ind w:left="760" w:right="100" w:firstLine="745"/>
        <w:spacing w:after="0" w:line="236" w:lineRule="auto"/>
        <w:tabs>
          <w:tab w:leader="none" w:pos="2257"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shareholders in adopting, amending, or repealing a particular by-law provide expressly within the by-law that the Board of Directors may not amend, repeal or readopt that by-law.</w:t>
      </w:r>
    </w:p>
    <w:p>
      <w:pPr>
        <w:spacing w:after="0" w:line="196"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w:t>
      </w:r>
    </w:p>
    <w:p>
      <w:pPr>
        <w:spacing w:after="0" w:line="197" w:lineRule="exact"/>
        <w:rPr>
          <w:sz w:val="20"/>
          <w:szCs w:val="20"/>
          <w:color w:val="auto"/>
        </w:rPr>
      </w:pPr>
    </w:p>
    <w:p>
      <w:pPr>
        <w:ind w:right="20" w:firstLine="749"/>
        <w:spacing w:after="0" w:line="229" w:lineRule="auto"/>
        <w:rPr>
          <w:sz w:val="20"/>
          <w:szCs w:val="20"/>
          <w:color w:val="auto"/>
        </w:rPr>
      </w:pPr>
      <w:r>
        <w:rPr>
          <w:rFonts w:ascii="Arial" w:cs="Arial" w:eastAsia="Arial" w:hAnsi="Arial"/>
          <w:sz w:val="20"/>
          <w:szCs w:val="20"/>
          <w:color w:val="auto"/>
        </w:rPr>
        <w:t xml:space="preserve">SECTION 8.2 . </w:t>
      </w:r>
      <w:r>
        <w:rPr>
          <w:rFonts w:ascii="Arial" w:cs="Arial" w:eastAsia="Arial" w:hAnsi="Arial"/>
          <w:sz w:val="20"/>
          <w:szCs w:val="20"/>
          <w:u w:val="single" w:color="auto"/>
          <w:color w:val="auto"/>
        </w:rPr>
        <w:t>Amendment by the Corporation’s Shareholders</w:t>
      </w:r>
      <w:r>
        <w:rPr>
          <w:rFonts w:ascii="Arial" w:cs="Arial" w:eastAsia="Arial" w:hAnsi="Arial"/>
          <w:sz w:val="20"/>
          <w:szCs w:val="20"/>
          <w:color w:val="auto"/>
        </w:rPr>
        <w:t>. The Corporation’s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ARTICLE IX. CORPORATE SEAL</w:t>
      </w:r>
    </w:p>
    <w:p>
      <w:pPr>
        <w:spacing w:after="0" w:line="202" w:lineRule="exact"/>
        <w:rPr>
          <w:sz w:val="20"/>
          <w:szCs w:val="20"/>
          <w:color w:val="auto"/>
        </w:rPr>
      </w:pPr>
    </w:p>
    <w:p>
      <w:pPr>
        <w:ind w:right="60" w:firstLine="749"/>
        <w:spacing w:after="0" w:line="244"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Corporate Seal</w:t>
      </w:r>
      <w:r>
        <w:rPr>
          <w:rFonts w:ascii="Arial" w:cs="Arial" w:eastAsia="Arial" w:hAnsi="Arial"/>
          <w:sz w:val="19"/>
          <w:szCs w:val="19"/>
          <w:color w:val="auto"/>
        </w:rPr>
        <w:t>. The Board of Directors may provide for a corporate seal which may be circular in form and have inscribed thereon any designation including the name of the Corporation, Wisconsin as the state of incorporation, and the words “Corporate Seal.” Any instrument executed in the corporate name by the proper officers of the Corporation under any seal, including the words “Seal,” “Corporate Seal” or similar designation, is sealed even though the corporate seal is not used.</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ARTICLE X. EMERGENCY BY-LAWS</w:t>
      </w:r>
    </w:p>
    <w:p>
      <w:pPr>
        <w:spacing w:after="0" w:line="202" w:lineRule="exact"/>
        <w:rPr>
          <w:sz w:val="20"/>
          <w:szCs w:val="20"/>
          <w:color w:val="auto"/>
        </w:rPr>
      </w:pPr>
    </w:p>
    <w:p>
      <w:pPr>
        <w:ind w:right="40" w:firstLine="749"/>
        <w:spacing w:after="0" w:line="232"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Emergency By-Laws</w:t>
      </w:r>
      <w:r>
        <w:rPr>
          <w:rFonts w:ascii="Arial" w:cs="Arial" w:eastAsia="Arial" w:hAnsi="Arial"/>
          <w:sz w:val="20"/>
          <w:szCs w:val="20"/>
          <w:color w:val="auto"/>
        </w:rPr>
        <w:t>. Unless the Articles of Incorporation provide otherwise, the following provisions of this Article X shall be effective during an “Emergency,” which is defined as a catastrophic event that prevents a quorum of the Corporation’s directors from being readily assembled.</w:t>
      </w:r>
    </w:p>
    <w:p>
      <w:pPr>
        <w:spacing w:after="0" w:line="197" w:lineRule="exact"/>
        <w:rPr>
          <w:sz w:val="20"/>
          <w:szCs w:val="20"/>
          <w:color w:val="auto"/>
        </w:rPr>
      </w:pPr>
    </w:p>
    <w:p>
      <w:pPr>
        <w:ind w:firstLine="749"/>
        <w:spacing w:after="0" w:line="229"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Notice of Board Meetings</w:t>
      </w:r>
      <w:r>
        <w:rPr>
          <w:rFonts w:ascii="Arial" w:cs="Arial" w:eastAsia="Arial" w:hAnsi="Arial"/>
          <w:sz w:val="20"/>
          <w:szCs w:val="20"/>
          <w:color w:val="auto"/>
        </w:rPr>
        <w:t>. During an Emergency, any one member of the Board of Directors or any one of the following officers: Chairman of the Board, Chief Executive Officer, President, any Vice-President or Secretary, may call a meeting of the Board of Directors. Notice of such meeting need be given only to those directors whom it is practicable to reach, and may be given in any practical manner, including by publication or radio. Such notice shall be given at least six hours prior to commencement of the meeting.</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9" w:right="379" w:bottom="1440" w:gutter="0" w:footer="0" w:header="0"/>
        </w:sectPr>
      </w:pPr>
    </w:p>
    <w:bookmarkStart w:id="129" w:name="page130"/>
    <w:bookmarkEnd w:id="129"/>
    <w:p>
      <w:pPr>
        <w:ind w:firstLine="749"/>
        <w:spacing w:after="0" w:line="229"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Temporary Directors and Quorum</w:t>
      </w:r>
      <w:r>
        <w:rPr>
          <w:rFonts w:ascii="Arial" w:cs="Arial" w:eastAsia="Arial" w:hAnsi="Arial"/>
          <w:sz w:val="20"/>
          <w:szCs w:val="20"/>
          <w:color w:val="auto"/>
        </w:rPr>
        <w:t>. One or more officers of the Corporation present at the Emergency meeting of the Board of Directors, as is necessary to achieve a quorum, shall be considered to be directors for the meeting, and shall so serve in order of rank, and within the same rank, in order of seniority. In the event that less than a quorum (as determined by Section 3.11) of the directors are present (including any officers who are to serve as directors for the meeting), those directors present (including the officers serving as directors) shall constitute a quorum.</w:t>
      </w:r>
    </w:p>
    <w:p>
      <w:pPr>
        <w:spacing w:after="0" w:line="199" w:lineRule="exact"/>
        <w:rPr>
          <w:sz w:val="20"/>
          <w:szCs w:val="20"/>
          <w:color w:val="auto"/>
        </w:rPr>
      </w:pPr>
    </w:p>
    <w:p>
      <w:pPr>
        <w:ind w:right="140" w:firstLine="749"/>
        <w:spacing w:after="0" w:line="236"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Actions Permitted To Be Taken</w:t>
      </w:r>
      <w:r>
        <w:rPr>
          <w:rFonts w:ascii="Arial" w:cs="Arial" w:eastAsia="Arial" w:hAnsi="Arial"/>
          <w:sz w:val="20"/>
          <w:szCs w:val="20"/>
          <w:color w:val="auto"/>
        </w:rPr>
        <w:t>. The board as constituted in Section 10.3, and after notice as set forth in Section 10.2 may:</w:t>
      </w:r>
    </w:p>
    <w:p>
      <w:pPr>
        <w:spacing w:after="0" w:line="196" w:lineRule="exact"/>
        <w:rPr>
          <w:sz w:val="20"/>
          <w:szCs w:val="20"/>
          <w:color w:val="auto"/>
        </w:rPr>
      </w:pPr>
    </w:p>
    <w:p>
      <w:pPr>
        <w:ind w:left="2260" w:hanging="755"/>
        <w:spacing w:after="0"/>
        <w:tabs>
          <w:tab w:leader="none" w:pos="226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Officers’ Powers</w:t>
      </w:r>
      <w:r>
        <w:rPr>
          <w:rFonts w:ascii="Arial" w:cs="Arial" w:eastAsia="Arial" w:hAnsi="Arial"/>
          <w:sz w:val="20"/>
          <w:szCs w:val="20"/>
          <w:color w:val="auto"/>
        </w:rPr>
        <w:t>. Prescribe emergency powers to any officers of the Corporation;</w:t>
      </w:r>
    </w:p>
    <w:p>
      <w:pPr>
        <w:spacing w:after="0" w:line="188" w:lineRule="exact"/>
        <w:rPr>
          <w:rFonts w:ascii="Arial" w:cs="Arial" w:eastAsia="Arial" w:hAnsi="Arial"/>
          <w:sz w:val="20"/>
          <w:szCs w:val="20"/>
          <w:color w:val="auto"/>
        </w:rPr>
      </w:pPr>
    </w:p>
    <w:p>
      <w:pPr>
        <w:ind w:left="2260" w:hanging="755"/>
        <w:spacing w:after="0"/>
        <w:tabs>
          <w:tab w:leader="none" w:pos="226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Delegation of Any Power</w:t>
      </w:r>
      <w:r>
        <w:rPr>
          <w:rFonts w:ascii="Arial" w:cs="Arial" w:eastAsia="Arial" w:hAnsi="Arial"/>
          <w:sz w:val="20"/>
          <w:szCs w:val="20"/>
          <w:color w:val="auto"/>
        </w:rPr>
        <w:t>. Delegate to any officer or director, any of the powers of the Board of</w:t>
      </w:r>
    </w:p>
    <w:p>
      <w:pPr>
        <w:ind w:left="760"/>
        <w:spacing w:after="0"/>
        <w:rPr>
          <w:rFonts w:ascii="Arial" w:cs="Arial" w:eastAsia="Arial" w:hAnsi="Arial"/>
          <w:sz w:val="20"/>
          <w:szCs w:val="20"/>
          <w:color w:val="auto"/>
        </w:rPr>
      </w:pPr>
      <w:r>
        <w:rPr>
          <w:rFonts w:ascii="Arial" w:cs="Arial" w:eastAsia="Arial" w:hAnsi="Arial"/>
          <w:sz w:val="20"/>
          <w:szCs w:val="20"/>
          <w:color w:val="auto"/>
        </w:rPr>
        <w:t>Directors;</w:t>
      </w:r>
    </w:p>
    <w:p>
      <w:pPr>
        <w:spacing w:after="0" w:line="202" w:lineRule="exact"/>
        <w:rPr>
          <w:rFonts w:ascii="Arial" w:cs="Arial" w:eastAsia="Arial" w:hAnsi="Arial"/>
          <w:sz w:val="20"/>
          <w:szCs w:val="20"/>
          <w:color w:val="auto"/>
        </w:rPr>
      </w:pPr>
    </w:p>
    <w:p>
      <w:pPr>
        <w:ind w:left="760" w:right="400" w:firstLine="745"/>
        <w:spacing w:after="0" w:line="236" w:lineRule="auto"/>
        <w:tabs>
          <w:tab w:leader="none" w:pos="2257"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Lines of Succession</w:t>
      </w:r>
      <w:r>
        <w:rPr>
          <w:rFonts w:ascii="Arial" w:cs="Arial" w:eastAsia="Arial" w:hAnsi="Arial"/>
          <w:sz w:val="20"/>
          <w:szCs w:val="20"/>
          <w:color w:val="auto"/>
        </w:rPr>
        <w:t>. Designate lines of succession of officers and agents, in the event that any of them are unable to discharge their duties;</w:t>
      </w:r>
    </w:p>
    <w:p>
      <w:pPr>
        <w:spacing w:after="0" w:line="196" w:lineRule="exact"/>
        <w:rPr>
          <w:sz w:val="20"/>
          <w:szCs w:val="20"/>
          <w:color w:val="auto"/>
        </w:rPr>
      </w:pPr>
    </w:p>
    <w:p>
      <w:pPr>
        <w:ind w:left="760" w:right="900" w:firstLine="745"/>
        <w:spacing w:after="0" w:line="236" w:lineRule="auto"/>
        <w:tabs>
          <w:tab w:leader="none" w:pos="2257"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Relocate Principal Place of Business</w:t>
      </w:r>
      <w:r>
        <w:rPr>
          <w:rFonts w:ascii="Arial" w:cs="Arial" w:eastAsia="Arial" w:hAnsi="Arial"/>
          <w:sz w:val="20"/>
          <w:szCs w:val="20"/>
          <w:color w:val="auto"/>
        </w:rPr>
        <w:t>. Relocate the principal place of business, or designate successive or simultaneous principal places of business; and</w:t>
      </w:r>
    </w:p>
    <w:p>
      <w:pPr>
        <w:spacing w:after="0" w:line="195" w:lineRule="exact"/>
        <w:rPr>
          <w:rFonts w:ascii="Arial" w:cs="Arial" w:eastAsia="Arial" w:hAnsi="Arial"/>
          <w:sz w:val="20"/>
          <w:szCs w:val="20"/>
          <w:color w:val="auto"/>
        </w:rPr>
      </w:pPr>
    </w:p>
    <w:p>
      <w:pPr>
        <w:ind w:left="760" w:right="600" w:firstLine="745"/>
        <w:spacing w:after="0" w:line="236" w:lineRule="auto"/>
        <w:tabs>
          <w:tab w:leader="none" w:pos="2257"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All Other Action</w:t>
      </w:r>
      <w:r>
        <w:rPr>
          <w:rFonts w:ascii="Arial" w:cs="Arial" w:eastAsia="Arial" w:hAnsi="Arial"/>
          <w:sz w:val="20"/>
          <w:szCs w:val="20"/>
          <w:color w:val="auto"/>
        </w:rPr>
        <w:t>. Take any and all other action, convenient, helpful, or necessary to carry on the business of the Corporation.</w:t>
      </w:r>
    </w:p>
    <w:p>
      <w:pPr>
        <w:spacing w:after="0" w:line="196"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Corporate action taken in good faith in accordance with the emergency by-laws binds the Corporation and may not be used to impose liability on any of the Corporation’s directors, officers, employees or agents.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"CUS_DocIDString" 10874883.6</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79" w:right="39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color w:val="auto"/>
        </w:rPr>
        <w:t>Exhibit 10.6(b)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for Non-Employee Directors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Effective January 1, 2022)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compensation</w:t>
      </w:r>
    </w:p>
    <w:p>
      <w:pPr>
        <w:spacing w:after="0" w:line="226" w:lineRule="exact"/>
        <w:rPr>
          <w:sz w:val="20"/>
          <w:szCs w:val="20"/>
          <w:color w:val="auto"/>
        </w:rPr>
      </w:pPr>
    </w:p>
    <w:p>
      <w:pPr>
        <w:ind w:left="760" w:hanging="752"/>
        <w:spacing w:after="0"/>
        <w:tabs>
          <w:tab w:leader="none" w:pos="7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Annual cash retainer: $115,000 per year</w:t>
      </w:r>
    </w:p>
    <w:p>
      <w:pPr>
        <w:spacing w:after="0" w:line="202" w:lineRule="exact"/>
        <w:rPr>
          <w:rFonts w:ascii="Arial" w:cs="Arial" w:eastAsia="Arial" w:hAnsi="Arial"/>
          <w:sz w:val="20"/>
          <w:szCs w:val="20"/>
          <w:color w:val="auto"/>
        </w:rPr>
      </w:pPr>
    </w:p>
    <w:p>
      <w:pPr>
        <w:ind w:left="760" w:hanging="752"/>
        <w:spacing w:after="0"/>
        <w:tabs>
          <w:tab w:leader="none" w:pos="7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Fee structure for annual retainer for committee chairs and lead director:</w:t>
      </w:r>
    </w:p>
    <w:p>
      <w:pPr>
        <w:spacing w:after="0" w:line="202" w:lineRule="exact"/>
        <w:rPr>
          <w:sz w:val="20"/>
          <w:szCs w:val="20"/>
          <w:color w:val="auto"/>
        </w:rPr>
      </w:pPr>
    </w:p>
    <w:p>
      <w:pPr>
        <w:ind w:left="1600" w:right="620"/>
        <w:spacing w:after="0" w:line="236" w:lineRule="auto"/>
        <w:rPr>
          <w:sz w:val="20"/>
          <w:szCs w:val="20"/>
          <w:color w:val="auto"/>
        </w:rPr>
      </w:pPr>
      <w:r>
        <w:rPr>
          <w:rFonts w:ascii="Arial" w:cs="Arial" w:eastAsia="Arial" w:hAnsi="Arial"/>
          <w:sz w:val="20"/>
          <w:szCs w:val="20"/>
          <w:color w:val="auto"/>
        </w:rPr>
        <w:t>$20,000 annual retainer for services as chair of the governance and sustainability committee or people, culture and compensation committee</w:t>
      </w:r>
    </w:p>
    <w:p>
      <w:pPr>
        <w:spacing w:after="0" w:line="196"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$27,500 per year for services as chair of the audit committee</w:t>
      </w:r>
    </w:p>
    <w:p>
      <w:pPr>
        <w:spacing w:after="0" w:line="202"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$35,000 annual retainer for service as lead director</w:t>
      </w:r>
    </w:p>
    <w:p>
      <w:pPr>
        <w:spacing w:after="0" w:line="202"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$40,000 annual retainer in the case where the lead director also serves as chair of one of the committees</w:t>
      </w:r>
    </w:p>
    <w:p>
      <w:pPr>
        <w:spacing w:after="0" w:line="202" w:lineRule="exact"/>
        <w:rPr>
          <w:sz w:val="20"/>
          <w:szCs w:val="20"/>
          <w:color w:val="auto"/>
        </w:rPr>
      </w:pPr>
    </w:p>
    <w:p>
      <w:pPr>
        <w:ind w:left="760" w:right="380" w:hanging="752"/>
        <w:spacing w:after="0" w:line="236" w:lineRule="auto"/>
        <w:tabs>
          <w:tab w:leader="none" w:pos="7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annual cash retainer and additional cash retainer for committee chairs and lead director will be paid quarterly in arrears within two weeks following the last day of each calendar quarter.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to Receive Deferred Stock in Lieu of Cash Retainer</w:t>
      </w:r>
    </w:p>
    <w:p>
      <w:pPr>
        <w:spacing w:after="0" w:line="226" w:lineRule="exact"/>
        <w:rPr>
          <w:sz w:val="20"/>
          <w:szCs w:val="20"/>
          <w:color w:val="auto"/>
        </w:rPr>
      </w:pPr>
    </w:p>
    <w:p>
      <w:pPr>
        <w:ind w:left="760" w:right="160" w:hanging="752"/>
        <w:spacing w:after="0" w:line="230" w:lineRule="auto"/>
        <w:tabs>
          <w:tab w:leader="none" w:pos="7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 lieu of the annual cash retainer and additional cash retainer for committee chairs and lead director, outside directors may elect to receive Deferred Stock under the Company’s 2011 Equity Incentive Plan, as amended from time to time (the “Plan”). The election may cover 50%, 75% or 100% of the annual cash retainer payable to the director for the period covered by the election.</w:t>
      </w:r>
    </w:p>
    <w:p>
      <w:pPr>
        <w:spacing w:after="0" w:line="198" w:lineRule="exact"/>
        <w:rPr>
          <w:rFonts w:ascii="Arial" w:cs="Arial" w:eastAsia="Arial" w:hAnsi="Arial"/>
          <w:sz w:val="20"/>
          <w:szCs w:val="20"/>
          <w:color w:val="auto"/>
        </w:rPr>
      </w:pPr>
    </w:p>
    <w:p>
      <w:pPr>
        <w:ind w:left="760" w:right="140" w:hanging="752"/>
        <w:spacing w:after="0" w:line="219" w:lineRule="exact"/>
        <w:tabs>
          <w:tab w:leader="none" w:pos="7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election must be made prior to the beginning of the election period to which the annual cash retainer relates. The election period begins on January 1 of each year and ends on December 31 of that year or, if a director ceases to be a member of the Board of Directors during the year, the date of such cessation. For new non</w:t>
      </w:r>
      <w:r>
        <w:rPr>
          <w:rFonts w:ascii="MS PGothic" w:cs="MS PGothic" w:eastAsia="MS PGothic" w:hAnsi="MS PGothic"/>
          <w:sz w:val="19"/>
          <w:szCs w:val="19"/>
          <w:color w:val="auto"/>
        </w:rPr>
        <w:t>‑</w:t>
      </w:r>
      <w:r>
        <w:rPr>
          <w:rFonts w:ascii="Arial" w:cs="Arial" w:eastAsia="Arial" w:hAnsi="Arial"/>
          <w:sz w:val="19"/>
          <w:szCs w:val="19"/>
          <w:color w:val="auto"/>
        </w:rPr>
        <w:t>employee directors, the election period begins on the date of the director’s appointment to the Board of Directors and the election must be made within ten business days after the date of such appointment. Any such election by a new director will only apply to the portion of the retainer earned after the election is made. The grant of Deferred Stock pursuant to any such election will be effective on the first day following the end of the election period to which the election applies.</w:t>
      </w:r>
    </w:p>
    <w:p>
      <w:pPr>
        <w:spacing w:after="0" w:line="198" w:lineRule="exact"/>
        <w:rPr>
          <w:rFonts w:ascii="Arial" w:cs="Arial" w:eastAsia="Arial" w:hAnsi="Arial"/>
          <w:sz w:val="19"/>
          <w:szCs w:val="19"/>
          <w:color w:val="auto"/>
        </w:rPr>
      </w:pPr>
    </w:p>
    <w:p>
      <w:pPr>
        <w:ind w:left="760" w:right="160" w:hanging="752"/>
        <w:spacing w:after="0" w:line="236" w:lineRule="auto"/>
        <w:tabs>
          <w:tab w:leader="none" w:pos="7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number of shares of Deferred Stock granted to the director will be equal to the amount of the annual cash retainer to which the election applies, divided by the average</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FILENAME 2022 Compensation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ind w:left="760" w:right="660"/>
        <w:spacing w:after="0" w:line="236" w:lineRule="auto"/>
        <w:rPr>
          <w:sz w:val="20"/>
          <w:szCs w:val="20"/>
          <w:color w:val="auto"/>
        </w:rPr>
      </w:pPr>
      <w:r>
        <w:rPr>
          <w:rFonts w:ascii="Arial" w:cs="Arial" w:eastAsia="Arial" w:hAnsi="Arial"/>
          <w:sz w:val="20"/>
          <w:szCs w:val="20"/>
          <w:color w:val="auto"/>
        </w:rPr>
        <w:t>of the closing prices of the stock on the last trading day of each full or partial calendar quarter included within the election period.</w:t>
      </w:r>
    </w:p>
    <w:p>
      <w:pPr>
        <w:spacing w:after="0" w:line="196" w:lineRule="exact"/>
        <w:rPr>
          <w:sz w:val="20"/>
          <w:szCs w:val="20"/>
          <w:color w:val="auto"/>
        </w:rPr>
      </w:pPr>
    </w:p>
    <w:p>
      <w:pPr>
        <w:ind w:left="760" w:hanging="752"/>
        <w:spacing w:after="0" w:line="227" w:lineRule="auto"/>
        <w:tabs>
          <w:tab w:leader="none" w:pos="7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Shares of common stock represented by such Deferred Stock held by a director will be distributed to the director on the earlier of the third anniversary of the date of grant or within 30 days after the date the director ceases to be a member of the Board of Directors. The director will have the right to extend the deferral period by at least five years, and thereafter to extend any previously extended deferral period by at least five more years, provided in each case this election to extend is made at least twelve months before the last day of the then current deferral period. If a director extends the deferral period but leaves the board prior to the extended date, the deferred stock will be distributed within 30 days the director ceases to be a member of the Board of Directors. Furthermore, in the event the shares would be distributed outside of a trading window under the Company’s securities trading policy, the Company may defer distribution of the shares until the beginning of the next trading window.</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Grant of Deferred Stock or Restricted Stock</w:t>
      </w:r>
    </w:p>
    <w:p>
      <w:pPr>
        <w:spacing w:after="0" w:line="226" w:lineRule="exact"/>
        <w:rPr>
          <w:sz w:val="20"/>
          <w:szCs w:val="20"/>
          <w:color w:val="auto"/>
        </w:rPr>
      </w:pPr>
    </w:p>
    <w:p>
      <w:pPr>
        <w:ind w:left="760" w:right="80" w:hanging="752"/>
        <w:spacing w:after="0" w:line="220" w:lineRule="exact"/>
        <w:tabs>
          <w:tab w:leader="none" w:pos="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 addition to the cash compensation (or elective Deferred Stock), non</w:t>
      </w:r>
      <w:r>
        <w:rPr>
          <w:rFonts w:ascii="MS PGothic" w:cs="MS PGothic" w:eastAsia="MS PGothic" w:hAnsi="MS PGothic"/>
          <w:sz w:val="20"/>
          <w:szCs w:val="20"/>
          <w:color w:val="auto"/>
        </w:rPr>
        <w:t>‑</w:t>
      </w:r>
      <w:r>
        <w:rPr>
          <w:rFonts w:ascii="Arial" w:cs="Arial" w:eastAsia="Arial" w:hAnsi="Arial"/>
          <w:sz w:val="20"/>
          <w:szCs w:val="20"/>
          <w:color w:val="auto"/>
        </w:rPr>
        <w:t>employee directors each will receive an annual grant of Deferred Stock under the Plan. The grant will be effective on the first day of each year, and the number of shares granted will equal $175,000 divided by the closing sale price of a share of the Company’s common stock on the last business day of the preceding year. Such Deferred Stock will vest in equal quarterly installments on the last day of each calendar quarter during the year.</w:t>
      </w:r>
    </w:p>
    <w:p>
      <w:pPr>
        <w:spacing w:after="0" w:line="198" w:lineRule="exact"/>
        <w:rPr>
          <w:rFonts w:ascii="Arial" w:cs="Arial" w:eastAsia="Arial" w:hAnsi="Arial"/>
          <w:sz w:val="20"/>
          <w:szCs w:val="20"/>
          <w:color w:val="auto"/>
        </w:rPr>
      </w:pPr>
    </w:p>
    <w:p>
      <w:pPr>
        <w:ind w:left="760" w:right="40" w:hanging="752"/>
        <w:spacing w:after="0" w:line="227" w:lineRule="auto"/>
        <w:tabs>
          <w:tab w:leader="none" w:pos="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However, the director will have the right to extend the year deferral period by at least five years, and thereafter to extend any previously extended deferral period by at least five more years, provided in each case this election to extend is made at least twelve months before the last day of the then current deferral period. If a director extends the deferral period but leaves the board prior to the extended date, the deferred stock will be distributed within 30 days the director ceases to be a member of the Board of Directors. Furthermore, in the event the shares would be distributed outside of a trading window under the Company’s securities trading policy, the Company may defer distribution of the shares until the beginning of the next trading window.</w:t>
      </w:r>
    </w:p>
    <w:p>
      <w:pPr>
        <w:spacing w:after="0" w:line="202" w:lineRule="exact"/>
        <w:rPr>
          <w:rFonts w:ascii="Arial" w:cs="Arial" w:eastAsia="Arial" w:hAnsi="Arial"/>
          <w:sz w:val="20"/>
          <w:szCs w:val="20"/>
          <w:color w:val="auto"/>
        </w:rPr>
      </w:pPr>
    </w:p>
    <w:p>
      <w:pPr>
        <w:ind w:left="760" w:right="40" w:hanging="752"/>
        <w:spacing w:after="0" w:line="221" w:lineRule="exact"/>
        <w:tabs>
          <w:tab w:leader="none" w:pos="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Instead of receiving this grant of Deferred Stock, non</w:t>
      </w:r>
      <w:r>
        <w:rPr>
          <w:rFonts w:ascii="MS PGothic" w:cs="MS PGothic" w:eastAsia="MS PGothic" w:hAnsi="MS PGothic"/>
          <w:sz w:val="20"/>
          <w:szCs w:val="20"/>
          <w:color w:val="auto"/>
        </w:rPr>
        <w:t>‑</w:t>
      </w:r>
      <w:r>
        <w:rPr>
          <w:rFonts w:ascii="Arial" w:cs="Arial" w:eastAsia="Arial" w:hAnsi="Arial"/>
          <w:sz w:val="20"/>
          <w:szCs w:val="20"/>
          <w:color w:val="auto"/>
        </w:rPr>
        <w:t>employee directors will have the right to elect to receive the same number of shares of Restricted Stock under the Plan.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w:t>
      </w:r>
    </w:p>
    <w:p>
      <w:pPr>
        <w:spacing w:after="0" w:line="198" w:lineRule="exact"/>
        <w:rPr>
          <w:rFonts w:ascii="Arial" w:cs="Arial" w:eastAsia="Arial" w:hAnsi="Arial"/>
          <w:sz w:val="20"/>
          <w:szCs w:val="20"/>
          <w:color w:val="auto"/>
        </w:rPr>
      </w:pPr>
    </w:p>
    <w:p>
      <w:pPr>
        <w:ind w:left="760" w:right="60" w:hanging="752"/>
        <w:spacing w:after="0" w:line="220" w:lineRule="exact"/>
        <w:tabs>
          <w:tab w:leader="none" w:pos="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 new non</w:t>
      </w:r>
      <w:r>
        <w:rPr>
          <w:rFonts w:ascii="MS PGothic" w:cs="MS PGothic" w:eastAsia="MS PGothic" w:hAnsi="MS PGothic"/>
          <w:sz w:val="20"/>
          <w:szCs w:val="20"/>
          <w:color w:val="auto"/>
        </w:rPr>
        <w:t>‑</w:t>
      </w:r>
      <w:r>
        <w:rPr>
          <w:rFonts w:ascii="Arial" w:cs="Arial" w:eastAsia="Arial" w:hAnsi="Arial"/>
          <w:sz w:val="20"/>
          <w:szCs w:val="20"/>
          <w:color w:val="auto"/>
        </w:rPr>
        <w:t>employee director will receive a grant of Deferred Stock effective the date the director is appointed to the Board. The grant will be for a number of shares of Deferred Stock equal to $175,000 prorated for the period beginning on the date of the director’s appointment and ending on December 31 of that year, divided by the closing sale price of a share of the Company’s common stock on the last trading day immediately prior to the effective date of grant. Such Deferred Stock will vest in prorated installments on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32" w:name="page133"/>
    <w:bookmarkEnd w:id="132"/>
    <w:p>
      <w:pPr>
        <w:ind w:left="760" w:right="40"/>
        <w:spacing w:after="0" w:line="219" w:lineRule="exact"/>
        <w:rPr>
          <w:sz w:val="20"/>
          <w:szCs w:val="20"/>
          <w:color w:val="auto"/>
        </w:rPr>
      </w:pPr>
      <w:r>
        <w:rPr>
          <w:rFonts w:ascii="Arial" w:cs="Arial" w:eastAsia="Arial" w:hAnsi="Arial"/>
          <w:sz w:val="20"/>
          <w:szCs w:val="20"/>
          <w:color w:val="auto"/>
        </w:rPr>
        <w:t>last day of each calendar quarter occurring after the date of grant. Instead of receiving this grant of Deferred Stock, the new non</w:t>
      </w:r>
      <w:r>
        <w:rPr>
          <w:rFonts w:ascii="MS PGothic" w:cs="MS PGothic" w:eastAsia="MS PGothic" w:hAnsi="MS PGothic"/>
          <w:sz w:val="20"/>
          <w:szCs w:val="20"/>
          <w:color w:val="auto"/>
        </w:rPr>
        <w:t>‑</w:t>
      </w:r>
      <w:r>
        <w:rPr>
          <w:rFonts w:ascii="Arial" w:cs="Arial" w:eastAsia="Arial" w:hAnsi="Arial"/>
          <w:sz w:val="20"/>
          <w:szCs w:val="20"/>
          <w:color w:val="auto"/>
        </w:rPr>
        <w:t>employee director will have the right to elect to receive the same number of shares of Restricted Stock under the Plan, with a vesting schedule the same as the Deferred Stock the director would otherwise have received. Any such election will be effective only if made within ten business days after the date of such appointment and will only apply to that portion of the shares earned in the first full calendar quarter after the election is made by the director and subsequent calendar quarters during the same year. If such an election is made by a director, he or she will receive a grant of Deferred Stock for that portion of the shares earned between the date the director is appointed to the Board and the last day of the calendar quarter in which the election is made.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on Deferred Stock</w:t>
      </w:r>
    </w:p>
    <w:p>
      <w:pPr>
        <w:spacing w:after="0" w:line="226" w:lineRule="exact"/>
        <w:rPr>
          <w:sz w:val="20"/>
          <w:szCs w:val="20"/>
          <w:color w:val="auto"/>
        </w:rPr>
      </w:pPr>
    </w:p>
    <w:p>
      <w:pPr>
        <w:ind w:left="760" w:hanging="752"/>
        <w:spacing w:after="0" w:line="227" w:lineRule="auto"/>
        <w:tabs>
          <w:tab w:leader="none" w:pos="7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Directors holding Deferred Stock will be granted an additional number of shares of Deferred Stock on the first day of each calendar year attributable to dividends paid by the Company during the prior year. The number of shares of Deferred Stock granted will equal (i) the amount of dividends the director would have received during the prior calendar year if Deferred Stock held by the director had been outstanding common stock, (ii) divided by the average closing prices of the stock on the last trading day of each calendar quarter during the year. In addition, for any director whose membership on the Board ceases during the year or who received Deferred Stock on a grant date other than January 1, a partial year grant of Deferred Stock will be made on the last day of the final partial year that such Deferred Stock is held by the director equal to (i) the amount of dividends the director would have received during the partial year if the Deferred Stock held by the Director had been outstanding common stock, (ii) divided by the average closing prices of the stock on the last trading day of each calendar quarter during the partial year.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226" w:lineRule="exact"/>
        <w:rPr>
          <w:sz w:val="20"/>
          <w:szCs w:val="20"/>
          <w:color w:val="auto"/>
        </w:rPr>
      </w:pPr>
    </w:p>
    <w:p>
      <w:pPr>
        <w:ind w:left="760" w:right="60" w:hanging="752"/>
        <w:spacing w:after="0" w:line="228" w:lineRule="auto"/>
        <w:tabs>
          <w:tab w:leader="none" w:pos="7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Non-employee directors are expected to own shares in ManpowerGroup stock. For all directors appointed prior to November 12, 2021, the total share ownership guideline is equal in value to $450,000 (five times the annual cash retainer of $90,000 at January 1, 2015) divided by the closing price of the Company’s common stock on December 31, 2014 for directors in office as of January 1, 2015, or, if they joined after January 1, 2015, the closing price of the Company’s common stock on the last business day of the month during which the director was first appointed. For any non-employee director appointed after November 12, 2021 the total guideline is five times the annual cash retainer in effect when the director joined the Board of Directors divided by the closing price of the Company’s common stock on the day the director joined.</w:t>
      </w:r>
    </w:p>
    <w:p>
      <w:pPr>
        <w:spacing w:after="0" w:line="196" w:lineRule="exact"/>
        <w:rPr>
          <w:rFonts w:ascii="Arial" w:cs="Arial" w:eastAsia="Arial" w:hAnsi="Arial"/>
          <w:sz w:val="20"/>
          <w:szCs w:val="20"/>
          <w:color w:val="auto"/>
        </w:rPr>
      </w:pPr>
    </w:p>
    <w:p>
      <w:pPr>
        <w:ind w:left="760" w:hanging="752"/>
        <w:spacing w:after="0" w:line="219" w:lineRule="exact"/>
        <w:tabs>
          <w:tab w:leader="none" w:pos="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employee directors have five years from the date of the director’s appointment to the Board to attain this guideline.</w:t>
      </w:r>
    </w:p>
    <w:p>
      <w:pPr>
        <w:spacing w:after="0" w:line="213" w:lineRule="exact"/>
        <w:rPr>
          <w:rFonts w:ascii="Arial" w:cs="Arial" w:eastAsia="Arial" w:hAnsi="Arial"/>
          <w:sz w:val="19"/>
          <w:szCs w:val="19"/>
          <w:color w:val="auto"/>
        </w:rPr>
      </w:pPr>
    </w:p>
    <w:p>
      <w:pPr>
        <w:ind w:left="760" w:hanging="752"/>
        <w:spacing w:after="0"/>
        <w:tabs>
          <w:tab w:leader="none" w:pos="7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For this purpose, ownership includes Deferred Stock and Restricted Stock but only to the extent vested.</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19772980.2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9" w:right="3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MANPOWERGROUP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ind w:left="100"/>
              <w:spacing w:after="0"/>
              <w:rPr>
                <w:sz w:val="20"/>
                <w:szCs w:val="20"/>
                <w:color w:val="auto"/>
              </w:rPr>
            </w:pPr>
            <w:r>
              <w:rPr>
                <w:rFonts w:ascii="Arial" w:cs="Arial" w:eastAsia="Arial" w:hAnsi="Arial"/>
                <w:sz w:val="18"/>
                <w:szCs w:val="18"/>
                <w:color w:val="auto"/>
              </w:rPr>
              <w:t>Corporation Name</w:t>
            </w:r>
          </w:p>
        </w:tc>
        <w:tc>
          <w:tcPr>
            <w:tcW w:w="5800" w:type="dxa"/>
            <w:vAlign w:val="bottom"/>
          </w:tcPr>
          <w:p>
            <w:pPr>
              <w:ind w:left="2320"/>
              <w:spacing w:after="0"/>
              <w:rPr>
                <w:sz w:val="20"/>
                <w:szCs w:val="20"/>
                <w:color w:val="auto"/>
              </w:rPr>
            </w:pPr>
            <w:r>
              <w:rPr>
                <w:rFonts w:ascii="Arial" w:cs="Arial" w:eastAsia="Arial" w:hAnsi="Arial"/>
                <w:sz w:val="18"/>
                <w:szCs w:val="18"/>
                <w:color w:val="auto"/>
              </w:rPr>
              <w:t>Incorporated in State /Country of</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Benefits S.A.</w:t>
            </w:r>
          </w:p>
        </w:tc>
        <w:tc>
          <w:tcPr>
            <w:tcW w:w="5800" w:type="dxa"/>
            <w:vAlign w:val="bottom"/>
          </w:tcPr>
          <w:p>
            <w:pPr>
              <w:ind w:left="2320"/>
              <w:spacing w:after="0"/>
              <w:rPr>
                <w:sz w:val="20"/>
                <w:szCs w:val="20"/>
                <w:color w:val="auto"/>
              </w:rPr>
            </w:pPr>
            <w:r>
              <w:rPr>
                <w:rFonts w:ascii="Arial" w:cs="Arial" w:eastAsia="Arial" w:hAnsi="Arial"/>
                <w:sz w:val="18"/>
                <w:szCs w:val="18"/>
                <w:color w:val="auto"/>
              </w:rPr>
              <w:t>Argentina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Cotecsud Compania Technica Sudamericana S.A.S.E.</w:t>
            </w:r>
          </w:p>
        </w:tc>
        <w:tc>
          <w:tcPr>
            <w:tcW w:w="5800" w:type="dxa"/>
            <w:vAlign w:val="bottom"/>
          </w:tcPr>
          <w:p>
            <w:pPr>
              <w:ind w:left="2320"/>
              <w:spacing w:after="0"/>
              <w:rPr>
                <w:sz w:val="20"/>
                <w:szCs w:val="20"/>
                <w:color w:val="auto"/>
              </w:rPr>
            </w:pPr>
            <w:r>
              <w:rPr>
                <w:rFonts w:ascii="Arial" w:cs="Arial" w:eastAsia="Arial" w:hAnsi="Arial"/>
                <w:sz w:val="18"/>
                <w:szCs w:val="18"/>
                <w:color w:val="auto"/>
              </w:rPr>
              <w:t>Argentina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Right Management Argentina S.A.</w:t>
            </w:r>
          </w:p>
        </w:tc>
        <w:tc>
          <w:tcPr>
            <w:tcW w:w="5800" w:type="dxa"/>
            <w:vAlign w:val="bottom"/>
          </w:tcPr>
          <w:p>
            <w:pPr>
              <w:ind w:left="2320"/>
              <w:spacing w:after="0"/>
              <w:rPr>
                <w:sz w:val="20"/>
                <w:szCs w:val="20"/>
                <w:color w:val="auto"/>
              </w:rPr>
            </w:pPr>
            <w:r>
              <w:rPr>
                <w:rFonts w:ascii="Arial" w:cs="Arial" w:eastAsia="Arial" w:hAnsi="Arial"/>
                <w:sz w:val="18"/>
                <w:szCs w:val="18"/>
                <w:color w:val="auto"/>
              </w:rPr>
              <w:t>Argentina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Salespower S.A.</w:t>
            </w:r>
          </w:p>
        </w:tc>
        <w:tc>
          <w:tcPr>
            <w:tcW w:w="5800" w:type="dxa"/>
            <w:vAlign w:val="bottom"/>
          </w:tcPr>
          <w:p>
            <w:pPr>
              <w:ind w:left="2320"/>
              <w:spacing w:after="0"/>
              <w:rPr>
                <w:sz w:val="20"/>
                <w:szCs w:val="20"/>
                <w:color w:val="auto"/>
              </w:rPr>
            </w:pPr>
            <w:r>
              <w:rPr>
                <w:rFonts w:ascii="Arial" w:cs="Arial" w:eastAsia="Arial" w:hAnsi="Arial"/>
                <w:sz w:val="18"/>
                <w:szCs w:val="18"/>
                <w:color w:val="auto"/>
              </w:rPr>
              <w:t>Argentina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Greythorn Pty Ltd.</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 Services (Australia) Pty. Ltd.</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Marks Sattin (Australia) Pty Limited</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Marks Sattin Holdings (AsiaPac) Pty Limited</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Right Management Consultants (OC) Pty Ltd.</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Right Management Consultants Holdings Pty Ltd</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Right Management Consultants International Pty Ltd</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Right Management Consultants Pty Ltd</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Australia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Experis Services GmbH</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ManpowerGroup GmbH</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ManpowerGroup Holding GmbH</w:t>
            </w:r>
          </w:p>
        </w:tc>
        <w:tc>
          <w:tcPr>
            <w:tcW w:w="5800" w:type="dxa"/>
            <w:vAlign w:val="bottom"/>
          </w:tcPr>
          <w:p>
            <w:pPr>
              <w:ind w:left="2320"/>
              <w:spacing w:after="0"/>
              <w:rPr>
                <w:sz w:val="20"/>
                <w:szCs w:val="20"/>
                <w:color w:val="auto"/>
              </w:rPr>
            </w:pPr>
            <w:r>
              <w:rPr>
                <w:rFonts w:ascii="Arial" w:cs="Arial" w:eastAsia="Arial" w:hAnsi="Arial"/>
                <w:sz w:val="18"/>
                <w:szCs w:val="18"/>
                <w:color w:val="auto"/>
              </w:rPr>
              <w:t>Austria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INT Holdings, LLC</w:t>
            </w:r>
          </w:p>
        </w:tc>
        <w:tc>
          <w:tcPr>
            <w:tcW w:w="5800" w:type="dxa"/>
            <w:vAlign w:val="bottom"/>
          </w:tcPr>
          <w:p>
            <w:pPr>
              <w:ind w:left="2320"/>
              <w:spacing w:after="0"/>
              <w:rPr>
                <w:sz w:val="20"/>
                <w:szCs w:val="20"/>
                <w:color w:val="auto"/>
              </w:rPr>
            </w:pPr>
            <w:r>
              <w:rPr>
                <w:rFonts w:ascii="Arial" w:cs="Arial" w:eastAsia="Arial" w:hAnsi="Arial"/>
                <w:sz w:val="18"/>
                <w:szCs w:val="18"/>
                <w:color w:val="auto"/>
              </w:rPr>
              <w:t>AZ</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INT Technologies, LLC</w:t>
            </w:r>
          </w:p>
        </w:tc>
        <w:tc>
          <w:tcPr>
            <w:tcW w:w="5800" w:type="dxa"/>
            <w:vAlign w:val="bottom"/>
          </w:tcPr>
          <w:p>
            <w:pPr>
              <w:ind w:left="2320"/>
              <w:spacing w:after="0"/>
              <w:rPr>
                <w:sz w:val="20"/>
                <w:szCs w:val="20"/>
                <w:color w:val="auto"/>
              </w:rPr>
            </w:pPr>
            <w:r>
              <w:rPr>
                <w:rFonts w:ascii="Arial" w:cs="Arial" w:eastAsia="Arial" w:hAnsi="Arial"/>
                <w:sz w:val="18"/>
                <w:szCs w:val="18"/>
                <w:color w:val="auto"/>
              </w:rPr>
              <w:t>AZ</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ManpowerGroup Captive Insurance Inc.</w:t>
            </w:r>
          </w:p>
        </w:tc>
        <w:tc>
          <w:tcPr>
            <w:tcW w:w="5800" w:type="dxa"/>
            <w:vAlign w:val="bottom"/>
          </w:tcPr>
          <w:p>
            <w:pPr>
              <w:ind w:left="2320"/>
              <w:spacing w:after="0"/>
              <w:rPr>
                <w:sz w:val="20"/>
                <w:szCs w:val="20"/>
                <w:color w:val="auto"/>
              </w:rPr>
            </w:pPr>
            <w:r>
              <w:rPr>
                <w:rFonts w:ascii="Arial" w:cs="Arial" w:eastAsia="Arial" w:hAnsi="Arial"/>
                <w:sz w:val="18"/>
                <w:szCs w:val="18"/>
                <w:color w:val="auto"/>
              </w:rPr>
              <w:t>AZ</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ManpowerGroup (Barbados) SRL</w:t>
            </w:r>
          </w:p>
        </w:tc>
        <w:tc>
          <w:tcPr>
            <w:tcW w:w="5800" w:type="dxa"/>
            <w:vAlign w:val="bottom"/>
          </w:tcPr>
          <w:p>
            <w:pPr>
              <w:ind w:left="2320"/>
              <w:spacing w:after="0"/>
              <w:rPr>
                <w:sz w:val="20"/>
                <w:szCs w:val="20"/>
                <w:color w:val="auto"/>
              </w:rPr>
            </w:pPr>
            <w:r>
              <w:rPr>
                <w:rFonts w:ascii="Arial" w:cs="Arial" w:eastAsia="Arial" w:hAnsi="Arial"/>
                <w:sz w:val="18"/>
                <w:szCs w:val="18"/>
                <w:color w:val="auto"/>
              </w:rPr>
              <w:t>Barbados</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 Bel LLC</w:t>
            </w:r>
          </w:p>
        </w:tc>
        <w:tc>
          <w:tcPr>
            <w:tcW w:w="5800" w:type="dxa"/>
            <w:vAlign w:val="bottom"/>
          </w:tcPr>
          <w:p>
            <w:pPr>
              <w:ind w:left="2320"/>
              <w:spacing w:after="0"/>
              <w:rPr>
                <w:sz w:val="20"/>
                <w:szCs w:val="20"/>
                <w:color w:val="auto"/>
              </w:rPr>
            </w:pPr>
            <w:r>
              <w:rPr>
                <w:rFonts w:ascii="Arial" w:cs="Arial" w:eastAsia="Arial" w:hAnsi="Arial"/>
                <w:sz w:val="18"/>
                <w:szCs w:val="18"/>
                <w:color w:val="auto"/>
              </w:rPr>
              <w:t>Belarus</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Experis Belgium SA</w:t>
            </w:r>
          </w:p>
        </w:tc>
        <w:tc>
          <w:tcPr>
            <w:tcW w:w="5800" w:type="dxa"/>
            <w:vAlign w:val="bottom"/>
          </w:tcPr>
          <w:p>
            <w:pPr>
              <w:ind w:left="2320"/>
              <w:spacing w:after="0"/>
              <w:rPr>
                <w:sz w:val="20"/>
                <w:szCs w:val="20"/>
                <w:color w:val="auto"/>
              </w:rPr>
            </w:pPr>
            <w:r>
              <w:rPr>
                <w:rFonts w:ascii="Arial" w:cs="Arial" w:eastAsia="Arial" w:hAnsi="Arial"/>
                <w:sz w:val="18"/>
                <w:szCs w:val="18"/>
                <w:color w:val="auto"/>
              </w:rPr>
              <w:t>Belgium</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 Personal Services NV</w:t>
            </w:r>
          </w:p>
        </w:tc>
        <w:tc>
          <w:tcPr>
            <w:tcW w:w="5800" w:type="dxa"/>
            <w:vAlign w:val="bottom"/>
          </w:tcPr>
          <w:p>
            <w:pPr>
              <w:ind w:left="2320"/>
              <w:spacing w:after="0"/>
              <w:rPr>
                <w:sz w:val="20"/>
                <w:szCs w:val="20"/>
                <w:color w:val="auto"/>
              </w:rPr>
            </w:pPr>
            <w:r>
              <w:rPr>
                <w:rFonts w:ascii="Arial" w:cs="Arial" w:eastAsia="Arial" w:hAnsi="Arial"/>
                <w:sz w:val="18"/>
                <w:szCs w:val="18"/>
                <w:color w:val="auto"/>
              </w:rPr>
              <w:t>Belgium</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ManpowerGroup Solutions Belgium SA</w:t>
            </w:r>
          </w:p>
        </w:tc>
        <w:tc>
          <w:tcPr>
            <w:tcW w:w="5800" w:type="dxa"/>
            <w:vAlign w:val="bottom"/>
          </w:tcPr>
          <w:p>
            <w:pPr>
              <w:ind w:left="2320"/>
              <w:spacing w:after="0"/>
              <w:rPr>
                <w:sz w:val="20"/>
                <w:szCs w:val="20"/>
                <w:color w:val="auto"/>
              </w:rPr>
            </w:pPr>
            <w:r>
              <w:rPr>
                <w:rFonts w:ascii="Arial" w:cs="Arial" w:eastAsia="Arial" w:hAnsi="Arial"/>
                <w:sz w:val="18"/>
                <w:szCs w:val="18"/>
                <w:color w:val="auto"/>
              </w:rPr>
              <w:t>Belgium</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Right Management Belgium NV</w:t>
            </w:r>
          </w:p>
        </w:tc>
        <w:tc>
          <w:tcPr>
            <w:tcW w:w="5800" w:type="dxa"/>
            <w:vAlign w:val="bottom"/>
          </w:tcPr>
          <w:p>
            <w:pPr>
              <w:ind w:left="2320"/>
              <w:spacing w:after="0"/>
              <w:rPr>
                <w:sz w:val="20"/>
                <w:szCs w:val="20"/>
                <w:color w:val="auto"/>
              </w:rPr>
            </w:pPr>
            <w:r>
              <w:rPr>
                <w:rFonts w:ascii="Arial" w:cs="Arial" w:eastAsia="Arial" w:hAnsi="Arial"/>
                <w:sz w:val="18"/>
                <w:szCs w:val="18"/>
                <w:color w:val="auto"/>
              </w:rPr>
              <w:t>Belgium</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S.A. Manpower (Belgium) N.V.</w:t>
            </w:r>
          </w:p>
        </w:tc>
        <w:tc>
          <w:tcPr>
            <w:tcW w:w="5800" w:type="dxa"/>
            <w:vAlign w:val="bottom"/>
          </w:tcPr>
          <w:p>
            <w:pPr>
              <w:ind w:left="2320"/>
              <w:spacing w:after="0"/>
              <w:rPr>
                <w:sz w:val="20"/>
                <w:szCs w:val="20"/>
                <w:color w:val="auto"/>
              </w:rPr>
            </w:pPr>
            <w:r>
              <w:rPr>
                <w:rFonts w:ascii="Arial" w:cs="Arial" w:eastAsia="Arial" w:hAnsi="Arial"/>
                <w:sz w:val="18"/>
                <w:szCs w:val="18"/>
                <w:color w:val="auto"/>
              </w:rPr>
              <w:t>Belgium</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Stegmann Belgium BVBA</w:t>
            </w:r>
          </w:p>
        </w:tc>
        <w:tc>
          <w:tcPr>
            <w:tcW w:w="5800" w:type="dxa"/>
            <w:vAlign w:val="bottom"/>
          </w:tcPr>
          <w:p>
            <w:pPr>
              <w:ind w:left="2320"/>
              <w:spacing w:after="0"/>
              <w:rPr>
                <w:sz w:val="20"/>
                <w:szCs w:val="20"/>
                <w:color w:val="auto"/>
              </w:rPr>
            </w:pPr>
            <w:r>
              <w:rPr>
                <w:rFonts w:ascii="Arial" w:cs="Arial" w:eastAsia="Arial" w:hAnsi="Arial"/>
                <w:sz w:val="18"/>
                <w:szCs w:val="18"/>
                <w:color w:val="auto"/>
              </w:rPr>
              <w:t>Belgium</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w w:val="92"/>
              </w:rPr>
              <w:t>Anyhelp Brasil Assessoria E Servicos em Sistemas de Informacao Ltda.</w:t>
            </w:r>
          </w:p>
        </w:tc>
        <w:tc>
          <w:tcPr>
            <w:tcW w:w="5800" w:type="dxa"/>
            <w:vAlign w:val="bottom"/>
          </w:tcPr>
          <w:p>
            <w:pPr>
              <w:ind w:left="2320"/>
              <w:spacing w:after="0"/>
              <w:rPr>
                <w:sz w:val="20"/>
                <w:szCs w:val="20"/>
                <w:color w:val="auto"/>
              </w:rPr>
            </w:pPr>
            <w:r>
              <w:rPr>
                <w:rFonts w:ascii="Arial" w:cs="Arial" w:eastAsia="Arial" w:hAnsi="Arial"/>
                <w:sz w:val="18"/>
                <w:szCs w:val="18"/>
                <w:color w:val="auto"/>
              </w:rPr>
              <w:t>Brazil</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 Brasil Ltda.</w:t>
            </w:r>
          </w:p>
        </w:tc>
        <w:tc>
          <w:tcPr>
            <w:tcW w:w="5800" w:type="dxa"/>
            <w:vAlign w:val="bottom"/>
          </w:tcPr>
          <w:p>
            <w:pPr>
              <w:ind w:left="2320"/>
              <w:spacing w:after="0"/>
              <w:rPr>
                <w:sz w:val="20"/>
                <w:szCs w:val="20"/>
                <w:color w:val="auto"/>
              </w:rPr>
            </w:pPr>
            <w:r>
              <w:rPr>
                <w:rFonts w:ascii="Arial" w:cs="Arial" w:eastAsia="Arial" w:hAnsi="Arial"/>
                <w:sz w:val="18"/>
                <w:szCs w:val="18"/>
                <w:color w:val="auto"/>
              </w:rPr>
              <w:t>Brazil</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 Staffing Ltda.</w:t>
            </w:r>
          </w:p>
        </w:tc>
        <w:tc>
          <w:tcPr>
            <w:tcW w:w="5800" w:type="dxa"/>
            <w:vAlign w:val="bottom"/>
          </w:tcPr>
          <w:p>
            <w:pPr>
              <w:ind w:left="2320"/>
              <w:spacing w:after="0"/>
              <w:rPr>
                <w:sz w:val="20"/>
                <w:szCs w:val="20"/>
                <w:color w:val="auto"/>
              </w:rPr>
            </w:pPr>
            <w:r>
              <w:rPr>
                <w:rFonts w:ascii="Arial" w:cs="Arial" w:eastAsia="Arial" w:hAnsi="Arial"/>
                <w:sz w:val="18"/>
                <w:szCs w:val="18"/>
                <w:color w:val="auto"/>
              </w:rPr>
              <w:t>Brazil</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Right do Brasil Ltda.</w:t>
            </w:r>
          </w:p>
        </w:tc>
        <w:tc>
          <w:tcPr>
            <w:tcW w:w="5800" w:type="dxa"/>
            <w:vAlign w:val="bottom"/>
          </w:tcPr>
          <w:p>
            <w:pPr>
              <w:ind w:left="2320"/>
              <w:spacing w:after="0"/>
              <w:rPr>
                <w:sz w:val="20"/>
                <w:szCs w:val="20"/>
                <w:color w:val="auto"/>
              </w:rPr>
            </w:pPr>
            <w:r>
              <w:rPr>
                <w:rFonts w:ascii="Arial" w:cs="Arial" w:eastAsia="Arial" w:hAnsi="Arial"/>
                <w:sz w:val="18"/>
                <w:szCs w:val="18"/>
                <w:color w:val="auto"/>
              </w:rPr>
              <w:t>Brazil</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 Inc. / California Peninsula</w:t>
            </w:r>
          </w:p>
        </w:tc>
        <w:tc>
          <w:tcPr>
            <w:tcW w:w="5800" w:type="dxa"/>
            <w:vAlign w:val="bottom"/>
          </w:tcPr>
          <w:p>
            <w:pPr>
              <w:ind w:left="2320"/>
              <w:spacing w:after="0"/>
              <w:rPr>
                <w:sz w:val="20"/>
                <w:szCs w:val="20"/>
                <w:color w:val="auto"/>
              </w:rPr>
            </w:pPr>
            <w:r>
              <w:rPr>
                <w:rFonts w:ascii="Arial" w:cs="Arial" w:eastAsia="Arial" w:hAnsi="Arial"/>
                <w:sz w:val="18"/>
                <w:szCs w:val="18"/>
                <w:color w:val="auto"/>
              </w:rPr>
              <w:t>CA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Misicom Inc</w:t>
            </w:r>
          </w:p>
        </w:tc>
        <w:tc>
          <w:tcPr>
            <w:tcW w:w="5800" w:type="dxa"/>
            <w:vAlign w:val="bottom"/>
          </w:tcPr>
          <w:p>
            <w:pPr>
              <w:ind w:left="2320"/>
              <w:spacing w:after="0"/>
              <w:rPr>
                <w:sz w:val="20"/>
                <w:szCs w:val="20"/>
                <w:color w:val="auto"/>
              </w:rPr>
            </w:pPr>
            <w:r>
              <w:rPr>
                <w:rFonts w:ascii="Arial" w:cs="Arial" w:eastAsia="Arial" w:hAnsi="Arial"/>
                <w:sz w:val="18"/>
                <w:szCs w:val="18"/>
                <w:color w:val="auto"/>
              </w:rPr>
              <w:t>CA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Canada Acquisition Company, ULC (Canada)</w:t>
            </w:r>
          </w:p>
        </w:tc>
        <w:tc>
          <w:tcPr>
            <w:tcW w:w="5800" w:type="dxa"/>
            <w:vAlign w:val="bottom"/>
          </w:tcPr>
          <w:p>
            <w:pPr>
              <w:ind w:left="2320"/>
              <w:spacing w:after="0"/>
              <w:rPr>
                <w:sz w:val="20"/>
                <w:szCs w:val="20"/>
                <w:color w:val="auto"/>
              </w:rPr>
            </w:pPr>
            <w:r>
              <w:rPr>
                <w:rFonts w:ascii="Arial" w:cs="Arial" w:eastAsia="Arial" w:hAnsi="Arial"/>
                <w:sz w:val="18"/>
                <w:szCs w:val="18"/>
                <w:color w:val="auto"/>
              </w:rPr>
              <w:t>Canada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INT Canada, LLC</w:t>
            </w:r>
          </w:p>
        </w:tc>
        <w:tc>
          <w:tcPr>
            <w:tcW w:w="5800" w:type="dxa"/>
            <w:vAlign w:val="bottom"/>
          </w:tcPr>
          <w:p>
            <w:pPr>
              <w:ind w:left="2320"/>
              <w:spacing w:after="0"/>
              <w:rPr>
                <w:sz w:val="20"/>
                <w:szCs w:val="20"/>
                <w:color w:val="auto"/>
              </w:rPr>
            </w:pPr>
            <w:r>
              <w:rPr>
                <w:rFonts w:ascii="Arial" w:cs="Arial" w:eastAsia="Arial" w:hAnsi="Arial"/>
                <w:sz w:val="18"/>
                <w:szCs w:val="18"/>
                <w:color w:val="auto"/>
              </w:rPr>
              <w:t>Canada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Manpower Services Canada Limited</w:t>
            </w:r>
          </w:p>
        </w:tc>
        <w:tc>
          <w:tcPr>
            <w:tcW w:w="5800" w:type="dxa"/>
            <w:vAlign w:val="bottom"/>
          </w:tcPr>
          <w:p>
            <w:pPr>
              <w:ind w:left="2320"/>
              <w:spacing w:after="0"/>
              <w:rPr>
                <w:sz w:val="20"/>
                <w:szCs w:val="20"/>
                <w:color w:val="auto"/>
              </w:rPr>
            </w:pPr>
            <w:r>
              <w:rPr>
                <w:rFonts w:ascii="Arial" w:cs="Arial" w:eastAsia="Arial" w:hAnsi="Arial"/>
                <w:sz w:val="18"/>
                <w:szCs w:val="18"/>
                <w:color w:val="auto"/>
              </w:rPr>
              <w:t>Canada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Right Management Canada</w:t>
            </w:r>
          </w:p>
        </w:tc>
        <w:tc>
          <w:tcPr>
            <w:tcW w:w="5800" w:type="dxa"/>
            <w:vAlign w:val="bottom"/>
          </w:tcPr>
          <w:p>
            <w:pPr>
              <w:ind w:left="2320"/>
              <w:spacing w:after="0"/>
              <w:rPr>
                <w:sz w:val="20"/>
                <w:szCs w:val="20"/>
                <w:color w:val="auto"/>
              </w:rPr>
            </w:pPr>
            <w:r>
              <w:rPr>
                <w:rFonts w:ascii="Arial" w:cs="Arial" w:eastAsia="Arial" w:hAnsi="Arial"/>
                <w:sz w:val="18"/>
                <w:szCs w:val="18"/>
                <w:color w:val="auto"/>
              </w:rPr>
              <w:t>Canada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Techno5, Inc.</w:t>
            </w:r>
          </w:p>
        </w:tc>
        <w:tc>
          <w:tcPr>
            <w:tcW w:w="5800" w:type="dxa"/>
            <w:vAlign w:val="bottom"/>
          </w:tcPr>
          <w:p>
            <w:pPr>
              <w:ind w:left="2320"/>
              <w:spacing w:after="0"/>
              <w:rPr>
                <w:sz w:val="20"/>
                <w:szCs w:val="20"/>
                <w:color w:val="auto"/>
              </w:rPr>
            </w:pPr>
            <w:r>
              <w:rPr>
                <w:rFonts w:ascii="Arial" w:cs="Arial" w:eastAsia="Arial" w:hAnsi="Arial"/>
                <w:sz w:val="18"/>
                <w:szCs w:val="18"/>
                <w:color w:val="auto"/>
              </w:rPr>
              <w:t>Canada</w:t>
            </w:r>
          </w:p>
        </w:tc>
      </w:tr>
      <w:tr>
        <w:trPr>
          <w:trHeight w:val="270"/>
        </w:trPr>
        <w:tc>
          <w:tcPr>
            <w:tcW w:w="5440" w:type="dxa"/>
            <w:vAlign w:val="bottom"/>
          </w:tcPr>
          <w:p>
            <w:pPr>
              <w:ind w:left="100"/>
              <w:spacing w:after="0"/>
              <w:rPr>
                <w:sz w:val="20"/>
                <w:szCs w:val="20"/>
                <w:color w:val="auto"/>
              </w:rPr>
            </w:pPr>
            <w:r>
              <w:rPr>
                <w:rFonts w:ascii="Arial" w:cs="Arial" w:eastAsia="Arial" w:hAnsi="Arial"/>
                <w:sz w:val="18"/>
                <w:szCs w:val="18"/>
                <w:color w:val="auto"/>
              </w:rPr>
              <w:t>Veritaaq Technology House Inc.</w:t>
            </w:r>
          </w:p>
        </w:tc>
        <w:tc>
          <w:tcPr>
            <w:tcW w:w="5800" w:type="dxa"/>
            <w:vAlign w:val="bottom"/>
          </w:tcPr>
          <w:p>
            <w:pPr>
              <w:ind w:left="2320"/>
              <w:spacing w:after="0"/>
              <w:rPr>
                <w:sz w:val="20"/>
                <w:szCs w:val="20"/>
                <w:color w:val="auto"/>
              </w:rPr>
            </w:pPr>
            <w:r>
              <w:rPr>
                <w:rFonts w:ascii="Arial" w:cs="Arial" w:eastAsia="Arial" w:hAnsi="Arial"/>
                <w:sz w:val="18"/>
                <w:szCs w:val="18"/>
                <w:color w:val="auto"/>
              </w:rPr>
              <w:t>Canada</w:t>
            </w:r>
          </w:p>
        </w:tc>
      </w:tr>
      <w:tr>
        <w:trPr>
          <w:trHeight w:val="445"/>
        </w:trPr>
        <w:tc>
          <w:tcPr>
            <w:tcW w:w="5440" w:type="dxa"/>
            <w:vAlign w:val="bottom"/>
          </w:tcPr>
          <w:p>
            <w:pPr>
              <w:spacing w:after="0"/>
              <w:rPr>
                <w:sz w:val="24"/>
                <w:szCs w:val="24"/>
                <w:color w:val="auto"/>
              </w:rPr>
            </w:pPr>
          </w:p>
        </w:tc>
        <w:tc>
          <w:tcPr>
            <w:tcW w:w="5800" w:type="dxa"/>
            <w:vAlign w:val="bottom"/>
          </w:tcPr>
          <w:p>
            <w:pPr>
              <w:ind w:left="140"/>
              <w:spacing w:after="0"/>
              <w:rPr>
                <w:sz w:val="20"/>
                <w:szCs w:val="20"/>
                <w:color w:val="auto"/>
              </w:rPr>
            </w:pPr>
            <w:r>
              <w:rPr>
                <w:rFonts w:ascii="Arial" w:cs="Arial" w:eastAsia="Arial" w:hAnsi="Arial"/>
                <w:sz w:val="18"/>
                <w:szCs w:val="18"/>
                <w:color w:val="auto"/>
              </w:rPr>
              <w:t>1</w:t>
            </w:r>
          </w:p>
        </w:tc>
      </w:tr>
      <w:tr>
        <w:trPr>
          <w:trHeight w:val="101"/>
        </w:trPr>
        <w:tc>
          <w:tcPr>
            <w:tcW w:w="5440" w:type="dxa"/>
            <w:vAlign w:val="bottom"/>
            <w:tcBorders>
              <w:bottom w:val="single" w:sz="8" w:color="9A9A9A"/>
            </w:tcBorders>
          </w:tcPr>
          <w:p>
            <w:pPr>
              <w:spacing w:after="0"/>
              <w:rPr>
                <w:sz w:val="8"/>
                <w:szCs w:val="8"/>
                <w:color w:val="auto"/>
              </w:rPr>
            </w:pPr>
          </w:p>
        </w:tc>
        <w:tc>
          <w:tcPr>
            <w:tcW w:w="5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4680" w:type="dxa"/>
            <w:vAlign w:val="bottom"/>
          </w:tcPr>
          <w:p>
            <w:pPr>
              <w:ind w:left="100"/>
              <w:spacing w:after="0"/>
              <w:rPr>
                <w:sz w:val="20"/>
                <w:szCs w:val="20"/>
                <w:color w:val="auto"/>
              </w:rPr>
            </w:pPr>
            <w:r>
              <w:rPr>
                <w:rFonts w:ascii="Arial" w:cs="Arial" w:eastAsia="Arial" w:hAnsi="Arial"/>
                <w:sz w:val="18"/>
                <w:szCs w:val="18"/>
                <w:color w:val="auto"/>
              </w:rPr>
              <w:t>Manpower Empresa de Servicios Transitorios Ltda</w:t>
            </w:r>
          </w:p>
        </w:tc>
        <w:tc>
          <w:tcPr>
            <w:tcW w:w="6560" w:type="dxa"/>
            <w:vAlign w:val="bottom"/>
          </w:tcPr>
          <w:p>
            <w:pPr>
              <w:ind w:left="3080"/>
              <w:spacing w:after="0"/>
              <w:rPr>
                <w:sz w:val="20"/>
                <w:szCs w:val="20"/>
                <w:color w:val="auto"/>
              </w:rPr>
            </w:pPr>
            <w:r>
              <w:rPr>
                <w:rFonts w:ascii="Arial" w:cs="Arial" w:eastAsia="Arial" w:hAnsi="Arial"/>
                <w:sz w:val="18"/>
                <w:szCs w:val="18"/>
                <w:color w:val="auto"/>
              </w:rPr>
              <w:t>Chile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Servicios Especializados Ltda</w:t>
            </w:r>
          </w:p>
        </w:tc>
        <w:tc>
          <w:tcPr>
            <w:tcW w:w="6560" w:type="dxa"/>
            <w:vAlign w:val="bottom"/>
          </w:tcPr>
          <w:p>
            <w:pPr>
              <w:ind w:left="3080"/>
              <w:spacing w:after="0"/>
              <w:rPr>
                <w:sz w:val="20"/>
                <w:szCs w:val="20"/>
                <w:color w:val="auto"/>
              </w:rPr>
            </w:pPr>
            <w:r>
              <w:rPr>
                <w:rFonts w:ascii="Arial" w:cs="Arial" w:eastAsia="Arial" w:hAnsi="Arial"/>
                <w:sz w:val="18"/>
                <w:szCs w:val="18"/>
                <w:color w:val="auto"/>
              </w:rPr>
              <w:t>Chile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Servicios Integrales SpA</w:t>
            </w:r>
          </w:p>
        </w:tc>
        <w:tc>
          <w:tcPr>
            <w:tcW w:w="6560" w:type="dxa"/>
            <w:vAlign w:val="bottom"/>
          </w:tcPr>
          <w:p>
            <w:pPr>
              <w:ind w:left="3080"/>
              <w:spacing w:after="0"/>
              <w:rPr>
                <w:sz w:val="20"/>
                <w:szCs w:val="20"/>
                <w:color w:val="auto"/>
              </w:rPr>
            </w:pPr>
            <w:r>
              <w:rPr>
                <w:rFonts w:ascii="Arial" w:cs="Arial" w:eastAsia="Arial" w:hAnsi="Arial"/>
                <w:sz w:val="18"/>
                <w:szCs w:val="18"/>
                <w:color w:val="auto"/>
              </w:rPr>
              <w:t>Chile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Talent Solutions Capacitacion SpA</w:t>
            </w:r>
          </w:p>
        </w:tc>
        <w:tc>
          <w:tcPr>
            <w:tcW w:w="6560" w:type="dxa"/>
            <w:vAlign w:val="bottom"/>
          </w:tcPr>
          <w:p>
            <w:pPr>
              <w:ind w:left="3080"/>
              <w:spacing w:after="0"/>
              <w:rPr>
                <w:sz w:val="20"/>
                <w:szCs w:val="20"/>
                <w:color w:val="auto"/>
              </w:rPr>
            </w:pPr>
            <w:r>
              <w:rPr>
                <w:rFonts w:ascii="Arial" w:cs="Arial" w:eastAsia="Arial" w:hAnsi="Arial"/>
                <w:sz w:val="18"/>
                <w:szCs w:val="18"/>
                <w:color w:val="auto"/>
              </w:rPr>
              <w:t>Chile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Aerospace Solutions Engineering, LLC</w:t>
            </w:r>
          </w:p>
        </w:tc>
        <w:tc>
          <w:tcPr>
            <w:tcW w:w="6560" w:type="dxa"/>
            <w:vAlign w:val="bottom"/>
          </w:tcPr>
          <w:p>
            <w:pPr>
              <w:ind w:left="3080"/>
              <w:spacing w:after="0"/>
              <w:rPr>
                <w:sz w:val="20"/>
                <w:szCs w:val="20"/>
                <w:color w:val="auto"/>
              </w:rPr>
            </w:pPr>
            <w:r>
              <w:rPr>
                <w:rFonts w:ascii="Arial" w:cs="Arial" w:eastAsia="Arial" w:hAnsi="Arial"/>
                <w:sz w:val="18"/>
                <w:szCs w:val="18"/>
                <w:color w:val="auto"/>
              </w:rPr>
              <w:t>CO</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Fahrenheit IT, LLC</w:t>
            </w:r>
          </w:p>
        </w:tc>
        <w:tc>
          <w:tcPr>
            <w:tcW w:w="6560" w:type="dxa"/>
            <w:vAlign w:val="bottom"/>
          </w:tcPr>
          <w:p>
            <w:pPr>
              <w:ind w:left="3080"/>
              <w:spacing w:after="0"/>
              <w:rPr>
                <w:sz w:val="20"/>
                <w:szCs w:val="20"/>
                <w:color w:val="auto"/>
              </w:rPr>
            </w:pPr>
            <w:r>
              <w:rPr>
                <w:rFonts w:ascii="Arial" w:cs="Arial" w:eastAsia="Arial" w:hAnsi="Arial"/>
                <w:sz w:val="18"/>
                <w:szCs w:val="18"/>
                <w:color w:val="auto"/>
              </w:rPr>
              <w:t>CO</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Global Employment Solutions,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CO</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Information Technology Engineering, LLC</w:t>
            </w:r>
          </w:p>
        </w:tc>
        <w:tc>
          <w:tcPr>
            <w:tcW w:w="6560" w:type="dxa"/>
            <w:vAlign w:val="bottom"/>
          </w:tcPr>
          <w:p>
            <w:pPr>
              <w:ind w:left="3080"/>
              <w:spacing w:after="0"/>
              <w:rPr>
                <w:sz w:val="20"/>
                <w:szCs w:val="20"/>
                <w:color w:val="auto"/>
              </w:rPr>
            </w:pPr>
            <w:r>
              <w:rPr>
                <w:rFonts w:ascii="Arial" w:cs="Arial" w:eastAsia="Arial" w:hAnsi="Arial"/>
                <w:sz w:val="18"/>
                <w:szCs w:val="18"/>
                <w:color w:val="auto"/>
              </w:rPr>
              <w:t>CO</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ITEC II, LLC</w:t>
            </w:r>
          </w:p>
        </w:tc>
        <w:tc>
          <w:tcPr>
            <w:tcW w:w="6560" w:type="dxa"/>
            <w:vAlign w:val="bottom"/>
          </w:tcPr>
          <w:p>
            <w:pPr>
              <w:ind w:left="3080"/>
              <w:spacing w:after="0"/>
              <w:rPr>
                <w:sz w:val="20"/>
                <w:szCs w:val="20"/>
                <w:color w:val="auto"/>
              </w:rPr>
            </w:pPr>
            <w:r>
              <w:rPr>
                <w:rFonts w:ascii="Arial" w:cs="Arial" w:eastAsia="Arial" w:hAnsi="Arial"/>
                <w:sz w:val="18"/>
                <w:szCs w:val="18"/>
                <w:color w:val="auto"/>
              </w:rPr>
              <w:t>CO</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de Colombia Ltda.</w:t>
            </w:r>
          </w:p>
        </w:tc>
        <w:tc>
          <w:tcPr>
            <w:tcW w:w="6560" w:type="dxa"/>
            <w:vAlign w:val="bottom"/>
          </w:tcPr>
          <w:p>
            <w:pPr>
              <w:ind w:left="3080"/>
              <w:spacing w:after="0"/>
              <w:rPr>
                <w:sz w:val="20"/>
                <w:szCs w:val="20"/>
                <w:color w:val="auto"/>
              </w:rPr>
            </w:pPr>
            <w:r>
              <w:rPr>
                <w:rFonts w:ascii="Arial" w:cs="Arial" w:eastAsia="Arial" w:hAnsi="Arial"/>
                <w:sz w:val="18"/>
                <w:szCs w:val="18"/>
                <w:color w:val="auto"/>
              </w:rPr>
              <w:t>Colombia</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Professional Ltd.</w:t>
            </w:r>
          </w:p>
        </w:tc>
        <w:tc>
          <w:tcPr>
            <w:tcW w:w="6560" w:type="dxa"/>
            <w:vAlign w:val="bottom"/>
          </w:tcPr>
          <w:p>
            <w:pPr>
              <w:ind w:left="3080"/>
              <w:spacing w:after="0"/>
              <w:rPr>
                <w:sz w:val="20"/>
                <w:szCs w:val="20"/>
                <w:color w:val="auto"/>
              </w:rPr>
            </w:pPr>
            <w:r>
              <w:rPr>
                <w:rFonts w:ascii="Arial" w:cs="Arial" w:eastAsia="Arial" w:hAnsi="Arial"/>
                <w:sz w:val="18"/>
                <w:szCs w:val="18"/>
                <w:color w:val="auto"/>
              </w:rPr>
              <w:t>Colombia</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Tahuma SAS</w:t>
            </w:r>
          </w:p>
        </w:tc>
        <w:tc>
          <w:tcPr>
            <w:tcW w:w="6560" w:type="dxa"/>
            <w:vAlign w:val="bottom"/>
          </w:tcPr>
          <w:p>
            <w:pPr>
              <w:ind w:left="3080"/>
              <w:spacing w:after="0"/>
              <w:rPr>
                <w:sz w:val="20"/>
                <w:szCs w:val="20"/>
                <w:color w:val="auto"/>
              </w:rPr>
            </w:pPr>
            <w:r>
              <w:rPr>
                <w:rFonts w:ascii="Arial" w:cs="Arial" w:eastAsia="Arial" w:hAnsi="Arial"/>
                <w:sz w:val="18"/>
                <w:szCs w:val="18"/>
                <w:color w:val="auto"/>
              </w:rPr>
              <w:t>Colombia</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Costa Rica, S.A.</w:t>
            </w:r>
          </w:p>
        </w:tc>
        <w:tc>
          <w:tcPr>
            <w:tcW w:w="6560" w:type="dxa"/>
            <w:vAlign w:val="bottom"/>
          </w:tcPr>
          <w:p>
            <w:pPr>
              <w:ind w:left="3080"/>
              <w:spacing w:after="0"/>
              <w:rPr>
                <w:sz w:val="20"/>
                <w:szCs w:val="20"/>
                <w:color w:val="auto"/>
              </w:rPr>
            </w:pPr>
            <w:r>
              <w:rPr>
                <w:rFonts w:ascii="Arial" w:cs="Arial" w:eastAsia="Arial" w:hAnsi="Arial"/>
                <w:sz w:val="18"/>
                <w:szCs w:val="18"/>
                <w:color w:val="auto"/>
              </w:rPr>
              <w:t>Costa Rica</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Professional Costa Rica, S.A.</w:t>
            </w:r>
          </w:p>
        </w:tc>
        <w:tc>
          <w:tcPr>
            <w:tcW w:w="6560" w:type="dxa"/>
            <w:vAlign w:val="bottom"/>
          </w:tcPr>
          <w:p>
            <w:pPr>
              <w:ind w:left="3080"/>
              <w:spacing w:after="0"/>
              <w:rPr>
                <w:sz w:val="20"/>
                <w:szCs w:val="20"/>
                <w:color w:val="auto"/>
              </w:rPr>
            </w:pPr>
            <w:r>
              <w:rPr>
                <w:rFonts w:ascii="Arial" w:cs="Arial" w:eastAsia="Arial" w:hAnsi="Arial"/>
                <w:sz w:val="18"/>
                <w:szCs w:val="18"/>
                <w:color w:val="auto"/>
              </w:rPr>
              <w:t>Costa Rica</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s.r.o.</w:t>
            </w:r>
          </w:p>
        </w:tc>
        <w:tc>
          <w:tcPr>
            <w:tcW w:w="6560" w:type="dxa"/>
            <w:vAlign w:val="bottom"/>
          </w:tcPr>
          <w:p>
            <w:pPr>
              <w:ind w:left="3080"/>
              <w:spacing w:after="0"/>
              <w:rPr>
                <w:sz w:val="20"/>
                <w:szCs w:val="20"/>
                <w:color w:val="auto"/>
              </w:rPr>
            </w:pPr>
            <w:r>
              <w:rPr>
                <w:rFonts w:ascii="Arial" w:cs="Arial" w:eastAsia="Arial" w:hAnsi="Arial"/>
                <w:sz w:val="18"/>
                <w:szCs w:val="18"/>
                <w:color w:val="auto"/>
              </w:rPr>
              <w:t>Czech Republic</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Workforce Solutions s.r.o.</w:t>
            </w:r>
          </w:p>
        </w:tc>
        <w:tc>
          <w:tcPr>
            <w:tcW w:w="6560" w:type="dxa"/>
            <w:vAlign w:val="bottom"/>
          </w:tcPr>
          <w:p>
            <w:pPr>
              <w:ind w:left="3080"/>
              <w:spacing w:after="0"/>
              <w:rPr>
                <w:sz w:val="20"/>
                <w:szCs w:val="20"/>
                <w:color w:val="auto"/>
              </w:rPr>
            </w:pPr>
            <w:r>
              <w:rPr>
                <w:rFonts w:ascii="Arial" w:cs="Arial" w:eastAsia="Arial" w:hAnsi="Arial"/>
                <w:sz w:val="18"/>
                <w:szCs w:val="18"/>
                <w:color w:val="auto"/>
              </w:rPr>
              <w:t>Czech Republic</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Econometrix,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ettain Acquisition,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ettain group Holdings,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Experis Finance US,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Experis IT Services US,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Friendly Advanced Software Technology,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GES Holdings,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GES Parent Holdings,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Global Employment Holdings,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Highlands Ventures Holdings,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Highlands Ventures,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Leidos Health,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CIS Inc.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Franchises,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Holdings, Inc.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NZ Holdings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US Inc.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Talent Solutions,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US Holdings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Right License Holding, Inc.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TAPFIN LLC</w:t>
            </w:r>
          </w:p>
        </w:tc>
        <w:tc>
          <w:tcPr>
            <w:tcW w:w="6560" w:type="dxa"/>
            <w:vAlign w:val="bottom"/>
          </w:tcPr>
          <w:p>
            <w:pPr>
              <w:ind w:left="3080"/>
              <w:spacing w:after="0"/>
              <w:rPr>
                <w:sz w:val="20"/>
                <w:szCs w:val="20"/>
                <w:color w:val="auto"/>
              </w:rPr>
            </w:pPr>
            <w:r>
              <w:rPr>
                <w:rFonts w:ascii="Arial" w:cs="Arial" w:eastAsia="Arial" w:hAnsi="Arial"/>
                <w:sz w:val="18"/>
                <w:szCs w:val="18"/>
                <w:color w:val="auto"/>
              </w:rPr>
              <w:t>DE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Experis A/S</w:t>
            </w:r>
          </w:p>
        </w:tc>
        <w:tc>
          <w:tcPr>
            <w:tcW w:w="6560" w:type="dxa"/>
            <w:vAlign w:val="bottom"/>
          </w:tcPr>
          <w:p>
            <w:pPr>
              <w:ind w:left="3080"/>
              <w:spacing w:after="0"/>
              <w:rPr>
                <w:sz w:val="20"/>
                <w:szCs w:val="20"/>
                <w:color w:val="auto"/>
              </w:rPr>
            </w:pPr>
            <w:r>
              <w:rPr>
                <w:rFonts w:ascii="Arial" w:cs="Arial" w:eastAsia="Arial" w:hAnsi="Arial"/>
                <w:sz w:val="18"/>
                <w:szCs w:val="18"/>
                <w:color w:val="auto"/>
              </w:rPr>
              <w:t>Denmark</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Republica Dominicana, S.A.</w:t>
            </w:r>
          </w:p>
        </w:tc>
        <w:tc>
          <w:tcPr>
            <w:tcW w:w="6560" w:type="dxa"/>
            <w:vAlign w:val="bottom"/>
          </w:tcPr>
          <w:p>
            <w:pPr>
              <w:ind w:left="3080"/>
              <w:spacing w:after="0"/>
              <w:rPr>
                <w:sz w:val="20"/>
                <w:szCs w:val="20"/>
                <w:color w:val="auto"/>
              </w:rPr>
            </w:pPr>
            <w:r>
              <w:rPr>
                <w:rFonts w:ascii="Arial" w:cs="Arial" w:eastAsia="Arial" w:hAnsi="Arial"/>
                <w:sz w:val="18"/>
                <w:szCs w:val="18"/>
                <w:color w:val="auto"/>
              </w:rPr>
              <w:t>Dominican Republic</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El Salvador, S.A. de C.V.</w:t>
            </w:r>
          </w:p>
        </w:tc>
        <w:tc>
          <w:tcPr>
            <w:tcW w:w="6560" w:type="dxa"/>
            <w:vAlign w:val="bottom"/>
          </w:tcPr>
          <w:p>
            <w:pPr>
              <w:ind w:left="3080"/>
              <w:spacing w:after="0"/>
              <w:rPr>
                <w:sz w:val="20"/>
                <w:szCs w:val="20"/>
                <w:color w:val="auto"/>
              </w:rPr>
            </w:pPr>
            <w:r>
              <w:rPr>
                <w:rFonts w:ascii="Arial" w:cs="Arial" w:eastAsia="Arial" w:hAnsi="Arial"/>
                <w:sz w:val="18"/>
                <w:szCs w:val="18"/>
                <w:color w:val="auto"/>
              </w:rPr>
              <w:t>El Salvador</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OÜ</w:t>
            </w:r>
          </w:p>
        </w:tc>
        <w:tc>
          <w:tcPr>
            <w:tcW w:w="6560" w:type="dxa"/>
            <w:vAlign w:val="bottom"/>
          </w:tcPr>
          <w:p>
            <w:pPr>
              <w:ind w:left="3080"/>
              <w:spacing w:after="0"/>
              <w:rPr>
                <w:sz w:val="20"/>
                <w:szCs w:val="20"/>
                <w:color w:val="auto"/>
              </w:rPr>
            </w:pPr>
            <w:r>
              <w:rPr>
                <w:rFonts w:ascii="Arial" w:cs="Arial" w:eastAsia="Arial" w:hAnsi="Arial"/>
                <w:sz w:val="18"/>
                <w:szCs w:val="18"/>
                <w:color w:val="auto"/>
              </w:rPr>
              <w:t>Estonia</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Inclusive Oy</w:t>
            </w:r>
          </w:p>
        </w:tc>
        <w:tc>
          <w:tcPr>
            <w:tcW w:w="6560" w:type="dxa"/>
            <w:vAlign w:val="bottom"/>
          </w:tcPr>
          <w:p>
            <w:pPr>
              <w:ind w:left="3080"/>
              <w:spacing w:after="0"/>
              <w:rPr>
                <w:sz w:val="20"/>
                <w:szCs w:val="20"/>
                <w:color w:val="auto"/>
              </w:rPr>
            </w:pPr>
            <w:r>
              <w:rPr>
                <w:rFonts w:ascii="Arial" w:cs="Arial" w:eastAsia="Arial" w:hAnsi="Arial"/>
                <w:sz w:val="18"/>
                <w:szCs w:val="18"/>
                <w:color w:val="auto"/>
              </w:rPr>
              <w:t>Finland</w:t>
            </w:r>
          </w:p>
        </w:tc>
      </w:tr>
      <w:tr>
        <w:trPr>
          <w:trHeight w:val="445"/>
        </w:trPr>
        <w:tc>
          <w:tcPr>
            <w:tcW w:w="4680" w:type="dxa"/>
            <w:vAlign w:val="bottom"/>
          </w:tcPr>
          <w:p>
            <w:pPr>
              <w:spacing w:after="0"/>
              <w:rPr>
                <w:sz w:val="24"/>
                <w:szCs w:val="24"/>
                <w:color w:val="auto"/>
              </w:rPr>
            </w:pPr>
          </w:p>
        </w:tc>
        <w:tc>
          <w:tcPr>
            <w:tcW w:w="6560" w:type="dxa"/>
            <w:vAlign w:val="bottom"/>
          </w:tcPr>
          <w:p>
            <w:pPr>
              <w:ind w:left="900"/>
              <w:spacing w:after="0"/>
              <w:rPr>
                <w:sz w:val="20"/>
                <w:szCs w:val="20"/>
                <w:color w:val="auto"/>
              </w:rPr>
            </w:pPr>
            <w:r>
              <w:rPr>
                <w:rFonts w:ascii="Arial" w:cs="Arial" w:eastAsia="Arial" w:hAnsi="Arial"/>
                <w:sz w:val="18"/>
                <w:szCs w:val="18"/>
                <w:color w:val="auto"/>
              </w:rPr>
              <w:t>2</w:t>
            </w:r>
          </w:p>
        </w:tc>
      </w:tr>
      <w:tr>
        <w:trPr>
          <w:trHeight w:val="101"/>
        </w:trPr>
        <w:tc>
          <w:tcPr>
            <w:tcW w:w="4680" w:type="dxa"/>
            <w:vAlign w:val="bottom"/>
            <w:tcBorders>
              <w:bottom w:val="single" w:sz="8" w:color="9A9A9A"/>
            </w:tcBorders>
          </w:tcPr>
          <w:p>
            <w:pPr>
              <w:spacing w:after="0"/>
              <w:rPr>
                <w:sz w:val="8"/>
                <w:szCs w:val="8"/>
                <w:color w:val="auto"/>
              </w:rPr>
            </w:pPr>
          </w:p>
        </w:tc>
        <w:tc>
          <w:tcPr>
            <w:tcW w:w="6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OY</w:t>
            </w:r>
          </w:p>
        </w:tc>
        <w:tc>
          <w:tcPr>
            <w:tcW w:w="6560" w:type="dxa"/>
            <w:vAlign w:val="bottom"/>
          </w:tcPr>
          <w:p>
            <w:pPr>
              <w:ind w:left="3080"/>
              <w:spacing w:after="0"/>
              <w:rPr>
                <w:sz w:val="20"/>
                <w:szCs w:val="20"/>
                <w:color w:val="auto"/>
              </w:rPr>
            </w:pPr>
            <w:r>
              <w:rPr>
                <w:rFonts w:ascii="Arial" w:cs="Arial" w:eastAsia="Arial" w:hAnsi="Arial"/>
                <w:sz w:val="18"/>
                <w:szCs w:val="18"/>
                <w:color w:val="auto"/>
              </w:rPr>
              <w:t>Finland</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Solutions OY</w:t>
            </w:r>
          </w:p>
        </w:tc>
        <w:tc>
          <w:tcPr>
            <w:tcW w:w="6560" w:type="dxa"/>
            <w:vAlign w:val="bottom"/>
          </w:tcPr>
          <w:p>
            <w:pPr>
              <w:ind w:left="3080"/>
              <w:spacing w:after="0"/>
              <w:rPr>
                <w:sz w:val="20"/>
                <w:szCs w:val="20"/>
                <w:color w:val="auto"/>
              </w:rPr>
            </w:pPr>
            <w:r>
              <w:rPr>
                <w:rFonts w:ascii="Arial" w:cs="Arial" w:eastAsia="Arial" w:hAnsi="Arial"/>
                <w:sz w:val="18"/>
                <w:szCs w:val="18"/>
                <w:color w:val="auto"/>
              </w:rPr>
              <w:t>Finland</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Experis France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FuturSkill IT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France Holding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France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Nouvelles Competences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France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Solutions Enterprise</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Solutions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Peevee</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Right Management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Supplay SAS</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Tapfin Sarl</w:t>
            </w:r>
          </w:p>
        </w:tc>
        <w:tc>
          <w:tcPr>
            <w:tcW w:w="6560" w:type="dxa"/>
            <w:vAlign w:val="bottom"/>
          </w:tcPr>
          <w:p>
            <w:pPr>
              <w:ind w:left="3080"/>
              <w:spacing w:after="0"/>
              <w:rPr>
                <w:sz w:val="20"/>
                <w:szCs w:val="20"/>
                <w:color w:val="auto"/>
              </w:rPr>
            </w:pPr>
            <w:r>
              <w:rPr>
                <w:rFonts w:ascii="Arial" w:cs="Arial" w:eastAsia="Arial" w:hAnsi="Arial"/>
                <w:sz w:val="18"/>
                <w:szCs w:val="18"/>
                <w:color w:val="auto"/>
              </w:rPr>
              <w:t>France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Temporary Placement Service, LLC</w:t>
            </w:r>
          </w:p>
        </w:tc>
        <w:tc>
          <w:tcPr>
            <w:tcW w:w="6560" w:type="dxa"/>
            <w:vAlign w:val="bottom"/>
          </w:tcPr>
          <w:p>
            <w:pPr>
              <w:ind w:left="3080"/>
              <w:spacing w:after="0"/>
              <w:rPr>
                <w:sz w:val="20"/>
                <w:szCs w:val="20"/>
                <w:color w:val="auto"/>
              </w:rPr>
            </w:pPr>
            <w:r>
              <w:rPr>
                <w:rFonts w:ascii="Arial" w:cs="Arial" w:eastAsia="Arial" w:hAnsi="Arial"/>
                <w:sz w:val="18"/>
                <w:szCs w:val="18"/>
                <w:color w:val="auto"/>
              </w:rPr>
              <w:t>GA</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7S Group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Arcqus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Arcqus Professionals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Aviation Staff Management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AviationPower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AviationPower Technical Services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Bankpower GmbH Personaldienstleistungen</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Experis Field Services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Experis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Experis IT Services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Experis Verwaltungs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Jefferson Wells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K&amp;K HR-Services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Beteiligungsgesellschaft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GmbH &amp; Co. KG</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Deutschland GmbH &amp; Co. KG</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Deutschland Verwaltungs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Financial Services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Solutions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Right Management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Splu Experts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Stegmann Personaldienstleistung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StegPlus Personal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VIS GmbH</w:t>
            </w:r>
          </w:p>
        </w:tc>
        <w:tc>
          <w:tcPr>
            <w:tcW w:w="656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ManpowerGroup S.A.</w:t>
            </w:r>
          </w:p>
        </w:tc>
        <w:tc>
          <w:tcPr>
            <w:tcW w:w="6560" w:type="dxa"/>
            <w:vAlign w:val="bottom"/>
          </w:tcPr>
          <w:p>
            <w:pPr>
              <w:ind w:left="3080"/>
              <w:spacing w:after="0"/>
              <w:rPr>
                <w:sz w:val="20"/>
                <w:szCs w:val="20"/>
                <w:color w:val="auto"/>
              </w:rPr>
            </w:pPr>
            <w:r>
              <w:rPr>
                <w:rFonts w:ascii="Arial" w:cs="Arial" w:eastAsia="Arial" w:hAnsi="Arial"/>
                <w:sz w:val="18"/>
                <w:szCs w:val="18"/>
                <w:color w:val="auto"/>
              </w:rPr>
              <w:t>Greece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Project Solutions S.A.</w:t>
            </w:r>
          </w:p>
        </w:tc>
        <w:tc>
          <w:tcPr>
            <w:tcW w:w="6560" w:type="dxa"/>
            <w:vAlign w:val="bottom"/>
          </w:tcPr>
          <w:p>
            <w:pPr>
              <w:ind w:left="3080"/>
              <w:spacing w:after="0"/>
              <w:rPr>
                <w:sz w:val="20"/>
                <w:szCs w:val="20"/>
                <w:color w:val="auto"/>
              </w:rPr>
            </w:pPr>
            <w:r>
              <w:rPr>
                <w:rFonts w:ascii="Arial" w:cs="Arial" w:eastAsia="Arial" w:hAnsi="Arial"/>
                <w:sz w:val="18"/>
                <w:szCs w:val="18"/>
                <w:color w:val="auto"/>
              </w:rPr>
              <w:t>Greece</w:t>
            </w:r>
          </w:p>
        </w:tc>
      </w:tr>
      <w:tr>
        <w:trPr>
          <w:trHeight w:val="270"/>
        </w:trPr>
        <w:tc>
          <w:tcPr>
            <w:tcW w:w="4680" w:type="dxa"/>
            <w:vAlign w:val="bottom"/>
          </w:tcPr>
          <w:p>
            <w:pPr>
              <w:ind w:left="100"/>
              <w:spacing w:after="0"/>
              <w:rPr>
                <w:sz w:val="20"/>
                <w:szCs w:val="20"/>
                <w:color w:val="auto"/>
              </w:rPr>
            </w:pPr>
            <w:r>
              <w:rPr>
                <w:rFonts w:ascii="Arial" w:cs="Arial" w:eastAsia="Arial" w:hAnsi="Arial"/>
                <w:sz w:val="18"/>
                <w:szCs w:val="18"/>
                <w:color w:val="auto"/>
              </w:rPr>
              <w:t>Manpower Guam Corporation</w:t>
            </w:r>
          </w:p>
        </w:tc>
        <w:tc>
          <w:tcPr>
            <w:tcW w:w="6560" w:type="dxa"/>
            <w:vAlign w:val="bottom"/>
          </w:tcPr>
          <w:p>
            <w:pPr>
              <w:ind w:left="3080"/>
              <w:spacing w:after="0"/>
              <w:rPr>
                <w:sz w:val="20"/>
                <w:szCs w:val="20"/>
                <w:color w:val="auto"/>
              </w:rPr>
            </w:pPr>
            <w:r>
              <w:rPr>
                <w:rFonts w:ascii="Arial" w:cs="Arial" w:eastAsia="Arial" w:hAnsi="Arial"/>
                <w:sz w:val="18"/>
                <w:szCs w:val="18"/>
                <w:color w:val="auto"/>
              </w:rPr>
              <w:t>Guam</w:t>
            </w:r>
          </w:p>
        </w:tc>
      </w:tr>
      <w:tr>
        <w:trPr>
          <w:trHeight w:val="445"/>
        </w:trPr>
        <w:tc>
          <w:tcPr>
            <w:tcW w:w="4680" w:type="dxa"/>
            <w:vAlign w:val="bottom"/>
          </w:tcPr>
          <w:p>
            <w:pPr>
              <w:spacing w:after="0"/>
              <w:rPr>
                <w:sz w:val="24"/>
                <w:szCs w:val="24"/>
                <w:color w:val="auto"/>
              </w:rPr>
            </w:pPr>
          </w:p>
        </w:tc>
        <w:tc>
          <w:tcPr>
            <w:tcW w:w="6560" w:type="dxa"/>
            <w:vAlign w:val="bottom"/>
          </w:tcPr>
          <w:p>
            <w:pPr>
              <w:ind w:left="900"/>
              <w:spacing w:after="0"/>
              <w:rPr>
                <w:sz w:val="20"/>
                <w:szCs w:val="20"/>
                <w:color w:val="auto"/>
              </w:rPr>
            </w:pPr>
            <w:r>
              <w:rPr>
                <w:rFonts w:ascii="Arial" w:cs="Arial" w:eastAsia="Arial" w:hAnsi="Arial"/>
                <w:sz w:val="18"/>
                <w:szCs w:val="18"/>
                <w:color w:val="auto"/>
              </w:rPr>
              <w:t>3</w:t>
            </w:r>
          </w:p>
        </w:tc>
      </w:tr>
      <w:tr>
        <w:trPr>
          <w:trHeight w:val="101"/>
        </w:trPr>
        <w:tc>
          <w:tcPr>
            <w:tcW w:w="4680" w:type="dxa"/>
            <w:vAlign w:val="bottom"/>
            <w:tcBorders>
              <w:bottom w:val="single" w:sz="8" w:color="9A9A9A"/>
            </w:tcBorders>
          </w:tcPr>
          <w:p>
            <w:pPr>
              <w:spacing w:after="0"/>
              <w:rPr>
                <w:sz w:val="8"/>
                <w:szCs w:val="8"/>
                <w:color w:val="auto"/>
              </w:rPr>
            </w:pPr>
          </w:p>
        </w:tc>
        <w:tc>
          <w:tcPr>
            <w:tcW w:w="6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4920" w:type="dxa"/>
            <w:vAlign w:val="bottom"/>
          </w:tcPr>
          <w:p>
            <w:pPr>
              <w:ind w:left="100"/>
              <w:spacing w:after="0"/>
              <w:rPr>
                <w:sz w:val="20"/>
                <w:szCs w:val="20"/>
                <w:color w:val="auto"/>
              </w:rPr>
            </w:pPr>
            <w:r>
              <w:rPr>
                <w:rFonts w:ascii="Arial" w:cs="Arial" w:eastAsia="Arial" w:hAnsi="Arial"/>
                <w:sz w:val="18"/>
                <w:szCs w:val="18"/>
                <w:color w:val="auto"/>
              </w:rPr>
              <w:t>Manpower Professional Guatemala S.A.</w:t>
            </w:r>
          </w:p>
        </w:tc>
        <w:tc>
          <w:tcPr>
            <w:tcW w:w="6320" w:type="dxa"/>
            <w:vAlign w:val="bottom"/>
          </w:tcPr>
          <w:p>
            <w:pPr>
              <w:ind w:left="2840"/>
              <w:spacing w:after="0"/>
              <w:rPr>
                <w:sz w:val="20"/>
                <w:szCs w:val="20"/>
                <w:color w:val="auto"/>
              </w:rPr>
            </w:pPr>
            <w:r>
              <w:rPr>
                <w:rFonts w:ascii="Arial" w:cs="Arial" w:eastAsia="Arial" w:hAnsi="Arial"/>
                <w:sz w:val="18"/>
                <w:szCs w:val="18"/>
                <w:color w:val="auto"/>
              </w:rPr>
              <w:t>Guatemala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 S.A.</w:t>
            </w:r>
          </w:p>
        </w:tc>
        <w:tc>
          <w:tcPr>
            <w:tcW w:w="6320" w:type="dxa"/>
            <w:vAlign w:val="bottom"/>
          </w:tcPr>
          <w:p>
            <w:pPr>
              <w:ind w:left="2840"/>
              <w:spacing w:after="0"/>
              <w:rPr>
                <w:sz w:val="20"/>
                <w:szCs w:val="20"/>
                <w:color w:val="auto"/>
              </w:rPr>
            </w:pPr>
            <w:r>
              <w:rPr>
                <w:rFonts w:ascii="Arial" w:cs="Arial" w:eastAsia="Arial" w:hAnsi="Arial"/>
                <w:sz w:val="18"/>
                <w:szCs w:val="18"/>
                <w:color w:val="auto"/>
              </w:rPr>
              <w:t>Guatemala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 Honduras, S.A.</w:t>
            </w:r>
          </w:p>
        </w:tc>
        <w:tc>
          <w:tcPr>
            <w:tcW w:w="6320" w:type="dxa"/>
            <w:vAlign w:val="bottom"/>
          </w:tcPr>
          <w:p>
            <w:pPr>
              <w:ind w:left="2840"/>
              <w:spacing w:after="0"/>
              <w:rPr>
                <w:sz w:val="20"/>
                <w:szCs w:val="20"/>
                <w:color w:val="auto"/>
              </w:rPr>
            </w:pPr>
            <w:r>
              <w:rPr>
                <w:rFonts w:ascii="Arial" w:cs="Arial" w:eastAsia="Arial" w:hAnsi="Arial"/>
                <w:sz w:val="18"/>
                <w:szCs w:val="18"/>
                <w:color w:val="auto"/>
              </w:rPr>
              <w:t>Honduras</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Jefferson Wells HK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Hong Kong</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ManpowerGroup Solutions Holdings Hong Kong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Hong Kong</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 Business Solutions Kft</w:t>
            </w:r>
          </w:p>
        </w:tc>
        <w:tc>
          <w:tcPr>
            <w:tcW w:w="6320" w:type="dxa"/>
            <w:vAlign w:val="bottom"/>
          </w:tcPr>
          <w:p>
            <w:pPr>
              <w:ind w:left="2840"/>
              <w:spacing w:after="0"/>
              <w:rPr>
                <w:sz w:val="20"/>
                <w:szCs w:val="20"/>
                <w:color w:val="auto"/>
              </w:rPr>
            </w:pPr>
            <w:r>
              <w:rPr>
                <w:rFonts w:ascii="Arial" w:cs="Arial" w:eastAsia="Arial" w:hAnsi="Arial"/>
                <w:sz w:val="18"/>
                <w:szCs w:val="18"/>
                <w:color w:val="auto"/>
              </w:rPr>
              <w:t>Hungary</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 Munkaero Szervezesi KFT</w:t>
            </w:r>
          </w:p>
        </w:tc>
        <w:tc>
          <w:tcPr>
            <w:tcW w:w="6320" w:type="dxa"/>
            <w:vAlign w:val="bottom"/>
          </w:tcPr>
          <w:p>
            <w:pPr>
              <w:ind w:left="2840"/>
              <w:spacing w:after="0"/>
              <w:rPr>
                <w:sz w:val="20"/>
                <w:szCs w:val="20"/>
                <w:color w:val="auto"/>
              </w:rPr>
            </w:pPr>
            <w:r>
              <w:rPr>
                <w:rFonts w:ascii="Arial" w:cs="Arial" w:eastAsia="Arial" w:hAnsi="Arial"/>
                <w:sz w:val="18"/>
                <w:szCs w:val="18"/>
                <w:color w:val="auto"/>
              </w:rPr>
              <w:t>Hungary</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Excell Personnel Services, LLC</w:t>
            </w:r>
          </w:p>
        </w:tc>
        <w:tc>
          <w:tcPr>
            <w:tcW w:w="6320" w:type="dxa"/>
            <w:vAlign w:val="bottom"/>
          </w:tcPr>
          <w:p>
            <w:pPr>
              <w:ind w:left="2840"/>
              <w:spacing w:after="0"/>
              <w:rPr>
                <w:sz w:val="20"/>
                <w:szCs w:val="20"/>
                <w:color w:val="auto"/>
              </w:rPr>
            </w:pPr>
            <w:r>
              <w:rPr>
                <w:rFonts w:ascii="Arial" w:cs="Arial" w:eastAsia="Arial" w:hAnsi="Arial"/>
                <w:sz w:val="18"/>
                <w:szCs w:val="18"/>
                <w:color w:val="auto"/>
              </w:rPr>
              <w:t>IL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Geneva Technical Services, LLC</w:t>
            </w:r>
          </w:p>
        </w:tc>
        <w:tc>
          <w:tcPr>
            <w:tcW w:w="6320" w:type="dxa"/>
            <w:vAlign w:val="bottom"/>
          </w:tcPr>
          <w:p>
            <w:pPr>
              <w:ind w:left="2840"/>
              <w:spacing w:after="0"/>
              <w:rPr>
                <w:sz w:val="20"/>
                <w:szCs w:val="20"/>
                <w:color w:val="auto"/>
              </w:rPr>
            </w:pPr>
            <w:r>
              <w:rPr>
                <w:rFonts w:ascii="Arial" w:cs="Arial" w:eastAsia="Arial" w:hAnsi="Arial"/>
                <w:sz w:val="18"/>
                <w:szCs w:val="18"/>
                <w:color w:val="auto"/>
              </w:rPr>
              <w:t>IL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HG Chicago Consulting, LLC</w:t>
            </w:r>
          </w:p>
        </w:tc>
        <w:tc>
          <w:tcPr>
            <w:tcW w:w="6320" w:type="dxa"/>
            <w:vAlign w:val="bottom"/>
          </w:tcPr>
          <w:p>
            <w:pPr>
              <w:ind w:left="2840"/>
              <w:spacing w:after="0"/>
              <w:rPr>
                <w:sz w:val="20"/>
                <w:szCs w:val="20"/>
                <w:color w:val="auto"/>
              </w:rPr>
            </w:pPr>
            <w:r>
              <w:rPr>
                <w:rFonts w:ascii="Arial" w:cs="Arial" w:eastAsia="Arial" w:hAnsi="Arial"/>
                <w:sz w:val="18"/>
                <w:szCs w:val="18"/>
                <w:color w:val="auto"/>
              </w:rPr>
              <w:t>IL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RMC OF Illinois, Inc.</w:t>
            </w:r>
          </w:p>
        </w:tc>
        <w:tc>
          <w:tcPr>
            <w:tcW w:w="6320" w:type="dxa"/>
            <w:vAlign w:val="bottom"/>
          </w:tcPr>
          <w:p>
            <w:pPr>
              <w:ind w:left="2840"/>
              <w:spacing w:after="0"/>
              <w:rPr>
                <w:sz w:val="20"/>
                <w:szCs w:val="20"/>
                <w:color w:val="auto"/>
              </w:rPr>
            </w:pPr>
            <w:r>
              <w:rPr>
                <w:rFonts w:ascii="Arial" w:cs="Arial" w:eastAsia="Arial" w:hAnsi="Arial"/>
                <w:sz w:val="18"/>
                <w:szCs w:val="18"/>
                <w:color w:val="auto"/>
              </w:rPr>
              <w:t>IL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COMSYS IT India, Inc.</w:t>
            </w:r>
          </w:p>
        </w:tc>
        <w:tc>
          <w:tcPr>
            <w:tcW w:w="6320" w:type="dxa"/>
            <w:vAlign w:val="bottom"/>
          </w:tcPr>
          <w:p>
            <w:pPr>
              <w:ind w:left="2840"/>
              <w:spacing w:after="0"/>
              <w:rPr>
                <w:sz w:val="20"/>
                <w:szCs w:val="20"/>
                <w:color w:val="auto"/>
              </w:rPr>
            </w:pPr>
            <w:r>
              <w:rPr>
                <w:rFonts w:ascii="Arial" w:cs="Arial" w:eastAsia="Arial" w:hAnsi="Arial"/>
                <w:sz w:val="18"/>
                <w:szCs w:val="18"/>
                <w:color w:val="auto"/>
              </w:rPr>
              <w:t>India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Experis IT Private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India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Experis Solutions Pvt.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India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ManpowerGroup Services India Pvt.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India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Right Management India Pvt.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India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Rotostat Services Private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India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P.T. Manpower Business Solutions Indonesia</w:t>
            </w:r>
          </w:p>
        </w:tc>
        <w:tc>
          <w:tcPr>
            <w:tcW w:w="6320" w:type="dxa"/>
            <w:vAlign w:val="bottom"/>
          </w:tcPr>
          <w:p>
            <w:pPr>
              <w:ind w:left="2840"/>
              <w:spacing w:after="0"/>
              <w:rPr>
                <w:sz w:val="20"/>
                <w:szCs w:val="20"/>
                <w:color w:val="auto"/>
              </w:rPr>
            </w:pPr>
            <w:r>
              <w:rPr>
                <w:rFonts w:ascii="Arial" w:cs="Arial" w:eastAsia="Arial" w:hAnsi="Arial"/>
                <w:sz w:val="18"/>
                <w:szCs w:val="18"/>
                <w:color w:val="auto"/>
              </w:rPr>
              <w:t>Indonesia</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Experis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Ireland</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 Holdings (Ireland)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Ireland</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ManpowerGroup (Ireland)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Ireland</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Right Transition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Ireland</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Adam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Adi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Career Harmony,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Experis BI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Experis Cyber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Experis I.T.S.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Experis Software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M.F.S. Manpower Facility Services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M.G.S.M. Advanced Medical Services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 Care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 Israel Limited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ManpowerGroup Israel Holdings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ManpowerGroup Solutions Language Services</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MNPM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Nativ 2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Talent Solutions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Telepower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Unison Engineering Projects Ltd.</w:t>
            </w:r>
          </w:p>
        </w:tc>
        <w:tc>
          <w:tcPr>
            <w:tcW w:w="6320" w:type="dxa"/>
            <w:vAlign w:val="bottom"/>
          </w:tcPr>
          <w:p>
            <w:pPr>
              <w:ind w:left="2840"/>
              <w:spacing w:after="0"/>
              <w:rPr>
                <w:sz w:val="20"/>
                <w:szCs w:val="20"/>
                <w:color w:val="auto"/>
              </w:rPr>
            </w:pPr>
            <w:r>
              <w:rPr>
                <w:rFonts w:ascii="Arial" w:cs="Arial" w:eastAsia="Arial" w:hAnsi="Arial"/>
                <w:sz w:val="18"/>
                <w:szCs w:val="18"/>
                <w:color w:val="auto"/>
              </w:rPr>
              <w:t>Israel</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Experis Srl</w:t>
            </w:r>
          </w:p>
        </w:tc>
        <w:tc>
          <w:tcPr>
            <w:tcW w:w="6320" w:type="dxa"/>
            <w:vAlign w:val="bottom"/>
          </w:tcPr>
          <w:p>
            <w:pPr>
              <w:ind w:left="2840"/>
              <w:spacing w:after="0"/>
              <w:rPr>
                <w:sz w:val="20"/>
                <w:szCs w:val="20"/>
                <w:color w:val="auto"/>
              </w:rPr>
            </w:pPr>
            <w:r>
              <w:rPr>
                <w:rFonts w:ascii="Arial" w:cs="Arial" w:eastAsia="Arial" w:hAnsi="Arial"/>
                <w:sz w:val="18"/>
                <w:szCs w:val="18"/>
                <w:color w:val="auto"/>
              </w:rPr>
              <w:t>Italy</w:t>
            </w:r>
          </w:p>
        </w:tc>
      </w:tr>
      <w:tr>
        <w:trPr>
          <w:trHeight w:val="270"/>
        </w:trPr>
        <w:tc>
          <w:tcPr>
            <w:tcW w:w="4920" w:type="dxa"/>
            <w:vAlign w:val="bottom"/>
          </w:tcPr>
          <w:p>
            <w:pPr>
              <w:ind w:left="100"/>
              <w:spacing w:after="0"/>
              <w:rPr>
                <w:sz w:val="20"/>
                <w:szCs w:val="20"/>
                <w:color w:val="auto"/>
              </w:rPr>
            </w:pPr>
            <w:r>
              <w:rPr>
                <w:rFonts w:ascii="Arial" w:cs="Arial" w:eastAsia="Arial" w:hAnsi="Arial"/>
                <w:sz w:val="18"/>
                <w:szCs w:val="18"/>
                <w:color w:val="auto"/>
              </w:rPr>
              <w:t>Manpower Srl</w:t>
            </w:r>
          </w:p>
        </w:tc>
        <w:tc>
          <w:tcPr>
            <w:tcW w:w="6320" w:type="dxa"/>
            <w:vAlign w:val="bottom"/>
          </w:tcPr>
          <w:p>
            <w:pPr>
              <w:ind w:left="2840"/>
              <w:spacing w:after="0"/>
              <w:rPr>
                <w:sz w:val="20"/>
                <w:szCs w:val="20"/>
                <w:color w:val="auto"/>
              </w:rPr>
            </w:pPr>
            <w:r>
              <w:rPr>
                <w:rFonts w:ascii="Arial" w:cs="Arial" w:eastAsia="Arial" w:hAnsi="Arial"/>
                <w:sz w:val="18"/>
                <w:szCs w:val="18"/>
                <w:color w:val="auto"/>
              </w:rPr>
              <w:t>Italy</w:t>
            </w:r>
          </w:p>
        </w:tc>
      </w:tr>
      <w:tr>
        <w:trPr>
          <w:trHeight w:val="445"/>
        </w:trPr>
        <w:tc>
          <w:tcPr>
            <w:tcW w:w="4920" w:type="dxa"/>
            <w:vAlign w:val="bottom"/>
          </w:tcPr>
          <w:p>
            <w:pPr>
              <w:spacing w:after="0"/>
              <w:rPr>
                <w:sz w:val="24"/>
                <w:szCs w:val="24"/>
                <w:color w:val="auto"/>
              </w:rPr>
            </w:pPr>
          </w:p>
        </w:tc>
        <w:tc>
          <w:tcPr>
            <w:tcW w:w="6320" w:type="dxa"/>
            <w:vAlign w:val="bottom"/>
          </w:tcPr>
          <w:p>
            <w:pPr>
              <w:ind w:left="660"/>
              <w:spacing w:after="0"/>
              <w:rPr>
                <w:sz w:val="20"/>
                <w:szCs w:val="20"/>
                <w:color w:val="auto"/>
              </w:rPr>
            </w:pPr>
            <w:r>
              <w:rPr>
                <w:rFonts w:ascii="Arial" w:cs="Arial" w:eastAsia="Arial" w:hAnsi="Arial"/>
                <w:sz w:val="18"/>
                <w:szCs w:val="18"/>
                <w:color w:val="auto"/>
              </w:rPr>
              <w:t>4</w:t>
            </w:r>
          </w:p>
        </w:tc>
      </w:tr>
      <w:tr>
        <w:trPr>
          <w:trHeight w:val="101"/>
        </w:trPr>
        <w:tc>
          <w:tcPr>
            <w:tcW w:w="4920" w:type="dxa"/>
            <w:vAlign w:val="bottom"/>
            <w:tcBorders>
              <w:bottom w:val="single" w:sz="8" w:color="9A9A9A"/>
            </w:tcBorders>
          </w:tcPr>
          <w:p>
            <w:pPr>
              <w:spacing w:after="0"/>
              <w:rPr>
                <w:sz w:val="8"/>
                <w:szCs w:val="8"/>
                <w:color w:val="auto"/>
              </w:rPr>
            </w:pPr>
          </w:p>
        </w:tc>
        <w:tc>
          <w:tcPr>
            <w:tcW w:w="6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4900" w:type="dxa"/>
            <w:vAlign w:val="bottom"/>
          </w:tcPr>
          <w:p>
            <w:pPr>
              <w:ind w:left="100"/>
              <w:spacing w:after="0"/>
              <w:rPr>
                <w:sz w:val="20"/>
                <w:szCs w:val="20"/>
                <w:color w:val="auto"/>
              </w:rPr>
            </w:pPr>
            <w:r>
              <w:rPr>
                <w:rFonts w:ascii="Arial" w:cs="Arial" w:eastAsia="Arial" w:hAnsi="Arial"/>
                <w:sz w:val="18"/>
                <w:szCs w:val="18"/>
                <w:color w:val="auto"/>
              </w:rPr>
              <w:t>Manpower TBO S.r.l.</w:t>
            </w:r>
          </w:p>
        </w:tc>
        <w:tc>
          <w:tcPr>
            <w:tcW w:w="6340" w:type="dxa"/>
            <w:vAlign w:val="bottom"/>
          </w:tcPr>
          <w:p>
            <w:pPr>
              <w:ind w:left="2860"/>
              <w:spacing w:after="0"/>
              <w:rPr>
                <w:sz w:val="20"/>
                <w:szCs w:val="20"/>
                <w:color w:val="auto"/>
              </w:rPr>
            </w:pPr>
            <w:r>
              <w:rPr>
                <w:rFonts w:ascii="Arial" w:cs="Arial" w:eastAsia="Arial" w:hAnsi="Arial"/>
                <w:sz w:val="18"/>
                <w:szCs w:val="18"/>
                <w:color w:val="auto"/>
              </w:rPr>
              <w:t>Italy</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Talent Solutions s.r.l.</w:t>
            </w:r>
          </w:p>
        </w:tc>
        <w:tc>
          <w:tcPr>
            <w:tcW w:w="6340" w:type="dxa"/>
            <w:vAlign w:val="bottom"/>
          </w:tcPr>
          <w:p>
            <w:pPr>
              <w:ind w:left="2860"/>
              <w:spacing w:after="0"/>
              <w:rPr>
                <w:sz w:val="20"/>
                <w:szCs w:val="20"/>
                <w:color w:val="auto"/>
              </w:rPr>
            </w:pPr>
            <w:r>
              <w:rPr>
                <w:rFonts w:ascii="Arial" w:cs="Arial" w:eastAsia="Arial" w:hAnsi="Arial"/>
                <w:sz w:val="18"/>
                <w:szCs w:val="18"/>
                <w:color w:val="auto"/>
              </w:rPr>
              <w:t>Italy</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Experis Executive Co. Ltd.</w:t>
            </w:r>
          </w:p>
        </w:tc>
        <w:tc>
          <w:tcPr>
            <w:tcW w:w="6340" w:type="dxa"/>
            <w:vAlign w:val="bottom"/>
          </w:tcPr>
          <w:p>
            <w:pPr>
              <w:ind w:left="2860"/>
              <w:spacing w:after="0"/>
              <w:rPr>
                <w:sz w:val="20"/>
                <w:szCs w:val="20"/>
                <w:color w:val="auto"/>
              </w:rPr>
            </w:pPr>
            <w:r>
              <w:rPr>
                <w:rFonts w:ascii="Arial" w:cs="Arial" w:eastAsia="Arial" w:hAnsi="Arial"/>
                <w:sz w:val="18"/>
                <w:szCs w:val="18"/>
                <w:color w:val="auto"/>
              </w:rPr>
              <w:t>Japan</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JobSupportpower Co. Ltd.</w:t>
            </w:r>
          </w:p>
        </w:tc>
        <w:tc>
          <w:tcPr>
            <w:tcW w:w="6340" w:type="dxa"/>
            <w:vAlign w:val="bottom"/>
          </w:tcPr>
          <w:p>
            <w:pPr>
              <w:ind w:left="2860"/>
              <w:spacing w:after="0"/>
              <w:rPr>
                <w:sz w:val="20"/>
                <w:szCs w:val="20"/>
                <w:color w:val="auto"/>
              </w:rPr>
            </w:pPr>
            <w:r>
              <w:rPr>
                <w:rFonts w:ascii="Arial" w:cs="Arial" w:eastAsia="Arial" w:hAnsi="Arial"/>
                <w:sz w:val="18"/>
                <w:szCs w:val="18"/>
                <w:color w:val="auto"/>
              </w:rPr>
              <w:t>Japan</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ManpowerGroup Co. Ltd.</w:t>
            </w:r>
          </w:p>
        </w:tc>
        <w:tc>
          <w:tcPr>
            <w:tcW w:w="6340" w:type="dxa"/>
            <w:vAlign w:val="bottom"/>
          </w:tcPr>
          <w:p>
            <w:pPr>
              <w:ind w:left="2860"/>
              <w:spacing w:after="0"/>
              <w:rPr>
                <w:sz w:val="20"/>
                <w:szCs w:val="20"/>
                <w:color w:val="auto"/>
              </w:rPr>
            </w:pPr>
            <w:r>
              <w:rPr>
                <w:rFonts w:ascii="Arial" w:cs="Arial" w:eastAsia="Arial" w:hAnsi="Arial"/>
                <w:sz w:val="18"/>
                <w:szCs w:val="18"/>
                <w:color w:val="auto"/>
              </w:rPr>
              <w:t>Japan</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Pro-Hunt Co., Ltd.</w:t>
            </w:r>
          </w:p>
        </w:tc>
        <w:tc>
          <w:tcPr>
            <w:tcW w:w="6340" w:type="dxa"/>
            <w:vAlign w:val="bottom"/>
          </w:tcPr>
          <w:p>
            <w:pPr>
              <w:ind w:left="2860"/>
              <w:spacing w:after="0"/>
              <w:rPr>
                <w:sz w:val="20"/>
                <w:szCs w:val="20"/>
                <w:color w:val="auto"/>
              </w:rPr>
            </w:pPr>
            <w:r>
              <w:rPr>
                <w:rFonts w:ascii="Arial" w:cs="Arial" w:eastAsia="Arial" w:hAnsi="Arial"/>
                <w:sz w:val="18"/>
                <w:szCs w:val="18"/>
                <w:color w:val="auto"/>
              </w:rPr>
              <w:t>Japan</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Kaz LLC</w:t>
            </w:r>
          </w:p>
        </w:tc>
        <w:tc>
          <w:tcPr>
            <w:tcW w:w="6340" w:type="dxa"/>
            <w:vAlign w:val="bottom"/>
          </w:tcPr>
          <w:p>
            <w:pPr>
              <w:ind w:left="2860"/>
              <w:spacing w:after="0"/>
              <w:rPr>
                <w:sz w:val="20"/>
                <w:szCs w:val="20"/>
                <w:color w:val="auto"/>
              </w:rPr>
            </w:pPr>
            <w:r>
              <w:rPr>
                <w:rFonts w:ascii="Arial" w:cs="Arial" w:eastAsia="Arial" w:hAnsi="Arial"/>
                <w:sz w:val="18"/>
                <w:szCs w:val="18"/>
                <w:color w:val="auto"/>
              </w:rPr>
              <w:t>Kazakhstan</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Korea, Inc.</w:t>
            </w:r>
          </w:p>
        </w:tc>
        <w:tc>
          <w:tcPr>
            <w:tcW w:w="6340" w:type="dxa"/>
            <w:vAlign w:val="bottom"/>
          </w:tcPr>
          <w:p>
            <w:pPr>
              <w:ind w:left="2860"/>
              <w:spacing w:after="0"/>
              <w:rPr>
                <w:sz w:val="20"/>
                <w:szCs w:val="20"/>
                <w:color w:val="auto"/>
              </w:rPr>
            </w:pPr>
            <w:r>
              <w:rPr>
                <w:rFonts w:ascii="Arial" w:cs="Arial" w:eastAsia="Arial" w:hAnsi="Arial"/>
                <w:sz w:val="18"/>
                <w:szCs w:val="18"/>
                <w:color w:val="auto"/>
              </w:rPr>
              <w:t>Korea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Logis Inc.</w:t>
            </w:r>
          </w:p>
        </w:tc>
        <w:tc>
          <w:tcPr>
            <w:tcW w:w="6340" w:type="dxa"/>
            <w:vAlign w:val="bottom"/>
          </w:tcPr>
          <w:p>
            <w:pPr>
              <w:ind w:left="2860"/>
              <w:spacing w:after="0"/>
              <w:rPr>
                <w:sz w:val="20"/>
                <w:szCs w:val="20"/>
                <w:color w:val="auto"/>
              </w:rPr>
            </w:pPr>
            <w:r>
              <w:rPr>
                <w:rFonts w:ascii="Arial" w:cs="Arial" w:eastAsia="Arial" w:hAnsi="Arial"/>
                <w:sz w:val="18"/>
                <w:szCs w:val="18"/>
                <w:color w:val="auto"/>
              </w:rPr>
              <w:t>Korea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ManpowerGroup Korea, Inc.</w:t>
            </w:r>
          </w:p>
        </w:tc>
        <w:tc>
          <w:tcPr>
            <w:tcW w:w="6340" w:type="dxa"/>
            <w:vAlign w:val="bottom"/>
          </w:tcPr>
          <w:p>
            <w:pPr>
              <w:ind w:left="2860"/>
              <w:spacing w:after="0"/>
              <w:rPr>
                <w:sz w:val="20"/>
                <w:szCs w:val="20"/>
                <w:color w:val="auto"/>
              </w:rPr>
            </w:pPr>
            <w:r>
              <w:rPr>
                <w:rFonts w:ascii="Arial" w:cs="Arial" w:eastAsia="Arial" w:hAnsi="Arial"/>
                <w:sz w:val="18"/>
                <w:szCs w:val="18"/>
                <w:color w:val="auto"/>
              </w:rPr>
              <w:t>Korea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Right Management Korea Co. Ltd.</w:t>
            </w:r>
          </w:p>
        </w:tc>
        <w:tc>
          <w:tcPr>
            <w:tcW w:w="6340" w:type="dxa"/>
            <w:vAlign w:val="bottom"/>
          </w:tcPr>
          <w:p>
            <w:pPr>
              <w:ind w:left="2860"/>
              <w:spacing w:after="0"/>
              <w:rPr>
                <w:sz w:val="20"/>
                <w:szCs w:val="20"/>
                <w:color w:val="auto"/>
              </w:rPr>
            </w:pPr>
            <w:r>
              <w:rPr>
                <w:rFonts w:ascii="Arial" w:cs="Arial" w:eastAsia="Arial" w:hAnsi="Arial"/>
                <w:sz w:val="18"/>
                <w:szCs w:val="18"/>
                <w:color w:val="auto"/>
              </w:rPr>
              <w:t>Korea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Representative Office of UAB "Manpower Lit" in Latvia</w:t>
            </w:r>
          </w:p>
        </w:tc>
        <w:tc>
          <w:tcPr>
            <w:tcW w:w="6340" w:type="dxa"/>
            <w:vAlign w:val="bottom"/>
          </w:tcPr>
          <w:p>
            <w:pPr>
              <w:ind w:left="2860"/>
              <w:spacing w:after="0"/>
              <w:rPr>
                <w:sz w:val="20"/>
                <w:szCs w:val="20"/>
                <w:color w:val="auto"/>
              </w:rPr>
            </w:pPr>
            <w:r>
              <w:rPr>
                <w:rFonts w:ascii="Arial" w:cs="Arial" w:eastAsia="Arial" w:hAnsi="Arial"/>
                <w:sz w:val="18"/>
                <w:szCs w:val="18"/>
                <w:color w:val="auto"/>
              </w:rPr>
              <w:t>Latvia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Lit UAB</w:t>
            </w:r>
          </w:p>
        </w:tc>
        <w:tc>
          <w:tcPr>
            <w:tcW w:w="6340" w:type="dxa"/>
            <w:vAlign w:val="bottom"/>
          </w:tcPr>
          <w:p>
            <w:pPr>
              <w:ind w:left="2860"/>
              <w:spacing w:after="0"/>
              <w:rPr>
                <w:sz w:val="20"/>
                <w:szCs w:val="20"/>
                <w:color w:val="auto"/>
              </w:rPr>
            </w:pPr>
            <w:r>
              <w:rPr>
                <w:rFonts w:ascii="Arial" w:cs="Arial" w:eastAsia="Arial" w:hAnsi="Arial"/>
                <w:sz w:val="18"/>
                <w:szCs w:val="18"/>
                <w:color w:val="auto"/>
              </w:rPr>
              <w:t>Lithuania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Elan IT Resource S.a.r.l.</w:t>
            </w:r>
          </w:p>
        </w:tc>
        <w:tc>
          <w:tcPr>
            <w:tcW w:w="6340" w:type="dxa"/>
            <w:vAlign w:val="bottom"/>
          </w:tcPr>
          <w:p>
            <w:pPr>
              <w:ind w:left="2860"/>
              <w:spacing w:after="0"/>
              <w:rPr>
                <w:sz w:val="20"/>
                <w:szCs w:val="20"/>
                <w:color w:val="auto"/>
              </w:rPr>
            </w:pPr>
            <w:r>
              <w:rPr>
                <w:rFonts w:ascii="Arial" w:cs="Arial" w:eastAsia="Arial" w:hAnsi="Arial"/>
                <w:sz w:val="18"/>
                <w:szCs w:val="18"/>
                <w:color w:val="auto"/>
              </w:rPr>
              <w:t>Luxembourg</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Business Solutions Luxembourg S.A.</w:t>
            </w:r>
          </w:p>
        </w:tc>
        <w:tc>
          <w:tcPr>
            <w:tcW w:w="6340" w:type="dxa"/>
            <w:vAlign w:val="bottom"/>
          </w:tcPr>
          <w:p>
            <w:pPr>
              <w:ind w:left="2860"/>
              <w:spacing w:after="0"/>
              <w:rPr>
                <w:sz w:val="20"/>
                <w:szCs w:val="20"/>
                <w:color w:val="auto"/>
              </w:rPr>
            </w:pPr>
            <w:r>
              <w:rPr>
                <w:rFonts w:ascii="Arial" w:cs="Arial" w:eastAsia="Arial" w:hAnsi="Arial"/>
                <w:sz w:val="18"/>
                <w:szCs w:val="18"/>
                <w:color w:val="auto"/>
              </w:rPr>
              <w:t>Luxembourg</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Luxembourg S.A.</w:t>
            </w:r>
          </w:p>
        </w:tc>
        <w:tc>
          <w:tcPr>
            <w:tcW w:w="6340" w:type="dxa"/>
            <w:vAlign w:val="bottom"/>
          </w:tcPr>
          <w:p>
            <w:pPr>
              <w:ind w:left="2860"/>
              <w:spacing w:after="0"/>
              <w:rPr>
                <w:sz w:val="20"/>
                <w:szCs w:val="20"/>
                <w:color w:val="auto"/>
              </w:rPr>
            </w:pPr>
            <w:r>
              <w:rPr>
                <w:rFonts w:ascii="Arial" w:cs="Arial" w:eastAsia="Arial" w:hAnsi="Arial"/>
                <w:sz w:val="18"/>
                <w:szCs w:val="18"/>
                <w:color w:val="auto"/>
              </w:rPr>
              <w:t>Luxembourg</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Centerline Partners LLC</w:t>
            </w:r>
          </w:p>
        </w:tc>
        <w:tc>
          <w:tcPr>
            <w:tcW w:w="6340" w:type="dxa"/>
            <w:vAlign w:val="bottom"/>
          </w:tcPr>
          <w:p>
            <w:pPr>
              <w:ind w:left="2860"/>
              <w:spacing w:after="0"/>
              <w:rPr>
                <w:sz w:val="20"/>
                <w:szCs w:val="20"/>
                <w:color w:val="auto"/>
              </w:rPr>
            </w:pPr>
            <w:r>
              <w:rPr>
                <w:rFonts w:ascii="Arial" w:cs="Arial" w:eastAsia="Arial" w:hAnsi="Arial"/>
                <w:sz w:val="18"/>
                <w:szCs w:val="18"/>
                <w:color w:val="auto"/>
              </w:rPr>
              <w:t>MA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Agensi Pekerjaan Manpower Recruitment Sdn Bhd</w:t>
            </w:r>
          </w:p>
        </w:tc>
        <w:tc>
          <w:tcPr>
            <w:tcW w:w="6340" w:type="dxa"/>
            <w:vAlign w:val="bottom"/>
          </w:tcPr>
          <w:p>
            <w:pPr>
              <w:ind w:left="2860"/>
              <w:spacing w:after="0"/>
              <w:rPr>
                <w:sz w:val="20"/>
                <w:szCs w:val="20"/>
                <w:color w:val="auto"/>
              </w:rPr>
            </w:pPr>
            <w:r>
              <w:rPr>
                <w:rFonts w:ascii="Arial" w:cs="Arial" w:eastAsia="Arial" w:hAnsi="Arial"/>
                <w:sz w:val="18"/>
                <w:szCs w:val="18"/>
                <w:color w:val="auto"/>
              </w:rPr>
              <w:t>Malaysia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Experis (M) Sdn Bhd</w:t>
            </w:r>
          </w:p>
        </w:tc>
        <w:tc>
          <w:tcPr>
            <w:tcW w:w="6340" w:type="dxa"/>
            <w:vAlign w:val="bottom"/>
          </w:tcPr>
          <w:p>
            <w:pPr>
              <w:ind w:left="2860"/>
              <w:spacing w:after="0"/>
              <w:rPr>
                <w:sz w:val="20"/>
                <w:szCs w:val="20"/>
                <w:color w:val="auto"/>
              </w:rPr>
            </w:pPr>
            <w:r>
              <w:rPr>
                <w:rFonts w:ascii="Arial" w:cs="Arial" w:eastAsia="Arial" w:hAnsi="Arial"/>
                <w:sz w:val="18"/>
                <w:szCs w:val="18"/>
                <w:color w:val="auto"/>
              </w:rPr>
              <w:t>Malaysia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Business Solutions (M) Sdn Bhd</w:t>
            </w:r>
          </w:p>
        </w:tc>
        <w:tc>
          <w:tcPr>
            <w:tcW w:w="6340" w:type="dxa"/>
            <w:vAlign w:val="bottom"/>
          </w:tcPr>
          <w:p>
            <w:pPr>
              <w:ind w:left="2860"/>
              <w:spacing w:after="0"/>
              <w:rPr>
                <w:sz w:val="20"/>
                <w:szCs w:val="20"/>
                <w:color w:val="auto"/>
              </w:rPr>
            </w:pPr>
            <w:r>
              <w:rPr>
                <w:rFonts w:ascii="Arial" w:cs="Arial" w:eastAsia="Arial" w:hAnsi="Arial"/>
                <w:sz w:val="18"/>
                <w:szCs w:val="18"/>
                <w:color w:val="auto"/>
              </w:rPr>
              <w:t>Malaysia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Staffing Services (Malaysia) Sdn Bhd</w:t>
            </w:r>
          </w:p>
        </w:tc>
        <w:tc>
          <w:tcPr>
            <w:tcW w:w="6340" w:type="dxa"/>
            <w:vAlign w:val="bottom"/>
          </w:tcPr>
          <w:p>
            <w:pPr>
              <w:ind w:left="2860"/>
              <w:spacing w:after="0"/>
              <w:rPr>
                <w:sz w:val="20"/>
                <w:szCs w:val="20"/>
                <w:color w:val="auto"/>
              </w:rPr>
            </w:pPr>
            <w:r>
              <w:rPr>
                <w:rFonts w:ascii="Arial" w:cs="Arial" w:eastAsia="Arial" w:hAnsi="Arial"/>
                <w:sz w:val="18"/>
                <w:szCs w:val="18"/>
                <w:color w:val="auto"/>
              </w:rPr>
              <w:t>Malaysia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Pancaran Pertiwi Sdn Bhd</w:t>
            </w:r>
          </w:p>
        </w:tc>
        <w:tc>
          <w:tcPr>
            <w:tcW w:w="6340" w:type="dxa"/>
            <w:vAlign w:val="bottom"/>
          </w:tcPr>
          <w:p>
            <w:pPr>
              <w:ind w:left="2860"/>
              <w:spacing w:after="0"/>
              <w:rPr>
                <w:sz w:val="20"/>
                <w:szCs w:val="20"/>
                <w:color w:val="auto"/>
              </w:rPr>
            </w:pPr>
            <w:r>
              <w:rPr>
                <w:rFonts w:ascii="Arial" w:cs="Arial" w:eastAsia="Arial" w:hAnsi="Arial"/>
                <w:sz w:val="18"/>
                <w:szCs w:val="18"/>
                <w:color w:val="auto"/>
              </w:rPr>
              <w:t>Malaysia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Right Management (Malaysia) Sdn Bhd</w:t>
            </w:r>
          </w:p>
        </w:tc>
        <w:tc>
          <w:tcPr>
            <w:tcW w:w="6340" w:type="dxa"/>
            <w:vAlign w:val="bottom"/>
          </w:tcPr>
          <w:p>
            <w:pPr>
              <w:ind w:left="2860"/>
              <w:spacing w:after="0"/>
              <w:rPr>
                <w:sz w:val="20"/>
                <w:szCs w:val="20"/>
                <w:color w:val="auto"/>
              </w:rPr>
            </w:pPr>
            <w:r>
              <w:rPr>
                <w:rFonts w:ascii="Arial" w:cs="Arial" w:eastAsia="Arial" w:hAnsi="Arial"/>
                <w:sz w:val="18"/>
                <w:szCs w:val="18"/>
                <w:color w:val="auto"/>
              </w:rPr>
              <w:t>Malaysia</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Agropower,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Business Logistics Managers,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Experis Mexico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Experts Business Transportation,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Factoria Y Manufactura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Innovacion Tecnologia Smart,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Innovation Administrative Process,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Innovative Food Process,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Innovative Industrial Assembly,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Intelecto Tecnologico,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Corporativo,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Industrial, S. de R.L.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Professional,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Manpower,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Nurse.Co de Mexico,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Payment Services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Right Management Mexico,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Smart Administracion y Soporte,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270"/>
        </w:trPr>
        <w:tc>
          <w:tcPr>
            <w:tcW w:w="4900" w:type="dxa"/>
            <w:vAlign w:val="bottom"/>
          </w:tcPr>
          <w:p>
            <w:pPr>
              <w:ind w:left="100"/>
              <w:spacing w:after="0"/>
              <w:rPr>
                <w:sz w:val="20"/>
                <w:szCs w:val="20"/>
                <w:color w:val="auto"/>
              </w:rPr>
            </w:pPr>
            <w:r>
              <w:rPr>
                <w:rFonts w:ascii="Arial" w:cs="Arial" w:eastAsia="Arial" w:hAnsi="Arial"/>
                <w:sz w:val="18"/>
                <w:szCs w:val="18"/>
                <w:color w:val="auto"/>
              </w:rPr>
              <w:t>Tecnologia Y Manufactura, S.A. de C.V.</w:t>
            </w:r>
          </w:p>
        </w:tc>
        <w:tc>
          <w:tcPr>
            <w:tcW w:w="6340" w:type="dxa"/>
            <w:vAlign w:val="bottom"/>
          </w:tcPr>
          <w:p>
            <w:pPr>
              <w:ind w:left="2860"/>
              <w:spacing w:after="0"/>
              <w:rPr>
                <w:sz w:val="20"/>
                <w:szCs w:val="20"/>
                <w:color w:val="auto"/>
              </w:rPr>
            </w:pPr>
            <w:r>
              <w:rPr>
                <w:rFonts w:ascii="Arial" w:cs="Arial" w:eastAsia="Arial" w:hAnsi="Arial"/>
                <w:sz w:val="18"/>
                <w:szCs w:val="18"/>
                <w:color w:val="auto"/>
              </w:rPr>
              <w:t>Mexico</w:t>
            </w:r>
          </w:p>
        </w:tc>
      </w:tr>
      <w:tr>
        <w:trPr>
          <w:trHeight w:val="445"/>
        </w:trPr>
        <w:tc>
          <w:tcPr>
            <w:tcW w:w="4900" w:type="dxa"/>
            <w:vAlign w:val="bottom"/>
          </w:tcPr>
          <w:p>
            <w:pPr>
              <w:spacing w:after="0"/>
              <w:rPr>
                <w:sz w:val="24"/>
                <w:szCs w:val="24"/>
                <w:color w:val="auto"/>
              </w:rPr>
            </w:pPr>
          </w:p>
        </w:tc>
        <w:tc>
          <w:tcPr>
            <w:tcW w:w="6340" w:type="dxa"/>
            <w:vAlign w:val="bottom"/>
          </w:tcPr>
          <w:p>
            <w:pPr>
              <w:ind w:left="680"/>
              <w:spacing w:after="0"/>
              <w:rPr>
                <w:sz w:val="20"/>
                <w:szCs w:val="20"/>
                <w:color w:val="auto"/>
              </w:rPr>
            </w:pPr>
            <w:r>
              <w:rPr>
                <w:rFonts w:ascii="Arial" w:cs="Arial" w:eastAsia="Arial" w:hAnsi="Arial"/>
                <w:sz w:val="18"/>
                <w:szCs w:val="18"/>
                <w:color w:val="auto"/>
              </w:rPr>
              <w:t>5</w:t>
            </w:r>
          </w:p>
        </w:tc>
      </w:tr>
      <w:tr>
        <w:trPr>
          <w:trHeight w:val="101"/>
        </w:trPr>
        <w:tc>
          <w:tcPr>
            <w:tcW w:w="4900" w:type="dxa"/>
            <w:vAlign w:val="bottom"/>
            <w:tcBorders>
              <w:bottom w:val="single" w:sz="8" w:color="9A9A9A"/>
            </w:tcBorders>
          </w:tcPr>
          <w:p>
            <w:pPr>
              <w:spacing w:after="0"/>
              <w:rPr>
                <w:sz w:val="8"/>
                <w:szCs w:val="8"/>
                <w:color w:val="auto"/>
              </w:rPr>
            </w:pPr>
          </w:p>
        </w:tc>
        <w:tc>
          <w:tcPr>
            <w:tcW w:w="6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4400" w:type="dxa"/>
            <w:vAlign w:val="bottom"/>
          </w:tcPr>
          <w:p>
            <w:pPr>
              <w:ind w:left="100"/>
              <w:spacing w:after="0"/>
              <w:rPr>
                <w:sz w:val="20"/>
                <w:szCs w:val="20"/>
                <w:color w:val="auto"/>
              </w:rPr>
            </w:pPr>
            <w:r>
              <w:rPr>
                <w:rFonts w:ascii="Arial" w:cs="Arial" w:eastAsia="Arial" w:hAnsi="Arial"/>
                <w:sz w:val="18"/>
                <w:szCs w:val="18"/>
                <w:color w:val="auto"/>
              </w:rPr>
              <w:t>Tupromotoria, S.A. de C.V.</w:t>
            </w:r>
          </w:p>
        </w:tc>
        <w:tc>
          <w:tcPr>
            <w:tcW w:w="6840" w:type="dxa"/>
            <w:vAlign w:val="bottom"/>
          </w:tcPr>
          <w:p>
            <w:pPr>
              <w:ind w:left="3360"/>
              <w:spacing w:after="0"/>
              <w:rPr>
                <w:sz w:val="20"/>
                <w:szCs w:val="20"/>
                <w:color w:val="auto"/>
              </w:rPr>
            </w:pPr>
            <w:r>
              <w:rPr>
                <w:rFonts w:ascii="Arial" w:cs="Arial" w:eastAsia="Arial" w:hAnsi="Arial"/>
                <w:sz w:val="18"/>
                <w:szCs w:val="18"/>
                <w:color w:val="auto"/>
              </w:rPr>
              <w:t>Mexico</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HG Atlanta Consulting, LLC</w:t>
            </w:r>
          </w:p>
        </w:tc>
        <w:tc>
          <w:tcPr>
            <w:tcW w:w="6840" w:type="dxa"/>
            <w:vAlign w:val="bottom"/>
          </w:tcPr>
          <w:p>
            <w:pPr>
              <w:ind w:left="3360"/>
              <w:spacing w:after="0"/>
              <w:rPr>
                <w:sz w:val="20"/>
                <w:szCs w:val="20"/>
                <w:color w:val="auto"/>
              </w:rPr>
            </w:pPr>
            <w:r>
              <w:rPr>
                <w:rFonts w:ascii="Arial" w:cs="Arial" w:eastAsia="Arial" w:hAnsi="Arial"/>
                <w:sz w:val="18"/>
                <w:szCs w:val="18"/>
                <w:color w:val="auto"/>
              </w:rPr>
              <w:t>MI</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HG Dallas Consulting, LLC</w:t>
            </w:r>
          </w:p>
        </w:tc>
        <w:tc>
          <w:tcPr>
            <w:tcW w:w="6840" w:type="dxa"/>
            <w:vAlign w:val="bottom"/>
          </w:tcPr>
          <w:p>
            <w:pPr>
              <w:ind w:left="3360"/>
              <w:spacing w:after="0"/>
              <w:rPr>
                <w:sz w:val="20"/>
                <w:szCs w:val="20"/>
                <w:color w:val="auto"/>
              </w:rPr>
            </w:pPr>
            <w:r>
              <w:rPr>
                <w:rFonts w:ascii="Arial" w:cs="Arial" w:eastAsia="Arial" w:hAnsi="Arial"/>
                <w:sz w:val="18"/>
                <w:szCs w:val="18"/>
                <w:color w:val="auto"/>
              </w:rPr>
              <w:t>MI</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HG Detroit Consulting, LLC</w:t>
            </w:r>
          </w:p>
        </w:tc>
        <w:tc>
          <w:tcPr>
            <w:tcW w:w="6840" w:type="dxa"/>
            <w:vAlign w:val="bottom"/>
          </w:tcPr>
          <w:p>
            <w:pPr>
              <w:ind w:left="3360"/>
              <w:spacing w:after="0"/>
              <w:rPr>
                <w:sz w:val="20"/>
                <w:szCs w:val="20"/>
                <w:color w:val="auto"/>
              </w:rPr>
            </w:pPr>
            <w:r>
              <w:rPr>
                <w:rFonts w:ascii="Arial" w:cs="Arial" w:eastAsia="Arial" w:hAnsi="Arial"/>
                <w:sz w:val="18"/>
                <w:szCs w:val="18"/>
                <w:color w:val="auto"/>
              </w:rPr>
              <w:t>MI</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Bradford &amp; Galt</w:t>
            </w:r>
          </w:p>
        </w:tc>
        <w:tc>
          <w:tcPr>
            <w:tcW w:w="6840" w:type="dxa"/>
            <w:vAlign w:val="bottom"/>
          </w:tcPr>
          <w:p>
            <w:pPr>
              <w:ind w:left="3360"/>
              <w:spacing w:after="0"/>
              <w:rPr>
                <w:sz w:val="20"/>
                <w:szCs w:val="20"/>
                <w:color w:val="auto"/>
              </w:rPr>
            </w:pPr>
            <w:r>
              <w:rPr>
                <w:rFonts w:ascii="Arial" w:cs="Arial" w:eastAsia="Arial" w:hAnsi="Arial"/>
                <w:sz w:val="18"/>
                <w:szCs w:val="18"/>
                <w:color w:val="auto"/>
              </w:rPr>
              <w:t>MO</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Monaco SAM</w:t>
            </w:r>
          </w:p>
        </w:tc>
        <w:tc>
          <w:tcPr>
            <w:tcW w:w="6840" w:type="dxa"/>
            <w:vAlign w:val="bottom"/>
          </w:tcPr>
          <w:p>
            <w:pPr>
              <w:ind w:left="3360"/>
              <w:spacing w:after="0"/>
              <w:rPr>
                <w:sz w:val="20"/>
                <w:szCs w:val="20"/>
                <w:color w:val="auto"/>
              </w:rPr>
            </w:pPr>
            <w:r>
              <w:rPr>
                <w:rFonts w:ascii="Arial" w:cs="Arial" w:eastAsia="Arial" w:hAnsi="Arial"/>
                <w:sz w:val="18"/>
                <w:szCs w:val="18"/>
                <w:color w:val="auto"/>
              </w:rPr>
              <w:t>Monaco</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Management Business Services Maroc Sarl</w:t>
            </w:r>
          </w:p>
        </w:tc>
        <w:tc>
          <w:tcPr>
            <w:tcW w:w="6840" w:type="dxa"/>
            <w:vAlign w:val="bottom"/>
          </w:tcPr>
          <w:p>
            <w:pPr>
              <w:ind w:left="3360"/>
              <w:spacing w:after="0"/>
              <w:rPr>
                <w:sz w:val="20"/>
                <w:szCs w:val="20"/>
                <w:color w:val="auto"/>
              </w:rPr>
            </w:pPr>
            <w:r>
              <w:rPr>
                <w:rFonts w:ascii="Arial" w:cs="Arial" w:eastAsia="Arial" w:hAnsi="Arial"/>
                <w:sz w:val="18"/>
                <w:szCs w:val="18"/>
                <w:color w:val="auto"/>
              </w:rPr>
              <w:t>Morocco</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MBSM S.A.R.L.A.U.</w:t>
            </w:r>
          </w:p>
        </w:tc>
        <w:tc>
          <w:tcPr>
            <w:tcW w:w="6840" w:type="dxa"/>
            <w:vAlign w:val="bottom"/>
          </w:tcPr>
          <w:p>
            <w:pPr>
              <w:ind w:left="3360"/>
              <w:spacing w:after="0"/>
              <w:rPr>
                <w:sz w:val="20"/>
                <w:szCs w:val="20"/>
                <w:color w:val="auto"/>
              </w:rPr>
            </w:pPr>
            <w:r>
              <w:rPr>
                <w:rFonts w:ascii="Arial" w:cs="Arial" w:eastAsia="Arial" w:hAnsi="Arial"/>
                <w:sz w:val="18"/>
                <w:szCs w:val="18"/>
                <w:color w:val="auto"/>
              </w:rPr>
              <w:t>Morocco</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Societe Marocaine De Travail Temporaire</w:t>
            </w:r>
          </w:p>
        </w:tc>
        <w:tc>
          <w:tcPr>
            <w:tcW w:w="6840" w:type="dxa"/>
            <w:vAlign w:val="bottom"/>
          </w:tcPr>
          <w:p>
            <w:pPr>
              <w:ind w:left="3360"/>
              <w:spacing w:after="0"/>
              <w:rPr>
                <w:sz w:val="20"/>
                <w:szCs w:val="20"/>
                <w:color w:val="auto"/>
              </w:rPr>
            </w:pPr>
            <w:r>
              <w:rPr>
                <w:rFonts w:ascii="Arial" w:cs="Arial" w:eastAsia="Arial" w:hAnsi="Arial"/>
                <w:sz w:val="18"/>
                <w:szCs w:val="18"/>
                <w:color w:val="auto"/>
              </w:rPr>
              <w:t>Morocco</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ettain group, LLC</w:t>
            </w:r>
          </w:p>
        </w:tc>
        <w:tc>
          <w:tcPr>
            <w:tcW w:w="6840" w:type="dxa"/>
            <w:vAlign w:val="bottom"/>
          </w:tcPr>
          <w:p>
            <w:pPr>
              <w:ind w:left="3360"/>
              <w:spacing w:after="0"/>
              <w:rPr>
                <w:sz w:val="20"/>
                <w:szCs w:val="20"/>
                <w:color w:val="auto"/>
              </w:rPr>
            </w:pPr>
            <w:r>
              <w:rPr>
                <w:rFonts w:ascii="Arial" w:cs="Arial" w:eastAsia="Arial" w:hAnsi="Arial"/>
                <w:sz w:val="18"/>
                <w:szCs w:val="18"/>
                <w:color w:val="auto"/>
              </w:rPr>
              <w:t>NC</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Experis Ciber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Experis Staff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iSense &amp; …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iSense Beheer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iSense Consulting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iSense Contract Beheer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Jefferson Wells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Business Services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Flexibility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Flexwork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Logistics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Solutions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Talent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Talentworkers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ManpowerGroup Netherlands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ManpowerGroup Solutions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ManpowerGroup Staff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Peak Holding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Peak IT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Right Management Nederland B.V.</w:t>
            </w:r>
          </w:p>
        </w:tc>
        <w:tc>
          <w:tcPr>
            <w:tcW w:w="6840" w:type="dxa"/>
            <w:vAlign w:val="bottom"/>
          </w:tcPr>
          <w:p>
            <w:pPr>
              <w:ind w:left="3360"/>
              <w:spacing w:after="0"/>
              <w:rPr>
                <w:sz w:val="20"/>
                <w:szCs w:val="20"/>
                <w:color w:val="auto"/>
              </w:rPr>
            </w:pPr>
            <w:r>
              <w:rPr>
                <w:rFonts w:ascii="Arial" w:cs="Arial" w:eastAsia="Arial" w:hAnsi="Arial"/>
                <w:sz w:val="18"/>
                <w:szCs w:val="18"/>
                <w:color w:val="auto"/>
              </w:rPr>
              <w:t>Netherlands</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Nouvelle Caledonie Sarl</w:t>
            </w:r>
          </w:p>
        </w:tc>
        <w:tc>
          <w:tcPr>
            <w:tcW w:w="6840" w:type="dxa"/>
            <w:vAlign w:val="bottom"/>
          </w:tcPr>
          <w:p>
            <w:pPr>
              <w:ind w:left="3360"/>
              <w:spacing w:after="0"/>
              <w:rPr>
                <w:sz w:val="20"/>
                <w:szCs w:val="20"/>
                <w:color w:val="auto"/>
              </w:rPr>
            </w:pPr>
            <w:r>
              <w:rPr>
                <w:rFonts w:ascii="Arial" w:cs="Arial" w:eastAsia="Arial" w:hAnsi="Arial"/>
                <w:sz w:val="18"/>
                <w:szCs w:val="18"/>
                <w:color w:val="auto"/>
              </w:rPr>
              <w:t>New Caledonia</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Recrutement Sarl</w:t>
            </w:r>
          </w:p>
        </w:tc>
        <w:tc>
          <w:tcPr>
            <w:tcW w:w="6840" w:type="dxa"/>
            <w:vAlign w:val="bottom"/>
          </w:tcPr>
          <w:p>
            <w:pPr>
              <w:ind w:left="3360"/>
              <w:spacing w:after="0"/>
              <w:rPr>
                <w:sz w:val="20"/>
                <w:szCs w:val="20"/>
                <w:color w:val="auto"/>
              </w:rPr>
            </w:pPr>
            <w:r>
              <w:rPr>
                <w:rFonts w:ascii="Arial" w:cs="Arial" w:eastAsia="Arial" w:hAnsi="Arial"/>
                <w:sz w:val="18"/>
                <w:szCs w:val="18"/>
                <w:color w:val="auto"/>
              </w:rPr>
              <w:t>New Caledonia</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Nicaruagua S.A.</w:t>
            </w:r>
          </w:p>
        </w:tc>
        <w:tc>
          <w:tcPr>
            <w:tcW w:w="6840" w:type="dxa"/>
            <w:vAlign w:val="bottom"/>
          </w:tcPr>
          <w:p>
            <w:pPr>
              <w:ind w:left="3360"/>
              <w:spacing w:after="0"/>
              <w:rPr>
                <w:sz w:val="20"/>
                <w:szCs w:val="20"/>
                <w:color w:val="auto"/>
              </w:rPr>
            </w:pPr>
            <w:r>
              <w:rPr>
                <w:rFonts w:ascii="Arial" w:cs="Arial" w:eastAsia="Arial" w:hAnsi="Arial"/>
                <w:sz w:val="18"/>
                <w:szCs w:val="18"/>
                <w:color w:val="auto"/>
              </w:rPr>
              <w:t>Nicaragua</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Experis AS</w:t>
            </w:r>
          </w:p>
        </w:tc>
        <w:tc>
          <w:tcPr>
            <w:tcW w:w="6840" w:type="dxa"/>
            <w:vAlign w:val="bottom"/>
          </w:tcPr>
          <w:p>
            <w:pPr>
              <w:ind w:left="3360"/>
              <w:spacing w:after="0"/>
              <w:rPr>
                <w:sz w:val="20"/>
                <w:szCs w:val="20"/>
                <w:color w:val="auto"/>
              </w:rPr>
            </w:pPr>
            <w:r>
              <w:rPr>
                <w:rFonts w:ascii="Arial" w:cs="Arial" w:eastAsia="Arial" w:hAnsi="Arial"/>
                <w:sz w:val="18"/>
                <w:szCs w:val="18"/>
                <w:color w:val="auto"/>
              </w:rPr>
              <w:t>Norway</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Experis Services AS</w:t>
            </w:r>
          </w:p>
        </w:tc>
        <w:tc>
          <w:tcPr>
            <w:tcW w:w="6840" w:type="dxa"/>
            <w:vAlign w:val="bottom"/>
          </w:tcPr>
          <w:p>
            <w:pPr>
              <w:ind w:left="3360"/>
              <w:spacing w:after="0"/>
              <w:rPr>
                <w:sz w:val="20"/>
                <w:szCs w:val="20"/>
                <w:color w:val="auto"/>
              </w:rPr>
            </w:pPr>
            <w:r>
              <w:rPr>
                <w:rFonts w:ascii="Arial" w:cs="Arial" w:eastAsia="Arial" w:hAnsi="Arial"/>
                <w:sz w:val="18"/>
                <w:szCs w:val="18"/>
                <w:color w:val="auto"/>
              </w:rPr>
              <w:t>Norway</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Framnaes Installajon A/S</w:t>
            </w:r>
          </w:p>
        </w:tc>
        <w:tc>
          <w:tcPr>
            <w:tcW w:w="6840" w:type="dxa"/>
            <w:vAlign w:val="bottom"/>
          </w:tcPr>
          <w:p>
            <w:pPr>
              <w:ind w:left="3360"/>
              <w:spacing w:after="0"/>
              <w:rPr>
                <w:sz w:val="20"/>
                <w:szCs w:val="20"/>
                <w:color w:val="auto"/>
              </w:rPr>
            </w:pPr>
            <w:r>
              <w:rPr>
                <w:rFonts w:ascii="Arial" w:cs="Arial" w:eastAsia="Arial" w:hAnsi="Arial"/>
                <w:sz w:val="18"/>
                <w:szCs w:val="18"/>
                <w:color w:val="auto"/>
              </w:rPr>
              <w:t>Norway</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AS</w:t>
            </w:r>
          </w:p>
        </w:tc>
        <w:tc>
          <w:tcPr>
            <w:tcW w:w="6840" w:type="dxa"/>
            <w:vAlign w:val="bottom"/>
          </w:tcPr>
          <w:p>
            <w:pPr>
              <w:ind w:left="3360"/>
              <w:spacing w:after="0"/>
              <w:rPr>
                <w:sz w:val="20"/>
                <w:szCs w:val="20"/>
                <w:color w:val="auto"/>
              </w:rPr>
            </w:pPr>
            <w:r>
              <w:rPr>
                <w:rFonts w:ascii="Arial" w:cs="Arial" w:eastAsia="Arial" w:hAnsi="Arial"/>
                <w:sz w:val="18"/>
                <w:szCs w:val="18"/>
                <w:color w:val="auto"/>
              </w:rPr>
              <w:t>Norway</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Industri AS</w:t>
            </w:r>
          </w:p>
        </w:tc>
        <w:tc>
          <w:tcPr>
            <w:tcW w:w="6840" w:type="dxa"/>
            <w:vAlign w:val="bottom"/>
          </w:tcPr>
          <w:p>
            <w:pPr>
              <w:ind w:left="3360"/>
              <w:spacing w:after="0"/>
              <w:rPr>
                <w:sz w:val="20"/>
                <w:szCs w:val="20"/>
                <w:color w:val="auto"/>
              </w:rPr>
            </w:pPr>
            <w:r>
              <w:rPr>
                <w:rFonts w:ascii="Arial" w:cs="Arial" w:eastAsia="Arial" w:hAnsi="Arial"/>
                <w:sz w:val="18"/>
                <w:szCs w:val="18"/>
                <w:color w:val="auto"/>
              </w:rPr>
              <w:t>Norway</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 Staffing Services AS</w:t>
            </w:r>
          </w:p>
        </w:tc>
        <w:tc>
          <w:tcPr>
            <w:tcW w:w="6840" w:type="dxa"/>
            <w:vAlign w:val="bottom"/>
          </w:tcPr>
          <w:p>
            <w:pPr>
              <w:ind w:left="3360"/>
              <w:spacing w:after="0"/>
              <w:rPr>
                <w:sz w:val="20"/>
                <w:szCs w:val="20"/>
                <w:color w:val="auto"/>
              </w:rPr>
            </w:pPr>
            <w:r>
              <w:rPr>
                <w:rFonts w:ascii="Arial" w:cs="Arial" w:eastAsia="Arial" w:hAnsi="Arial"/>
                <w:sz w:val="18"/>
                <w:szCs w:val="18"/>
                <w:color w:val="auto"/>
              </w:rPr>
              <w:t>Norway</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ManpowerGroup AS</w:t>
            </w:r>
          </w:p>
        </w:tc>
        <w:tc>
          <w:tcPr>
            <w:tcW w:w="6840" w:type="dxa"/>
            <w:vAlign w:val="bottom"/>
          </w:tcPr>
          <w:p>
            <w:pPr>
              <w:ind w:left="3360"/>
              <w:spacing w:after="0"/>
              <w:rPr>
                <w:sz w:val="20"/>
                <w:szCs w:val="20"/>
                <w:color w:val="auto"/>
              </w:rPr>
            </w:pPr>
            <w:r>
              <w:rPr>
                <w:rFonts w:ascii="Arial" w:cs="Arial" w:eastAsia="Arial" w:hAnsi="Arial"/>
                <w:sz w:val="18"/>
                <w:szCs w:val="18"/>
                <w:color w:val="auto"/>
              </w:rPr>
              <w:t>Norway</w:t>
            </w:r>
          </w:p>
        </w:tc>
      </w:tr>
      <w:tr>
        <w:trPr>
          <w:trHeight w:val="270"/>
        </w:trPr>
        <w:tc>
          <w:tcPr>
            <w:tcW w:w="4400" w:type="dxa"/>
            <w:vAlign w:val="bottom"/>
          </w:tcPr>
          <w:p>
            <w:pPr>
              <w:ind w:left="100"/>
              <w:spacing w:after="0"/>
              <w:rPr>
                <w:sz w:val="20"/>
                <w:szCs w:val="20"/>
                <w:color w:val="auto"/>
              </w:rPr>
            </w:pPr>
            <w:r>
              <w:rPr>
                <w:rFonts w:ascii="Arial" w:cs="Arial" w:eastAsia="Arial" w:hAnsi="Arial"/>
                <w:sz w:val="18"/>
                <w:szCs w:val="18"/>
                <w:color w:val="auto"/>
              </w:rPr>
              <w:t>Talent Solutions AS</w:t>
            </w:r>
          </w:p>
        </w:tc>
        <w:tc>
          <w:tcPr>
            <w:tcW w:w="6840" w:type="dxa"/>
            <w:vAlign w:val="bottom"/>
          </w:tcPr>
          <w:p>
            <w:pPr>
              <w:ind w:left="3360"/>
              <w:spacing w:after="0"/>
              <w:rPr>
                <w:sz w:val="20"/>
                <w:szCs w:val="20"/>
                <w:color w:val="auto"/>
              </w:rPr>
            </w:pPr>
            <w:r>
              <w:rPr>
                <w:rFonts w:ascii="Arial" w:cs="Arial" w:eastAsia="Arial" w:hAnsi="Arial"/>
                <w:sz w:val="18"/>
                <w:szCs w:val="18"/>
                <w:color w:val="auto"/>
              </w:rPr>
              <w:t>Norway</w:t>
            </w:r>
          </w:p>
        </w:tc>
      </w:tr>
      <w:tr>
        <w:trPr>
          <w:trHeight w:val="445"/>
        </w:trPr>
        <w:tc>
          <w:tcPr>
            <w:tcW w:w="4400" w:type="dxa"/>
            <w:vAlign w:val="bottom"/>
          </w:tcPr>
          <w:p>
            <w:pPr>
              <w:spacing w:after="0"/>
              <w:rPr>
                <w:sz w:val="24"/>
                <w:szCs w:val="24"/>
                <w:color w:val="auto"/>
              </w:rPr>
            </w:pPr>
          </w:p>
        </w:tc>
        <w:tc>
          <w:tcPr>
            <w:tcW w:w="6840" w:type="dxa"/>
            <w:vAlign w:val="bottom"/>
          </w:tcPr>
          <w:p>
            <w:pPr>
              <w:ind w:left="1180"/>
              <w:spacing w:after="0"/>
              <w:rPr>
                <w:sz w:val="20"/>
                <w:szCs w:val="20"/>
                <w:color w:val="auto"/>
              </w:rPr>
            </w:pPr>
            <w:r>
              <w:rPr>
                <w:rFonts w:ascii="Arial" w:cs="Arial" w:eastAsia="Arial" w:hAnsi="Arial"/>
                <w:sz w:val="18"/>
                <w:szCs w:val="18"/>
                <w:color w:val="auto"/>
              </w:rPr>
              <w:t>6</w:t>
            </w:r>
          </w:p>
        </w:tc>
      </w:tr>
      <w:tr>
        <w:trPr>
          <w:trHeight w:val="102"/>
        </w:trPr>
        <w:tc>
          <w:tcPr>
            <w:tcW w:w="4400" w:type="dxa"/>
            <w:vAlign w:val="bottom"/>
            <w:tcBorders>
              <w:bottom w:val="single" w:sz="8" w:color="9A9A9A"/>
            </w:tcBorders>
          </w:tcPr>
          <w:p>
            <w:pPr>
              <w:spacing w:after="0"/>
              <w:rPr>
                <w:sz w:val="8"/>
                <w:szCs w:val="8"/>
                <w:color w:val="auto"/>
              </w:rPr>
            </w:pPr>
          </w:p>
        </w:tc>
        <w:tc>
          <w:tcPr>
            <w:tcW w:w="6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5040" w:type="dxa"/>
            <w:vAlign w:val="bottom"/>
          </w:tcPr>
          <w:p>
            <w:pPr>
              <w:ind w:left="100"/>
              <w:spacing w:after="0"/>
              <w:rPr>
                <w:sz w:val="20"/>
                <w:szCs w:val="20"/>
                <w:color w:val="auto"/>
              </w:rPr>
            </w:pPr>
            <w:r>
              <w:rPr>
                <w:rFonts w:ascii="Arial" w:cs="Arial" w:eastAsia="Arial" w:hAnsi="Arial"/>
                <w:sz w:val="18"/>
                <w:szCs w:val="18"/>
                <w:color w:val="auto"/>
              </w:rPr>
              <w:t>Workshop Bemanning og Kompetanse AS</w:t>
            </w:r>
          </w:p>
        </w:tc>
        <w:tc>
          <w:tcPr>
            <w:tcW w:w="6200" w:type="dxa"/>
            <w:vAlign w:val="bottom"/>
          </w:tcPr>
          <w:p>
            <w:pPr>
              <w:ind w:left="2720"/>
              <w:spacing w:after="0"/>
              <w:rPr>
                <w:sz w:val="20"/>
                <w:szCs w:val="20"/>
                <w:color w:val="auto"/>
              </w:rPr>
            </w:pPr>
            <w:r>
              <w:rPr>
                <w:rFonts w:ascii="Arial" w:cs="Arial" w:eastAsia="Arial" w:hAnsi="Arial"/>
                <w:sz w:val="18"/>
                <w:szCs w:val="18"/>
                <w:color w:val="auto"/>
              </w:rPr>
              <w:t>Norway</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Workshop Holding AS</w:t>
            </w:r>
          </w:p>
        </w:tc>
        <w:tc>
          <w:tcPr>
            <w:tcW w:w="6200" w:type="dxa"/>
            <w:vAlign w:val="bottom"/>
          </w:tcPr>
          <w:p>
            <w:pPr>
              <w:ind w:left="2720"/>
              <w:spacing w:after="0"/>
              <w:rPr>
                <w:sz w:val="20"/>
                <w:szCs w:val="20"/>
                <w:color w:val="auto"/>
              </w:rPr>
            </w:pPr>
            <w:r>
              <w:rPr>
                <w:rFonts w:ascii="Arial" w:cs="Arial" w:eastAsia="Arial" w:hAnsi="Arial"/>
                <w:sz w:val="18"/>
                <w:szCs w:val="18"/>
                <w:color w:val="auto"/>
              </w:rPr>
              <w:t>Norway</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Main Line Personnel Services, LLC</w:t>
            </w:r>
          </w:p>
        </w:tc>
        <w:tc>
          <w:tcPr>
            <w:tcW w:w="6200" w:type="dxa"/>
            <w:vAlign w:val="bottom"/>
          </w:tcPr>
          <w:p>
            <w:pPr>
              <w:ind w:left="2720"/>
              <w:spacing w:after="0"/>
              <w:rPr>
                <w:sz w:val="20"/>
                <w:szCs w:val="20"/>
                <w:color w:val="auto"/>
              </w:rPr>
            </w:pPr>
            <w:r>
              <w:rPr>
                <w:rFonts w:ascii="Arial" w:cs="Arial" w:eastAsia="Arial" w:hAnsi="Arial"/>
                <w:sz w:val="18"/>
                <w:szCs w:val="18"/>
                <w:color w:val="auto"/>
              </w:rPr>
              <w:t>PA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Right Management Inc.</w:t>
            </w:r>
          </w:p>
        </w:tc>
        <w:tc>
          <w:tcPr>
            <w:tcW w:w="6200" w:type="dxa"/>
            <w:vAlign w:val="bottom"/>
          </w:tcPr>
          <w:p>
            <w:pPr>
              <w:ind w:left="2720"/>
              <w:spacing w:after="0"/>
              <w:rPr>
                <w:sz w:val="20"/>
                <w:szCs w:val="20"/>
                <w:color w:val="auto"/>
              </w:rPr>
            </w:pPr>
            <w:r>
              <w:rPr>
                <w:rFonts w:ascii="Arial" w:cs="Arial" w:eastAsia="Arial" w:hAnsi="Arial"/>
                <w:sz w:val="18"/>
                <w:szCs w:val="18"/>
                <w:color w:val="auto"/>
              </w:rPr>
              <w:t>PA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Panama S.A.</w:t>
            </w:r>
          </w:p>
        </w:tc>
        <w:tc>
          <w:tcPr>
            <w:tcW w:w="6200" w:type="dxa"/>
            <w:vAlign w:val="bottom"/>
          </w:tcPr>
          <w:p>
            <w:pPr>
              <w:ind w:left="2720"/>
              <w:spacing w:after="0"/>
              <w:rPr>
                <w:sz w:val="20"/>
                <w:szCs w:val="20"/>
                <w:color w:val="auto"/>
              </w:rPr>
            </w:pPr>
            <w:r>
              <w:rPr>
                <w:rFonts w:ascii="Arial" w:cs="Arial" w:eastAsia="Arial" w:hAnsi="Arial"/>
                <w:sz w:val="18"/>
                <w:szCs w:val="18"/>
                <w:color w:val="auto"/>
              </w:rPr>
              <w:t>Panama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Panama Pacifico, S.A.</w:t>
            </w:r>
          </w:p>
        </w:tc>
        <w:tc>
          <w:tcPr>
            <w:tcW w:w="6200" w:type="dxa"/>
            <w:vAlign w:val="bottom"/>
          </w:tcPr>
          <w:p>
            <w:pPr>
              <w:ind w:left="2720"/>
              <w:spacing w:after="0"/>
              <w:rPr>
                <w:sz w:val="20"/>
                <w:szCs w:val="20"/>
                <w:color w:val="auto"/>
              </w:rPr>
            </w:pPr>
            <w:r>
              <w:rPr>
                <w:rFonts w:ascii="Arial" w:cs="Arial" w:eastAsia="Arial" w:hAnsi="Arial"/>
                <w:sz w:val="18"/>
                <w:szCs w:val="18"/>
                <w:color w:val="auto"/>
              </w:rPr>
              <w:t>Panama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Staffing Services Panama, S.A.</w:t>
            </w:r>
          </w:p>
        </w:tc>
        <w:tc>
          <w:tcPr>
            <w:tcW w:w="6200" w:type="dxa"/>
            <w:vAlign w:val="bottom"/>
          </w:tcPr>
          <w:p>
            <w:pPr>
              <w:ind w:left="2720"/>
              <w:spacing w:after="0"/>
              <w:rPr>
                <w:sz w:val="20"/>
                <w:szCs w:val="20"/>
                <w:color w:val="auto"/>
              </w:rPr>
            </w:pPr>
            <w:r>
              <w:rPr>
                <w:rFonts w:ascii="Arial" w:cs="Arial" w:eastAsia="Arial" w:hAnsi="Arial"/>
                <w:sz w:val="18"/>
                <w:szCs w:val="18"/>
                <w:color w:val="auto"/>
              </w:rPr>
              <w:t>Panama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Paraguay S.R.L.</w:t>
            </w:r>
          </w:p>
        </w:tc>
        <w:tc>
          <w:tcPr>
            <w:tcW w:w="6200" w:type="dxa"/>
            <w:vAlign w:val="bottom"/>
          </w:tcPr>
          <w:p>
            <w:pPr>
              <w:ind w:left="2720"/>
              <w:spacing w:after="0"/>
              <w:rPr>
                <w:sz w:val="20"/>
                <w:szCs w:val="20"/>
                <w:color w:val="auto"/>
              </w:rPr>
            </w:pPr>
            <w:r>
              <w:rPr>
                <w:rFonts w:ascii="Arial" w:cs="Arial" w:eastAsia="Arial" w:hAnsi="Arial"/>
                <w:sz w:val="18"/>
                <w:szCs w:val="18"/>
                <w:color w:val="auto"/>
              </w:rPr>
              <w:t>Paraguay</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Peru S.A.</w:t>
            </w:r>
          </w:p>
        </w:tc>
        <w:tc>
          <w:tcPr>
            <w:tcW w:w="6200" w:type="dxa"/>
            <w:vAlign w:val="bottom"/>
          </w:tcPr>
          <w:p>
            <w:pPr>
              <w:ind w:left="2720"/>
              <w:spacing w:after="0"/>
              <w:rPr>
                <w:sz w:val="20"/>
                <w:szCs w:val="20"/>
                <w:color w:val="auto"/>
              </w:rPr>
            </w:pPr>
            <w:r>
              <w:rPr>
                <w:rFonts w:ascii="Arial" w:cs="Arial" w:eastAsia="Arial" w:hAnsi="Arial"/>
                <w:sz w:val="18"/>
                <w:szCs w:val="18"/>
                <w:color w:val="auto"/>
              </w:rPr>
              <w:t>Peru</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Professional Services S.A.</w:t>
            </w:r>
          </w:p>
        </w:tc>
        <w:tc>
          <w:tcPr>
            <w:tcW w:w="6200" w:type="dxa"/>
            <w:vAlign w:val="bottom"/>
          </w:tcPr>
          <w:p>
            <w:pPr>
              <w:ind w:left="2720"/>
              <w:spacing w:after="0"/>
              <w:rPr>
                <w:sz w:val="20"/>
                <w:szCs w:val="20"/>
                <w:color w:val="auto"/>
              </w:rPr>
            </w:pPr>
            <w:r>
              <w:rPr>
                <w:rFonts w:ascii="Arial" w:cs="Arial" w:eastAsia="Arial" w:hAnsi="Arial"/>
                <w:sz w:val="18"/>
                <w:szCs w:val="18"/>
                <w:color w:val="auto"/>
              </w:rPr>
              <w:t>Peru</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Right Management Peru S.A.C.</w:t>
            </w:r>
          </w:p>
        </w:tc>
        <w:tc>
          <w:tcPr>
            <w:tcW w:w="6200" w:type="dxa"/>
            <w:vAlign w:val="bottom"/>
          </w:tcPr>
          <w:p>
            <w:pPr>
              <w:ind w:left="2720"/>
              <w:spacing w:after="0"/>
              <w:rPr>
                <w:sz w:val="20"/>
                <w:szCs w:val="20"/>
                <w:color w:val="auto"/>
              </w:rPr>
            </w:pPr>
            <w:r>
              <w:rPr>
                <w:rFonts w:ascii="Arial" w:cs="Arial" w:eastAsia="Arial" w:hAnsi="Arial"/>
                <w:sz w:val="18"/>
                <w:szCs w:val="18"/>
                <w:color w:val="auto"/>
              </w:rPr>
              <w:t>Peru</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Outsourcing Services Inc.</w:t>
            </w:r>
          </w:p>
        </w:tc>
        <w:tc>
          <w:tcPr>
            <w:tcW w:w="6200" w:type="dxa"/>
            <w:vAlign w:val="bottom"/>
          </w:tcPr>
          <w:p>
            <w:pPr>
              <w:ind w:left="2720"/>
              <w:spacing w:after="0"/>
              <w:rPr>
                <w:sz w:val="20"/>
                <w:szCs w:val="20"/>
                <w:color w:val="auto"/>
              </w:rPr>
            </w:pPr>
            <w:r>
              <w:rPr>
                <w:rFonts w:ascii="Arial" w:cs="Arial" w:eastAsia="Arial" w:hAnsi="Arial"/>
                <w:sz w:val="18"/>
                <w:szCs w:val="18"/>
                <w:color w:val="auto"/>
              </w:rPr>
              <w:t>Philippines</w:t>
            </w:r>
          </w:p>
        </w:tc>
      </w:tr>
      <w:tr>
        <w:trPr>
          <w:trHeight w:val="270"/>
        </w:trPr>
        <w:tc>
          <w:tcPr>
            <w:tcW w:w="5040" w:type="dxa"/>
            <w:vAlign w:val="bottom"/>
          </w:tcPr>
          <w:p>
            <w:pPr>
              <w:ind w:left="160"/>
              <w:spacing w:after="0"/>
              <w:rPr>
                <w:sz w:val="20"/>
                <w:szCs w:val="20"/>
                <w:color w:val="auto"/>
              </w:rPr>
            </w:pPr>
            <w:r>
              <w:rPr>
                <w:rFonts w:ascii="Arial" w:cs="Arial" w:eastAsia="Arial" w:hAnsi="Arial"/>
                <w:sz w:val="18"/>
                <w:szCs w:val="18"/>
                <w:color w:val="auto"/>
              </w:rPr>
              <w:t>MP Actions Sp. z.o.o.</w:t>
            </w:r>
          </w:p>
        </w:tc>
        <w:tc>
          <w:tcPr>
            <w:tcW w:w="6200" w:type="dxa"/>
            <w:vAlign w:val="bottom"/>
          </w:tcPr>
          <w:p>
            <w:pPr>
              <w:ind w:left="2720"/>
              <w:spacing w:after="0"/>
              <w:rPr>
                <w:sz w:val="20"/>
                <w:szCs w:val="20"/>
                <w:color w:val="auto"/>
              </w:rPr>
            </w:pPr>
            <w:r>
              <w:rPr>
                <w:rFonts w:ascii="Arial" w:cs="Arial" w:eastAsia="Arial" w:hAnsi="Arial"/>
                <w:sz w:val="18"/>
                <w:szCs w:val="18"/>
                <w:color w:val="auto"/>
              </w:rPr>
              <w:t>Poland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HR Hunters Sp.z.o.o.</w:t>
            </w:r>
          </w:p>
        </w:tc>
        <w:tc>
          <w:tcPr>
            <w:tcW w:w="6200" w:type="dxa"/>
            <w:vAlign w:val="bottom"/>
          </w:tcPr>
          <w:p>
            <w:pPr>
              <w:ind w:left="2720"/>
              <w:spacing w:after="0"/>
              <w:rPr>
                <w:sz w:val="20"/>
                <w:szCs w:val="20"/>
                <w:color w:val="auto"/>
              </w:rPr>
            </w:pPr>
            <w:r>
              <w:rPr>
                <w:rFonts w:ascii="Arial" w:cs="Arial" w:eastAsia="Arial" w:hAnsi="Arial"/>
                <w:sz w:val="18"/>
                <w:szCs w:val="18"/>
                <w:color w:val="auto"/>
              </w:rPr>
              <w:t>Poland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Transactions Sp. z o.o.</w:t>
            </w:r>
          </w:p>
        </w:tc>
        <w:tc>
          <w:tcPr>
            <w:tcW w:w="6200" w:type="dxa"/>
            <w:vAlign w:val="bottom"/>
          </w:tcPr>
          <w:p>
            <w:pPr>
              <w:ind w:left="2720"/>
              <w:spacing w:after="0"/>
              <w:rPr>
                <w:sz w:val="20"/>
                <w:szCs w:val="20"/>
                <w:color w:val="auto"/>
              </w:rPr>
            </w:pPr>
            <w:r>
              <w:rPr>
                <w:rFonts w:ascii="Arial" w:cs="Arial" w:eastAsia="Arial" w:hAnsi="Arial"/>
                <w:sz w:val="18"/>
                <w:szCs w:val="18"/>
                <w:color w:val="auto"/>
              </w:rPr>
              <w:t>Poland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Solutions SP. Zo.o.</w:t>
            </w:r>
          </w:p>
        </w:tc>
        <w:tc>
          <w:tcPr>
            <w:tcW w:w="6200" w:type="dxa"/>
            <w:vAlign w:val="bottom"/>
          </w:tcPr>
          <w:p>
            <w:pPr>
              <w:ind w:left="2720"/>
              <w:spacing w:after="0"/>
              <w:rPr>
                <w:sz w:val="20"/>
                <w:szCs w:val="20"/>
                <w:color w:val="auto"/>
              </w:rPr>
            </w:pPr>
            <w:r>
              <w:rPr>
                <w:rFonts w:ascii="Arial" w:cs="Arial" w:eastAsia="Arial" w:hAnsi="Arial"/>
                <w:sz w:val="18"/>
                <w:szCs w:val="18"/>
                <w:color w:val="auto"/>
              </w:rPr>
              <w:t>Poland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Sp. z o.o.</w:t>
            </w:r>
          </w:p>
        </w:tc>
        <w:tc>
          <w:tcPr>
            <w:tcW w:w="6200" w:type="dxa"/>
            <w:vAlign w:val="bottom"/>
          </w:tcPr>
          <w:p>
            <w:pPr>
              <w:ind w:left="2720"/>
              <w:spacing w:after="0"/>
              <w:rPr>
                <w:sz w:val="20"/>
                <w:szCs w:val="20"/>
                <w:color w:val="auto"/>
              </w:rPr>
            </w:pPr>
            <w:r>
              <w:rPr>
                <w:rFonts w:ascii="Arial" w:cs="Arial" w:eastAsia="Arial" w:hAnsi="Arial"/>
                <w:sz w:val="18"/>
                <w:szCs w:val="18"/>
                <w:color w:val="auto"/>
              </w:rPr>
              <w:t>Poland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MP Management Sp.z.o.o.</w:t>
            </w:r>
          </w:p>
        </w:tc>
        <w:tc>
          <w:tcPr>
            <w:tcW w:w="6200" w:type="dxa"/>
            <w:vAlign w:val="bottom"/>
          </w:tcPr>
          <w:p>
            <w:pPr>
              <w:ind w:left="2720"/>
              <w:spacing w:after="0"/>
              <w:rPr>
                <w:sz w:val="20"/>
                <w:szCs w:val="20"/>
                <w:color w:val="auto"/>
              </w:rPr>
            </w:pPr>
            <w:r>
              <w:rPr>
                <w:rFonts w:ascii="Arial" w:cs="Arial" w:eastAsia="Arial" w:hAnsi="Arial"/>
                <w:sz w:val="18"/>
                <w:szCs w:val="18"/>
                <w:color w:val="auto"/>
              </w:rPr>
              <w:t>Poland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MP Services Sp. z o.o.</w:t>
            </w:r>
          </w:p>
        </w:tc>
        <w:tc>
          <w:tcPr>
            <w:tcW w:w="6200" w:type="dxa"/>
            <w:vAlign w:val="bottom"/>
          </w:tcPr>
          <w:p>
            <w:pPr>
              <w:ind w:left="2720"/>
              <w:spacing w:after="0"/>
              <w:rPr>
                <w:sz w:val="20"/>
                <w:szCs w:val="20"/>
                <w:color w:val="auto"/>
              </w:rPr>
            </w:pPr>
            <w:r>
              <w:rPr>
                <w:rFonts w:ascii="Arial" w:cs="Arial" w:eastAsia="Arial" w:hAnsi="Arial"/>
                <w:sz w:val="18"/>
                <w:szCs w:val="18"/>
                <w:color w:val="auto"/>
              </w:rPr>
              <w:t>Poland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Lda.</w:t>
            </w:r>
          </w:p>
        </w:tc>
        <w:tc>
          <w:tcPr>
            <w:tcW w:w="6200" w:type="dxa"/>
            <w:vAlign w:val="bottom"/>
          </w:tcPr>
          <w:p>
            <w:pPr>
              <w:ind w:left="2720"/>
              <w:spacing w:after="0"/>
              <w:rPr>
                <w:sz w:val="20"/>
                <w:szCs w:val="20"/>
                <w:color w:val="auto"/>
              </w:rPr>
            </w:pPr>
            <w:r>
              <w:rPr>
                <w:rFonts w:ascii="Arial" w:cs="Arial" w:eastAsia="Arial" w:hAnsi="Arial"/>
                <w:sz w:val="18"/>
                <w:szCs w:val="18"/>
                <w:color w:val="auto"/>
              </w:rPr>
              <w:t>Portugal</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Portugal Empresa de Trabalho Temporario S.A.</w:t>
            </w:r>
          </w:p>
        </w:tc>
        <w:tc>
          <w:tcPr>
            <w:tcW w:w="6200" w:type="dxa"/>
            <w:vAlign w:val="bottom"/>
          </w:tcPr>
          <w:p>
            <w:pPr>
              <w:ind w:left="2720"/>
              <w:spacing w:after="0"/>
              <w:rPr>
                <w:sz w:val="20"/>
                <w:szCs w:val="20"/>
                <w:color w:val="auto"/>
              </w:rPr>
            </w:pPr>
            <w:r>
              <w:rPr>
                <w:rFonts w:ascii="Arial" w:cs="Arial" w:eastAsia="Arial" w:hAnsi="Arial"/>
                <w:sz w:val="18"/>
                <w:szCs w:val="18"/>
                <w:color w:val="auto"/>
              </w:rPr>
              <w:t>Portugal</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Portugal - SGPS, S.A.</w:t>
            </w:r>
          </w:p>
        </w:tc>
        <w:tc>
          <w:tcPr>
            <w:tcW w:w="6200" w:type="dxa"/>
            <w:vAlign w:val="bottom"/>
          </w:tcPr>
          <w:p>
            <w:pPr>
              <w:ind w:left="2720"/>
              <w:spacing w:after="0"/>
              <w:rPr>
                <w:sz w:val="20"/>
                <w:szCs w:val="20"/>
                <w:color w:val="auto"/>
              </w:rPr>
            </w:pPr>
            <w:r>
              <w:rPr>
                <w:rFonts w:ascii="Arial" w:cs="Arial" w:eastAsia="Arial" w:hAnsi="Arial"/>
                <w:sz w:val="18"/>
                <w:szCs w:val="18"/>
                <w:color w:val="auto"/>
              </w:rPr>
              <w:t>Portugal</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Talent Based Outsourcing, Unipessoal Lda.</w:t>
            </w:r>
          </w:p>
        </w:tc>
        <w:tc>
          <w:tcPr>
            <w:tcW w:w="6200" w:type="dxa"/>
            <w:vAlign w:val="bottom"/>
          </w:tcPr>
          <w:p>
            <w:pPr>
              <w:ind w:left="2720"/>
              <w:spacing w:after="0"/>
              <w:rPr>
                <w:sz w:val="20"/>
                <w:szCs w:val="20"/>
                <w:color w:val="auto"/>
              </w:rPr>
            </w:pPr>
            <w:r>
              <w:rPr>
                <w:rFonts w:ascii="Arial" w:cs="Arial" w:eastAsia="Arial" w:hAnsi="Arial"/>
                <w:sz w:val="18"/>
                <w:szCs w:val="18"/>
                <w:color w:val="auto"/>
              </w:rPr>
              <w:t>Portugal</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HR SRL</w:t>
            </w:r>
          </w:p>
        </w:tc>
        <w:tc>
          <w:tcPr>
            <w:tcW w:w="6200" w:type="dxa"/>
            <w:vAlign w:val="bottom"/>
          </w:tcPr>
          <w:p>
            <w:pPr>
              <w:ind w:left="2720"/>
              <w:spacing w:after="0"/>
              <w:rPr>
                <w:sz w:val="20"/>
                <w:szCs w:val="20"/>
                <w:color w:val="auto"/>
              </w:rPr>
            </w:pPr>
            <w:r>
              <w:rPr>
                <w:rFonts w:ascii="Arial" w:cs="Arial" w:eastAsia="Arial" w:hAnsi="Arial"/>
                <w:sz w:val="18"/>
                <w:szCs w:val="18"/>
                <w:color w:val="auto"/>
              </w:rPr>
              <w:t>Romania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SC Manpower Romania SRL</w:t>
            </w:r>
          </w:p>
        </w:tc>
        <w:tc>
          <w:tcPr>
            <w:tcW w:w="6200" w:type="dxa"/>
            <w:vAlign w:val="bottom"/>
          </w:tcPr>
          <w:p>
            <w:pPr>
              <w:ind w:left="2720"/>
              <w:spacing w:after="0"/>
              <w:rPr>
                <w:sz w:val="20"/>
                <w:szCs w:val="20"/>
                <w:color w:val="auto"/>
              </w:rPr>
            </w:pPr>
            <w:r>
              <w:rPr>
                <w:rFonts w:ascii="Arial" w:cs="Arial" w:eastAsia="Arial" w:hAnsi="Arial"/>
                <w:sz w:val="18"/>
                <w:szCs w:val="18"/>
                <w:color w:val="auto"/>
              </w:rPr>
              <w:t>Romania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LLC</w:t>
            </w:r>
          </w:p>
        </w:tc>
        <w:tc>
          <w:tcPr>
            <w:tcW w:w="6200" w:type="dxa"/>
            <w:vAlign w:val="bottom"/>
          </w:tcPr>
          <w:p>
            <w:pPr>
              <w:ind w:left="2720"/>
              <w:spacing w:after="0"/>
              <w:rPr>
                <w:sz w:val="20"/>
                <w:szCs w:val="20"/>
                <w:color w:val="auto"/>
              </w:rPr>
            </w:pPr>
            <w:r>
              <w:rPr>
                <w:rFonts w:ascii="Arial" w:cs="Arial" w:eastAsia="Arial" w:hAnsi="Arial"/>
                <w:sz w:val="18"/>
                <w:szCs w:val="18"/>
                <w:color w:val="auto"/>
              </w:rPr>
              <w:t>Russia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MPG IT Solutions LLC</w:t>
            </w:r>
          </w:p>
        </w:tc>
        <w:tc>
          <w:tcPr>
            <w:tcW w:w="6200" w:type="dxa"/>
            <w:vAlign w:val="bottom"/>
          </w:tcPr>
          <w:p>
            <w:pPr>
              <w:ind w:left="2720"/>
              <w:spacing w:after="0"/>
              <w:rPr>
                <w:sz w:val="20"/>
                <w:szCs w:val="20"/>
                <w:color w:val="auto"/>
              </w:rPr>
            </w:pPr>
            <w:r>
              <w:rPr>
                <w:rFonts w:ascii="Arial" w:cs="Arial" w:eastAsia="Arial" w:hAnsi="Arial"/>
                <w:sz w:val="18"/>
                <w:szCs w:val="18"/>
                <w:color w:val="auto"/>
              </w:rPr>
              <w:t>Russia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Private Employment Agency Manpower, LLC</w:t>
            </w:r>
          </w:p>
        </w:tc>
        <w:tc>
          <w:tcPr>
            <w:tcW w:w="6200" w:type="dxa"/>
            <w:vAlign w:val="bottom"/>
          </w:tcPr>
          <w:p>
            <w:pPr>
              <w:ind w:left="2720"/>
              <w:spacing w:after="0"/>
              <w:rPr>
                <w:sz w:val="20"/>
                <w:szCs w:val="20"/>
                <w:color w:val="auto"/>
              </w:rPr>
            </w:pPr>
            <w:r>
              <w:rPr>
                <w:rFonts w:ascii="Arial" w:cs="Arial" w:eastAsia="Arial" w:hAnsi="Arial"/>
                <w:sz w:val="18"/>
                <w:szCs w:val="18"/>
                <w:color w:val="auto"/>
              </w:rPr>
              <w:t>Russia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Training Center Manpower LLC</w:t>
            </w:r>
          </w:p>
        </w:tc>
        <w:tc>
          <w:tcPr>
            <w:tcW w:w="6200" w:type="dxa"/>
            <w:vAlign w:val="bottom"/>
          </w:tcPr>
          <w:p>
            <w:pPr>
              <w:ind w:left="2720"/>
              <w:spacing w:after="0"/>
              <w:rPr>
                <w:sz w:val="20"/>
                <w:szCs w:val="20"/>
                <w:color w:val="auto"/>
              </w:rPr>
            </w:pPr>
            <w:r>
              <w:rPr>
                <w:rFonts w:ascii="Arial" w:cs="Arial" w:eastAsia="Arial" w:hAnsi="Arial"/>
                <w:sz w:val="18"/>
                <w:szCs w:val="18"/>
                <w:color w:val="auto"/>
              </w:rPr>
              <w:t>Russia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Clarendon Parker Arabia</w:t>
            </w:r>
          </w:p>
        </w:tc>
        <w:tc>
          <w:tcPr>
            <w:tcW w:w="6200" w:type="dxa"/>
            <w:vAlign w:val="bottom"/>
          </w:tcPr>
          <w:p>
            <w:pPr>
              <w:ind w:left="2720"/>
              <w:spacing w:after="0"/>
              <w:rPr>
                <w:sz w:val="20"/>
                <w:szCs w:val="20"/>
                <w:color w:val="auto"/>
              </w:rPr>
            </w:pPr>
            <w:r>
              <w:rPr>
                <w:rFonts w:ascii="Arial" w:cs="Arial" w:eastAsia="Arial" w:hAnsi="Arial"/>
                <w:sz w:val="18"/>
                <w:szCs w:val="18"/>
                <w:color w:val="auto"/>
              </w:rPr>
              <w:t>Saudi Arabia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Technology Solutions Pte. Ltd.</w:t>
            </w:r>
          </w:p>
        </w:tc>
        <w:tc>
          <w:tcPr>
            <w:tcW w:w="6200" w:type="dxa"/>
            <w:vAlign w:val="bottom"/>
          </w:tcPr>
          <w:p>
            <w:pPr>
              <w:ind w:left="2720"/>
              <w:spacing w:after="0"/>
              <w:rPr>
                <w:sz w:val="20"/>
                <w:szCs w:val="20"/>
                <w:color w:val="auto"/>
              </w:rPr>
            </w:pPr>
            <w:r>
              <w:rPr>
                <w:rFonts w:ascii="Arial" w:cs="Arial" w:eastAsia="Arial" w:hAnsi="Arial"/>
                <w:sz w:val="18"/>
                <w:szCs w:val="18"/>
                <w:color w:val="auto"/>
              </w:rPr>
              <w:t>Singapore</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Professional Singapore Pte Ltd</w:t>
            </w:r>
          </w:p>
        </w:tc>
        <w:tc>
          <w:tcPr>
            <w:tcW w:w="6200" w:type="dxa"/>
            <w:vAlign w:val="bottom"/>
          </w:tcPr>
          <w:p>
            <w:pPr>
              <w:ind w:left="2720"/>
              <w:spacing w:after="0"/>
              <w:rPr>
                <w:sz w:val="20"/>
                <w:szCs w:val="20"/>
                <w:color w:val="auto"/>
              </w:rPr>
            </w:pPr>
            <w:r>
              <w:rPr>
                <w:rFonts w:ascii="Arial" w:cs="Arial" w:eastAsia="Arial" w:hAnsi="Arial"/>
                <w:sz w:val="18"/>
                <w:szCs w:val="18"/>
                <w:color w:val="auto"/>
              </w:rPr>
              <w:t>Singapore</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Staffing Services (Singapore) Pte. Ltd.</w:t>
            </w:r>
          </w:p>
        </w:tc>
        <w:tc>
          <w:tcPr>
            <w:tcW w:w="6200" w:type="dxa"/>
            <w:vAlign w:val="bottom"/>
          </w:tcPr>
          <w:p>
            <w:pPr>
              <w:ind w:left="2720"/>
              <w:spacing w:after="0"/>
              <w:rPr>
                <w:sz w:val="20"/>
                <w:szCs w:val="20"/>
                <w:color w:val="auto"/>
              </w:rPr>
            </w:pPr>
            <w:r>
              <w:rPr>
                <w:rFonts w:ascii="Arial" w:cs="Arial" w:eastAsia="Arial" w:hAnsi="Arial"/>
                <w:sz w:val="18"/>
                <w:szCs w:val="18"/>
                <w:color w:val="auto"/>
              </w:rPr>
              <w:t>Singapore</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Singapore Private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Singapore</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Right Management Singapore Pte. Ltd.</w:t>
            </w:r>
          </w:p>
        </w:tc>
        <w:tc>
          <w:tcPr>
            <w:tcW w:w="6200" w:type="dxa"/>
            <w:vAlign w:val="bottom"/>
          </w:tcPr>
          <w:p>
            <w:pPr>
              <w:ind w:left="2720"/>
              <w:spacing w:after="0"/>
              <w:rPr>
                <w:sz w:val="20"/>
                <w:szCs w:val="20"/>
                <w:color w:val="auto"/>
              </w:rPr>
            </w:pPr>
            <w:r>
              <w:rPr>
                <w:rFonts w:ascii="Arial" w:cs="Arial" w:eastAsia="Arial" w:hAnsi="Arial"/>
                <w:sz w:val="18"/>
                <w:szCs w:val="18"/>
                <w:color w:val="auto"/>
              </w:rPr>
              <w:t>Singapore</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Slovensko s.r.o.</w:t>
            </w:r>
          </w:p>
        </w:tc>
        <w:tc>
          <w:tcPr>
            <w:tcW w:w="6200" w:type="dxa"/>
            <w:vAlign w:val="bottom"/>
          </w:tcPr>
          <w:p>
            <w:pPr>
              <w:ind w:left="2720"/>
              <w:spacing w:after="0"/>
              <w:rPr>
                <w:sz w:val="20"/>
                <w:szCs w:val="20"/>
                <w:color w:val="auto"/>
              </w:rPr>
            </w:pPr>
            <w:r>
              <w:rPr>
                <w:rFonts w:ascii="Arial" w:cs="Arial" w:eastAsia="Arial" w:hAnsi="Arial"/>
                <w:sz w:val="18"/>
                <w:szCs w:val="18"/>
                <w:color w:val="auto"/>
              </w:rPr>
              <w:t>Slovakia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Solutions s.r.o.</w:t>
            </w:r>
          </w:p>
        </w:tc>
        <w:tc>
          <w:tcPr>
            <w:tcW w:w="6200" w:type="dxa"/>
            <w:vAlign w:val="bottom"/>
          </w:tcPr>
          <w:p>
            <w:pPr>
              <w:ind w:left="2720"/>
              <w:spacing w:after="0"/>
              <w:rPr>
                <w:sz w:val="20"/>
                <w:szCs w:val="20"/>
                <w:color w:val="auto"/>
              </w:rPr>
            </w:pPr>
            <w:r>
              <w:rPr>
                <w:rFonts w:ascii="Arial" w:cs="Arial" w:eastAsia="Arial" w:hAnsi="Arial"/>
                <w:sz w:val="18"/>
                <w:szCs w:val="18"/>
                <w:color w:val="auto"/>
              </w:rPr>
              <w:t>Slovakia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SA (Pty) Ltd.</w:t>
            </w:r>
          </w:p>
        </w:tc>
        <w:tc>
          <w:tcPr>
            <w:tcW w:w="6200" w:type="dxa"/>
            <w:vAlign w:val="bottom"/>
          </w:tcPr>
          <w:p>
            <w:pPr>
              <w:ind w:left="2720"/>
              <w:spacing w:after="0"/>
              <w:rPr>
                <w:sz w:val="20"/>
                <w:szCs w:val="20"/>
                <w:color w:val="auto"/>
              </w:rPr>
            </w:pPr>
            <w:r>
              <w:rPr>
                <w:rFonts w:ascii="Arial" w:cs="Arial" w:eastAsia="Arial" w:hAnsi="Arial"/>
                <w:sz w:val="18"/>
                <w:szCs w:val="18"/>
                <w:color w:val="auto"/>
              </w:rPr>
              <w:t>South Africa</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ManpowerGroup S.L.U.</w:t>
            </w:r>
          </w:p>
        </w:tc>
        <w:tc>
          <w:tcPr>
            <w:tcW w:w="6200" w:type="dxa"/>
            <w:vAlign w:val="bottom"/>
          </w:tcPr>
          <w:p>
            <w:pPr>
              <w:ind w:left="2720"/>
              <w:spacing w:after="0"/>
              <w:rPr>
                <w:sz w:val="20"/>
                <w:szCs w:val="20"/>
                <w:color w:val="auto"/>
              </w:rPr>
            </w:pPr>
            <w:r>
              <w:rPr>
                <w:rFonts w:ascii="Arial" w:cs="Arial" w:eastAsia="Arial" w:hAnsi="Arial"/>
                <w:sz w:val="18"/>
                <w:szCs w:val="18"/>
                <w:color w:val="auto"/>
              </w:rPr>
              <w:t>Spain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Team E.T.T., S.A.U.</w:t>
            </w:r>
          </w:p>
        </w:tc>
        <w:tc>
          <w:tcPr>
            <w:tcW w:w="6200" w:type="dxa"/>
            <w:vAlign w:val="bottom"/>
          </w:tcPr>
          <w:p>
            <w:pPr>
              <w:ind w:left="2720"/>
              <w:spacing w:after="0"/>
              <w:rPr>
                <w:sz w:val="20"/>
                <w:szCs w:val="20"/>
                <w:color w:val="auto"/>
              </w:rPr>
            </w:pPr>
            <w:r>
              <w:rPr>
                <w:rFonts w:ascii="Arial" w:cs="Arial" w:eastAsia="Arial" w:hAnsi="Arial"/>
                <w:sz w:val="18"/>
                <w:szCs w:val="18"/>
                <w:color w:val="auto"/>
              </w:rPr>
              <w:t>Spain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Innovative Talent Solutions S.L.U.</w:t>
            </w:r>
          </w:p>
        </w:tc>
        <w:tc>
          <w:tcPr>
            <w:tcW w:w="6200" w:type="dxa"/>
            <w:vAlign w:val="bottom"/>
          </w:tcPr>
          <w:p>
            <w:pPr>
              <w:ind w:left="2720"/>
              <w:spacing w:after="0"/>
              <w:rPr>
                <w:sz w:val="20"/>
                <w:szCs w:val="20"/>
                <w:color w:val="auto"/>
              </w:rPr>
            </w:pPr>
            <w:r>
              <w:rPr>
                <w:rFonts w:ascii="Arial" w:cs="Arial" w:eastAsia="Arial" w:hAnsi="Arial"/>
                <w:sz w:val="18"/>
                <w:szCs w:val="18"/>
                <w:color w:val="auto"/>
              </w:rPr>
              <w:t>Spain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Solutions, S.L.U.</w:t>
            </w:r>
          </w:p>
        </w:tc>
        <w:tc>
          <w:tcPr>
            <w:tcW w:w="6200" w:type="dxa"/>
            <w:vAlign w:val="bottom"/>
          </w:tcPr>
          <w:p>
            <w:pPr>
              <w:ind w:left="2720"/>
              <w:spacing w:after="0"/>
              <w:rPr>
                <w:sz w:val="20"/>
                <w:szCs w:val="20"/>
                <w:color w:val="auto"/>
              </w:rPr>
            </w:pPr>
            <w:r>
              <w:rPr>
                <w:rFonts w:ascii="Arial" w:cs="Arial" w:eastAsia="Arial" w:hAnsi="Arial"/>
                <w:sz w:val="18"/>
                <w:szCs w:val="18"/>
                <w:color w:val="auto"/>
              </w:rPr>
              <w:t>Spain</w:t>
            </w:r>
          </w:p>
        </w:tc>
      </w:tr>
      <w:tr>
        <w:trPr>
          <w:trHeight w:val="445"/>
        </w:trPr>
        <w:tc>
          <w:tcPr>
            <w:tcW w:w="5040" w:type="dxa"/>
            <w:vAlign w:val="bottom"/>
          </w:tcPr>
          <w:p>
            <w:pPr>
              <w:spacing w:after="0"/>
              <w:rPr>
                <w:sz w:val="24"/>
                <w:szCs w:val="24"/>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7</w:t>
            </w:r>
          </w:p>
        </w:tc>
      </w:tr>
      <w:tr>
        <w:trPr>
          <w:trHeight w:val="102"/>
        </w:trPr>
        <w:tc>
          <w:tcPr>
            <w:tcW w:w="5040" w:type="dxa"/>
            <w:vAlign w:val="bottom"/>
            <w:tcBorders>
              <w:bottom w:val="single" w:sz="8" w:color="9A9A9A"/>
            </w:tcBorders>
          </w:tcPr>
          <w:p>
            <w:pPr>
              <w:spacing w:after="0"/>
              <w:rPr>
                <w:sz w:val="8"/>
                <w:szCs w:val="8"/>
                <w:color w:val="auto"/>
              </w:rPr>
            </w:pPr>
          </w:p>
        </w:tc>
        <w:tc>
          <w:tcPr>
            <w:tcW w:w="6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5040" w:type="dxa"/>
            <w:vAlign w:val="bottom"/>
          </w:tcPr>
          <w:p>
            <w:pPr>
              <w:ind w:left="100"/>
              <w:spacing w:after="0"/>
              <w:rPr>
                <w:sz w:val="20"/>
                <w:szCs w:val="20"/>
                <w:color w:val="auto"/>
              </w:rPr>
            </w:pPr>
            <w:r>
              <w:rPr>
                <w:rFonts w:ascii="Arial" w:cs="Arial" w:eastAsia="Arial" w:hAnsi="Arial"/>
                <w:sz w:val="18"/>
                <w:szCs w:val="18"/>
                <w:color w:val="auto"/>
              </w:rPr>
              <w:t>Right Management Spain, S.L.U.</w:t>
            </w:r>
          </w:p>
        </w:tc>
        <w:tc>
          <w:tcPr>
            <w:tcW w:w="6200" w:type="dxa"/>
            <w:vAlign w:val="bottom"/>
          </w:tcPr>
          <w:p>
            <w:pPr>
              <w:ind w:left="2720"/>
              <w:spacing w:after="0"/>
              <w:rPr>
                <w:sz w:val="20"/>
                <w:szCs w:val="20"/>
                <w:color w:val="auto"/>
              </w:rPr>
            </w:pPr>
            <w:r>
              <w:rPr>
                <w:rFonts w:ascii="Arial" w:cs="Arial" w:eastAsia="Arial" w:hAnsi="Arial"/>
                <w:sz w:val="18"/>
                <w:szCs w:val="18"/>
                <w:color w:val="auto"/>
              </w:rPr>
              <w:t>Spain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Elan IT Resource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&amp; Jefferson Wells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EL &amp; Tele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Matchning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Student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Solutions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Solutions IT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Right Management Sweden AB</w:t>
            </w:r>
          </w:p>
        </w:tc>
        <w:tc>
          <w:tcPr>
            <w:tcW w:w="6200" w:type="dxa"/>
            <w:vAlign w:val="bottom"/>
          </w:tcPr>
          <w:p>
            <w:pPr>
              <w:ind w:left="2720"/>
              <w:spacing w:after="0"/>
              <w:rPr>
                <w:sz w:val="20"/>
                <w:szCs w:val="20"/>
                <w:color w:val="auto"/>
              </w:rPr>
            </w:pPr>
            <w:r>
              <w:rPr>
                <w:rFonts w:ascii="Arial" w:cs="Arial" w:eastAsia="Arial" w:hAnsi="Arial"/>
                <w:sz w:val="18"/>
                <w:szCs w:val="18"/>
                <w:color w:val="auto"/>
              </w:rPr>
              <w:t>Sweden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AG</w:t>
            </w:r>
          </w:p>
        </w:tc>
        <w:tc>
          <w:tcPr>
            <w:tcW w:w="6200" w:type="dxa"/>
            <w:vAlign w:val="bottom"/>
          </w:tcPr>
          <w:p>
            <w:pPr>
              <w:ind w:left="2720"/>
              <w:spacing w:after="0"/>
              <w:rPr>
                <w:sz w:val="20"/>
                <w:szCs w:val="20"/>
                <w:color w:val="auto"/>
              </w:rPr>
            </w:pPr>
            <w:r>
              <w:rPr>
                <w:rFonts w:ascii="Arial" w:cs="Arial" w:eastAsia="Arial" w:hAnsi="Arial"/>
                <w:sz w:val="18"/>
                <w:szCs w:val="18"/>
                <w:color w:val="auto"/>
              </w:rPr>
              <w:t>Switzerland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Schweiz AG</w:t>
            </w:r>
          </w:p>
        </w:tc>
        <w:tc>
          <w:tcPr>
            <w:tcW w:w="6200" w:type="dxa"/>
            <w:vAlign w:val="bottom"/>
          </w:tcPr>
          <w:p>
            <w:pPr>
              <w:ind w:left="2720"/>
              <w:spacing w:after="0"/>
              <w:rPr>
                <w:sz w:val="20"/>
                <w:szCs w:val="20"/>
                <w:color w:val="auto"/>
              </w:rPr>
            </w:pPr>
            <w:r>
              <w:rPr>
                <w:rFonts w:ascii="Arial" w:cs="Arial" w:eastAsia="Arial" w:hAnsi="Arial"/>
                <w:sz w:val="18"/>
                <w:szCs w:val="18"/>
                <w:color w:val="auto"/>
              </w:rPr>
              <w:t>Switzerland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M.S.A.</w:t>
            </w:r>
          </w:p>
        </w:tc>
        <w:tc>
          <w:tcPr>
            <w:tcW w:w="6200" w:type="dxa"/>
            <w:vAlign w:val="bottom"/>
          </w:tcPr>
          <w:p>
            <w:pPr>
              <w:ind w:left="2720"/>
              <w:spacing w:after="0"/>
              <w:rPr>
                <w:sz w:val="20"/>
                <w:szCs w:val="20"/>
                <w:color w:val="auto"/>
              </w:rPr>
            </w:pPr>
            <w:r>
              <w:rPr>
                <w:rFonts w:ascii="Arial" w:cs="Arial" w:eastAsia="Arial" w:hAnsi="Arial"/>
                <w:sz w:val="18"/>
                <w:szCs w:val="18"/>
                <w:color w:val="auto"/>
              </w:rPr>
              <w:t>Switzerland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AG</w:t>
            </w:r>
          </w:p>
        </w:tc>
        <w:tc>
          <w:tcPr>
            <w:tcW w:w="6200" w:type="dxa"/>
            <w:vAlign w:val="bottom"/>
          </w:tcPr>
          <w:p>
            <w:pPr>
              <w:ind w:left="2720"/>
              <w:spacing w:after="0"/>
              <w:rPr>
                <w:sz w:val="20"/>
                <w:szCs w:val="20"/>
                <w:color w:val="auto"/>
              </w:rPr>
            </w:pPr>
            <w:r>
              <w:rPr>
                <w:rFonts w:ascii="Arial" w:cs="Arial" w:eastAsia="Arial" w:hAnsi="Arial"/>
                <w:sz w:val="18"/>
                <w:szCs w:val="18"/>
                <w:color w:val="auto"/>
              </w:rPr>
              <w:t>Switzerland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ManpowerGroup SA</w:t>
            </w:r>
          </w:p>
        </w:tc>
        <w:tc>
          <w:tcPr>
            <w:tcW w:w="6200" w:type="dxa"/>
            <w:vAlign w:val="bottom"/>
          </w:tcPr>
          <w:p>
            <w:pPr>
              <w:ind w:left="2720"/>
              <w:spacing w:after="0"/>
              <w:rPr>
                <w:sz w:val="20"/>
                <w:szCs w:val="20"/>
                <w:color w:val="auto"/>
              </w:rPr>
            </w:pPr>
            <w:r>
              <w:rPr>
                <w:rFonts w:ascii="Arial" w:cs="Arial" w:eastAsia="Arial" w:hAnsi="Arial"/>
                <w:sz w:val="18"/>
                <w:szCs w:val="18"/>
                <w:color w:val="auto"/>
              </w:rPr>
              <w:t>Switzerland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Talent Solutions ManpowerGroup AG</w:t>
            </w:r>
          </w:p>
        </w:tc>
        <w:tc>
          <w:tcPr>
            <w:tcW w:w="6200" w:type="dxa"/>
            <w:vAlign w:val="bottom"/>
          </w:tcPr>
          <w:p>
            <w:pPr>
              <w:ind w:left="2720"/>
              <w:spacing w:after="0"/>
              <w:rPr>
                <w:sz w:val="20"/>
                <w:szCs w:val="20"/>
                <w:color w:val="auto"/>
              </w:rPr>
            </w:pPr>
            <w:r>
              <w:rPr>
                <w:rFonts w:ascii="Arial" w:cs="Arial" w:eastAsia="Arial" w:hAnsi="Arial"/>
                <w:sz w:val="18"/>
                <w:szCs w:val="18"/>
                <w:color w:val="auto"/>
              </w:rPr>
              <w:t>Switzerland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Services (Taiwan) Co., Ltd.</w:t>
            </w:r>
          </w:p>
        </w:tc>
        <w:tc>
          <w:tcPr>
            <w:tcW w:w="6200" w:type="dxa"/>
            <w:vAlign w:val="bottom"/>
          </w:tcPr>
          <w:p>
            <w:pPr>
              <w:ind w:left="2720"/>
              <w:spacing w:after="0"/>
              <w:rPr>
                <w:sz w:val="20"/>
                <w:szCs w:val="20"/>
                <w:color w:val="auto"/>
              </w:rPr>
            </w:pPr>
            <w:r>
              <w:rPr>
                <w:rFonts w:ascii="Arial" w:cs="Arial" w:eastAsia="Arial" w:hAnsi="Arial"/>
                <w:sz w:val="18"/>
                <w:szCs w:val="18"/>
                <w:color w:val="auto"/>
              </w:rPr>
              <w:t>Taiwan</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HR Power Solution Co., Ltd.</w:t>
            </w:r>
          </w:p>
        </w:tc>
        <w:tc>
          <w:tcPr>
            <w:tcW w:w="6200" w:type="dxa"/>
            <w:vAlign w:val="bottom"/>
          </w:tcPr>
          <w:p>
            <w:pPr>
              <w:ind w:left="2720"/>
              <w:spacing w:after="0"/>
              <w:rPr>
                <w:sz w:val="20"/>
                <w:szCs w:val="20"/>
                <w:color w:val="auto"/>
              </w:rPr>
            </w:pPr>
            <w:r>
              <w:rPr>
                <w:rFonts w:ascii="Arial" w:cs="Arial" w:eastAsia="Arial" w:hAnsi="Arial"/>
                <w:sz w:val="18"/>
                <w:szCs w:val="18"/>
                <w:color w:val="auto"/>
              </w:rPr>
              <w:t>Thailand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Borderless Talent Solution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Thailand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Professional and Executive Recruitment Co., Ltd.</w:t>
            </w:r>
          </w:p>
        </w:tc>
        <w:tc>
          <w:tcPr>
            <w:tcW w:w="6200" w:type="dxa"/>
            <w:vAlign w:val="bottom"/>
          </w:tcPr>
          <w:p>
            <w:pPr>
              <w:ind w:left="2720"/>
              <w:spacing w:after="0"/>
              <w:rPr>
                <w:sz w:val="20"/>
                <w:szCs w:val="20"/>
                <w:color w:val="auto"/>
              </w:rPr>
            </w:pPr>
            <w:r>
              <w:rPr>
                <w:rFonts w:ascii="Arial" w:cs="Arial" w:eastAsia="Arial" w:hAnsi="Arial"/>
                <w:sz w:val="18"/>
                <w:szCs w:val="18"/>
                <w:color w:val="auto"/>
              </w:rPr>
              <w:t>Thailand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Skillpower Services (Thailand) Co. Ltd.</w:t>
            </w:r>
          </w:p>
        </w:tc>
        <w:tc>
          <w:tcPr>
            <w:tcW w:w="6200" w:type="dxa"/>
            <w:vAlign w:val="bottom"/>
          </w:tcPr>
          <w:p>
            <w:pPr>
              <w:ind w:left="2720"/>
              <w:spacing w:after="0"/>
              <w:rPr>
                <w:sz w:val="20"/>
                <w:szCs w:val="20"/>
                <w:color w:val="auto"/>
              </w:rPr>
            </w:pPr>
            <w:r>
              <w:rPr>
                <w:rFonts w:ascii="Arial" w:cs="Arial" w:eastAsia="Arial" w:hAnsi="Arial"/>
                <w:sz w:val="18"/>
                <w:szCs w:val="18"/>
                <w:color w:val="auto"/>
              </w:rPr>
              <w:t>Thailand</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Insan Kaynaklari Limited Sirketi</w:t>
            </w:r>
          </w:p>
        </w:tc>
        <w:tc>
          <w:tcPr>
            <w:tcW w:w="6200" w:type="dxa"/>
            <w:vAlign w:val="bottom"/>
          </w:tcPr>
          <w:p>
            <w:pPr>
              <w:ind w:left="2720"/>
              <w:spacing w:after="0"/>
              <w:rPr>
                <w:sz w:val="20"/>
                <w:szCs w:val="20"/>
                <w:color w:val="auto"/>
              </w:rPr>
            </w:pPr>
            <w:r>
              <w:rPr>
                <w:rFonts w:ascii="Arial" w:cs="Arial" w:eastAsia="Arial" w:hAnsi="Arial"/>
                <w:sz w:val="18"/>
                <w:szCs w:val="18"/>
                <w:color w:val="auto"/>
              </w:rPr>
              <w:t>Turkey</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Secme ve Yerlestirme Hizmetleri Limited Sirketi</w:t>
            </w:r>
          </w:p>
        </w:tc>
        <w:tc>
          <w:tcPr>
            <w:tcW w:w="6200" w:type="dxa"/>
            <w:vAlign w:val="bottom"/>
          </w:tcPr>
          <w:p>
            <w:pPr>
              <w:ind w:left="2720"/>
              <w:spacing w:after="0"/>
              <w:rPr>
                <w:sz w:val="20"/>
                <w:szCs w:val="20"/>
                <w:color w:val="auto"/>
              </w:rPr>
            </w:pPr>
            <w:r>
              <w:rPr>
                <w:rFonts w:ascii="Arial" w:cs="Arial" w:eastAsia="Arial" w:hAnsi="Arial"/>
                <w:sz w:val="18"/>
                <w:szCs w:val="18"/>
                <w:color w:val="auto"/>
              </w:rPr>
              <w:t>Turkey</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Timberhorn IT Solutions, LLC</w:t>
            </w:r>
          </w:p>
        </w:tc>
        <w:tc>
          <w:tcPr>
            <w:tcW w:w="6200" w:type="dxa"/>
            <w:vAlign w:val="bottom"/>
          </w:tcPr>
          <w:p>
            <w:pPr>
              <w:ind w:left="2720"/>
              <w:spacing w:after="0"/>
              <w:rPr>
                <w:sz w:val="20"/>
                <w:szCs w:val="20"/>
                <w:color w:val="auto"/>
              </w:rPr>
            </w:pPr>
            <w:r>
              <w:rPr>
                <w:rFonts w:ascii="Arial" w:cs="Arial" w:eastAsia="Arial" w:hAnsi="Arial"/>
                <w:sz w:val="18"/>
                <w:szCs w:val="18"/>
                <w:color w:val="auto"/>
              </w:rPr>
              <w:t>TX</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Timberhorn, LLC</w:t>
            </w:r>
          </w:p>
        </w:tc>
        <w:tc>
          <w:tcPr>
            <w:tcW w:w="6200" w:type="dxa"/>
            <w:vAlign w:val="bottom"/>
          </w:tcPr>
          <w:p>
            <w:pPr>
              <w:ind w:left="2720"/>
              <w:spacing w:after="0"/>
              <w:rPr>
                <w:sz w:val="20"/>
                <w:szCs w:val="20"/>
                <w:color w:val="auto"/>
              </w:rPr>
            </w:pPr>
            <w:r>
              <w:rPr>
                <w:rFonts w:ascii="Arial" w:cs="Arial" w:eastAsia="Arial" w:hAnsi="Arial"/>
                <w:sz w:val="18"/>
                <w:szCs w:val="18"/>
                <w:color w:val="auto"/>
              </w:rPr>
              <w:t>TX</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Middle East FZ-LLC</w:t>
            </w:r>
          </w:p>
        </w:tc>
        <w:tc>
          <w:tcPr>
            <w:tcW w:w="6200" w:type="dxa"/>
            <w:vAlign w:val="bottom"/>
          </w:tcPr>
          <w:p>
            <w:pPr>
              <w:ind w:left="2720"/>
              <w:spacing w:after="0"/>
              <w:rPr>
                <w:sz w:val="20"/>
                <w:szCs w:val="20"/>
                <w:color w:val="auto"/>
              </w:rPr>
            </w:pPr>
            <w:r>
              <w:rPr>
                <w:rFonts w:ascii="Arial" w:cs="Arial" w:eastAsia="Arial" w:hAnsi="Arial"/>
                <w:sz w:val="18"/>
                <w:szCs w:val="18"/>
                <w:color w:val="auto"/>
              </w:rPr>
              <w:t>UAE</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Middle East Ltd</w:t>
            </w:r>
          </w:p>
        </w:tc>
        <w:tc>
          <w:tcPr>
            <w:tcW w:w="6200" w:type="dxa"/>
            <w:vAlign w:val="bottom"/>
          </w:tcPr>
          <w:p>
            <w:pPr>
              <w:ind w:left="2720"/>
              <w:spacing w:after="0"/>
              <w:rPr>
                <w:sz w:val="20"/>
                <w:szCs w:val="20"/>
                <w:color w:val="auto"/>
              </w:rPr>
            </w:pPr>
            <w:r>
              <w:rPr>
                <w:rFonts w:ascii="Arial" w:cs="Arial" w:eastAsia="Arial" w:hAnsi="Arial"/>
                <w:sz w:val="18"/>
                <w:szCs w:val="18"/>
                <w:color w:val="auto"/>
              </w:rPr>
              <w:t>UAE</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Manpower Ukraine LLC</w:t>
            </w:r>
          </w:p>
        </w:tc>
        <w:tc>
          <w:tcPr>
            <w:tcW w:w="6200" w:type="dxa"/>
            <w:vAlign w:val="bottom"/>
          </w:tcPr>
          <w:p>
            <w:pPr>
              <w:ind w:left="2720"/>
              <w:spacing w:after="0"/>
              <w:rPr>
                <w:sz w:val="20"/>
                <w:szCs w:val="20"/>
                <w:color w:val="auto"/>
              </w:rPr>
            </w:pPr>
            <w:r>
              <w:rPr>
                <w:rFonts w:ascii="Arial" w:cs="Arial" w:eastAsia="Arial" w:hAnsi="Arial"/>
                <w:sz w:val="18"/>
                <w:szCs w:val="18"/>
                <w:color w:val="auto"/>
              </w:rPr>
              <w:t>Ukraine</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777 Recruitment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AviationPower UK Ltd.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Bafin Holdings</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Brook Street (UK)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Brook Street Bureau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BS Project Services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Comsys VMS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Finance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Group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Experis Resource Support Services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270"/>
        </w:trPr>
        <w:tc>
          <w:tcPr>
            <w:tcW w:w="5040" w:type="dxa"/>
            <w:vAlign w:val="bottom"/>
          </w:tcPr>
          <w:p>
            <w:pPr>
              <w:ind w:left="100"/>
              <w:spacing w:after="0"/>
              <w:rPr>
                <w:sz w:val="20"/>
                <w:szCs w:val="20"/>
                <w:color w:val="auto"/>
              </w:rPr>
            </w:pPr>
            <w:r>
              <w:rPr>
                <w:rFonts w:ascii="Arial" w:cs="Arial" w:eastAsia="Arial" w:hAnsi="Arial"/>
                <w:sz w:val="18"/>
                <w:szCs w:val="18"/>
                <w:color w:val="auto"/>
              </w:rPr>
              <w:t>Integral Search &amp; Selection Limited</w:t>
            </w:r>
          </w:p>
        </w:tc>
        <w:tc>
          <w:tcPr>
            <w:tcW w:w="6200" w:type="dxa"/>
            <w:vAlign w:val="bottom"/>
          </w:tcPr>
          <w:p>
            <w:pPr>
              <w:ind w:left="2720"/>
              <w:spacing w:after="0"/>
              <w:rPr>
                <w:sz w:val="20"/>
                <w:szCs w:val="20"/>
                <w:color w:val="auto"/>
              </w:rPr>
            </w:pPr>
            <w:r>
              <w:rPr>
                <w:rFonts w:ascii="Arial" w:cs="Arial" w:eastAsia="Arial" w:hAnsi="Arial"/>
                <w:sz w:val="18"/>
                <w:szCs w:val="18"/>
                <w:color w:val="auto"/>
              </w:rPr>
              <w:t>United Kingdom</w:t>
            </w:r>
          </w:p>
        </w:tc>
      </w:tr>
      <w:tr>
        <w:trPr>
          <w:trHeight w:val="445"/>
        </w:trPr>
        <w:tc>
          <w:tcPr>
            <w:tcW w:w="5040" w:type="dxa"/>
            <w:vAlign w:val="bottom"/>
          </w:tcPr>
          <w:p>
            <w:pPr>
              <w:spacing w:after="0"/>
              <w:rPr>
                <w:sz w:val="24"/>
                <w:szCs w:val="24"/>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8</w:t>
            </w:r>
          </w:p>
        </w:tc>
      </w:tr>
      <w:tr>
        <w:trPr>
          <w:trHeight w:val="101"/>
        </w:trPr>
        <w:tc>
          <w:tcPr>
            <w:tcW w:w="5040" w:type="dxa"/>
            <w:vAlign w:val="bottom"/>
            <w:tcBorders>
              <w:bottom w:val="single" w:sz="8" w:color="9A9A9A"/>
            </w:tcBorders>
          </w:tcPr>
          <w:p>
            <w:pPr>
              <w:spacing w:after="0"/>
              <w:rPr>
                <w:sz w:val="8"/>
                <w:szCs w:val="8"/>
                <w:color w:val="auto"/>
              </w:rPr>
            </w:pPr>
          </w:p>
        </w:tc>
        <w:tc>
          <w:tcPr>
            <w:tcW w:w="6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4560" w:type="dxa"/>
            <w:vAlign w:val="bottom"/>
          </w:tcPr>
          <w:p>
            <w:pPr>
              <w:ind w:left="100"/>
              <w:spacing w:after="0"/>
              <w:rPr>
                <w:sz w:val="20"/>
                <w:szCs w:val="20"/>
                <w:color w:val="auto"/>
              </w:rPr>
            </w:pPr>
            <w:r>
              <w:rPr>
                <w:rFonts w:ascii="Arial" w:cs="Arial" w:eastAsia="Arial" w:hAnsi="Arial"/>
                <w:sz w:val="18"/>
                <w:szCs w:val="18"/>
                <w:color w:val="auto"/>
              </w:rPr>
              <w:t>Jefferson Wells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Juice Resource Solutions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Holdings (UK)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IT Services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Nominees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Services Ltd.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UK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ManpowerGroup (Scot) LP</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ManpowerGroup Digital Holdings Ltd.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ManpowerGroup Scotland LLP</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ManpowerGroup UK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Nicholas Andrews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People Source Consulting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People Source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Right Management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RMC EMEA Ltd.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SJB Corporate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SJB Services UK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The Empower Group Ltd.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Volaris Exec Recruitment Limited</w:t>
            </w:r>
          </w:p>
        </w:tc>
        <w:tc>
          <w:tcPr>
            <w:tcW w:w="6680" w:type="dxa"/>
            <w:vAlign w:val="bottom"/>
          </w:tcPr>
          <w:p>
            <w:pPr>
              <w:ind w:left="3200"/>
              <w:spacing w:after="0"/>
              <w:rPr>
                <w:sz w:val="20"/>
                <w:szCs w:val="20"/>
                <w:color w:val="auto"/>
              </w:rPr>
            </w:pPr>
            <w:r>
              <w:rPr>
                <w:rFonts w:ascii="Arial" w:cs="Arial" w:eastAsia="Arial" w:hAnsi="Arial"/>
                <w:sz w:val="18"/>
                <w:szCs w:val="18"/>
                <w:color w:val="auto"/>
              </w:rPr>
              <w:t>United Kingdom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Aris Sociedad Anonima</w:t>
            </w:r>
          </w:p>
        </w:tc>
        <w:tc>
          <w:tcPr>
            <w:tcW w:w="6680" w:type="dxa"/>
            <w:vAlign w:val="bottom"/>
          </w:tcPr>
          <w:p>
            <w:pPr>
              <w:ind w:left="3200"/>
              <w:spacing w:after="0"/>
              <w:rPr>
                <w:sz w:val="20"/>
                <w:szCs w:val="20"/>
                <w:color w:val="auto"/>
              </w:rPr>
            </w:pPr>
            <w:r>
              <w:rPr>
                <w:rFonts w:ascii="Arial" w:cs="Arial" w:eastAsia="Arial" w:hAnsi="Arial"/>
                <w:sz w:val="18"/>
                <w:szCs w:val="18"/>
                <w:color w:val="auto"/>
              </w:rPr>
              <w:t>Uruguay</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ManpowerGroup Public Sector Inc.</w:t>
            </w:r>
          </w:p>
        </w:tc>
        <w:tc>
          <w:tcPr>
            <w:tcW w:w="6680" w:type="dxa"/>
            <w:vAlign w:val="bottom"/>
          </w:tcPr>
          <w:p>
            <w:pPr>
              <w:ind w:left="3200"/>
              <w:spacing w:after="0"/>
              <w:rPr>
                <w:sz w:val="20"/>
                <w:szCs w:val="20"/>
                <w:color w:val="auto"/>
              </w:rPr>
            </w:pPr>
            <w:r>
              <w:rPr>
                <w:rFonts w:ascii="Arial" w:cs="Arial" w:eastAsia="Arial" w:hAnsi="Arial"/>
                <w:sz w:val="18"/>
                <w:szCs w:val="18"/>
                <w:color w:val="auto"/>
              </w:rPr>
              <w:t>VA</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de Venezuela C.A.</w:t>
            </w:r>
          </w:p>
        </w:tc>
        <w:tc>
          <w:tcPr>
            <w:tcW w:w="6680" w:type="dxa"/>
            <w:vAlign w:val="bottom"/>
          </w:tcPr>
          <w:p>
            <w:pPr>
              <w:ind w:left="3200"/>
              <w:spacing w:after="0"/>
              <w:rPr>
                <w:sz w:val="20"/>
                <w:szCs w:val="20"/>
                <w:color w:val="auto"/>
              </w:rPr>
            </w:pPr>
            <w:r>
              <w:rPr>
                <w:rFonts w:ascii="Arial" w:cs="Arial" w:eastAsia="Arial" w:hAnsi="Arial"/>
                <w:sz w:val="18"/>
                <w:szCs w:val="18"/>
                <w:color w:val="auto"/>
              </w:rPr>
              <w:t>Venezuela</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Empresa de Trabajo Temporal, C.A.</w:t>
            </w:r>
          </w:p>
        </w:tc>
        <w:tc>
          <w:tcPr>
            <w:tcW w:w="6680" w:type="dxa"/>
            <w:vAlign w:val="bottom"/>
          </w:tcPr>
          <w:p>
            <w:pPr>
              <w:ind w:left="3200"/>
              <w:spacing w:after="0"/>
              <w:rPr>
                <w:sz w:val="20"/>
                <w:szCs w:val="20"/>
                <w:color w:val="auto"/>
              </w:rPr>
            </w:pPr>
            <w:r>
              <w:rPr>
                <w:rFonts w:ascii="Arial" w:cs="Arial" w:eastAsia="Arial" w:hAnsi="Arial"/>
                <w:sz w:val="18"/>
                <w:szCs w:val="18"/>
                <w:color w:val="auto"/>
              </w:rPr>
              <w:t>Venezuela</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Servicios Alleray, C.A.</w:t>
            </w:r>
          </w:p>
        </w:tc>
        <w:tc>
          <w:tcPr>
            <w:tcW w:w="6680" w:type="dxa"/>
            <w:vAlign w:val="bottom"/>
          </w:tcPr>
          <w:p>
            <w:pPr>
              <w:ind w:left="3200"/>
              <w:spacing w:after="0"/>
              <w:rPr>
                <w:sz w:val="20"/>
                <w:szCs w:val="20"/>
                <w:color w:val="auto"/>
              </w:rPr>
            </w:pPr>
            <w:r>
              <w:rPr>
                <w:rFonts w:ascii="Arial" w:cs="Arial" w:eastAsia="Arial" w:hAnsi="Arial"/>
                <w:sz w:val="18"/>
                <w:szCs w:val="18"/>
                <w:color w:val="auto"/>
              </w:rPr>
              <w:t>Venezuela</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Vietnam Company Ltd.</w:t>
            </w:r>
          </w:p>
        </w:tc>
        <w:tc>
          <w:tcPr>
            <w:tcW w:w="6680" w:type="dxa"/>
            <w:vAlign w:val="bottom"/>
          </w:tcPr>
          <w:p>
            <w:pPr>
              <w:ind w:left="3200"/>
              <w:spacing w:after="0"/>
              <w:rPr>
                <w:sz w:val="20"/>
                <w:szCs w:val="20"/>
                <w:color w:val="auto"/>
              </w:rPr>
            </w:pPr>
            <w:r>
              <w:rPr>
                <w:rFonts w:ascii="Arial" w:cs="Arial" w:eastAsia="Arial" w:hAnsi="Arial"/>
                <w:sz w:val="18"/>
                <w:szCs w:val="18"/>
                <w:color w:val="auto"/>
              </w:rPr>
              <w:t>Vietnam</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Experis US Inc</w:t>
            </w:r>
          </w:p>
        </w:tc>
        <w:tc>
          <w:tcPr>
            <w:tcW w:w="6680" w:type="dxa"/>
            <w:vAlign w:val="bottom"/>
          </w:tcPr>
          <w:p>
            <w:pPr>
              <w:ind w:left="3200"/>
              <w:spacing w:after="0"/>
              <w:rPr>
                <w:sz w:val="20"/>
                <w:szCs w:val="20"/>
                <w:color w:val="auto"/>
              </w:rPr>
            </w:pPr>
            <w:r>
              <w:rPr>
                <w:rFonts w:ascii="Arial" w:cs="Arial" w:eastAsia="Arial" w:hAnsi="Arial"/>
                <w:sz w:val="18"/>
                <w:szCs w:val="18"/>
                <w:color w:val="auto"/>
              </w:rPr>
              <w:t>WI</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 Nominees Inc.</w:t>
            </w:r>
          </w:p>
        </w:tc>
        <w:tc>
          <w:tcPr>
            <w:tcW w:w="6680" w:type="dxa"/>
            <w:vAlign w:val="bottom"/>
          </w:tcPr>
          <w:p>
            <w:pPr>
              <w:ind w:left="3200"/>
              <w:spacing w:after="0"/>
              <w:rPr>
                <w:sz w:val="20"/>
                <w:szCs w:val="20"/>
                <w:color w:val="auto"/>
              </w:rPr>
            </w:pPr>
            <w:r>
              <w:rPr>
                <w:rFonts w:ascii="Arial" w:cs="Arial" w:eastAsia="Arial" w:hAnsi="Arial"/>
                <w:sz w:val="18"/>
                <w:szCs w:val="18"/>
                <w:color w:val="auto"/>
              </w:rPr>
              <w:t>WI</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ManpowerGroup Global Inc.</w:t>
            </w:r>
          </w:p>
        </w:tc>
        <w:tc>
          <w:tcPr>
            <w:tcW w:w="6680" w:type="dxa"/>
            <w:vAlign w:val="bottom"/>
          </w:tcPr>
          <w:p>
            <w:pPr>
              <w:ind w:left="3200"/>
              <w:spacing w:after="0"/>
              <w:rPr>
                <w:sz w:val="20"/>
                <w:szCs w:val="20"/>
                <w:color w:val="auto"/>
              </w:rPr>
            </w:pPr>
            <w:r>
              <w:rPr>
                <w:rFonts w:ascii="Arial" w:cs="Arial" w:eastAsia="Arial" w:hAnsi="Arial"/>
                <w:sz w:val="18"/>
                <w:szCs w:val="18"/>
                <w:color w:val="auto"/>
              </w:rPr>
              <w:t>WI</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ManpowerGroup Mexico Holdings LLC</w:t>
            </w:r>
          </w:p>
        </w:tc>
        <w:tc>
          <w:tcPr>
            <w:tcW w:w="6680" w:type="dxa"/>
            <w:vAlign w:val="bottom"/>
          </w:tcPr>
          <w:p>
            <w:pPr>
              <w:ind w:left="3200"/>
              <w:spacing w:after="0"/>
              <w:rPr>
                <w:sz w:val="20"/>
                <w:szCs w:val="20"/>
                <w:color w:val="auto"/>
              </w:rPr>
            </w:pPr>
            <w:r>
              <w:rPr>
                <w:rFonts w:ascii="Arial" w:cs="Arial" w:eastAsia="Arial" w:hAnsi="Arial"/>
                <w:sz w:val="18"/>
                <w:szCs w:val="18"/>
                <w:color w:val="auto"/>
              </w:rPr>
              <w:t>WI</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ManpowerGroup US Inc.</w:t>
            </w:r>
          </w:p>
        </w:tc>
        <w:tc>
          <w:tcPr>
            <w:tcW w:w="6680" w:type="dxa"/>
            <w:vAlign w:val="bottom"/>
          </w:tcPr>
          <w:p>
            <w:pPr>
              <w:ind w:left="3200"/>
              <w:spacing w:after="0"/>
              <w:rPr>
                <w:sz w:val="20"/>
                <w:szCs w:val="20"/>
                <w:color w:val="auto"/>
              </w:rPr>
            </w:pPr>
            <w:r>
              <w:rPr>
                <w:rFonts w:ascii="Arial" w:cs="Arial" w:eastAsia="Arial" w:hAnsi="Arial"/>
                <w:sz w:val="18"/>
                <w:szCs w:val="18"/>
                <w:color w:val="auto"/>
              </w:rPr>
              <w:t>WI</w:t>
            </w:r>
          </w:p>
        </w:tc>
      </w:tr>
      <w:tr>
        <w:trPr>
          <w:trHeight w:val="270"/>
        </w:trPr>
        <w:tc>
          <w:tcPr>
            <w:tcW w:w="4560" w:type="dxa"/>
            <w:vAlign w:val="bottom"/>
          </w:tcPr>
          <w:p>
            <w:pPr>
              <w:ind w:left="100"/>
              <w:spacing w:after="0"/>
              <w:rPr>
                <w:sz w:val="20"/>
                <w:szCs w:val="20"/>
                <w:color w:val="auto"/>
              </w:rPr>
            </w:pPr>
            <w:r>
              <w:rPr>
                <w:rFonts w:ascii="Arial" w:cs="Arial" w:eastAsia="Arial" w:hAnsi="Arial"/>
                <w:sz w:val="18"/>
                <w:szCs w:val="18"/>
                <w:color w:val="auto"/>
              </w:rPr>
              <w:t>Signature Graphics of Milwaukee, LLC</w:t>
            </w:r>
          </w:p>
        </w:tc>
        <w:tc>
          <w:tcPr>
            <w:tcW w:w="6680" w:type="dxa"/>
            <w:vAlign w:val="bottom"/>
          </w:tcPr>
          <w:p>
            <w:pPr>
              <w:ind w:left="3200"/>
              <w:spacing w:after="0"/>
              <w:rPr>
                <w:sz w:val="20"/>
                <w:szCs w:val="20"/>
                <w:color w:val="auto"/>
              </w:rPr>
            </w:pPr>
            <w:r>
              <w:rPr>
                <w:rFonts w:ascii="Arial" w:cs="Arial" w:eastAsia="Arial" w:hAnsi="Arial"/>
                <w:sz w:val="18"/>
                <w:szCs w:val="18"/>
                <w:color w:val="auto"/>
              </w:rPr>
              <w:t>WI</w:t>
            </w:r>
          </w:p>
        </w:tc>
      </w:tr>
      <w:tr>
        <w:trPr>
          <w:trHeight w:val="445"/>
        </w:trPr>
        <w:tc>
          <w:tcPr>
            <w:tcW w:w="4560" w:type="dxa"/>
            <w:vAlign w:val="bottom"/>
          </w:tcPr>
          <w:p>
            <w:pPr>
              <w:spacing w:after="0"/>
              <w:rPr>
                <w:sz w:val="24"/>
                <w:szCs w:val="24"/>
                <w:color w:val="auto"/>
              </w:rPr>
            </w:pPr>
          </w:p>
        </w:tc>
        <w:tc>
          <w:tcPr>
            <w:tcW w:w="6680" w:type="dxa"/>
            <w:vAlign w:val="bottom"/>
          </w:tcPr>
          <w:p>
            <w:pPr>
              <w:ind w:left="1020"/>
              <w:spacing w:after="0"/>
              <w:rPr>
                <w:sz w:val="20"/>
                <w:szCs w:val="20"/>
                <w:color w:val="auto"/>
              </w:rPr>
            </w:pPr>
            <w:r>
              <w:rPr>
                <w:rFonts w:ascii="Arial" w:cs="Arial" w:eastAsia="Arial" w:hAnsi="Arial"/>
                <w:sz w:val="18"/>
                <w:szCs w:val="18"/>
                <w:color w:val="auto"/>
              </w:rPr>
              <w:t>9</w:t>
            </w:r>
          </w:p>
        </w:tc>
      </w:tr>
      <w:tr>
        <w:trPr>
          <w:trHeight w:val="102"/>
        </w:trPr>
        <w:tc>
          <w:tcPr>
            <w:tcW w:w="4560" w:type="dxa"/>
            <w:vAlign w:val="bottom"/>
            <w:tcBorders>
              <w:bottom w:val="single" w:sz="8" w:color="9A9A9A"/>
            </w:tcBorders>
          </w:tcPr>
          <w:p>
            <w:pPr>
              <w:spacing w:after="0"/>
              <w:rPr>
                <w:sz w:val="8"/>
                <w:szCs w:val="8"/>
                <w:color w:val="auto"/>
              </w:rPr>
            </w:pPr>
          </w:p>
        </w:tc>
        <w:tc>
          <w:tcPr>
            <w:tcW w:w="6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consent to the incorporation by reference in Registration Statement Nos. 33-40441, 333-1040, 333-105205, 333-126703, 333-135000, 333-161765, 333-174305, 333-195833, and 333-238801 on Form S-8 and Registration Nos. 333-650 and 33-95896 on Form S-4 of our reports dated February 18, 2022, relating to the consolidated financial statements and consolidated financial statement schedule of ManpowerGroup Inc. and subsidiaries (the “Company”), and the effectiveness of the Company’s internal control over financial reporting, appearing in this Annual Report on Form 10-K of ManpowerGroup Inc. for the year ended December 31,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00" w:lineRule="exact"/>
        <w:rPr>
          <w:sz w:val="20"/>
          <w:szCs w:val="20"/>
          <w:color w:val="auto"/>
        </w:rPr>
      </w:pPr>
    </w:p>
    <w:p>
      <w:pPr>
        <w:spacing w:after="0" w:line="344" w:lineRule="exact"/>
        <w:rPr>
          <w:sz w:val="20"/>
          <w:szCs w:val="20"/>
          <w:color w:val="auto"/>
        </w:rPr>
      </w:pPr>
    </w:p>
    <w:p>
      <w:pPr>
        <w:ind w:right="20" w:firstLine="749"/>
        <w:spacing w:after="0" w:line="283" w:lineRule="auto"/>
        <w:rPr>
          <w:sz w:val="20"/>
          <w:szCs w:val="20"/>
          <w:color w:val="auto"/>
        </w:rPr>
      </w:pPr>
      <w:r>
        <w:rPr>
          <w:rFonts w:ascii="Arial" w:cs="Arial" w:eastAsia="Arial" w:hAnsi="Arial"/>
          <w:sz w:val="18"/>
          <w:szCs w:val="18"/>
          <w:color w:val="auto"/>
        </w:rPr>
        <w:t>Each of the undersigned directors of ManpowerGroup Inc. (the “Company”) hereby constitutes and appoints Jonas Prising, John T. McGinnis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2021,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0" w:lineRule="exact"/>
        <w:rPr>
          <w:sz w:val="20"/>
          <w:szCs w:val="20"/>
          <w:color w:val="auto"/>
        </w:rPr>
      </w:pPr>
    </w:p>
    <w:p>
      <w:pPr>
        <w:spacing w:after="0" w:line="276" w:lineRule="exact"/>
        <w:rPr>
          <w:sz w:val="20"/>
          <w:szCs w:val="20"/>
          <w:color w:val="auto"/>
        </w:rPr>
      </w:pPr>
    </w:p>
    <w:p>
      <w:pPr>
        <w:ind w:right="160" w:firstLine="749"/>
        <w:spacing w:after="0" w:line="299"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January, 2022.</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23495</wp:posOffset>
            </wp:positionV>
            <wp:extent cx="186880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70"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Gina R. Boswell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Jean-Philippe Courtois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23495</wp:posOffset>
            </wp:positionV>
            <wp:extent cx="186880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70"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Jean-Philippe Courtois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23495</wp:posOffset>
            </wp:positionV>
            <wp:extent cx="186880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19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William Downe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23495</wp:posOffset>
            </wp:positionV>
            <wp:extent cx="186880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70"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John F. Ferraro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William P. Gipson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23495</wp:posOffset>
            </wp:positionV>
            <wp:extent cx="186880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70"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William P. Gipson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/s/ 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30480</wp:posOffset>
            </wp:positionV>
            <wp:extent cx="186880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8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Patricia Hemingway Hall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160337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Julie M. Howard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160337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160337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160337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Paul Read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160337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Elizabeth P. Sartain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30480</wp:posOffset>
            </wp:positionV>
            <wp:extent cx="160337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361950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100" w:space="720"/>
            <w:col w:w="4420"/>
          </w:cols>
          <w:pgMar w:left="320" w:top="373" w:right="3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Chairman and Chief Executive Officer of ManpowerGroup Inc., certify that:</w:t>
      </w:r>
    </w:p>
    <w:p>
      <w:pPr>
        <w:spacing w:after="0" w:line="104" w:lineRule="exact"/>
        <w:rPr>
          <w:sz w:val="20"/>
          <w:szCs w:val="20"/>
          <w:color w:val="auto"/>
        </w:rPr>
      </w:pPr>
    </w:p>
    <w:p>
      <w:pPr>
        <w:ind w:left="780" w:hanging="368"/>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03" w:lineRule="exact"/>
        <w:rPr>
          <w:rFonts w:ascii="Arial" w:cs="Arial" w:eastAsia="Arial" w:hAnsi="Arial"/>
          <w:sz w:val="18"/>
          <w:szCs w:val="18"/>
          <w:color w:val="auto"/>
        </w:rPr>
      </w:pPr>
    </w:p>
    <w:p>
      <w:pPr>
        <w:ind w:left="780" w:right="60" w:hanging="368"/>
        <w:spacing w:after="0" w:line="24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220" w:hanging="368"/>
        <w:spacing w:after="0" w:line="291"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780" w:right="180" w:hanging="368"/>
        <w:spacing w:after="0" w:line="274"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7" w:lineRule="exact"/>
        <w:rPr>
          <w:rFonts w:ascii="Arial" w:cs="Arial" w:eastAsia="Arial" w:hAnsi="Arial"/>
          <w:sz w:val="16"/>
          <w:szCs w:val="16"/>
          <w:color w:val="auto"/>
        </w:rPr>
      </w:pPr>
    </w:p>
    <w:p>
      <w:pPr>
        <w:ind w:left="2040" w:right="100" w:hanging="415"/>
        <w:spacing w:after="0" w:line="294" w:lineRule="auto"/>
        <w:tabs>
          <w:tab w:leader="none" w:pos="20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2040" w:right="120" w:hanging="415"/>
        <w:spacing w:after="0" w:line="270" w:lineRule="auto"/>
        <w:tabs>
          <w:tab w:leader="none" w:pos="20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7"/>
          <w:szCs w:val="17"/>
          <w:color w:val="auto"/>
        </w:rPr>
      </w:pPr>
    </w:p>
    <w:p>
      <w:pPr>
        <w:ind w:left="2040" w:right="200" w:hanging="415"/>
        <w:spacing w:after="0" w:line="248" w:lineRule="auto"/>
        <w:tabs>
          <w:tab w:leader="none" w:pos="2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040" w:right="240" w:hanging="415"/>
        <w:spacing w:after="0" w:line="294" w:lineRule="auto"/>
        <w:tabs>
          <w:tab w:leader="none" w:pos="20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780" w:right="140" w:hanging="368"/>
        <w:spacing w:after="0" w:line="324"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2040" w:right="420" w:hanging="415"/>
        <w:spacing w:after="0" w:line="248" w:lineRule="auto"/>
        <w:tabs>
          <w:tab w:leader="none" w:pos="208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040" w:right="840" w:hanging="415"/>
        <w:spacing w:after="0" w:line="261" w:lineRule="auto"/>
        <w:tabs>
          <w:tab w:leader="none" w:pos="2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18,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Prising</w:t>
      </w: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04" w:lineRule="exact"/>
        <w:rPr>
          <w:sz w:val="20"/>
          <w:szCs w:val="20"/>
          <w:color w:val="auto"/>
        </w:rPr>
      </w:pPr>
    </w:p>
    <w:p>
      <w:pPr>
        <w:ind w:left="780" w:hanging="368"/>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03" w:lineRule="exact"/>
        <w:rPr>
          <w:rFonts w:ascii="Arial" w:cs="Arial" w:eastAsia="Arial" w:hAnsi="Arial"/>
          <w:sz w:val="18"/>
          <w:szCs w:val="18"/>
          <w:color w:val="auto"/>
        </w:rPr>
      </w:pPr>
    </w:p>
    <w:p>
      <w:pPr>
        <w:ind w:left="780" w:right="60" w:hanging="368"/>
        <w:spacing w:after="0" w:line="24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220" w:hanging="368"/>
        <w:spacing w:after="0" w:line="291" w:lineRule="auto"/>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780" w:right="180" w:hanging="368"/>
        <w:spacing w:after="0" w:line="274"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7" w:lineRule="exact"/>
        <w:rPr>
          <w:rFonts w:ascii="Arial" w:cs="Arial" w:eastAsia="Arial" w:hAnsi="Arial"/>
          <w:sz w:val="16"/>
          <w:szCs w:val="16"/>
          <w:color w:val="auto"/>
        </w:rPr>
      </w:pPr>
    </w:p>
    <w:p>
      <w:pPr>
        <w:ind w:left="2040" w:right="100" w:hanging="415"/>
        <w:spacing w:after="0" w:line="294" w:lineRule="auto"/>
        <w:tabs>
          <w:tab w:leader="none" w:pos="20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2040" w:right="120" w:hanging="415"/>
        <w:spacing w:after="0" w:line="270" w:lineRule="auto"/>
        <w:tabs>
          <w:tab w:leader="none" w:pos="20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7"/>
          <w:szCs w:val="17"/>
          <w:color w:val="auto"/>
        </w:rPr>
      </w:pPr>
    </w:p>
    <w:p>
      <w:pPr>
        <w:ind w:left="2040" w:right="200" w:hanging="415"/>
        <w:spacing w:after="0" w:line="248" w:lineRule="auto"/>
        <w:tabs>
          <w:tab w:leader="none" w:pos="20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040" w:right="240" w:hanging="415"/>
        <w:spacing w:after="0" w:line="294" w:lineRule="auto"/>
        <w:tabs>
          <w:tab w:leader="none" w:pos="20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780" w:right="140" w:hanging="368"/>
        <w:spacing w:after="0" w:line="324"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2040" w:right="460" w:hanging="415"/>
        <w:spacing w:after="0" w:line="248" w:lineRule="auto"/>
        <w:tabs>
          <w:tab w:leader="none" w:pos="20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040" w:right="840" w:hanging="415"/>
        <w:spacing w:after="0" w:line="261" w:lineRule="auto"/>
        <w:tabs>
          <w:tab w:leader="none" w:pos="20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18,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T. McGinnis</w:t>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30" w:lineRule="exact"/>
        <w:rPr>
          <w:sz w:val="20"/>
          <w:szCs w:val="20"/>
          <w:color w:val="auto"/>
        </w:rPr>
      </w:pPr>
    </w:p>
    <w:p>
      <w:pPr>
        <w:ind w:left="640" w:right="440" w:hanging="377"/>
        <w:spacing w:after="0" w:line="261"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2021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640" w:hanging="377"/>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rFonts w:ascii="Arial" w:cs="Arial" w:eastAsia="Arial" w:hAnsi="Arial"/>
          <w:sz w:val="16"/>
          <w:szCs w:val="16"/>
          <w:color w:val="auto"/>
        </w:rPr>
      </w:pPr>
    </w:p>
    <w:p>
      <w:pPr>
        <w:ind w:left="20" w:right="9160"/>
        <w:spacing w:after="0" w:line="497" w:lineRule="auto"/>
        <w:rPr>
          <w:rFonts w:ascii="Arial" w:cs="Arial" w:eastAsia="Arial" w:hAnsi="Arial"/>
          <w:sz w:val="16"/>
          <w:szCs w:val="16"/>
          <w:color w:val="auto"/>
        </w:rPr>
      </w:pPr>
      <w:r>
        <w:rPr>
          <w:rFonts w:ascii="Arial" w:cs="Arial" w:eastAsia="Arial" w:hAnsi="Arial"/>
          <w:sz w:val="17"/>
          <w:szCs w:val="17"/>
          <w:color w:val="auto"/>
        </w:rPr>
        <w:t>MANPOWERGROUP INC. Dated: February 18, 2022</w:t>
      </w:r>
    </w:p>
    <w:p>
      <w:pPr>
        <w:ind w:left="2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Prising</w:t>
      </w: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30" w:lineRule="exact"/>
        <w:rPr>
          <w:sz w:val="20"/>
          <w:szCs w:val="20"/>
          <w:color w:val="auto"/>
        </w:rPr>
      </w:pPr>
    </w:p>
    <w:p>
      <w:pPr>
        <w:ind w:left="640" w:right="440" w:hanging="377"/>
        <w:spacing w:after="0" w:line="261"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2021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640" w:hanging="377"/>
        <w:spacing w:after="0"/>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rFonts w:ascii="Arial" w:cs="Arial" w:eastAsia="Arial" w:hAnsi="Arial"/>
          <w:sz w:val="16"/>
          <w:szCs w:val="16"/>
          <w:color w:val="auto"/>
        </w:rPr>
      </w:pPr>
    </w:p>
    <w:p>
      <w:pPr>
        <w:ind w:left="20" w:right="9160"/>
        <w:spacing w:after="0" w:line="497" w:lineRule="auto"/>
        <w:rPr>
          <w:rFonts w:ascii="Arial" w:cs="Arial" w:eastAsia="Arial" w:hAnsi="Arial"/>
          <w:sz w:val="16"/>
          <w:szCs w:val="16"/>
          <w:color w:val="auto"/>
        </w:rPr>
      </w:pPr>
      <w:r>
        <w:rPr>
          <w:rFonts w:ascii="Arial" w:cs="Arial" w:eastAsia="Arial" w:hAnsi="Arial"/>
          <w:sz w:val="17"/>
          <w:szCs w:val="17"/>
          <w:color w:val="auto"/>
        </w:rPr>
        <w:t>MANPOWERGROUP INC. Dated: February 18, 2022</w:t>
      </w:r>
    </w:p>
    <w:p>
      <w:pPr>
        <w:ind w:left="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T. McGinnis</w:t>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lowerLetter"/>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o"/>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2"/>
    </w:lvl>
  </w:abstractNum>
  <w:abstractNum w:abstractNumId="31">
    <w:nsid w:val="3F6AB60F"/>
    <w:multiLevelType w:val="hybridMultilevel"/>
    <w:lvl w:ilvl="0">
      <w:lvlJc w:val="left"/>
      <w:lvlText w:val="•"/>
      <w:numFmt w:val="bullet"/>
      <w:start w:val="1"/>
    </w:lvl>
    <w:lvl w:ilvl="1">
      <w:lvlJc w:val="left"/>
      <w:lvlText w:val="•"/>
      <w:numFmt w:val="bullet"/>
      <w:start w:val="1"/>
    </w:lvl>
  </w:abstractNum>
  <w:abstractNum w:abstractNumId="32">
    <w:nsid w:val="61574095"/>
    <w:multiLevelType w:val="hybridMultilevel"/>
    <w:lvl w:ilvl="0">
      <w:lvlJc w:val="left"/>
      <w:lvlText w:val="(%1)"/>
      <w:numFmt w:val="decimal"/>
      <w:start w:val="3"/>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4"/>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6"/>
    </w:lvl>
  </w:abstractNum>
  <w:abstractNum w:abstractNumId="37">
    <w:nsid w:val="5FF87E05"/>
    <w:multiLevelType w:val="hybridMultilevel"/>
    <w:lvl w:ilvl="0">
      <w:lvlJc w:val="left"/>
      <w:lvlText w:val="(%1)"/>
      <w:numFmt w:val="decimal"/>
      <w:start w:val="7"/>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9"/>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12"/>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14"/>
    </w:lvl>
  </w:abstractNum>
  <w:abstractNum w:abstractNumId="45">
    <w:nsid w:val="100F8FCA"/>
    <w:multiLevelType w:val="hybridMultilevel"/>
    <w:lvl w:ilvl="0">
      <w:lvlJc w:val="left"/>
      <w:lvlText w:val="(%1)"/>
      <w:numFmt w:val="lowerLetter"/>
      <w:start w:val="2"/>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1)"/>
      <w:numFmt w:val="lowerLetter"/>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1"/>
      <w:numFmt w:val="decimal"/>
      <w:start w:val="21"/>
    </w:lvl>
  </w:abstractNum>
  <w:abstractNum w:abstractNumId="52">
    <w:nsid w:val="42C296BD"/>
    <w:multiLevelType w:val="hybridMultilevel"/>
    <w:lvl w:ilvl="0">
      <w:lvlJc w:val="left"/>
      <w:lvlText w:val="%1"/>
      <w:numFmt w:val="decimal"/>
      <w:start w:val="24"/>
    </w:lvl>
  </w:abstractNum>
  <w:abstractNum w:abstractNumId="53">
    <w:nsid w:val="168E121F"/>
    <w:multiLevelType w:val="hybridMultilevel"/>
    <w:lvl w:ilvl="0">
      <w:lvlJc w:val="left"/>
      <w:lvlText w:val="**"/>
      <w:numFmt w:val="bullet"/>
      <w:start w:val="1"/>
    </w:lvl>
    <w:lvl w:ilvl="1">
      <w:lvlJc w:val="left"/>
      <w:lvlText w:val="%2"/>
      <w:numFmt w:val="decimal"/>
      <w:start w:val="104"/>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Letter"/>
      <w:start w:val="4"/>
    </w:lvl>
  </w:abstractNum>
  <w:abstractNum w:abstractNumId="57">
    <w:nsid w:val="540A471C"/>
    <w:multiLevelType w:val="hybridMultilevel"/>
    <w:lvl w:ilvl="0">
      <w:lvlJc w:val="left"/>
      <w:lvlText w:val="(%1)"/>
      <w:numFmt w:val="lowerLetter"/>
      <w:start w:val="1"/>
    </w:lvl>
  </w:abstractNum>
  <w:abstractNum w:abstractNumId="58">
    <w:nsid w:val="7BD3EE7B"/>
    <w:multiLevelType w:val="hybridMultilevel"/>
    <w:lvl w:ilvl="0">
      <w:lvlJc w:val="left"/>
      <w:lvlText w:val="(%1)"/>
      <w:numFmt w:val="lowerLetter"/>
      <w:start w:val="1"/>
    </w:lvl>
    <w:lvl w:ilvl="1">
      <w:lvlJc w:val="left"/>
      <w:lvlText w:val="(%2)"/>
      <w:numFmt w:val="decimal"/>
      <w:start w:val="1"/>
    </w:lvl>
  </w:abstractNum>
  <w:abstractNum w:abstractNumId="59">
    <w:nsid w:val="51D9C564"/>
    <w:multiLevelType w:val="hybridMultilevel"/>
    <w:lvl w:ilvl="0">
      <w:lvlJc w:val="left"/>
      <w:lvlText w:val="%1"/>
      <w:numFmt w:val="lowerLetter"/>
      <w:start w:val="1"/>
    </w:lvl>
    <w:lvl w:ilvl="1">
      <w:lvlJc w:val="left"/>
      <w:lvlText w:val="(%2)"/>
      <w:numFmt w:val="decimal"/>
      <w:start w:val="2"/>
    </w:lvl>
  </w:abstractNum>
  <w:abstractNum w:abstractNumId="60">
    <w:nsid w:val="613EFDC5"/>
    <w:multiLevelType w:val="hybridMultilevel"/>
    <w:lvl w:ilvl="0">
      <w:lvlJc w:val="left"/>
      <w:lvlText w:val="(%1)"/>
      <w:numFmt w:val="lowerLetter"/>
      <w:start w:val="5"/>
    </w:lvl>
    <w:lvl w:ilvl="1">
      <w:lvlJc w:val="left"/>
      <w:lvlText w:val="%2"/>
      <w:numFmt w:val="decimal"/>
      <w:start w:val="1"/>
    </w:lvl>
  </w:abstractNum>
  <w:abstractNum w:abstractNumId="61">
    <w:nsid w:val="BF72B14"/>
    <w:multiLevelType w:val="hybridMultilevel"/>
    <w:lvl w:ilvl="0">
      <w:lvlJc w:val="left"/>
      <w:lvlText w:val="(%1)"/>
      <w:numFmt w:val="lowerLetter"/>
      <w:start w:val="1"/>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6"/>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lowerLetter"/>
      <w:start w:val="1"/>
    </w:lvl>
  </w:abstractNum>
  <w:abstractNum w:abstractNumId="66">
    <w:nsid w:val="1A32234B"/>
    <w:multiLevelType w:val="hybridMultilevel"/>
    <w:lvl w:ilvl="0">
      <w:lvlJc w:val="left"/>
      <w:lvlText w:val="(%1)"/>
      <w:numFmt w:val="lowerRoman"/>
      <w:start w:val="3"/>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7"/>
    </w:lvl>
  </w:abstractNum>
  <w:abstractNum w:abstractNumId="69">
    <w:nsid w:val="4962813B"/>
    <w:multiLevelType w:val="hybridMultilevel"/>
    <w:lvl w:ilvl="0">
      <w:lvlJc w:val="left"/>
      <w:lvlText w:val="(%1)"/>
      <w:numFmt w:val="lowerLetter"/>
      <w:start w:val="1"/>
    </w:lvl>
    <w:lvl w:ilvl="1">
      <w:lvlJc w:val="left"/>
      <w:lvlText w:val="(%2)"/>
      <w:numFmt w:val="decimal"/>
      <w:start w:val="1"/>
    </w:lvl>
  </w:abstractNum>
  <w:abstractNum w:abstractNumId="70">
    <w:nsid w:val="60B6DF70"/>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71">
    <w:nsid w:val="6A5EE64"/>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9"/>
    </w:lvl>
  </w:abstractNum>
  <w:abstractNum w:abstractNumId="72">
    <w:nsid w:val="14330624"/>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73">
    <w:nsid w:val="7FFFCA11"/>
    <w:multiLevelType w:val="hybridMultilevel"/>
    <w:lvl w:ilvl="0">
      <w:lvlJc w:val="left"/>
      <w:lvlText w:val="%1"/>
      <w:numFmt w:val="lowerRoman"/>
      <w:start w:val="1"/>
    </w:lvl>
    <w:lvl w:ilvl="1">
      <w:lvlJc w:val="left"/>
      <w:lvlText w:val="(%2)"/>
      <w:numFmt w:val="decimal"/>
      <w:start w:val="10"/>
    </w:lvl>
    <w:lvl w:ilvl="2">
      <w:lvlJc w:val="left"/>
      <w:lvlText w:val="(%3)"/>
      <w:numFmt w:val="lowerRoman"/>
      <w:start w:val="1"/>
    </w:lvl>
  </w:abstractNum>
  <w:abstractNum w:abstractNumId="74">
    <w:nsid w:val="1A27709E"/>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75">
    <w:nsid w:val="71EA1109"/>
    <w:multiLevelType w:val="hybridMultilevel"/>
    <w:lvl w:ilvl="0">
      <w:lvlJc w:val="left"/>
      <w:lvlText w:val="%1"/>
      <w:numFmt w:val="lowerLetter"/>
      <w:start w:val="1"/>
    </w:lvl>
    <w:lvl w:ilvl="1">
      <w:lvlJc w:val="left"/>
      <w:lvlText w:val="(%2)"/>
      <w:numFmt w:val="decimal"/>
      <w:start w:val="2"/>
    </w:lvl>
  </w:abstractNum>
  <w:abstractNum w:abstractNumId="76">
    <w:nsid w:val="100F59DC"/>
    <w:multiLevelType w:val="hybridMultilevel"/>
    <w:lvl w:ilvl="0">
      <w:lvlJc w:val="left"/>
      <w:lvlText w:val="(%1)"/>
      <w:numFmt w:val="lowerLetter"/>
      <w:start w:val="10"/>
    </w:lvl>
    <w:lvl w:ilvl="1">
      <w:lvlJc w:val="left"/>
      <w:lvlText w:val="%2"/>
      <w:numFmt w:val="decimal"/>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lowerLetter"/>
      <w:start w:val="13"/>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jpe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43" Type="http://schemas.openxmlformats.org/officeDocument/2006/relationships/hyperlink" Target="https://www.sec.gov/ix?doc=/Archives/edgar/data/871763/000156459021006974/man-10k_20201231.htm" TargetMode="External"/><Relationship Id="rId265" Type="http://schemas.openxmlformats.org/officeDocument/2006/relationships/hyperlink" Target="https://www.sec.gov/Archives/edgar/data/871763/000119312521254476/d112970dex21.htm" TargetMode="External"/><Relationship Id="rId270" Type="http://schemas.openxmlformats.org/officeDocument/2006/relationships/hyperlink" Target="https://www.sec.gov/Archives/edgar/data/871763/000087176313000024/exhibit_3-2.htm" TargetMode="External"/><Relationship Id="rId271" Type="http://schemas.openxmlformats.org/officeDocument/2006/relationships/hyperlink" Target="https://www.sec.gov/ix?doc=/Archives/edgar/data/871763/000095017021004391/man-20211112.htm" TargetMode="External"/><Relationship Id="rId272" Type="http://schemas.openxmlformats.org/officeDocument/2006/relationships/hyperlink" Target="https://www.sec.gov/Archives/edgar/data/871763/000089271218000301/exhibit41.htm" TargetMode="External"/><Relationship Id="rId273" Type="http://schemas.openxmlformats.org/officeDocument/2006/relationships/hyperlink" Target="https://www.sec.gov/Archives/edgar/data/871763/000087176315000042/exhibit_41september112015.htm" TargetMode="External"/><Relationship Id="rId274" Type="http://schemas.openxmlformats.org/officeDocument/2006/relationships/hyperlink" Target="https://www.sec.gov/Archives/edgar/data/871763/000156459021006974/man-ex43_6.htm" TargetMode="External"/><Relationship Id="rId275" Type="http://schemas.openxmlformats.org/officeDocument/2006/relationships/hyperlink" Target="https://www.sec.gov/Archives/edgar/data/871763/000089271218000301/exhibit10-1.htm" TargetMode="External"/><Relationship Id="rId276" Type="http://schemas.openxmlformats.org/officeDocument/2006/relationships/hyperlink" Target="https://www.sec.gov/Archives/edgar/data/871763/000087176311000011/exhibit_10-4.htm" TargetMode="External"/><Relationship Id="rId277" Type="http://schemas.openxmlformats.org/officeDocument/2006/relationships/hyperlink" Target="https://www.sec.gov/Archives/edgar/data/871763/000119312505051218/ddef14a.htm" TargetMode="External"/><Relationship Id="rId278" Type="http://schemas.openxmlformats.org/officeDocument/2006/relationships/hyperlink" Target="https://www.sec.gov/Archives/edgar/data/871763/000156459020005762/man-ex106a_524.htm" TargetMode="External"/><Relationship Id="rId279" Type="http://schemas.openxmlformats.org/officeDocument/2006/relationships/hyperlink" Target="https://www.sec.gov/Archives/edgar/data/871763/000156459020004814/man-ex101_6.htm" TargetMode="External"/><Relationship Id="rId280" Type="http://schemas.openxmlformats.org/officeDocument/2006/relationships/hyperlink" Target="https://www.sec.gov/Archives/edgar/data/871763/000095017021004391/man-ex10_2.htm" TargetMode="External"/><Relationship Id="rId281" Type="http://schemas.openxmlformats.org/officeDocument/2006/relationships/hyperlink" Target="https://www.sec.gov/Archives/edgar/data/871763/000089271220000224/exhibit41.htm" TargetMode="External"/><Relationship Id="rId282" Type="http://schemas.openxmlformats.org/officeDocument/2006/relationships/hyperlink" Target="https://www.sec.gov/Archives/edgar/data/871763/000119312506224722/dex991.htm" TargetMode="External"/><Relationship Id="rId285" Type="http://schemas.openxmlformats.org/officeDocument/2006/relationships/hyperlink" Target="https://www.sec.gov/Archives/edgar/data/871763/000087176319000059/q12019exhibit101.htm" TargetMode="External"/><Relationship Id="rId288" Type="http://schemas.openxmlformats.org/officeDocument/2006/relationships/hyperlink" Target="https://www.sec.gov/Archives/edgar/data/871763/000087176312000023/exhibit_10-4.htm" TargetMode="External"/><Relationship Id="rId291" Type="http://schemas.openxmlformats.org/officeDocument/2006/relationships/hyperlink" Target="https://www.sec.gov/Archives/edgar/data/871763/000087176314000019/exhibit_10-1.htm" TargetMode="External"/><Relationship Id="rId294" Type="http://schemas.openxmlformats.org/officeDocument/2006/relationships/hyperlink" Target="https://www.sec.gov/Archives/edgar/data/871763/000087176319000059/q12019exhibit102.htm" TargetMode="External"/><Relationship Id="rId297" Type="http://schemas.openxmlformats.org/officeDocument/2006/relationships/hyperlink" Target="https://www.sec.gov/Archives/edgar/data/871763/000156459021006974/man-ex107f_337.htm" TargetMode="External"/><Relationship Id="rId301" Type="http://schemas.openxmlformats.org/officeDocument/2006/relationships/hyperlink" Target="https://www.sec.gov/Archives/edgar/data/871763/000156459021025566/man-ex101_132.htm" TargetMode="External"/><Relationship Id="rId304" Type="http://schemas.openxmlformats.org/officeDocument/2006/relationships/hyperlink" Target="https://www.sec.gov/Archives/edgar/data/871763/000156459021025566/man-ex102_131.htm" TargetMode="External"/><Relationship Id="rId307" Type="http://schemas.openxmlformats.org/officeDocument/2006/relationships/hyperlink" Target="https://www.sec.gov/Archives/edgar/data/871763/000156459021006974/man-ex108a_108.htm" TargetMode="External"/><Relationship Id="rId310" Type="http://schemas.openxmlformats.org/officeDocument/2006/relationships/hyperlink" Target="https://www.sec.gov/Archives/edgar/data/871763/000095017021004391/man-ex10_1.htm" TargetMode="External"/><Relationship Id="rId313" Type="http://schemas.openxmlformats.org/officeDocument/2006/relationships/hyperlink" Target="https://www.sec.gov/Archives/edgar/data/871763/000087176316000113/projectryeofferletterfinal.htm" TargetMode="External"/><Relationship Id="rId316" Type="http://schemas.openxmlformats.org/officeDocument/2006/relationships/hyperlink" Target="https://www.sec.gov/Archives/edgar/data/871763/000087176318000054/a02152018ex101manpowergro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2022-02-18T16:30:55Z</dcterms:created>
  <dcterms:modified xsi:type="dcterms:W3CDTF">2022-02-18T16:30:55Z</dcterms:modified>
</cp:coreProperties>
</file>