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4065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406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4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9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MS PGothic" w:cs="MS PGothic" w:eastAsia="MS PGothic" w:hAnsi="MS PGothic"/>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line="277" w:lineRule="auto"/>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9" w:lineRule="exact"/>
        <w:rPr>
          <w:rFonts w:ascii="MS PGothic" w:cs="MS PGothic" w:eastAsia="MS PGothic" w:hAnsi="MS PGothic"/>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1012"/>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229" w:right="319" w:bottom="1153"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306070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3,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ManpowerGroup Inc.:</w:t>
      </w:r>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2016 Annual Meeting of Shareholders of ManpowerGroup Inc. will be held at the International Headquarters of ManpowerGroup, 100 Manpower Place, Milwaukee, Wisconsin, on May 3, 2016, at 10:00 a.m., local time, for the following purposes:</w:t>
      </w:r>
    </w:p>
    <w:p>
      <w:pPr>
        <w:spacing w:after="0" w:line="116"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twelve individuals nominated by the Board of Directors of ManpowerGroup to serve until 2017 as directors;</w:t>
      </w:r>
    </w:p>
    <w:p>
      <w:pPr>
        <w:spacing w:after="0" w:line="171" w:lineRule="exact"/>
        <w:rPr>
          <w:rFonts w:ascii="Arial" w:cs="Arial" w:eastAsia="Arial" w:hAnsi="Arial"/>
          <w:sz w:val="18"/>
          <w:szCs w:val="18"/>
          <w:color w:val="auto"/>
        </w:rPr>
      </w:pPr>
    </w:p>
    <w:p>
      <w:pPr>
        <w:ind w:left="1960" w:right="100" w:hanging="655"/>
        <w:spacing w:after="0" w:line="277"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re-approve the material terms of the performance goals under the ManpowerGroup Inc. Corporate Senior Management Annual Incentive Pool Plan;</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re-approve the material terms of the performance goals under the 2011 Equity Incentive Plan of ManpowerGroup Inc.;</w:t>
      </w:r>
    </w:p>
    <w:p>
      <w:pPr>
        <w:spacing w:after="0" w:line="182" w:lineRule="exact"/>
        <w:rPr>
          <w:rFonts w:ascii="Arial" w:cs="Arial" w:eastAsia="Arial" w:hAnsi="Arial"/>
          <w:sz w:val="17"/>
          <w:szCs w:val="17"/>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2016;</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approval of the compensation of our named executive officers; and</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38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Shareholders of record at the close of business on February 23, 2016 are entitled to notice of and to vote at the annual meeting and at all adjournments of the annual meeting.</w:t>
      </w:r>
    </w:p>
    <w:p>
      <w:pPr>
        <w:spacing w:after="0" w:line="166" w:lineRule="exact"/>
        <w:rPr>
          <w:sz w:val="20"/>
          <w:szCs w:val="20"/>
          <w:color w:val="auto"/>
        </w:rPr>
      </w:pPr>
    </w:p>
    <w:p>
      <w:pPr>
        <w:ind w:firstLine="486"/>
        <w:spacing w:after="0" w:line="30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51"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188"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3, 2016</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ManpowerGroup are available for review on the Internet. Instructions on how to access and review the materials on the Internet can be found on the Notice and the accompanying proxy card.</w:t>
      </w:r>
    </w:p>
    <w:p>
      <w:pPr>
        <w:spacing w:after="0" w:line="28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xml:space="preserve">Richard Buchband, </w:t>
      </w:r>
      <w:r>
        <w:rPr>
          <w:rFonts w:ascii="Arial" w:cs="Arial" w:eastAsia="Arial" w:hAnsi="Arial"/>
          <w:sz w:val="18"/>
          <w:szCs w:val="18"/>
          <w:i w:val="1"/>
          <w:iCs w:val="1"/>
          <w:color w:val="auto"/>
        </w:rPr>
        <w:t>Secretary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4, 2016</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60" w:type="dxa"/>
            <w:vAlign w:val="bottom"/>
            <w:gridSpan w:val="9"/>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r>
      <w:tr>
        <w:trPr>
          <w:trHeight w:val="324"/>
        </w:trPr>
        <w:tc>
          <w:tcPr>
            <w:tcW w:w="10780" w:type="dxa"/>
            <w:vAlign w:val="bottom"/>
            <w:gridSpan w:val="37"/>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CORPORATE GOVERNANCE DOCUMENTS</w:t>
              </w:r>
            </w:hyperlink>
          </w:p>
        </w:tc>
        <w:tc>
          <w:tcPr>
            <w:tcW w:w="500" w:type="dxa"/>
            <w:vAlign w:val="bottom"/>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20"/>
        </w:trPr>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SECURITY OWNERSHIP OF CERTAIN BENEFICIAL OWNERS</w:t>
              </w:r>
            </w:hyperlink>
          </w:p>
        </w:tc>
        <w:tc>
          <w:tcPr>
            <w:tcW w:w="50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37"/>
        </w:trPr>
        <w:tc>
          <w:tcPr>
            <w:tcW w:w="4720" w:type="dxa"/>
            <w:vAlign w:val="bottom"/>
            <w:tcBorders>
              <w:top w:val="single" w:sz="8" w:color="0000EE"/>
            </w:tcBorders>
            <w:gridSpan w:val="28"/>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PROPOSAL 1. ELECTION OF DIRECTORS</w:t>
              </w:r>
            </w:hyperlink>
          </w:p>
        </w:tc>
        <w:tc>
          <w:tcPr>
            <w:tcW w:w="6060" w:type="dxa"/>
            <w:vAlign w:val="bottom"/>
            <w:gridSpan w:val="9"/>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tc>
      </w:tr>
      <w:tr>
        <w:trPr>
          <w:trHeight w:val="237"/>
        </w:trPr>
        <w:tc>
          <w:tcPr>
            <w:tcW w:w="340" w:type="dxa"/>
            <w:vAlign w:val="bottom"/>
            <w:tcBorders>
              <w:top w:val="single" w:sz="8" w:color="0000EE"/>
            </w:tcBorders>
          </w:tcPr>
          <w:p>
            <w:pPr>
              <w:spacing w:after="0"/>
              <w:rPr>
                <w:sz w:val="20"/>
                <w:szCs w:val="20"/>
                <w:color w:val="auto"/>
              </w:rPr>
            </w:pPr>
          </w:p>
        </w:tc>
        <w:tc>
          <w:tcPr>
            <w:tcW w:w="138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7">
              <w:r>
                <w:rPr>
                  <w:rFonts w:ascii="Arial" w:cs="Arial" w:eastAsia="Arial" w:hAnsi="Arial"/>
                  <w:sz w:val="16"/>
                  <w:szCs w:val="16"/>
                  <w:color w:val="0000EE"/>
                  <w:w w:val="93"/>
                </w:rPr>
                <w:t>Director Biographies</w:t>
              </w:r>
            </w:hyperlink>
          </w:p>
        </w:tc>
        <w:tc>
          <w:tcPr>
            <w:tcW w:w="1480" w:type="dxa"/>
            <w:vAlign w:val="bottom"/>
            <w:tcBorders>
              <w:top w:val="single" w:sz="8" w:color="0000EE"/>
            </w:tcBorders>
            <w:gridSpan w:val="12"/>
          </w:tcPr>
          <w:p>
            <w:pPr>
              <w:spacing w:after="0"/>
              <w:rPr>
                <w:sz w:val="20"/>
                <w:szCs w:val="20"/>
                <w:color w:val="auto"/>
              </w:rPr>
            </w:pPr>
          </w:p>
        </w:tc>
        <w:tc>
          <w:tcPr>
            <w:tcW w:w="7580" w:type="dxa"/>
            <w:vAlign w:val="bottom"/>
            <w:gridSpan w:val="20"/>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tc>
      </w:tr>
      <w:tr>
        <w:trPr>
          <w:trHeight w:val="237"/>
        </w:trPr>
        <w:tc>
          <w:tcPr>
            <w:tcW w:w="340" w:type="dxa"/>
            <w:vAlign w:val="bottom"/>
          </w:tcPr>
          <w:p>
            <w:pPr>
              <w:spacing w:after="0"/>
              <w:rPr>
                <w:sz w:val="20"/>
                <w:szCs w:val="20"/>
                <w:color w:val="auto"/>
              </w:rPr>
            </w:pPr>
          </w:p>
        </w:tc>
        <w:tc>
          <w:tcPr>
            <w:tcW w:w="3400" w:type="dxa"/>
            <w:vAlign w:val="bottom"/>
            <w:tcBorders>
              <w:bottom w:val="single" w:sz="8" w:color="0000EE"/>
            </w:tcBorders>
            <w:gridSpan w:val="22"/>
          </w:tcPr>
          <w:p>
            <w:pPr>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Board Independence and Related Party Transactions</w:t>
              </w:r>
            </w:hyperlink>
          </w:p>
        </w:tc>
        <w:tc>
          <w:tcPr>
            <w:tcW w:w="7040" w:type="dxa"/>
            <w:vAlign w:val="bottom"/>
            <w:gridSpan w:val="14"/>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7</w:t>
              </w:r>
            </w:hyperlink>
          </w:p>
        </w:tc>
      </w:tr>
      <w:tr>
        <w:trPr>
          <w:trHeight w:val="237"/>
        </w:trPr>
        <w:tc>
          <w:tcPr>
            <w:tcW w:w="340" w:type="dxa"/>
            <w:vAlign w:val="bottom"/>
          </w:tcPr>
          <w:p>
            <w:pPr>
              <w:spacing w:after="0"/>
              <w:rPr>
                <w:sz w:val="20"/>
                <w:szCs w:val="20"/>
                <w:color w:val="auto"/>
              </w:rPr>
            </w:pPr>
          </w:p>
        </w:tc>
        <w:tc>
          <w:tcPr>
            <w:tcW w:w="2560" w:type="dxa"/>
            <w:vAlign w:val="bottom"/>
            <w:tcBorders>
              <w:bottom w:val="single" w:sz="8" w:color="0000EE"/>
            </w:tcBorders>
            <w:gridSpan w:val="14"/>
          </w:tcPr>
          <w:p>
            <w:pPr>
              <w:spacing w:after="0"/>
              <w:rPr>
                <w:rFonts w:ascii="Arial" w:cs="Arial" w:eastAsia="Arial" w:hAnsi="Arial"/>
                <w:sz w:val="16"/>
                <w:szCs w:val="16"/>
                <w:color w:val="0000EE"/>
                <w:w w:val="91"/>
              </w:rPr>
            </w:pPr>
            <w:hyperlink w:anchor="page11">
              <w:r>
                <w:rPr>
                  <w:rFonts w:ascii="Arial" w:cs="Arial" w:eastAsia="Arial" w:hAnsi="Arial"/>
                  <w:sz w:val="16"/>
                  <w:szCs w:val="16"/>
                  <w:color w:val="0000EE"/>
                  <w:w w:val="91"/>
                </w:rPr>
                <w:t>Meetings and Committees of the Board</w:t>
              </w:r>
            </w:hyperlink>
          </w:p>
        </w:tc>
        <w:tc>
          <w:tcPr>
            <w:tcW w:w="7880" w:type="dxa"/>
            <w:vAlign w:val="bottom"/>
            <w:gridSpan w:val="22"/>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8</w:t>
              </w:r>
            </w:hyperlink>
          </w:p>
        </w:tc>
      </w:tr>
      <w:tr>
        <w:trPr>
          <w:trHeight w:val="237"/>
        </w:trPr>
        <w:tc>
          <w:tcPr>
            <w:tcW w:w="340" w:type="dxa"/>
            <w:vAlign w:val="bottom"/>
          </w:tcPr>
          <w:p>
            <w:pPr>
              <w:spacing w:after="0"/>
              <w:rPr>
                <w:sz w:val="20"/>
                <w:szCs w:val="20"/>
                <w:color w:val="auto"/>
              </w:rPr>
            </w:pPr>
          </w:p>
        </w:tc>
        <w:tc>
          <w:tcPr>
            <w:tcW w:w="3780" w:type="dxa"/>
            <w:vAlign w:val="bottom"/>
            <w:tcBorders>
              <w:bottom w:val="single" w:sz="8" w:color="0000EE"/>
            </w:tcBorders>
            <w:gridSpan w:val="24"/>
          </w:tcPr>
          <w:p>
            <w:pPr>
              <w:spacing w:after="0"/>
              <w:rPr>
                <w:rFonts w:ascii="Arial" w:cs="Arial" w:eastAsia="Arial" w:hAnsi="Arial"/>
                <w:sz w:val="16"/>
                <w:szCs w:val="16"/>
                <w:color w:val="0000EE"/>
                <w:w w:val="93"/>
              </w:rPr>
            </w:pPr>
            <w:hyperlink w:anchor="page14">
              <w:r>
                <w:rPr>
                  <w:rFonts w:ascii="Arial" w:cs="Arial" w:eastAsia="Arial" w:hAnsi="Arial"/>
                  <w:sz w:val="16"/>
                  <w:szCs w:val="16"/>
                  <w:color w:val="0000EE"/>
                  <w:w w:val="93"/>
                </w:rPr>
                <w:t>Board Composition and Qualifications of Board Members</w:t>
              </w:r>
            </w:hyperlink>
          </w:p>
        </w:tc>
        <w:tc>
          <w:tcPr>
            <w:tcW w:w="6660" w:type="dxa"/>
            <w:vAlign w:val="bottom"/>
            <w:gridSpan w:val="12"/>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11</w:t>
              </w:r>
            </w:hyperlink>
          </w:p>
        </w:tc>
      </w:tr>
      <w:tr>
        <w:trPr>
          <w:trHeight w:val="237"/>
        </w:trPr>
        <w:tc>
          <w:tcPr>
            <w:tcW w:w="340" w:type="dxa"/>
            <w:vAlign w:val="bottom"/>
          </w:tcPr>
          <w:p>
            <w:pPr>
              <w:spacing w:after="0"/>
              <w:rPr>
                <w:sz w:val="20"/>
                <w:szCs w:val="20"/>
                <w:color w:val="auto"/>
              </w:rPr>
            </w:pPr>
          </w:p>
        </w:tc>
        <w:tc>
          <w:tcPr>
            <w:tcW w:w="1200" w:type="dxa"/>
            <w:vAlign w:val="bottom"/>
            <w:tcBorders>
              <w:bottom w:val="single" w:sz="8" w:color="0000EE"/>
            </w:tcBorders>
            <w:gridSpan w:val="3"/>
          </w:tcPr>
          <w:p>
            <w:pPr>
              <w:spacing w:after="0"/>
              <w:rPr>
                <w:rFonts w:ascii="Arial" w:cs="Arial" w:eastAsia="Arial" w:hAnsi="Arial"/>
                <w:sz w:val="16"/>
                <w:szCs w:val="16"/>
                <w:color w:val="0000EE"/>
                <w:w w:val="94"/>
              </w:rPr>
            </w:pPr>
            <w:hyperlink w:anchor="page16">
              <w:r>
                <w:rPr>
                  <w:rFonts w:ascii="Arial" w:cs="Arial" w:eastAsia="Arial" w:hAnsi="Arial"/>
                  <w:sz w:val="16"/>
                  <w:szCs w:val="16"/>
                  <w:color w:val="0000EE"/>
                  <w:w w:val="94"/>
                </w:rPr>
                <w:t>Other Information</w:t>
              </w:r>
            </w:hyperlink>
          </w:p>
        </w:tc>
        <w:tc>
          <w:tcPr>
            <w:tcW w:w="9240" w:type="dxa"/>
            <w:vAlign w:val="bottom"/>
            <w:gridSpan w:val="33"/>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13</w:t>
              </w:r>
            </w:hyperlink>
          </w:p>
        </w:tc>
      </w:tr>
      <w:tr>
        <w:trPr>
          <w:trHeight w:val="237"/>
        </w:trPr>
        <w:tc>
          <w:tcPr>
            <w:tcW w:w="340" w:type="dxa"/>
            <w:vAlign w:val="bottom"/>
          </w:tcPr>
          <w:p>
            <w:pPr>
              <w:spacing w:after="0"/>
              <w:rPr>
                <w:sz w:val="20"/>
                <w:szCs w:val="20"/>
                <w:color w:val="auto"/>
              </w:rPr>
            </w:pPr>
          </w:p>
        </w:tc>
        <w:tc>
          <w:tcPr>
            <w:tcW w:w="180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16">
              <w:r>
                <w:rPr>
                  <w:rFonts w:ascii="Arial" w:cs="Arial" w:eastAsia="Arial" w:hAnsi="Arial"/>
                  <w:sz w:val="16"/>
                  <w:szCs w:val="16"/>
                  <w:color w:val="0000EE"/>
                  <w:w w:val="90"/>
                </w:rPr>
                <w:t>Board Leadership Structure</w:t>
              </w:r>
            </w:hyperlink>
          </w:p>
        </w:tc>
        <w:tc>
          <w:tcPr>
            <w:tcW w:w="8640" w:type="dxa"/>
            <w:vAlign w:val="bottom"/>
            <w:gridSpan w:val="28"/>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tc>
      </w:tr>
      <w:tr>
        <w:trPr>
          <w:trHeight w:val="237"/>
        </w:trPr>
        <w:tc>
          <w:tcPr>
            <w:tcW w:w="340" w:type="dxa"/>
            <w:vAlign w:val="bottom"/>
          </w:tcPr>
          <w:p>
            <w:pPr>
              <w:spacing w:after="0"/>
              <w:rPr>
                <w:sz w:val="20"/>
                <w:szCs w:val="20"/>
                <w:color w:val="auto"/>
              </w:rPr>
            </w:pPr>
          </w:p>
        </w:tc>
        <w:tc>
          <w:tcPr>
            <w:tcW w:w="1600" w:type="dxa"/>
            <w:vAlign w:val="bottom"/>
            <w:tcBorders>
              <w:bottom w:val="single" w:sz="8" w:color="0000EE"/>
            </w:tcBorders>
            <w:gridSpan w:val="5"/>
          </w:tcPr>
          <w:p>
            <w:pPr>
              <w:spacing w:after="0"/>
              <w:rPr>
                <w:rFonts w:ascii="Arial" w:cs="Arial" w:eastAsia="Arial" w:hAnsi="Arial"/>
                <w:sz w:val="16"/>
                <w:szCs w:val="16"/>
                <w:color w:val="0000EE"/>
                <w:w w:val="93"/>
              </w:rPr>
            </w:pPr>
            <w:hyperlink w:anchor="page17">
              <w:r>
                <w:rPr>
                  <w:rFonts w:ascii="Arial" w:cs="Arial" w:eastAsia="Arial" w:hAnsi="Arial"/>
                  <w:sz w:val="16"/>
                  <w:szCs w:val="16"/>
                  <w:color w:val="0000EE"/>
                  <w:w w:val="93"/>
                </w:rPr>
                <w:t>Board Oversight of Risk</w:t>
              </w:r>
            </w:hyperlink>
          </w:p>
        </w:tc>
        <w:tc>
          <w:tcPr>
            <w:tcW w:w="8840" w:type="dxa"/>
            <w:vAlign w:val="bottom"/>
            <w:gridSpan w:val="31"/>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14</w:t>
              </w:r>
            </w:hyperlink>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Compensation Consultant</w:t>
              </w:r>
            </w:hyperlink>
          </w:p>
        </w:tc>
        <w:tc>
          <w:tcPr>
            <w:tcW w:w="500" w:type="dxa"/>
            <w:vAlign w:val="bottom"/>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15</w:t>
              </w:r>
            </w:hyperlink>
          </w:p>
        </w:tc>
      </w:tr>
      <w:tr>
        <w:trPr>
          <w:trHeight w:val="20"/>
        </w:trPr>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5580" w:type="dxa"/>
            <w:vAlign w:val="bottom"/>
            <w:tcBorders>
              <w:bottom w:val="single" w:sz="8" w:color="0000EE"/>
            </w:tcBorders>
            <w:gridSpan w:val="30"/>
          </w:tcPr>
          <w:p>
            <w:pPr>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BENEFICIAL OWNERSHIP OF DIRECTORS AND EXECUTIVE OFFICERS</w:t>
              </w:r>
            </w:hyperlink>
          </w:p>
        </w:tc>
        <w:tc>
          <w:tcPr>
            <w:tcW w:w="5200" w:type="dxa"/>
            <w:vAlign w:val="bottom"/>
            <w:gridSpan w:val="7"/>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PROPOSAL 2. RE-APPROVAL OF THE MATERIAL TERMS OF THE PERFORMANCE GOALS UNDER THE MANPOWERGROUP INC.</w:t>
              </w:r>
            </w:hyperlink>
          </w:p>
        </w:tc>
        <w:tc>
          <w:tcPr>
            <w:tcW w:w="500" w:type="dxa"/>
            <w:vAlign w:val="bottom"/>
          </w:tcPr>
          <w:p>
            <w:pPr>
              <w:spacing w:after="0"/>
              <w:rPr>
                <w:sz w:val="20"/>
                <w:szCs w:val="20"/>
                <w:color w:val="auto"/>
              </w:rPr>
            </w:pPr>
          </w:p>
        </w:tc>
      </w:tr>
      <w:tr>
        <w:trPr>
          <w:trHeight w:val="183"/>
        </w:trPr>
        <w:tc>
          <w:tcPr>
            <w:tcW w:w="5620" w:type="dxa"/>
            <w:vAlign w:val="bottom"/>
            <w:tcBorders>
              <w:top w:val="single" w:sz="8" w:color="0000EE"/>
              <w:bottom w:val="single" w:sz="8" w:color="0000EE"/>
            </w:tcBorders>
            <w:gridSpan w:val="31"/>
          </w:tcPr>
          <w:p>
            <w:pPr>
              <w:spacing w:after="0" w:line="183" w:lineRule="exact"/>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CORPORATE SENIOR MANAGEMENT ANNUAL INCENTIVE POOL PLAN</w:t>
              </w:r>
            </w:hyperlink>
          </w:p>
        </w:tc>
        <w:tc>
          <w:tcPr>
            <w:tcW w:w="4420" w:type="dxa"/>
            <w:vAlign w:val="bottom"/>
            <w:tcBorders>
              <w:top w:val="single" w:sz="8" w:color="0000EE"/>
            </w:tcBorders>
            <w:gridSpan w:val="5"/>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jc w:val="right"/>
              <w:spacing w:after="0" w:line="183" w:lineRule="exact"/>
              <w:rPr>
                <w:rFonts w:ascii="Arial" w:cs="Arial" w:eastAsia="Arial" w:hAnsi="Arial"/>
                <w:sz w:val="16"/>
                <w:szCs w:val="16"/>
                <w:color w:val="0000EE"/>
              </w:rPr>
            </w:pPr>
            <w:hyperlink w:anchor="page22">
              <w:r>
                <w:rPr>
                  <w:rFonts w:ascii="Arial" w:cs="Arial" w:eastAsia="Arial" w:hAnsi="Arial"/>
                  <w:sz w:val="16"/>
                  <w:szCs w:val="16"/>
                  <w:color w:val="0000EE"/>
                </w:rPr>
                <w:t>20</w:t>
              </w:r>
            </w:hyperlink>
          </w:p>
        </w:tc>
      </w:tr>
      <w:tr>
        <w:trPr>
          <w:trHeight w:val="237"/>
        </w:trPr>
        <w:tc>
          <w:tcPr>
            <w:tcW w:w="10780" w:type="dxa"/>
            <w:vAlign w:val="bottom"/>
            <w:tcBorders>
              <w:bottom w:val="single" w:sz="8" w:color="0000EE"/>
            </w:tcBorders>
            <w:gridSpan w:val="37"/>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PROPOSAL 3. RE-APPROVAL OF THE MATERIAL TERMS OF THE PERFORMANCE GOALS UNDER THE 2011 EQUITY INCENTIVE PLAN OF</w:t>
              </w:r>
            </w:hyperlink>
          </w:p>
        </w:tc>
        <w:tc>
          <w:tcPr>
            <w:tcW w:w="500" w:type="dxa"/>
            <w:vAlign w:val="bottom"/>
          </w:tcPr>
          <w:p>
            <w:pPr>
              <w:spacing w:after="0"/>
              <w:rPr>
                <w:sz w:val="20"/>
                <w:szCs w:val="20"/>
                <w:color w:val="auto"/>
              </w:rPr>
            </w:pPr>
          </w:p>
        </w:tc>
      </w:tr>
      <w:tr>
        <w:trPr>
          <w:trHeight w:val="183"/>
        </w:trPr>
        <w:tc>
          <w:tcPr>
            <w:tcW w:w="1960" w:type="dxa"/>
            <w:vAlign w:val="bottom"/>
            <w:tcBorders>
              <w:bottom w:val="single" w:sz="8" w:color="0000EE"/>
            </w:tcBorders>
            <w:gridSpan w:val="7"/>
          </w:tcPr>
          <w:p>
            <w:pPr>
              <w:spacing w:after="0" w:line="183"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MANPOWERGROUP INC.</w:t>
              </w:r>
            </w:hyperlink>
          </w:p>
        </w:tc>
        <w:tc>
          <w:tcPr>
            <w:tcW w:w="8820" w:type="dxa"/>
            <w:vAlign w:val="bottom"/>
            <w:gridSpan w:val="30"/>
          </w:tcPr>
          <w:p>
            <w:pPr>
              <w:spacing w:after="0"/>
              <w:rPr>
                <w:sz w:val="15"/>
                <w:szCs w:val="15"/>
                <w:color w:val="auto"/>
              </w:rPr>
            </w:pPr>
          </w:p>
        </w:tc>
        <w:tc>
          <w:tcPr>
            <w:tcW w:w="500" w:type="dxa"/>
            <w:vAlign w:val="bottom"/>
          </w:tcPr>
          <w:p>
            <w:pPr>
              <w:jc w:val="right"/>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24</w:t>
              </w:r>
            </w:hyperlink>
          </w:p>
        </w:tc>
      </w:tr>
      <w:tr>
        <w:trPr>
          <w:trHeight w:val="237"/>
        </w:trPr>
        <w:tc>
          <w:tcPr>
            <w:tcW w:w="3620" w:type="dxa"/>
            <w:vAlign w:val="bottom"/>
            <w:tcBorders>
              <w:bottom w:val="single" w:sz="8" w:color="0000EE"/>
            </w:tcBorders>
            <w:gridSpan w:val="22"/>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COMPENSATION DISCUSSION AND ANALYSIS</w:t>
              </w:r>
            </w:hyperlink>
          </w:p>
        </w:tc>
        <w:tc>
          <w:tcPr>
            <w:tcW w:w="7160" w:type="dxa"/>
            <w:vAlign w:val="bottom"/>
            <w:gridSpan w:val="15"/>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REPORT OF THE EXECUTIVE COMPENSATION AND HUMAN RESOURCES COMMITTEE OF THE BOARD OF DIRECTORS</w:t>
              </w:r>
            </w:hyperlink>
          </w:p>
        </w:tc>
        <w:tc>
          <w:tcPr>
            <w:tcW w:w="500" w:type="dxa"/>
            <w:vAlign w:val="bottom"/>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59</w:t>
              </w:r>
            </w:hyperlink>
          </w:p>
        </w:tc>
      </w:tr>
      <w:tr>
        <w:trPr>
          <w:trHeight w:val="237"/>
        </w:trPr>
        <w:tc>
          <w:tcPr>
            <w:tcW w:w="9400" w:type="dxa"/>
            <w:vAlign w:val="bottom"/>
            <w:tcBorders>
              <w:top w:val="single" w:sz="8" w:color="0000EE"/>
            </w:tcBorders>
            <w:gridSpan w:val="35"/>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EXECUTIVE COMPENSATION AND HUMAN RESOURCES COMMITTEE INTERLOCKS AND INSIDER PARTICIPATION</w:t>
              </w:r>
            </w:hyperlink>
          </w:p>
        </w:tc>
        <w:tc>
          <w:tcPr>
            <w:tcW w:w="1380" w:type="dxa"/>
            <w:vAlign w:val="bottom"/>
            <w:gridSpan w:val="2"/>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59</w:t>
              </w:r>
            </w:hyperlink>
          </w:p>
        </w:tc>
      </w:tr>
      <w:tr>
        <w:trPr>
          <w:trHeight w:val="237"/>
        </w:trPr>
        <w:tc>
          <w:tcPr>
            <w:tcW w:w="9040" w:type="dxa"/>
            <w:vAlign w:val="bottom"/>
            <w:tcBorders>
              <w:top w:val="single" w:sz="8" w:color="0000EE"/>
            </w:tcBorders>
            <w:gridSpan w:val="34"/>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COMPENSATION POLICIES AND PRACTICES AS THEY RELATE TO RISK MANAGEMENT</w:t>
              </w:r>
            </w:hyperlink>
          </w:p>
        </w:tc>
        <w:tc>
          <w:tcPr>
            <w:tcW w:w="1740" w:type="dxa"/>
            <w:vAlign w:val="bottom"/>
            <w:gridSpan w:val="3"/>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59</w:t>
              </w:r>
            </w:hyperlink>
          </w:p>
        </w:tc>
      </w:tr>
      <w:tr>
        <w:trPr>
          <w:trHeight w:val="237"/>
        </w:trPr>
        <w:tc>
          <w:tcPr>
            <w:tcW w:w="340" w:type="dxa"/>
            <w:vAlign w:val="bottom"/>
            <w:tcBorders>
              <w:top w:val="single" w:sz="8" w:color="0000EE"/>
            </w:tcBorders>
          </w:tcPr>
          <w:p>
            <w:pPr>
              <w:spacing w:after="0"/>
              <w:rPr>
                <w:sz w:val="20"/>
                <w:szCs w:val="20"/>
                <w:color w:val="auto"/>
              </w:rPr>
            </w:pPr>
          </w:p>
        </w:tc>
        <w:tc>
          <w:tcPr>
            <w:tcW w:w="202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Summary Compensation Table</w:t>
              </w:r>
            </w:hyperlink>
          </w:p>
        </w:tc>
        <w:tc>
          <w:tcPr>
            <w:tcW w:w="4560" w:type="dxa"/>
            <w:vAlign w:val="bottom"/>
            <w:tcBorders>
              <w:top w:val="single" w:sz="8" w:color="0000EE"/>
            </w:tcBorders>
            <w:gridSpan w:val="22"/>
          </w:tcPr>
          <w:p>
            <w:pPr>
              <w:spacing w:after="0"/>
              <w:rPr>
                <w:sz w:val="20"/>
                <w:szCs w:val="20"/>
                <w:color w:val="auto"/>
              </w:rPr>
            </w:pPr>
          </w:p>
        </w:tc>
        <w:tc>
          <w:tcPr>
            <w:tcW w:w="3860" w:type="dxa"/>
            <w:vAlign w:val="bottom"/>
            <w:gridSpan w:val="5"/>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61</w:t>
              </w:r>
            </w:hyperlink>
          </w:p>
        </w:tc>
      </w:tr>
      <w:tr>
        <w:trPr>
          <w:trHeight w:val="237"/>
        </w:trPr>
        <w:tc>
          <w:tcPr>
            <w:tcW w:w="340" w:type="dxa"/>
            <w:vAlign w:val="bottom"/>
          </w:tcPr>
          <w:p>
            <w:pPr>
              <w:spacing w:after="0"/>
              <w:rPr>
                <w:sz w:val="20"/>
                <w:szCs w:val="20"/>
                <w:color w:val="auto"/>
              </w:rPr>
            </w:pPr>
          </w:p>
        </w:tc>
        <w:tc>
          <w:tcPr>
            <w:tcW w:w="2140" w:type="dxa"/>
            <w:vAlign w:val="bottom"/>
            <w:tcBorders>
              <w:bottom w:val="single" w:sz="8" w:color="0000EE"/>
            </w:tcBorders>
            <w:gridSpan w:val="11"/>
          </w:tcPr>
          <w:p>
            <w:pPr>
              <w:spacing w:after="0"/>
              <w:rPr>
                <w:rFonts w:ascii="Arial" w:cs="Arial" w:eastAsia="Arial" w:hAnsi="Arial"/>
                <w:sz w:val="16"/>
                <w:szCs w:val="16"/>
                <w:color w:val="0000EE"/>
                <w:w w:val="93"/>
              </w:rPr>
            </w:pPr>
            <w:hyperlink w:anchor="page65">
              <w:r>
                <w:rPr>
                  <w:rFonts w:ascii="Arial" w:cs="Arial" w:eastAsia="Arial" w:hAnsi="Arial"/>
                  <w:sz w:val="16"/>
                  <w:szCs w:val="16"/>
                  <w:color w:val="0000EE"/>
                  <w:w w:val="93"/>
                </w:rPr>
                <w:t>All Other Compensation in 2015</w:t>
              </w:r>
            </w:hyperlink>
          </w:p>
        </w:tc>
        <w:tc>
          <w:tcPr>
            <w:tcW w:w="8300" w:type="dxa"/>
            <w:vAlign w:val="bottom"/>
            <w:gridSpan w:val="25"/>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62</w:t>
              </w:r>
            </w:hyperlink>
          </w:p>
        </w:tc>
      </w:tr>
      <w:tr>
        <w:trPr>
          <w:trHeight w:val="237"/>
        </w:trPr>
        <w:tc>
          <w:tcPr>
            <w:tcW w:w="340" w:type="dxa"/>
            <w:vAlign w:val="bottom"/>
          </w:tcPr>
          <w:p>
            <w:pPr>
              <w:spacing w:after="0"/>
              <w:rPr>
                <w:sz w:val="20"/>
                <w:szCs w:val="20"/>
                <w:color w:val="auto"/>
              </w:rPr>
            </w:pPr>
          </w:p>
        </w:tc>
        <w:tc>
          <w:tcPr>
            <w:tcW w:w="2460" w:type="dxa"/>
            <w:vAlign w:val="bottom"/>
            <w:tcBorders>
              <w:bottom w:val="single" w:sz="8" w:color="0000EE"/>
            </w:tcBorders>
            <w:gridSpan w:val="13"/>
          </w:tcPr>
          <w:p>
            <w:pPr>
              <w:spacing w:after="0"/>
              <w:rPr>
                <w:rFonts w:ascii="Arial" w:cs="Arial" w:eastAsia="Arial" w:hAnsi="Arial"/>
                <w:sz w:val="16"/>
                <w:szCs w:val="16"/>
                <w:color w:val="0000EE"/>
                <w:w w:val="91"/>
              </w:rPr>
            </w:pPr>
            <w:hyperlink w:anchor="page66">
              <w:r>
                <w:rPr>
                  <w:rFonts w:ascii="Arial" w:cs="Arial" w:eastAsia="Arial" w:hAnsi="Arial"/>
                  <w:sz w:val="16"/>
                  <w:szCs w:val="16"/>
                  <w:color w:val="0000EE"/>
                  <w:w w:val="91"/>
                </w:rPr>
                <w:t>Grants of Plan-Based Awards in 2015</w:t>
              </w:r>
            </w:hyperlink>
          </w:p>
        </w:tc>
        <w:tc>
          <w:tcPr>
            <w:tcW w:w="7980" w:type="dxa"/>
            <w:vAlign w:val="bottom"/>
            <w:gridSpan w:val="23"/>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64</w:t>
              </w:r>
            </w:hyperlink>
          </w:p>
        </w:tc>
      </w:tr>
      <w:tr>
        <w:trPr>
          <w:trHeight w:val="237"/>
        </w:trPr>
        <w:tc>
          <w:tcPr>
            <w:tcW w:w="340" w:type="dxa"/>
            <w:vAlign w:val="bottom"/>
          </w:tcPr>
          <w:p>
            <w:pPr>
              <w:spacing w:after="0"/>
              <w:rPr>
                <w:sz w:val="20"/>
                <w:szCs w:val="20"/>
                <w:color w:val="auto"/>
              </w:rPr>
            </w:pPr>
          </w:p>
        </w:tc>
        <w:tc>
          <w:tcPr>
            <w:tcW w:w="300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67">
              <w:r>
                <w:rPr>
                  <w:rFonts w:ascii="Arial" w:cs="Arial" w:eastAsia="Arial" w:hAnsi="Arial"/>
                  <w:sz w:val="16"/>
                  <w:szCs w:val="16"/>
                  <w:color w:val="0000EE"/>
                  <w:w w:val="90"/>
                </w:rPr>
                <w:t>Compensation Agreements and Arrangements</w:t>
              </w:r>
            </w:hyperlink>
          </w:p>
        </w:tc>
        <w:tc>
          <w:tcPr>
            <w:tcW w:w="7440" w:type="dxa"/>
            <w:vAlign w:val="bottom"/>
            <w:gridSpan w:val="18"/>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2015 Annual Incentive Awards</w:t>
              </w:r>
            </w:hyperlink>
          </w:p>
        </w:tc>
        <w:tc>
          <w:tcPr>
            <w:tcW w:w="500" w:type="dxa"/>
            <w:vAlign w:val="bottom"/>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r>
      <w:tr>
        <w:trPr>
          <w:trHeight w:val="20"/>
        </w:trPr>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Grants Under the 2011 Equity Incentive Plan</w:t>
              </w:r>
            </w:hyperlink>
          </w:p>
        </w:tc>
        <w:tc>
          <w:tcPr>
            <w:tcW w:w="500" w:type="dxa"/>
            <w:vAlign w:val="bottom"/>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67</w:t>
              </w:r>
            </w:hyperlink>
          </w:p>
        </w:tc>
      </w:tr>
      <w:tr>
        <w:trPr>
          <w:trHeight w:val="20"/>
        </w:trPr>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280" w:type="dxa"/>
            <w:vAlign w:val="bottom"/>
            <w:tcBorders>
              <w:bottom w:val="single" w:sz="8" w:color="0000EE"/>
            </w:tcBorders>
            <w:gridSpan w:val="21"/>
          </w:tcPr>
          <w:p>
            <w:pPr>
              <w:spacing w:after="0"/>
              <w:rPr>
                <w:rFonts w:ascii="Arial" w:cs="Arial" w:eastAsia="Arial" w:hAnsi="Arial"/>
                <w:sz w:val="16"/>
                <w:szCs w:val="16"/>
                <w:color w:val="0000EE"/>
                <w:w w:val="91"/>
              </w:rPr>
            </w:pPr>
            <w:hyperlink w:anchor="page71">
              <w:r>
                <w:rPr>
                  <w:rFonts w:ascii="Arial" w:cs="Arial" w:eastAsia="Arial" w:hAnsi="Arial"/>
                  <w:sz w:val="16"/>
                  <w:szCs w:val="16"/>
                  <w:color w:val="0000EE"/>
                  <w:w w:val="91"/>
                </w:rPr>
                <w:t>Outstanding Equity Awards at December 31, 2015</w:t>
              </w:r>
            </w:hyperlink>
          </w:p>
        </w:tc>
        <w:tc>
          <w:tcPr>
            <w:tcW w:w="7160" w:type="dxa"/>
            <w:vAlign w:val="bottom"/>
            <w:gridSpan w:val="15"/>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69</w:t>
              </w:r>
            </w:hyperlink>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Option Exercises and Stock Vested in 2015</w:t>
              </w:r>
            </w:hyperlink>
          </w:p>
        </w:tc>
        <w:tc>
          <w:tcPr>
            <w:tcW w:w="500" w:type="dxa"/>
            <w:vAlign w:val="bottom"/>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72</w:t>
              </w:r>
            </w:hyperlink>
          </w:p>
        </w:tc>
      </w:tr>
      <w:tr>
        <w:trPr>
          <w:trHeight w:val="237"/>
        </w:trPr>
        <w:tc>
          <w:tcPr>
            <w:tcW w:w="340" w:type="dxa"/>
            <w:vAlign w:val="bottom"/>
          </w:tcPr>
          <w:p>
            <w:pPr>
              <w:spacing w:after="0"/>
              <w:rPr>
                <w:sz w:val="20"/>
                <w:szCs w:val="20"/>
                <w:color w:val="auto"/>
              </w:rPr>
            </w:pPr>
          </w:p>
        </w:tc>
        <w:tc>
          <w:tcPr>
            <w:tcW w:w="168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w:anchor="page75">
              <w:r>
                <w:rPr>
                  <w:rFonts w:ascii="Arial" w:cs="Arial" w:eastAsia="Arial" w:hAnsi="Arial"/>
                  <w:sz w:val="16"/>
                  <w:szCs w:val="16"/>
                  <w:color w:val="0000EE"/>
                  <w:w w:val="92"/>
                </w:rPr>
                <w:t>Pension Benefits in 2015</w:t>
              </w:r>
            </w:hyperlink>
          </w:p>
        </w:tc>
        <w:tc>
          <w:tcPr>
            <w:tcW w:w="1120" w:type="dxa"/>
            <w:vAlign w:val="bottom"/>
            <w:tcBorders>
              <w:top w:val="single" w:sz="8" w:color="0000EE"/>
            </w:tcBorders>
            <w:gridSpan w:val="8"/>
          </w:tcPr>
          <w:p>
            <w:pPr>
              <w:spacing w:after="0"/>
              <w:rPr>
                <w:sz w:val="20"/>
                <w:szCs w:val="20"/>
                <w:color w:val="auto"/>
              </w:rPr>
            </w:pPr>
          </w:p>
        </w:tc>
        <w:tc>
          <w:tcPr>
            <w:tcW w:w="7640" w:type="dxa"/>
            <w:vAlign w:val="bottom"/>
            <w:gridSpan w:val="21"/>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75">
              <w:r>
                <w:rPr>
                  <w:rFonts w:ascii="Arial" w:cs="Arial" w:eastAsia="Arial" w:hAnsi="Arial"/>
                  <w:sz w:val="16"/>
                  <w:szCs w:val="16"/>
                  <w:color w:val="0000EE"/>
                </w:rPr>
                <w:t>73</w:t>
              </w:r>
            </w:hyperlink>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Nonqualified Deferred Compensation in 2015</w:t>
              </w:r>
            </w:hyperlink>
          </w:p>
        </w:tc>
        <w:tc>
          <w:tcPr>
            <w:tcW w:w="500" w:type="dxa"/>
            <w:vAlign w:val="bottom"/>
          </w:tcPr>
          <w:p>
            <w:pPr>
              <w:jc w:val="right"/>
              <w:spacing w:after="0"/>
              <w:rPr>
                <w:rFonts w:ascii="Arial" w:cs="Arial" w:eastAsia="Arial" w:hAnsi="Arial"/>
                <w:sz w:val="16"/>
                <w:szCs w:val="16"/>
                <w:color w:val="0000EE"/>
              </w:rPr>
            </w:pPr>
            <w:hyperlink w:anchor="page76">
              <w:r>
                <w:rPr>
                  <w:rFonts w:ascii="Arial" w:cs="Arial" w:eastAsia="Arial" w:hAnsi="Arial"/>
                  <w:sz w:val="16"/>
                  <w:szCs w:val="16"/>
                  <w:color w:val="0000EE"/>
                </w:rPr>
                <w:t>74</w:t>
              </w:r>
            </w:hyperlink>
          </w:p>
        </w:tc>
      </w:tr>
      <w:tr>
        <w:trPr>
          <w:trHeight w:val="20"/>
        </w:trPr>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340" w:type="dxa"/>
            <w:vAlign w:val="bottom"/>
            <w:tcBorders>
              <w:bottom w:val="single" w:sz="8" w:color="0000EE"/>
            </w:tcBorders>
            <w:gridSpan w:val="26"/>
          </w:tcPr>
          <w:p>
            <w:pPr>
              <w:spacing w:after="0"/>
              <w:rPr>
                <w:rFonts w:ascii="Arial" w:cs="Arial" w:eastAsia="Arial" w:hAnsi="Arial"/>
                <w:sz w:val="16"/>
                <w:szCs w:val="16"/>
                <w:color w:val="0000EE"/>
                <w:w w:val="92"/>
              </w:rPr>
            </w:pPr>
            <w:hyperlink w:anchor="page79">
              <w:r>
                <w:rPr>
                  <w:rFonts w:ascii="Arial" w:cs="Arial" w:eastAsia="Arial" w:hAnsi="Arial"/>
                  <w:sz w:val="16"/>
                  <w:szCs w:val="16"/>
                  <w:color w:val="0000EE"/>
                  <w:w w:val="92"/>
                </w:rPr>
                <w:t>Termination of Employment and Change of Control Arrangements</w:t>
              </w:r>
            </w:hyperlink>
          </w:p>
        </w:tc>
        <w:tc>
          <w:tcPr>
            <w:tcW w:w="6100" w:type="dxa"/>
            <w:vAlign w:val="bottom"/>
            <w:gridSpan w:val="10"/>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76</w:t>
              </w:r>
            </w:hyperlink>
          </w:p>
        </w:tc>
      </w:tr>
      <w:tr>
        <w:trPr>
          <w:trHeight w:val="237"/>
        </w:trPr>
        <w:tc>
          <w:tcPr>
            <w:tcW w:w="340" w:type="dxa"/>
            <w:vAlign w:val="bottom"/>
          </w:tcPr>
          <w:p>
            <w:pPr>
              <w:spacing w:after="0"/>
              <w:rPr>
                <w:sz w:val="20"/>
                <w:szCs w:val="20"/>
                <w:color w:val="auto"/>
              </w:rPr>
            </w:pPr>
          </w:p>
        </w:tc>
        <w:tc>
          <w:tcPr>
            <w:tcW w:w="3240" w:type="dxa"/>
            <w:vAlign w:val="bottom"/>
            <w:tcBorders>
              <w:bottom w:val="single" w:sz="8" w:color="0000EE"/>
            </w:tcBorders>
            <w:gridSpan w:val="19"/>
          </w:tcPr>
          <w:p>
            <w:pPr>
              <w:spacing w:after="0"/>
              <w:rPr>
                <w:rFonts w:ascii="Arial" w:cs="Arial" w:eastAsia="Arial" w:hAnsi="Arial"/>
                <w:sz w:val="16"/>
                <w:szCs w:val="16"/>
                <w:color w:val="0000EE"/>
                <w:w w:val="92"/>
              </w:rPr>
            </w:pPr>
            <w:hyperlink w:anchor="page82">
              <w:r>
                <w:rPr>
                  <w:rFonts w:ascii="Arial" w:cs="Arial" w:eastAsia="Arial" w:hAnsi="Arial"/>
                  <w:sz w:val="16"/>
                  <w:szCs w:val="16"/>
                  <w:color w:val="0000EE"/>
                  <w:w w:val="92"/>
                </w:rPr>
                <w:t>Post-Termination and Change of Control Benefits</w:t>
              </w:r>
            </w:hyperlink>
          </w:p>
        </w:tc>
        <w:tc>
          <w:tcPr>
            <w:tcW w:w="7200" w:type="dxa"/>
            <w:vAlign w:val="bottom"/>
            <w:gridSpan w:val="17"/>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82">
              <w:r>
                <w:rPr>
                  <w:rFonts w:ascii="Arial" w:cs="Arial" w:eastAsia="Arial" w:hAnsi="Arial"/>
                  <w:sz w:val="16"/>
                  <w:szCs w:val="16"/>
                  <w:color w:val="0000EE"/>
                </w:rPr>
                <w:t>80</w:t>
              </w:r>
            </w:hyperlink>
          </w:p>
        </w:tc>
      </w:tr>
      <w:tr>
        <w:trPr>
          <w:trHeight w:val="237"/>
        </w:trPr>
        <w:tc>
          <w:tcPr>
            <w:tcW w:w="340" w:type="dxa"/>
            <w:vAlign w:val="bottom"/>
          </w:tcPr>
          <w:p>
            <w:pPr>
              <w:spacing w:after="0"/>
              <w:rPr>
                <w:sz w:val="20"/>
                <w:szCs w:val="20"/>
                <w:color w:val="auto"/>
              </w:rPr>
            </w:pPr>
          </w:p>
        </w:tc>
        <w:tc>
          <w:tcPr>
            <w:tcW w:w="21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Director Compensation for 2015</w:t>
              </w:r>
            </w:hyperlink>
          </w:p>
        </w:tc>
        <w:tc>
          <w:tcPr>
            <w:tcW w:w="8320" w:type="dxa"/>
            <w:vAlign w:val="bottom"/>
            <w:gridSpan w:val="26"/>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r>
      <w:tr>
        <w:trPr>
          <w:trHeight w:val="237"/>
        </w:trPr>
        <w:tc>
          <w:tcPr>
            <w:tcW w:w="340" w:type="dxa"/>
            <w:vAlign w:val="bottom"/>
          </w:tcPr>
          <w:p>
            <w:pPr>
              <w:spacing w:after="0"/>
              <w:rPr>
                <w:sz w:val="20"/>
                <w:szCs w:val="20"/>
                <w:color w:val="auto"/>
              </w:rPr>
            </w:pPr>
          </w:p>
        </w:tc>
        <w:tc>
          <w:tcPr>
            <w:tcW w:w="10440" w:type="dxa"/>
            <w:vAlign w:val="bottom"/>
            <w:gridSpan w:val="36"/>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Non-Employee Director Stock Ownership Guidelines</w:t>
              </w:r>
            </w:hyperlink>
          </w:p>
        </w:tc>
        <w:tc>
          <w:tcPr>
            <w:tcW w:w="500" w:type="dxa"/>
            <w:vAlign w:val="bottom"/>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88</w:t>
              </w:r>
            </w:hyperlink>
          </w:p>
        </w:tc>
      </w:tr>
      <w:tr>
        <w:trPr>
          <w:trHeight w:val="20"/>
        </w:trPr>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3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AUDIT COMMITTEE REPORT</w:t>
              </w:r>
            </w:hyperlink>
          </w:p>
        </w:tc>
        <w:tc>
          <w:tcPr>
            <w:tcW w:w="8420" w:type="dxa"/>
            <w:vAlign w:val="bottom"/>
            <w:gridSpan w:val="27"/>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2">
              <w:r>
                <w:rPr>
                  <w:rFonts w:ascii="Arial" w:cs="Arial" w:eastAsia="Arial" w:hAnsi="Arial"/>
                  <w:sz w:val="16"/>
                  <w:szCs w:val="16"/>
                  <w:color w:val="0000EE"/>
                </w:rPr>
                <w:t>90</w:t>
              </w:r>
            </w:hyperlink>
          </w:p>
        </w:tc>
      </w:tr>
      <w:tr>
        <w:trPr>
          <w:trHeight w:val="237"/>
        </w:trPr>
        <w:tc>
          <w:tcPr>
            <w:tcW w:w="4660" w:type="dxa"/>
            <w:vAlign w:val="bottom"/>
            <w:tcBorders>
              <w:bottom w:val="single" w:sz="8" w:color="0000EE"/>
            </w:tcBorders>
            <w:gridSpan w:val="26"/>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PROPOSAL 4. RATIFICATION OF INDEPENDENT AUDITORS</w:t>
              </w:r>
            </w:hyperlink>
          </w:p>
        </w:tc>
        <w:tc>
          <w:tcPr>
            <w:tcW w:w="6120" w:type="dxa"/>
            <w:vAlign w:val="bottom"/>
            <w:gridSpan w:val="11"/>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5">
              <w:r>
                <w:rPr>
                  <w:rFonts w:ascii="Arial" w:cs="Arial" w:eastAsia="Arial" w:hAnsi="Arial"/>
                  <w:sz w:val="16"/>
                  <w:szCs w:val="16"/>
                  <w:color w:val="0000EE"/>
                </w:rPr>
                <w:t>93</w:t>
              </w:r>
            </w:hyperlink>
          </w:p>
        </w:tc>
      </w:tr>
      <w:tr>
        <w:trPr>
          <w:trHeight w:val="237"/>
        </w:trPr>
        <w:tc>
          <w:tcPr>
            <w:tcW w:w="8440" w:type="dxa"/>
            <w:vAlign w:val="bottom"/>
            <w:tcBorders>
              <w:bottom w:val="single" w:sz="8" w:color="0000EE"/>
            </w:tcBorders>
            <w:gridSpan w:val="33"/>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PROPOSAL 5. ADVISORY VOTE ON APPROVAL OF THE COMPENSATION OF NAMED EXECUTIVE OFFICERS</w:t>
              </w:r>
            </w:hyperlink>
          </w:p>
        </w:tc>
        <w:tc>
          <w:tcPr>
            <w:tcW w:w="2340" w:type="dxa"/>
            <w:vAlign w:val="bottom"/>
            <w:gridSpan w:val="4"/>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6">
              <w:r>
                <w:rPr>
                  <w:rFonts w:ascii="Arial" w:cs="Arial" w:eastAsia="Arial" w:hAnsi="Arial"/>
                  <w:sz w:val="16"/>
                  <w:szCs w:val="16"/>
                  <w:color w:val="0000EE"/>
                </w:rPr>
                <w:t>94</w:t>
              </w:r>
            </w:hyperlink>
          </w:p>
        </w:tc>
      </w:tr>
      <w:tr>
        <w:trPr>
          <w:trHeight w:val="237"/>
        </w:trPr>
        <w:tc>
          <w:tcPr>
            <w:tcW w:w="3600" w:type="dxa"/>
            <w:vAlign w:val="bottom"/>
            <w:tcBorders>
              <w:bottom w:val="single" w:sz="8" w:color="0000EE"/>
            </w:tcBorders>
            <w:gridSpan w:val="21"/>
          </w:tcPr>
          <w:p>
            <w:pPr>
              <w:spacing w:after="0"/>
              <w:rPr>
                <w:rFonts w:ascii="Arial" w:cs="Arial" w:eastAsia="Arial" w:hAnsi="Arial"/>
                <w:sz w:val="16"/>
                <w:szCs w:val="16"/>
                <w:b w:val="1"/>
                <w:bCs w:val="1"/>
                <w:color w:val="0000EE"/>
                <w:w w:val="99"/>
              </w:rPr>
            </w:pPr>
            <w:hyperlink w:anchor="page98">
              <w:r>
                <w:rPr>
                  <w:rFonts w:ascii="Arial" w:cs="Arial" w:eastAsia="Arial" w:hAnsi="Arial"/>
                  <w:sz w:val="16"/>
                  <w:szCs w:val="16"/>
                  <w:b w:val="1"/>
                  <w:bCs w:val="1"/>
                  <w:color w:val="0000EE"/>
                  <w:w w:val="99"/>
                </w:rPr>
                <w:t>SUBMISSION OF SHAREHOLDER PROPOSALS</w:t>
              </w:r>
            </w:hyperlink>
          </w:p>
        </w:tc>
        <w:tc>
          <w:tcPr>
            <w:tcW w:w="7180" w:type="dxa"/>
            <w:vAlign w:val="bottom"/>
            <w:gridSpan w:val="16"/>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8">
              <w:r>
                <w:rPr>
                  <w:rFonts w:ascii="Arial" w:cs="Arial" w:eastAsia="Arial" w:hAnsi="Arial"/>
                  <w:sz w:val="16"/>
                  <w:szCs w:val="16"/>
                  <w:color w:val="0000EE"/>
                </w:rPr>
                <w:t>95</w:t>
              </w:r>
            </w:hyperlink>
          </w:p>
        </w:tc>
      </w:tr>
      <w:tr>
        <w:trPr>
          <w:trHeight w:val="237"/>
        </w:trPr>
        <w:tc>
          <w:tcPr>
            <w:tcW w:w="5400" w:type="dxa"/>
            <w:vAlign w:val="bottom"/>
            <w:tcBorders>
              <w:bottom w:val="single" w:sz="8" w:color="0000EE"/>
            </w:tcBorders>
            <w:gridSpan w:val="29"/>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SECTION 16(a) BENEFICIAL OWNERSHIP REPORTING COMPLIANCE</w:t>
              </w:r>
            </w:hyperlink>
          </w:p>
        </w:tc>
        <w:tc>
          <w:tcPr>
            <w:tcW w:w="5380" w:type="dxa"/>
            <w:vAlign w:val="bottom"/>
            <w:gridSpan w:val="8"/>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8">
              <w:r>
                <w:rPr>
                  <w:rFonts w:ascii="Arial" w:cs="Arial" w:eastAsia="Arial" w:hAnsi="Arial"/>
                  <w:sz w:val="16"/>
                  <w:szCs w:val="16"/>
                  <w:color w:val="0000EE"/>
                </w:rPr>
                <w:t>95</w:t>
              </w:r>
            </w:hyperlink>
          </w:p>
        </w:tc>
      </w:tr>
      <w:tr>
        <w:trPr>
          <w:trHeight w:val="237"/>
        </w:trPr>
        <w:tc>
          <w:tcPr>
            <w:tcW w:w="2520" w:type="dxa"/>
            <w:vAlign w:val="bottom"/>
            <w:tcBorders>
              <w:bottom w:val="single" w:sz="8" w:color="0000EE"/>
            </w:tcBorders>
            <w:gridSpan w:val="13"/>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OTHER VOTING INFORMATION</w:t>
              </w:r>
            </w:hyperlink>
          </w:p>
        </w:tc>
        <w:tc>
          <w:tcPr>
            <w:tcW w:w="8260" w:type="dxa"/>
            <w:vAlign w:val="bottom"/>
            <w:gridSpan w:val="24"/>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8">
              <w:r>
                <w:rPr>
                  <w:rFonts w:ascii="Arial" w:cs="Arial" w:eastAsia="Arial" w:hAnsi="Arial"/>
                  <w:sz w:val="16"/>
                  <w:szCs w:val="16"/>
                  <w:color w:val="0000EE"/>
                </w:rPr>
                <w:t>95</w:t>
              </w:r>
            </w:hyperlink>
          </w:p>
        </w:tc>
      </w:tr>
      <w:tr>
        <w:trPr>
          <w:trHeight w:val="237"/>
        </w:trPr>
        <w:tc>
          <w:tcPr>
            <w:tcW w:w="142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OTHER MATTERS</w:t>
              </w:r>
            </w:hyperlink>
          </w:p>
        </w:tc>
        <w:tc>
          <w:tcPr>
            <w:tcW w:w="9360" w:type="dxa"/>
            <w:vAlign w:val="bottom"/>
            <w:gridSpan w:val="34"/>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99">
              <w:r>
                <w:rPr>
                  <w:rFonts w:ascii="Arial" w:cs="Arial" w:eastAsia="Arial" w:hAnsi="Arial"/>
                  <w:sz w:val="16"/>
                  <w:szCs w:val="16"/>
                  <w:color w:val="0000EE"/>
                </w:rPr>
                <w:t>96</w:t>
              </w:r>
            </w:hyperlink>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APPENDIX A-1</w:t>
              </w:r>
            </w:hyperlink>
          </w:p>
        </w:tc>
        <w:tc>
          <w:tcPr>
            <w:tcW w:w="500" w:type="dxa"/>
            <w:vAlign w:val="bottom"/>
          </w:tcPr>
          <w:p>
            <w:pPr>
              <w:jc w:val="right"/>
              <w:spacing w:after="0"/>
              <w:rPr>
                <w:rFonts w:ascii="Arial" w:cs="Arial" w:eastAsia="Arial" w:hAnsi="Arial"/>
                <w:sz w:val="16"/>
                <w:szCs w:val="16"/>
                <w:color w:val="0000EE"/>
              </w:rPr>
            </w:pPr>
            <w:hyperlink w:anchor="page99">
              <w:r>
                <w:rPr>
                  <w:rFonts w:ascii="Arial" w:cs="Arial" w:eastAsia="Arial" w:hAnsi="Arial"/>
                  <w:sz w:val="16"/>
                  <w:szCs w:val="16"/>
                  <w:color w:val="0000EE"/>
                </w:rPr>
                <w:t>A-1</w:t>
              </w:r>
            </w:hyperlink>
          </w:p>
        </w:tc>
      </w:tr>
      <w:tr>
        <w:trPr>
          <w:trHeight w:val="237"/>
        </w:trPr>
        <w:tc>
          <w:tcPr>
            <w:tcW w:w="1120" w:type="dxa"/>
            <w:vAlign w:val="bottom"/>
            <w:tcBorders>
              <w:top w:val="single" w:sz="8" w:color="0000EE"/>
              <w:bottom w:val="single" w:sz="8" w:color="0000EE"/>
            </w:tcBorders>
            <w:gridSpan w:val="2"/>
          </w:tcPr>
          <w:p>
            <w:pPr>
              <w:spacing w:after="0"/>
              <w:rPr>
                <w:rFonts w:ascii="Arial" w:cs="Arial" w:eastAsia="Arial" w:hAnsi="Arial"/>
                <w:sz w:val="16"/>
                <w:szCs w:val="16"/>
                <w:b w:val="1"/>
                <w:bCs w:val="1"/>
                <w:color w:val="0000EE"/>
                <w:w w:val="98"/>
              </w:rPr>
            </w:pPr>
            <w:hyperlink w:anchor="page104">
              <w:r>
                <w:rPr>
                  <w:rFonts w:ascii="Arial" w:cs="Arial" w:eastAsia="Arial" w:hAnsi="Arial"/>
                  <w:sz w:val="16"/>
                  <w:szCs w:val="16"/>
                  <w:b w:val="1"/>
                  <w:bCs w:val="1"/>
                  <w:color w:val="0000EE"/>
                  <w:w w:val="98"/>
                </w:rPr>
                <w:t>APPENDIX B-1</w:t>
              </w:r>
            </w:hyperlink>
          </w:p>
        </w:tc>
        <w:tc>
          <w:tcPr>
            <w:tcW w:w="9660" w:type="dxa"/>
            <w:vAlign w:val="bottom"/>
            <w:gridSpan w:val="35"/>
          </w:tcPr>
          <w:p>
            <w:pPr>
              <w:spacing w:after="0"/>
              <w:rPr>
                <w:sz w:val="20"/>
                <w:szCs w:val="20"/>
                <w:color w:val="auto"/>
              </w:rPr>
            </w:pPr>
          </w:p>
        </w:tc>
        <w:tc>
          <w:tcPr>
            <w:tcW w:w="500" w:type="dxa"/>
            <w:vAlign w:val="bottom"/>
          </w:tcPr>
          <w:p>
            <w:pPr>
              <w:jc w:val="right"/>
              <w:spacing w:after="0"/>
              <w:rPr>
                <w:rFonts w:ascii="Arial" w:cs="Arial" w:eastAsia="Arial" w:hAnsi="Arial"/>
                <w:sz w:val="16"/>
                <w:szCs w:val="16"/>
                <w:color w:val="0000EE"/>
              </w:rPr>
            </w:pPr>
            <w:hyperlink w:anchor="page104">
              <w:r>
                <w:rPr>
                  <w:rFonts w:ascii="Arial" w:cs="Arial" w:eastAsia="Arial" w:hAnsi="Arial"/>
                  <w:sz w:val="16"/>
                  <w:szCs w:val="16"/>
                  <w:color w:val="0000EE"/>
                </w:rPr>
                <w:t>B-1</w:t>
              </w:r>
            </w:hyperlink>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131">
              <w:r>
                <w:rPr>
                  <w:rFonts w:ascii="Arial" w:cs="Arial" w:eastAsia="Arial" w:hAnsi="Arial"/>
                  <w:sz w:val="16"/>
                  <w:szCs w:val="16"/>
                  <w:b w:val="1"/>
                  <w:bCs w:val="1"/>
                  <w:color w:val="0000EE"/>
                </w:rPr>
                <w:t>APPENDIX C-1</w:t>
              </w:r>
            </w:hyperlink>
          </w:p>
        </w:tc>
        <w:tc>
          <w:tcPr>
            <w:tcW w:w="500" w:type="dxa"/>
            <w:vAlign w:val="bottom"/>
          </w:tcPr>
          <w:p>
            <w:pPr>
              <w:jc w:val="right"/>
              <w:spacing w:after="0"/>
              <w:rPr>
                <w:rFonts w:ascii="Arial" w:cs="Arial" w:eastAsia="Arial" w:hAnsi="Arial"/>
                <w:sz w:val="16"/>
                <w:szCs w:val="16"/>
                <w:color w:val="0000EE"/>
              </w:rPr>
            </w:pPr>
            <w:hyperlink w:anchor="page131">
              <w:r>
                <w:rPr>
                  <w:rFonts w:ascii="Arial" w:cs="Arial" w:eastAsia="Arial" w:hAnsi="Arial"/>
                  <w:sz w:val="16"/>
                  <w:szCs w:val="16"/>
                  <w:color w:val="0000EE"/>
                </w:rPr>
                <w:t>C-1</w:t>
              </w:r>
            </w:hyperlink>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9660" w:type="dxa"/>
            <w:vAlign w:val="bottom"/>
            <w:gridSpan w:val="3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780" w:type="dxa"/>
            <w:vAlign w:val="bottom"/>
            <w:gridSpan w:val="37"/>
          </w:tcPr>
          <w:p>
            <w:pPr>
              <w:spacing w:after="0"/>
              <w:rPr>
                <w:rFonts w:ascii="Arial" w:cs="Arial" w:eastAsia="Arial" w:hAnsi="Arial"/>
                <w:sz w:val="16"/>
                <w:szCs w:val="16"/>
                <w:b w:val="1"/>
                <w:bCs w:val="1"/>
                <w:color w:val="0000EE"/>
              </w:rPr>
            </w:pPr>
            <w:hyperlink w:anchor="page132">
              <w:r>
                <w:rPr>
                  <w:rFonts w:ascii="Arial" w:cs="Arial" w:eastAsia="Arial" w:hAnsi="Arial"/>
                  <w:sz w:val="16"/>
                  <w:szCs w:val="16"/>
                  <w:b w:val="1"/>
                  <w:bCs w:val="1"/>
                  <w:color w:val="0000EE"/>
                </w:rPr>
                <w:t>APPENDIX D-1</w:t>
              </w:r>
            </w:hyperlink>
          </w:p>
        </w:tc>
        <w:tc>
          <w:tcPr>
            <w:tcW w:w="500" w:type="dxa"/>
            <w:vAlign w:val="bottom"/>
          </w:tcPr>
          <w:p>
            <w:pPr>
              <w:jc w:val="right"/>
              <w:spacing w:after="0"/>
              <w:rPr>
                <w:rFonts w:ascii="Arial" w:cs="Arial" w:eastAsia="Arial" w:hAnsi="Arial"/>
                <w:sz w:val="16"/>
                <w:szCs w:val="16"/>
                <w:color w:val="0000EE"/>
              </w:rPr>
            </w:pPr>
            <w:hyperlink w:anchor="page132">
              <w:r>
                <w:rPr>
                  <w:rFonts w:ascii="Arial" w:cs="Arial" w:eastAsia="Arial" w:hAnsi="Arial"/>
                  <w:sz w:val="16"/>
                  <w:szCs w:val="16"/>
                  <w:color w:val="0000EE"/>
                </w:rPr>
                <w:t>D-1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MANPOWERGROUP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100 Manpower Place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Milwaukee, Wisconsin 53212</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March 4, 2016</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PROXY STATEMENT</w:t>
      </w:r>
    </w:p>
    <w:p>
      <w:pPr>
        <w:spacing w:after="0" w:line="216" w:lineRule="exact"/>
        <w:rPr>
          <w:sz w:val="20"/>
          <w:szCs w:val="20"/>
          <w:color w:val="auto"/>
        </w:rPr>
      </w:pPr>
    </w:p>
    <w:p>
      <w:pPr>
        <w:jc w:val="both"/>
        <w:ind w:right="60" w:firstLine="486"/>
        <w:spacing w:after="0" w:line="257" w:lineRule="auto"/>
        <w:rPr>
          <w:sz w:val="20"/>
          <w:szCs w:val="20"/>
          <w:color w:val="auto"/>
        </w:rPr>
      </w:pPr>
      <w:r>
        <w:rPr>
          <w:rFonts w:ascii="Arial" w:cs="Arial" w:eastAsia="Arial" w:hAnsi="Arial"/>
          <w:sz w:val="17"/>
          <w:szCs w:val="17"/>
          <w:color w:val="auto"/>
        </w:rPr>
        <w:t>This proxy statement relates to the solicitation of proxies by the board of directors of ManpowerGroup Inc. for use at the annual meeting of shareholders to be held at 10:00 a.m., local time, on May 3, 2016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7"/>
          <w:szCs w:val="17"/>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71" w:lineRule="exact"/>
        <w:rPr>
          <w:sz w:val="20"/>
          <w:szCs w:val="20"/>
          <w:color w:val="auto"/>
        </w:rPr>
      </w:pPr>
    </w:p>
    <w:p>
      <w:pPr>
        <w:ind w:right="20" w:firstLine="486"/>
        <w:spacing w:after="0" w:line="281" w:lineRule="auto"/>
        <w:rPr>
          <w:sz w:val="20"/>
          <w:szCs w:val="20"/>
          <w:color w:val="auto"/>
        </w:rPr>
      </w:pPr>
      <w:r>
        <w:rPr>
          <w:rFonts w:ascii="Arial" w:cs="Arial" w:eastAsia="Arial" w:hAnsi="Arial"/>
          <w:sz w:val="17"/>
          <w:szCs w:val="17"/>
          <w:b w:val="1"/>
          <w:bCs w:val="1"/>
          <w:color w:val="auto"/>
        </w:rPr>
        <w:t>If you received the Notice by mail and would prefer to receive a printed copy of ManpowerGroup’s proxy materials, please follow the instructions for requesting printed copies included in the Notice.</w:t>
      </w:r>
    </w:p>
    <w:p>
      <w:pPr>
        <w:spacing w:after="0" w:line="156" w:lineRule="exact"/>
        <w:rPr>
          <w:sz w:val="20"/>
          <w:szCs w:val="20"/>
          <w:color w:val="auto"/>
        </w:rPr>
      </w:pPr>
    </w:p>
    <w:p>
      <w:pPr>
        <w:ind w:firstLine="486"/>
        <w:spacing w:after="0" w:line="261" w:lineRule="auto"/>
        <w:rPr>
          <w:sz w:val="20"/>
          <w:szCs w:val="20"/>
          <w:color w:val="auto"/>
        </w:rPr>
      </w:pPr>
      <w:r>
        <w:rPr>
          <w:rFonts w:ascii="Arial" w:cs="Arial" w:eastAsia="Arial" w:hAnsi="Arial"/>
          <w:sz w:val="17"/>
          <w:szCs w:val="17"/>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73" w:lineRule="exact"/>
        <w:rPr>
          <w:sz w:val="20"/>
          <w:szCs w:val="20"/>
          <w:color w:val="auto"/>
        </w:rPr>
      </w:pPr>
    </w:p>
    <w:p>
      <w:pPr>
        <w:ind w:right="40" w:firstLine="486"/>
        <w:spacing w:after="0" w:line="268" w:lineRule="auto"/>
        <w:rPr>
          <w:sz w:val="20"/>
          <w:szCs w:val="20"/>
          <w:color w:val="auto"/>
        </w:rPr>
      </w:pPr>
      <w:r>
        <w:rPr>
          <w:rFonts w:ascii="Arial" w:cs="Arial" w:eastAsia="Arial" w:hAnsi="Arial"/>
          <w:sz w:val="16"/>
          <w:szCs w:val="16"/>
          <w:color w:val="auto"/>
        </w:rPr>
        <w:t>Only shareholders of record at the close of business on February 23, 2016 are entitled to notice of and to vote the shares of our common stock, $.01 par value, registered in their name at the annual meeting. As of the record date, we had outstanding 72,188,282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directors for one year, to re-approve the material terms of the performance goals under the ManpowerGroup Inc. Corporate Senior Management Annual Incentive Pool Plan, to re-approve the material terms of the performance goals under the 2011 Equity Incentive Plan of ManpowerGroup Inc., to ratify the appointment of Deloitte &amp; Touche LLP as our independent auditors for 2016 and the advisory vote on approval of the compensation of our named executive officers, abstentions and broker non-votes will not be counted as voting on the proposals.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Notice is being mailed to shareholders commencing on or about March 17, 2016.</w:t>
      </w:r>
    </w:p>
    <w:p>
      <w:pPr>
        <w:spacing w:after="0" w:line="204" w:lineRule="exact"/>
        <w:rPr>
          <w:sz w:val="20"/>
          <w:szCs w:val="20"/>
          <w:color w:val="auto"/>
        </w:rPr>
      </w:pPr>
    </w:p>
    <w:p>
      <w:pPr>
        <w:ind w:right="60" w:firstLine="486"/>
        <w:spacing w:after="0" w:line="271" w:lineRule="auto"/>
        <w:rPr>
          <w:sz w:val="20"/>
          <w:szCs w:val="20"/>
          <w:color w:val="auto"/>
        </w:rPr>
      </w:pPr>
      <w:r>
        <w:rPr>
          <w:rFonts w:ascii="Arial" w:cs="Arial" w:eastAsia="Arial" w:hAnsi="Arial"/>
          <w:sz w:val="16"/>
          <w:szCs w:val="16"/>
          <w:color w:val="auto"/>
        </w:rPr>
        <w:t xml:space="preserve">If a proxy is properly submitted to us and not revoked, it will be voted in accordance with the instructions contained in the proxy. </w:t>
      </w:r>
      <w:r>
        <w:rPr>
          <w:rFonts w:ascii="Arial" w:cs="Arial" w:eastAsia="Arial" w:hAnsi="Arial"/>
          <w:sz w:val="16"/>
          <w:szCs w:val="16"/>
          <w:b w:val="1"/>
          <w:bCs w:val="1"/>
          <w:color w:val="auto"/>
        </w:rPr>
        <w:t>Each shareholder may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revoke a previously granted proxy at any time before it is exercised by advising the secretary of ManpowerGroup in writing (either by submitting a duly executed proxy bearing a later date or voting by telephone or via the Internet) of such revocation.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by our board of directors to serve as directors for one year,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re-approval of the material terms of the performance goals under the ManpowerGroup Inc. Corporate Senior Management Annual Incentive Pool Plan,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re-approval of the material terms of the performance goals under the 2011 Equity Incentive Plan of ManpowerGroup Inc.,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appointment of Deloitte &amp; Touche LLP as our independent auditors for 2016 and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compensation of our named executive officers.</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GOVERNANCE DOCUMENTS</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These documents include the following:</w:t>
      </w:r>
    </w:p>
    <w:p>
      <w:pPr>
        <w:spacing w:after="0" w:line="87"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Articles of Incorporation;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Anti-corruption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121"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lists as of the record date (except as noted below) information as to the persons believed by us to be beneficial owners of more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of our outstanding common stock:</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38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Address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 Nature of</w:t>
            </w:r>
          </w:p>
        </w:tc>
        <w:tc>
          <w:tcPr>
            <w:tcW w:w="9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 of</w:t>
            </w:r>
          </w:p>
        </w:tc>
      </w:tr>
      <w:tr>
        <w:trPr>
          <w:trHeight w:val="158"/>
        </w:trPr>
        <w:tc>
          <w:tcPr>
            <w:tcW w:w="63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Beneficial Owners</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Beneficial Ownership</w:t>
            </w:r>
          </w:p>
        </w:tc>
        <w:tc>
          <w:tcPr>
            <w:tcW w:w="920" w:type="dxa"/>
            <w:vAlign w:val="bottom"/>
          </w:tcPr>
          <w:p>
            <w:pPr>
              <w:spacing w:after="0"/>
              <w:rPr>
                <w:sz w:val="13"/>
                <w:szCs w:val="13"/>
                <w:color w:val="auto"/>
              </w:rPr>
            </w:pPr>
          </w:p>
        </w:tc>
        <w:tc>
          <w:tcPr>
            <w:tcW w:w="1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Class(1)</w:t>
            </w: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9"/>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BlackRock, Inc. .............................................................</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6,781,702(2)</w:t>
            </w:r>
          </w:p>
        </w:tc>
        <w:tc>
          <w:tcPr>
            <w:tcW w:w="162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2"/>
              </w:rPr>
              <w:t>9.4%</w:t>
            </w:r>
          </w:p>
        </w:tc>
        <w:tc>
          <w:tcPr>
            <w:tcW w:w="340" w:type="dxa"/>
            <w:vAlign w:val="bottom"/>
            <w:shd w:val="clear" w:color="auto" w:fill="CCEEFF"/>
          </w:tcPr>
          <w:p>
            <w:pPr>
              <w:spacing w:after="0"/>
              <w:rPr>
                <w:sz w:val="19"/>
                <w:szCs w:val="19"/>
                <w:color w:val="auto"/>
              </w:rPr>
            </w:pPr>
          </w:p>
        </w:tc>
      </w:tr>
      <w:tr>
        <w:trPr>
          <w:trHeight w:val="216"/>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55 East 52nd Street</w:t>
            </w: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7"/>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New York, New York 10022</w:t>
            </w:r>
          </w:p>
        </w:tc>
        <w:tc>
          <w:tcPr>
            <w:tcW w:w="1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29"/>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Vanguard Group, Inc. ....................................................</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5,196,959(3)</w:t>
            </w:r>
          </w:p>
        </w:tc>
        <w:tc>
          <w:tcPr>
            <w:tcW w:w="1620" w:type="dxa"/>
            <w:vAlign w:val="bottom"/>
            <w:gridSpan w:val="2"/>
          </w:tcPr>
          <w:p>
            <w:pPr>
              <w:jc w:val="center"/>
              <w:ind w:left="830"/>
              <w:spacing w:after="0"/>
              <w:rPr>
                <w:sz w:val="20"/>
                <w:szCs w:val="20"/>
                <w:color w:val="auto"/>
              </w:rPr>
            </w:pPr>
            <w:r>
              <w:rPr>
                <w:rFonts w:ascii="Arial" w:cs="Arial" w:eastAsia="Arial" w:hAnsi="Arial"/>
                <w:sz w:val="18"/>
                <w:szCs w:val="18"/>
                <w:color w:val="auto"/>
                <w:w w:val="92"/>
              </w:rPr>
              <w:t>7.2%</w:t>
            </w:r>
          </w:p>
        </w:tc>
        <w:tc>
          <w:tcPr>
            <w:tcW w:w="340" w:type="dxa"/>
            <w:vAlign w:val="bottom"/>
          </w:tcPr>
          <w:p>
            <w:pPr>
              <w:spacing w:after="0"/>
              <w:rPr>
                <w:sz w:val="19"/>
                <w:szCs w:val="19"/>
                <w:color w:val="auto"/>
              </w:rPr>
            </w:pPr>
          </w:p>
        </w:tc>
      </w:tr>
      <w:tr>
        <w:trPr>
          <w:trHeight w:val="216"/>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100 Vanguard Boulevard</w:t>
            </w: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Malvern, PA 19355</w:t>
            </w: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9"/>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Glenview Capital Management, LLC ............................</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4,799,409(4)</w:t>
            </w:r>
          </w:p>
        </w:tc>
        <w:tc>
          <w:tcPr>
            <w:tcW w:w="162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2"/>
              </w:rPr>
              <w:t>6.6%</w:t>
            </w:r>
          </w:p>
        </w:tc>
        <w:tc>
          <w:tcPr>
            <w:tcW w:w="340" w:type="dxa"/>
            <w:vAlign w:val="bottom"/>
            <w:shd w:val="clear" w:color="auto" w:fill="CCEEFF"/>
          </w:tcPr>
          <w:p>
            <w:pPr>
              <w:spacing w:after="0"/>
              <w:rPr>
                <w:sz w:val="19"/>
                <w:szCs w:val="19"/>
                <w:color w:val="auto"/>
              </w:rPr>
            </w:pPr>
          </w:p>
        </w:tc>
      </w:tr>
      <w:tr>
        <w:trPr>
          <w:trHeight w:val="216"/>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767 Fifth Avenue</w:t>
            </w: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7"/>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New York, New York 10153</w:t>
            </w:r>
          </w:p>
        </w:tc>
        <w:tc>
          <w:tcPr>
            <w:tcW w:w="1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29"/>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T. Rowe Price Associates, Inc. ......................................</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4,034,823(5)</w:t>
            </w:r>
          </w:p>
        </w:tc>
        <w:tc>
          <w:tcPr>
            <w:tcW w:w="1620" w:type="dxa"/>
            <w:vAlign w:val="bottom"/>
            <w:gridSpan w:val="2"/>
          </w:tcPr>
          <w:p>
            <w:pPr>
              <w:jc w:val="center"/>
              <w:ind w:left="830"/>
              <w:spacing w:after="0"/>
              <w:rPr>
                <w:sz w:val="20"/>
                <w:szCs w:val="20"/>
                <w:color w:val="auto"/>
              </w:rPr>
            </w:pPr>
            <w:r>
              <w:rPr>
                <w:rFonts w:ascii="Arial" w:cs="Arial" w:eastAsia="Arial" w:hAnsi="Arial"/>
                <w:sz w:val="18"/>
                <w:szCs w:val="18"/>
                <w:color w:val="auto"/>
                <w:w w:val="92"/>
              </w:rPr>
              <w:t>5.6%</w:t>
            </w:r>
          </w:p>
        </w:tc>
        <w:tc>
          <w:tcPr>
            <w:tcW w:w="340" w:type="dxa"/>
            <w:vAlign w:val="bottom"/>
          </w:tcPr>
          <w:p>
            <w:pPr>
              <w:spacing w:after="0"/>
              <w:rPr>
                <w:sz w:val="19"/>
                <w:szCs w:val="19"/>
                <w:color w:val="auto"/>
              </w:rPr>
            </w:pPr>
          </w:p>
        </w:tc>
      </w:tr>
      <w:tr>
        <w:trPr>
          <w:trHeight w:val="216"/>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100 East Pratt Street</w:t>
            </w: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Baltimore, Maryland 21202</w:t>
            </w: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6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72,188,282 shares of common stock outstanding as of the record date.</w:t>
      </w:r>
    </w:p>
    <w:p>
      <w:pPr>
        <w:spacing w:after="0" w:line="63" w:lineRule="exact"/>
        <w:rPr>
          <w:rFonts w:ascii="Arial" w:cs="Arial" w:eastAsia="Arial" w:hAnsi="Arial"/>
          <w:sz w:val="18"/>
          <w:szCs w:val="18"/>
          <w:color w:val="auto"/>
        </w:rPr>
      </w:pPr>
    </w:p>
    <w:p>
      <w:pPr>
        <w:ind w:left="500" w:right="20" w:hanging="492"/>
        <w:spacing w:after="0" w:line="25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January 26, 2016, by BlackRock, Inc. on its behalf and on behalf of its following affiliates: BlackRock Advisors LLC, BlackRock Advisors (UK) Limited, BlackRock Asset Management Canada Limited, BlackRock Asset Management Ireland Limited, BlackRock Japan Co. Ltd., BlackRock Capital Management, BlackRock Financial Management, Inc., BlackRock Fund Advisors, BlackRock Life Limited, BlackRock Institutional Trust Company, N.A., BlackRock Investment Management, LLC, BlackRock Investment Management (Australia) Limited, BlackRock (Luxembourg) S.A., BlackRock (Netherlands) B.V., BlackRock International Limited, BlackRock Investment Management UK Ltd, BlackRock Fund Managers Limited, BlackRock (Singapore) Limited, BlackRock Asset Management North Asia Limited, BlackRock (Channel Islands) Ltd. and BlackRock Asset Management Schweiz AG. According to this Schedule 13G, these securities are owned of record by BlackRock, Inc. BlackRock, Inc. has sole voting power with respect to 5,992,379 shares held and sole dispositive power with respect to 6,781,702 shares held.</w:t>
      </w:r>
    </w:p>
    <w:p>
      <w:pPr>
        <w:spacing w:after="0" w:line="35" w:lineRule="exact"/>
        <w:rPr>
          <w:rFonts w:ascii="Arial" w:cs="Arial" w:eastAsia="Arial" w:hAnsi="Arial"/>
          <w:sz w:val="18"/>
          <w:szCs w:val="18"/>
          <w:color w:val="auto"/>
        </w:rPr>
      </w:pPr>
    </w:p>
    <w:p>
      <w:pPr>
        <w:ind w:left="500" w:right="80" w:hanging="49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10, 2016. According to this Schedule 13G, these securities are owned by various individual and institutional investors for which Vanguard Group, Inc. (“Vanguard”) serves as investment advisor. Vanguard has sole voting power with respect to 72,547 shares held, shared voting power with respect to 7,600 shares held, sole dispositive power with respect to 5,119,367 shares held and shared dispositive power with respect to 77,592 shares held.</w:t>
      </w:r>
    </w:p>
    <w:p>
      <w:pPr>
        <w:spacing w:after="0" w:line="24" w:lineRule="exact"/>
        <w:rPr>
          <w:rFonts w:ascii="Arial" w:cs="Arial" w:eastAsia="Arial" w:hAnsi="Arial"/>
          <w:sz w:val="18"/>
          <w:szCs w:val="18"/>
          <w:color w:val="auto"/>
        </w:rPr>
      </w:pPr>
    </w:p>
    <w:p>
      <w:pPr>
        <w:ind w:left="500" w:right="60" w:hanging="492"/>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16, 2016, by Glenview Capital Management, LLC and Larry Robbins, Chief Executive Officer of Glenview Capital Mangement, LLC, on their behalf and on the behalf of the following affiliates of Glenview Capital Management: Glenview Capital Partners, L.P., Glenview Capital Master Fund, Ltd, Glenview Institutional Partners, L.P., Glenview Offshore Opportunity Master Fund, Ltd. and Glenview Capital Opportunity Fund, L.P. Glenview Capital Management has shared voting power and shared dispositive power with respect to 4,799,409 shares held,</w:t>
      </w:r>
    </w:p>
    <w:p>
      <w:pPr>
        <w:spacing w:after="0" w:line="26" w:lineRule="exact"/>
        <w:rPr>
          <w:rFonts w:ascii="Arial" w:cs="Arial" w:eastAsia="Arial" w:hAnsi="Arial"/>
          <w:sz w:val="18"/>
          <w:szCs w:val="18"/>
          <w:color w:val="auto"/>
        </w:rPr>
      </w:pPr>
    </w:p>
    <w:p>
      <w:pPr>
        <w:ind w:left="500" w:right="120" w:hanging="492"/>
        <w:spacing w:after="0" w:line="276"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information is based on a Schedule 13G filed on February 10, 2016. According to this Schedule 13G, these securities are owned by various individual and institutional investors for which T. Rowe Price Associates, Inc. (“Price Associates”) serves as investment adviser. Price Associates has sole voting power with respect to 1,133,966 shares held and sole dispositive power with respect to 4,034,823 shares held. For the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ELECTION OF DIRECTORS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Articles of Incorporation provide that our board of directors will consist of three to fifteen members. Our board of directors currently consists of twelve members. All directors are elected annually to serve until the next annual meeting of shareholders and until the directors' successors are duly elected and shall qualify.</w:t>
      </w:r>
    </w:p>
    <w:p>
      <w:pPr>
        <w:spacing w:after="0" w:line="18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14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Mr. Ferraro was appointed to the board of directors effective January 1, 2016, after being recommended for appointment to the board of directors by an independent director search firm, and subsequently by the nominating and governance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individuals are being nominated as directors, each for a one-year term expiring at the 2017 annual meeting of shareholders: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Gina R. Boswell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Cari M. Dominguez</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Downe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F. Ferraro</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Patricia Hemingway Hall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Roberto Mendoza</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Ulice Payne, Jr.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Jonas Prising</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Paul Read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Elizabeth P. Sartain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R. Walter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J. Zore</w:t>
      </w:r>
    </w:p>
    <w:p>
      <w:pPr>
        <w:spacing w:after="0" w:line="22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18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Any such resignation will be effective only upon its acceptance by the board of directors. The nominating and governance committee will recommend to the board of directors whether to accept or reject the tendered 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board of directors recommends you vote FOR the election of each of the nominees listed above.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80"/>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Director Biographies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Principal Occupation</w:t>
            </w:r>
          </w:p>
        </w:tc>
      </w:tr>
      <w:tr>
        <w:trPr>
          <w:trHeight w:val="194"/>
        </w:trPr>
        <w:tc>
          <w:tcPr>
            <w:tcW w:w="1360" w:type="dxa"/>
            <w:vAlign w:val="bottom"/>
          </w:tcPr>
          <w:p>
            <w:pPr>
              <w:spacing w:after="0"/>
              <w:rPr>
                <w:sz w:val="16"/>
                <w:szCs w:val="16"/>
                <w:color w:val="auto"/>
              </w:rPr>
            </w:pPr>
          </w:p>
        </w:tc>
        <w:tc>
          <w:tcPr>
            <w:tcW w:w="2540" w:type="dxa"/>
            <w:vAlign w:val="bottom"/>
            <w:gridSpan w:val="3"/>
          </w:tcPr>
          <w:p>
            <w:pPr>
              <w:ind w:left="360"/>
              <w:spacing w:after="0" w:line="194" w:lineRule="exact"/>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6"/>
                <w:szCs w:val="16"/>
                <w:color w:val="auto"/>
              </w:rPr>
            </w:pPr>
          </w:p>
        </w:tc>
        <w:tc>
          <w:tcPr>
            <w:tcW w:w="4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8"/>
              </w:rPr>
              <w:t>Age</w:t>
            </w:r>
          </w:p>
        </w:tc>
        <w:tc>
          <w:tcPr>
            <w:tcW w:w="2860" w:type="dxa"/>
            <w:vAlign w:val="bottom"/>
          </w:tcPr>
          <w:p>
            <w:pPr>
              <w:spacing w:after="0"/>
              <w:rPr>
                <w:sz w:val="16"/>
                <w:szCs w:val="16"/>
                <w:color w:val="auto"/>
              </w:rPr>
            </w:pPr>
          </w:p>
        </w:tc>
        <w:tc>
          <w:tcPr>
            <w:tcW w:w="4100" w:type="dxa"/>
            <w:vAlign w:val="bottom"/>
            <w:gridSpan w:val="2"/>
          </w:tcPr>
          <w:p>
            <w:pPr>
              <w:jc w:val="center"/>
              <w:ind w:right="2740"/>
              <w:spacing w:after="0" w:line="194" w:lineRule="exact"/>
              <w:rPr>
                <w:sz w:val="20"/>
                <w:szCs w:val="20"/>
                <w:color w:val="auto"/>
              </w:rPr>
            </w:pPr>
            <w:r>
              <w:rPr>
                <w:rFonts w:ascii="Arial" w:cs="Arial" w:eastAsia="Arial" w:hAnsi="Arial"/>
                <w:sz w:val="18"/>
                <w:szCs w:val="18"/>
                <w:b w:val="1"/>
                <w:bCs w:val="1"/>
                <w:color w:val="auto"/>
                <w:w w:val="88"/>
              </w:rPr>
              <w:t>and Directorships</w:t>
            </w: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740" w:type="dxa"/>
            <w:vAlign w:val="bottom"/>
          </w:tcPr>
          <w:p>
            <w:pPr>
              <w:spacing w:after="0"/>
              <w:rPr>
                <w:sz w:val="14"/>
                <w:szCs w:val="14"/>
                <w:color w:val="auto"/>
              </w:rPr>
            </w:pPr>
          </w:p>
        </w:tc>
      </w:tr>
      <w:tr>
        <w:trPr>
          <w:trHeight w:val="250"/>
        </w:trPr>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b w:val="1"/>
                <w:bCs w:val="1"/>
                <w:color w:val="auto"/>
              </w:rPr>
              <w:t>Nominees for Directors</w:t>
            </w:r>
          </w:p>
        </w:tc>
      </w:tr>
      <w:tr>
        <w:trPr>
          <w:trHeight w:val="229"/>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Gina R. Boswell</w:t>
            </w:r>
          </w:p>
        </w:tc>
        <w:tc>
          <w:tcPr>
            <w:tcW w:w="4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9"/>
                <w:szCs w:val="19"/>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Executive Vice President, General Manager U.K. &amp; Ireland at Unilever, a global food,</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2007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6"/>
              </w:rPr>
              <w:t>personal care and household products company, since September 2015. Executive Vice</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8"/>
              </w:rPr>
              <w:t>President, Personal Care, at Unilever from 2011 to September 2015. President, Global</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Brands, of Alberto-Culver Company, a consumer goods company, from 2008 to July 2011.</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3"/>
              </w:rPr>
              <w:t>Prior thereto, Ms. Boswell held several leadership positions, including Senior Vice President</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and Chief Operating Officer - North America of Avon Products, Inc. from 2005 to 2007 and</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5"/>
              </w:rPr>
              <w:t>as an executive with Ford Motor Company from 1999 to 2003. A director of Wolverine Inc.</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since 2013.</w:t>
            </w:r>
          </w:p>
        </w:tc>
      </w:tr>
      <w:tr>
        <w:trPr>
          <w:trHeight w:val="27"/>
        </w:trPr>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404"/>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Cari M. Dominguez</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66</w:t>
            </w:r>
          </w:p>
        </w:tc>
        <w:tc>
          <w:tcPr>
            <w:tcW w:w="120" w:type="dxa"/>
            <w:vAlign w:val="bottom"/>
            <w:shd w:val="clear" w:color="auto" w:fill="CCEEFF"/>
          </w:tcPr>
          <w:p>
            <w:pPr>
              <w:spacing w:after="0"/>
              <w:rPr>
                <w:sz w:val="24"/>
                <w:szCs w:val="24"/>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President, Dominguez &amp; Associates, a management consulting firm, since January 2007.</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Prior thereto, Ms. Dominguez held several leadership positions within the United States</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government as well as in the public and private sectors, including Chair of the U.S. Equal</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Employment Opportunity Commission from 2001 to 2006, Partner, Heidrick &amp; Struggles, a</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consulting firm, from 1995 to 1998, Director, Spencer Stuart, a consulting firm, from 1993 to</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1995, Assistant Secretary for Employment Standards Administration, and Director of the</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Office of Federal Contract Compliance Programs, U.S. Department of Labor, from 1989 to</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1993. A trustee of Calvert SAGE Funds since 2008, director of Triple-S Management</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Corporation since 2012 and a director with the National Association of Corporate Directors</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since 2013.</w:t>
            </w:r>
          </w:p>
        </w:tc>
      </w:tr>
      <w:tr>
        <w:trPr>
          <w:trHeight w:val="404"/>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William Downe</w:t>
            </w:r>
          </w:p>
        </w:tc>
        <w:tc>
          <w:tcPr>
            <w:tcW w:w="4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9"/>
              </w:rPr>
              <w:t>Chief Executive Officer of BMO Financial Group, a highly diversified financial services</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2011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provider based in North America</w:t>
            </w:r>
            <w:r>
              <w:rPr>
                <w:rFonts w:ascii="Arial" w:cs="Arial" w:eastAsia="Arial" w:hAnsi="Arial"/>
                <w:sz w:val="18"/>
                <w:szCs w:val="18"/>
                <w:color w:val="57630E"/>
                <w:w w:val="94"/>
              </w:rPr>
              <w:t>,</w:t>
            </w:r>
            <w:r>
              <w:rPr>
                <w:rFonts w:ascii="Arial" w:cs="Arial" w:eastAsia="Arial" w:hAnsi="Arial"/>
                <w:sz w:val="18"/>
                <w:szCs w:val="18"/>
                <w:color w:val="auto"/>
                <w:w w:val="94"/>
              </w:rPr>
              <w:t xml:space="preserve"> since March 2007. Prior thereto, Mr. Downe held several</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leadership positions with BMO Financial Group and its subsidiaries, including Chief</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6"/>
              </w:rPr>
              <w:t>Operating Officer of BMO Financial Group from 2006 to 2007, and Deputy Chair of BMO</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5"/>
              </w:rPr>
              <w:t>Financial Group and Chief Executive Officer, BMO Nesbitt Burns and Head of Investment</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Banking Group from 2001 to 2006. A director of Bank of Montreal since 2007.</w:t>
            </w:r>
          </w:p>
        </w:tc>
      </w:tr>
      <w:tr>
        <w:trPr>
          <w:trHeight w:val="27"/>
        </w:trPr>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404"/>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John F. Ferraro</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24"/>
                <w:szCs w:val="24"/>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Global Chief Operating Officer of Ernst &amp; Young ("EY"), a global professional services</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organization, from 2007 to January 2015. Prior thereto, Mr. Ferraro held several senior</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leadership positions at EY, including Global Vice Chair Audit. In addition, Mr. Ferraro served</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as a member of EY’s Global Executive board for more than 10 years. A director of Advance</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Auto Parts since 2015 and International Flavor and Fragrances, Inc. since 2015.</w:t>
            </w:r>
          </w:p>
        </w:tc>
      </w:tr>
      <w:tr>
        <w:trPr>
          <w:trHeight w:val="689"/>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ind w:left="120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Principal Occupation</w:t>
            </w:r>
          </w:p>
        </w:tc>
      </w:tr>
      <w:tr>
        <w:trPr>
          <w:trHeight w:val="194"/>
        </w:trPr>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00" w:type="dxa"/>
            <w:vAlign w:val="bottom"/>
            <w:gridSpan w:val="2"/>
          </w:tcPr>
          <w:p>
            <w:pPr>
              <w:jc w:val="center"/>
              <w:ind w:right="2740"/>
              <w:spacing w:after="0" w:line="194" w:lineRule="exact"/>
              <w:rPr>
                <w:sz w:val="20"/>
                <w:szCs w:val="20"/>
                <w:color w:val="auto"/>
              </w:rPr>
            </w:pPr>
            <w:r>
              <w:rPr>
                <w:rFonts w:ascii="Arial" w:cs="Arial" w:eastAsia="Arial" w:hAnsi="Arial"/>
                <w:sz w:val="18"/>
                <w:szCs w:val="18"/>
                <w:b w:val="1"/>
                <w:bCs w:val="1"/>
                <w:color w:val="auto"/>
                <w:w w:val="88"/>
              </w:rPr>
              <w:t>and Directorships</w:t>
            </w:r>
          </w:p>
        </w:tc>
      </w:tr>
      <w:tr>
        <w:trPr>
          <w:trHeight w:val="20"/>
        </w:trPr>
        <w:tc>
          <w:tcPr>
            <w:tcW w:w="17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Patricia Hemingway Hall</w:t>
            </w:r>
          </w:p>
        </w:tc>
        <w:tc>
          <w:tcPr>
            <w:tcW w:w="4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President and Chief Executive Officer of Health Care Service Corporation, a mutual health</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2011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9"/>
              </w:rPr>
              <w:t>insurer, from 2008 to December 2015. Prior thereto, Ms. Hemingway Hall held several</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8"/>
              </w:rPr>
              <w:t>leadership positions at Health Care Service Corporation, including President and Chief</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6"/>
              </w:rPr>
              <w:t>Operating Officer from 2007 to 2008 and Executive Vice President of Internal Operations</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from 2006 to 2007. A director of Cardinal Health since 2013.</w:t>
            </w:r>
          </w:p>
        </w:tc>
      </w:tr>
      <w:tr>
        <w:trPr>
          <w:trHeight w:val="149"/>
        </w:trPr>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22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Roberto Mendoza</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Senior Managing Director of Atlas Advisors LLC, an independent global investment banking</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firm, since March 2010. Mr. Mendoza co-founded Deming Mendoza &amp; Co. LLC, a corporate</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finance advisory firm and served as a Partner from 2009 to March 2010. Prior thereto, Mr.</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Mendoza held several leadership positions in the investment banking and financial services</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industry, including Non-executive Chairman of Trinsum Group, Inc. from 2007 to 2008,</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Chairman of Integrated Finance Limited from 2001 to 2007, Managing Director of Goldman</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Sachs &amp; Co. from 2000 to 2001, and Director and Vice Chairman of J.P. Morgan &amp; Co. Inc.,</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from 1990 to 2000. A director of The Western Union Company since 2006 and PartnerRe</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Limited since 2009.</w:t>
            </w:r>
          </w:p>
        </w:tc>
      </w:tr>
      <w:tr>
        <w:trPr>
          <w:trHeight w:val="404"/>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Ulice Payne, Jr.</w:t>
            </w:r>
          </w:p>
        </w:tc>
        <w:tc>
          <w:tcPr>
            <w:tcW w:w="4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President of Addison-Clifton, LLC, a provider of global trade compliance advisory services,</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2007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since May 2004. Prior thereto, Mr. Payne held several leadership positions, including</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2"/>
              </w:rPr>
              <w:t>President and Chief Executive Officer, of the Milwaukee Brewers Baseball Club from 2002 to</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2"/>
              </w:rPr>
              <w:t>2003 and Partner with the law firm Foley &amp; Lardner LLP from 1998 to 2002. A trustee of The</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8"/>
              </w:rPr>
              <w:t>Northwestern Mutual Life Insurance Company since 2005 and director of WEC Energy</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Group, Inc. (formerly Wisconsin Energy Corporation) since 2003.</w:t>
            </w:r>
          </w:p>
        </w:tc>
      </w:tr>
      <w:tr>
        <w:trPr>
          <w:trHeight w:val="27"/>
        </w:trPr>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404"/>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24"/>
                <w:szCs w:val="24"/>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Chairman and Chief Executive Officer of ManpowerGroup since December 2015. Chief</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Executive Officer of ManpowerGroup from 2014 to December 2015. ManpowerGroup</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President from 2012 to April 2014. Executive Vice President, President of ManpowerGroup -</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The Americas from 2009 to October 2012. Prior thereto, Mr. Prising was the Executive Vice</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President, President of ManpowerGroup - United States and Canadian Operations from 2006</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 2008 and held other positions at ManpowerGroup since 1999. A director of Kohl’s</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Corporation since 2015.</w:t>
            </w:r>
          </w:p>
        </w:tc>
      </w:tr>
      <w:tr>
        <w:trPr>
          <w:trHeight w:val="404"/>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Paul Read</w:t>
            </w:r>
          </w:p>
        </w:tc>
        <w:tc>
          <w:tcPr>
            <w:tcW w:w="4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7"/>
              </w:rPr>
              <w:t>President and Chief Operating Officer of Ingram Micro, Inc., a technology distributor and</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2014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7"/>
              </w:rPr>
              <w:t>supply-chain services provider</w:t>
            </w:r>
            <w:r>
              <w:rPr>
                <w:rFonts w:ascii="Arial" w:cs="Arial" w:eastAsia="Arial" w:hAnsi="Arial"/>
                <w:sz w:val="18"/>
                <w:szCs w:val="18"/>
                <w:color w:val="3C3C3C"/>
                <w:w w:val="97"/>
              </w:rPr>
              <w:t>, from</w:t>
            </w:r>
            <w:r>
              <w:rPr>
                <w:rFonts w:ascii="Arial" w:cs="Arial" w:eastAsia="Arial" w:hAnsi="Arial"/>
                <w:sz w:val="18"/>
                <w:szCs w:val="18"/>
                <w:color w:val="auto"/>
                <w:w w:val="97"/>
              </w:rPr>
              <w:t xml:space="preserve"> September 2013 to February 2016. Chief Financial</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7"/>
              </w:rPr>
              <w:t>Officer of Flextronics International, Ltd., an electronics manufacturing services provider,</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9"/>
              </w:rPr>
              <w:t>from 2008 to June 2013. Formerly, a director of Ingram Micro, Inc. from 2012 to 2013.</w:t>
            </w:r>
          </w:p>
        </w:tc>
      </w:tr>
      <w:tr>
        <w:trPr>
          <w:trHeight w:val="27"/>
        </w:trPr>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404"/>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Elizabeth P. Sartain</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24"/>
                <w:szCs w:val="24"/>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Independent Human Resource Advisor and Consultant since April 2008. Prior thereto, Ms.</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Sartain held several leadership positions, including Executive Vice President and Chief</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People Officer at Yahoo! Inc. from 2001 to 2008 and an executive with Southwest Airlines</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serving in various positions from 1988 to 2001. Formerly, a director of Peets Tea and Coffee,</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 from 2007 to 2012.</w:t>
            </w:r>
          </w:p>
        </w:tc>
      </w:tr>
      <w:tr>
        <w:trPr>
          <w:trHeight w:val="689"/>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ind w:left="120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Principal Occupation</w:t>
            </w:r>
          </w:p>
        </w:tc>
      </w:tr>
      <w:tr>
        <w:trPr>
          <w:trHeight w:val="194"/>
        </w:trPr>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00" w:type="dxa"/>
            <w:vAlign w:val="bottom"/>
            <w:gridSpan w:val="2"/>
          </w:tcPr>
          <w:p>
            <w:pPr>
              <w:jc w:val="center"/>
              <w:ind w:right="2740"/>
              <w:spacing w:after="0" w:line="194" w:lineRule="exact"/>
              <w:rPr>
                <w:sz w:val="20"/>
                <w:szCs w:val="20"/>
                <w:color w:val="auto"/>
              </w:rPr>
            </w:pPr>
            <w:r>
              <w:rPr>
                <w:rFonts w:ascii="Arial" w:cs="Arial" w:eastAsia="Arial" w:hAnsi="Arial"/>
                <w:sz w:val="18"/>
                <w:szCs w:val="18"/>
                <w:b w:val="1"/>
                <w:bCs w:val="1"/>
                <w:color w:val="auto"/>
                <w:w w:val="88"/>
              </w:rPr>
              <w:t>and Directorships</w:t>
            </w:r>
          </w:p>
        </w:tc>
      </w:tr>
      <w:tr>
        <w:trPr>
          <w:trHeight w:val="20"/>
        </w:trPr>
        <w:tc>
          <w:tcPr>
            <w:tcW w:w="17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6"/>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John R. Walter</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6"/>
              </w:rPr>
              <w:t>Former Non-Executive Chairman of the Board of InnerWorkings, Inc., a global marketing</w:t>
            </w:r>
          </w:p>
        </w:tc>
      </w:tr>
      <w:tr>
        <w:trPr>
          <w:trHeight w:val="216"/>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Director since 1998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execution firm, from 2004 to June 2010. Prior thereto, he held several leadership positions,</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9"/>
              </w:rPr>
              <w:t>including President and Chief Operating Officer of AT&amp;T Corp. from 1996 to 1997 and</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4"/>
              </w:rPr>
              <w:t>Chairman, President and Chief Executive Officer of R.R. Donnelley &amp; Sons Company from</w:t>
            </w: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5"/>
              </w:rPr>
              <w:t>1989 through 1996. Formerly, a director of InnerWorkings, Inc. from 2004 to 2012, Vasco</w:t>
            </w:r>
          </w:p>
        </w:tc>
      </w:tr>
      <w:tr>
        <w:trPr>
          <w:trHeight w:val="230"/>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w w:val="99"/>
              </w:rPr>
              <w:t>Data Securities, Inc. from 2003 to 2013 and Echo Global Logistics from 2006 to 2014.</w:t>
            </w:r>
          </w:p>
        </w:tc>
      </w:tr>
      <w:tr>
        <w:trPr>
          <w:trHeight w:val="27"/>
        </w:trPr>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404"/>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Edward J. Zore</w:t>
            </w:r>
          </w:p>
        </w:tc>
        <w:tc>
          <w:tcPr>
            <w:tcW w:w="4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CCEEFF"/>
          </w:tcPr>
          <w:p>
            <w:pPr>
              <w:spacing w:after="0"/>
              <w:rPr>
                <w:sz w:val="24"/>
                <w:szCs w:val="24"/>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Chairman and Chief Executive Officer of The Northwestern Mutual Life Insurance Company</w:t>
            </w:r>
          </w:p>
        </w:tc>
      </w:tr>
      <w:tr>
        <w:trPr>
          <w:trHeight w:val="216"/>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Director since 2000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("Northwestern Mutual") from 2009 to July 2010. President and Chief Executive Officer of</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Northwestern Mutual from 2001 to 2009. Prior thereto, Mr. Zore held several leadership</w:t>
            </w:r>
          </w:p>
        </w:tc>
      </w:tr>
      <w:tr>
        <w:trPr>
          <w:trHeight w:val="216"/>
        </w:trPr>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positions at Northwestern Mutual, including President from 2000 to 2001. A trustee of</w:t>
            </w:r>
          </w:p>
        </w:tc>
      </w:tr>
      <w:tr>
        <w:trPr>
          <w:trHeight w:val="230"/>
        </w:trPr>
        <w:tc>
          <w:tcPr>
            <w:tcW w:w="1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Northwestern Mutual since 2000 and a director of RenaissanceRe Holdings Ltd. since 2010.</w:t>
            </w:r>
          </w:p>
        </w:tc>
      </w:tr>
      <w:tr>
        <w:trPr>
          <w:trHeight w:val="149"/>
        </w:trPr>
        <w:tc>
          <w:tcPr>
            <w:tcW w:w="1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bl>
    <w:p>
      <w:pPr>
        <w:spacing w:after="0" w:line="4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2015. The board of directors held six regular meetings during 2015. The board of directors did not take action by written consent during 2015.</w:t>
      </w:r>
    </w:p>
    <w:p>
      <w:pPr>
        <w:spacing w:after="0" w:line="170"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2015, ManpowerGroup amended its corporate governance guidelines to streamline the retirement age mechanics for the board of directors. Under the guidelines, an individual cannot be nominated for election to the board of directors after his or her 72</w:t>
      </w:r>
      <w:r>
        <w:rPr>
          <w:rFonts w:ascii="Arial" w:cs="Arial" w:eastAsia="Arial" w:hAnsi="Arial"/>
          <w:sz w:val="16"/>
          <w:szCs w:val="16"/>
          <w:color w:val="auto"/>
        </w:rPr>
        <w:t>nd</w:t>
      </w:r>
      <w:r>
        <w:rPr>
          <w:rFonts w:ascii="Arial" w:cs="Arial" w:eastAsia="Arial" w:hAnsi="Arial"/>
          <w:sz w:val="18"/>
          <w:szCs w:val="18"/>
          <w:color w:val="auto"/>
        </w:rPr>
        <w:t xml:space="preserve"> birthday. Any director who turns 72 during his or her normal term will continue in office until the expiration of that term.</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 and Related Party Transactions</w:t>
      </w:r>
    </w:p>
    <w:p>
      <w:pPr>
        <w:spacing w:after="0" w:line="22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7"/>
          <w:szCs w:val="17"/>
          <w:u w:val="single" w:color="auto"/>
          <w:color w:val="auto"/>
        </w:rPr>
        <w:t>http://www.manpowergroup.com/about/corporategovernance.cfm</w:t>
      </w:r>
      <w:r>
        <w:rPr>
          <w:rFonts w:ascii="Arial" w:cs="Arial" w:eastAsia="Arial" w:hAnsi="Arial"/>
          <w:sz w:val="17"/>
          <w:szCs w:val="17"/>
          <w:color w:val="auto"/>
        </w:rPr>
        <w:t>. As required under the Corporate Governance Guidelines, our board of directors reviews and determines the independence of all directors on an annual basis.</w:t>
      </w:r>
    </w:p>
    <w:p>
      <w:pPr>
        <w:spacing w:after="0" w:line="17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board of directors has determined that eleven of twelve of the current directors of ManpowerGroup are independent under the listing standards of the New York Stock Exchange after taking into account the categorical standards and the following:</w:t>
      </w:r>
    </w:p>
    <w:p>
      <w:pPr>
        <w:spacing w:after="0" w:line="170" w:lineRule="exact"/>
        <w:rPr>
          <w:sz w:val="20"/>
          <w:szCs w:val="20"/>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Boswell is Executive Vice President, General Manager U.K. &amp; Ireland at Unilever, which has engaged ManpowerGroup to provide services to the company.</w:t>
      </w:r>
    </w:p>
    <w:p>
      <w:pPr>
        <w:spacing w:after="0" w:line="62" w:lineRule="exact"/>
        <w:rPr>
          <w:rFonts w:ascii="Arial" w:cs="Arial" w:eastAsia="Arial" w:hAnsi="Arial"/>
          <w:sz w:val="18"/>
          <w:szCs w:val="18"/>
          <w:color w:val="auto"/>
        </w:rPr>
      </w:pPr>
    </w:p>
    <w:p>
      <w:pPr>
        <w:ind w:left="820" w:right="10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Downe is the President and Chief Executive Officer of BMO Financial Group, and one of its subsidiaries, BMO Harris Bank, is a party to the syndicate of banks in ManpowerGroup’s $600 million revolving credit facility, which was entered into in the ordinary course of business. In addition, BMO Financial Group has engaged ManpowerGroup to provide services to the company.</w:t>
      </w:r>
    </w:p>
    <w:p>
      <w:pPr>
        <w:spacing w:after="0" w:line="73" w:lineRule="exact"/>
        <w:rPr>
          <w:rFonts w:ascii="Arial" w:cs="Arial" w:eastAsia="Arial" w:hAnsi="Arial"/>
          <w:sz w:val="18"/>
          <w:szCs w:val="18"/>
          <w:color w:val="auto"/>
        </w:rPr>
      </w:pPr>
    </w:p>
    <w:p>
      <w:pPr>
        <w:ind w:left="820" w:right="120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Hemingway Hall is the former President and Chief Executive Officer of Health Care Service Corporation, which has engaged ManpowerGroup to provide services to the company.</w:t>
      </w:r>
    </w:p>
    <w:p>
      <w:pPr>
        <w:spacing w:after="0" w:line="62" w:lineRule="exact"/>
        <w:rPr>
          <w:rFonts w:ascii="Arial" w:cs="Arial" w:eastAsia="Arial" w:hAnsi="Arial"/>
          <w:sz w:val="18"/>
          <w:szCs w:val="18"/>
          <w:color w:val="auto"/>
        </w:rPr>
      </w:pPr>
    </w:p>
    <w:p>
      <w:pPr>
        <w:ind w:left="820" w:right="44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Mendoza is a director of the Western Union Company, a public company, which has engaged ManpowerGroup to provide services to the company.</w:t>
      </w:r>
    </w:p>
    <w:p>
      <w:pPr>
        <w:spacing w:after="0" w:line="62"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Read is the former President and Chief Operating Officer of Ingram Micro Inc. which has engaged ManpowerGroup to provide services to the company.</w:t>
      </w:r>
    </w:p>
    <w:p>
      <w:pPr>
        <w:spacing w:after="0" w:line="62"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Zore and Mr. Payne are trustees of Northwestern Mutual. Northwestern Mutual and certain of its affiliates have engaged ManpowerGroup to provide services to the company.</w:t>
      </w:r>
    </w:p>
    <w:p>
      <w:pPr>
        <w:spacing w:after="0" w:line="6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independent directors are Ms. Boswell, Ms. Dominguez, Mr. Downe, Mr. Ferraro, Ms. Hemingway Hall, Mr. Mendoza, Mr. Payne, Mr. Read, Ms. Sartain, Mr. Walter and Mr. Zore. Marc Bolland, who resigned from the board of directors effective February 11, 2015, was also independent under the listing standards of the New York Stock Exchange.</w:t>
      </w:r>
    </w:p>
    <w:p>
      <w:pPr>
        <w:spacing w:after="0" w:line="18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Jeffrey A. Joerres, who retired from the board of directors effective December 30, 2015, was an employee of ManpowerGroup and therefore was not independent under the listing standards of the New York Stock Exchange.</w:t>
      </w:r>
    </w:p>
    <w:p>
      <w:pPr>
        <w:spacing w:after="0" w:line="170"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“Board Composition and Qualifications of Board Members” below.</w:t>
      </w:r>
    </w:p>
    <w:p>
      <w:pPr>
        <w:spacing w:after="0" w:line="16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2015 annual meeting of shareholders, except Mr. Ferraro who was not a director at the time.</w:t>
      </w:r>
    </w:p>
    <w:p>
      <w:pPr>
        <w:spacing w:after="0" w:line="17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http://www.manpowergroup.com/about/corporategovernance.cfm</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audit committee consists of Ms. Boswell (Chair), Mr. Ferraro, Ms. Hemingway Hall, Mr. Mendoza, Mr. Payne and Mr. Read. Mr. Ferraro was appointed to the committee at the February 2016 board meeting. Each member of the audit committee is “independent” within the meaning of the applicable listing standards of the New York Stock Exchange. The board of directors has determined that each member of the Audit Committee meets the financial literacy and independence requirements of the SEC and that Ms. Boswell, Mr. Ferraro, Mr. Mendoza and Mr. Read are each an “audit committee financial expert” and “independent” as defined under the applicable rules of the Securities and Exchange Commission.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functions of the audit committee include:</w:t>
      </w:r>
    </w:p>
    <w:p>
      <w:pPr>
        <w:spacing w:after="0" w:line="11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appointing the independent auditors for the annual audit and approving the fee arrangements with the independent auditors;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the independence, qualifications and performance of the independent auditors;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planned scope of the annual audit;</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financial statements to be included in our quarterly reports on Form 10-Q and our annual report on Form 10-K, and our disclosures under “Management’s Discussion and Analysis of Financial Condition and Results of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compliance with and reporting under Section 404 of the Sarbanes-Oxley Act of 2002;</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our financial reporting processes and internal controls and any significant audit adjustments proposed by the independent auditors;</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a recommendation to the board of directors regarding inclusion of the audited financial statements in our annual report on Form 10-K;</w:t>
      </w:r>
    </w:p>
    <w:p>
      <w:pPr>
        <w:spacing w:after="0" w:line="140" w:lineRule="exact"/>
        <w:rPr>
          <w:rFonts w:ascii="Arial" w:cs="Arial" w:eastAsia="Arial" w:hAnsi="Arial"/>
          <w:sz w:val="16"/>
          <w:szCs w:val="16"/>
          <w:color w:val="auto"/>
        </w:rPr>
      </w:pPr>
    </w:p>
    <w:p>
      <w:pPr>
        <w:ind w:left="820" w:right="74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recommendations, if any, by the independent auditors resulting from the audit to ensure that appropriate actions are taken by management;</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matters of disagreement, if any, between management and the independent auditors;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periodically reviewing our Policy Regarding the Retention of Former Employees of Independent Auditors;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compliance with our Policy on Services Provided by Independent Auditors;</w:t>
      </w:r>
    </w:p>
    <w:p>
      <w:pPr>
        <w:spacing w:after="0" w:line="117"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privately on a periodic basis with the independent auditors, internal audit staff and management to review the adequacy of our internal controls;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our internal audit department, including our internal audit plan;</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our policies and procedures regarding compliance with the Foreign Corrupt Practices Act and compliance by our employees with our code of business conduct and ethics;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assisting the board of directors with its oversight of the performance of the Company’s risk management function;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current tax matters affecting 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periodically discussing with management our risk management framework;</w:t>
      </w:r>
    </w:p>
    <w:p>
      <w:pPr>
        <w:spacing w:after="0" w:line="117"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any litigation involving ManpowerGroup, which may have a material financial impact on ManpowerGroup or relate to matters entrusted to the audit committee; and</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121"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retention, compensation and termination of outside legal, accounting and other such advisors to the committee.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2015. The audit committee did not take action by written consent during 2015.</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Executive Compensation and Human Resources Committee</w:t>
      </w:r>
    </w:p>
    <w:p>
      <w:pPr>
        <w:spacing w:after="0" w:line="225"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The executive compensation and human resources committee consists of Mr. Zore (Chair), Ms. Dominguez, Mr. Downe, Ms. Sartain and Mr. Walter. Each member of the executive compensation and human resources committee is "independent" within the meaning of the applicable listing standards of the New York Stock Exchange and qualifies as an “outside director” under Section 162(m) of the Internal Revenue Code.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functions of the executive compensation and human resources committee include:</w:t>
      </w:r>
    </w:p>
    <w:p>
      <w:pPr>
        <w:spacing w:after="0" w:line="11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the compensation of the chief executive officer of ManpowerGroup, subject to ratification by the board of directors;</w:t>
      </w:r>
    </w:p>
    <w:p>
      <w:pPr>
        <w:spacing w:after="0" w:line="117"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the compensation, based on the recommendations of the chief executive officer of ManpowerGroup, of any president and the chief financial officer, and certain other senior executives of ManpowerGroup;</w:t>
      </w:r>
    </w:p>
    <w:p>
      <w:pPr>
        <w:spacing w:after="0" w:line="62"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the terms of any agreements concerning employment, compensation or employment termination, as well as monitoring the application of ManpowerGroup’s retirement and other fringe benefit plans, with respect to the individuals listed above;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development of ManpowerGroup’s key executive officers;</w:t>
      </w:r>
    </w:p>
    <w:p>
      <w:pPr>
        <w:spacing w:after="0" w:line="117"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administering ManpowerGroup’s equity incentive plans and employee stock purchase plans and overseeing ManpowerGroup’s employee retirement and welfare plans;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administering ManpowerGroup’s corporate senior management annual incentive pool plan;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the compensation discussion and analysis to be included in our annual proxy statement;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and implementing policies regarding the recoupment or "clawback" of excess compensation paid to executive officers of the Company;</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acting as the compensation committee of outside directors under Section 162(m) of the Internal Revenue Code;</w:t>
      </w:r>
    </w:p>
    <w:p>
      <w:pPr>
        <w:spacing w:after="0" w:line="117"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the retention, compensation and termination of outside compensation consultants, independent legal advisors or other advisors and having oversight of their work;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considering the independence of any outside compensation consultant, independent legal advisor or other advisor to the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held seven meetings during 2015. The executive compensation and human resources committee did not take action by written consent during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nominating and governance committee consists of Mr. Payne (Chair), Ms. Boswell, Mr. Walter, and Mr. Zore. Each member of the nominating and governance committee is “independent” within the meaning of the applicable listing standards of the New York Stock Exchange.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functions of this committee are to:</w:t>
      </w:r>
    </w:p>
    <w:p>
      <w:pPr>
        <w:spacing w:after="0" w:line="117" w:lineRule="exact"/>
        <w:rPr>
          <w:sz w:val="20"/>
          <w:szCs w:val="20"/>
          <w:color w:val="auto"/>
        </w:rPr>
      </w:pPr>
    </w:p>
    <w:p>
      <w:pPr>
        <w:ind w:left="820" w:right="7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procedures and assist in identifying candidates for board membership;</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the qualifications of candidates for board membership, including any candidates nominated by shareholders in accordance with our bylaws;</w:t>
      </w:r>
    </w:p>
    <w:p>
      <w:pPr>
        <w:spacing w:after="0" w:line="140" w:lineRule="exact"/>
        <w:rPr>
          <w:rFonts w:ascii="Arial" w:cs="Arial" w:eastAsia="Arial" w:hAnsi="Arial"/>
          <w:sz w:val="16"/>
          <w:szCs w:val="16"/>
          <w:color w:val="auto"/>
        </w:rPr>
      </w:pPr>
    </w:p>
    <w:p>
      <w:pPr>
        <w:ind w:left="820" w:right="4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62" w:lineRule="exact"/>
        <w:rPr>
          <w:rFonts w:ascii="Arial" w:cs="Arial" w:eastAsia="Arial" w:hAnsi="Arial"/>
          <w:sz w:val="18"/>
          <w:szCs w:val="18"/>
          <w:color w:val="auto"/>
        </w:rPr>
      </w:pPr>
    </w:p>
    <w:p>
      <w:pPr>
        <w:ind w:left="820" w:right="5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coordinate the annual self-evaluation of the performance of the board of directors and each of its committees and oversee, or ensure another committee oversees, the annual evaluation of the performance of management;</w:t>
      </w:r>
    </w:p>
    <w:p>
      <w:pPr>
        <w:spacing w:after="0" w:line="62" w:lineRule="exact"/>
        <w:rPr>
          <w:rFonts w:ascii="Arial" w:cs="Arial" w:eastAsia="Arial" w:hAnsi="Arial"/>
          <w:sz w:val="18"/>
          <w:szCs w:val="18"/>
          <w:color w:val="auto"/>
        </w:rPr>
      </w:pPr>
    </w:p>
    <w:p>
      <w:pPr>
        <w:ind w:left="820" w:right="60" w:hanging="326"/>
        <w:spacing w:after="0" w:line="308"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38" w:lineRule="exact"/>
        <w:rPr>
          <w:rFonts w:ascii="Arial" w:cs="Arial" w:eastAsia="Arial" w:hAnsi="Arial"/>
          <w:sz w:val="17"/>
          <w:szCs w:val="17"/>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content and format of our code of business conduct and ethics;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 compliance by the non-management directors with our code of business conduct and ethics;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review the corporate governance guidelines and recommend any changes as deemed appropriate;</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retention, compensation and termination of any outside independent advisors to the committee.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nominating and governance committee has from time to time engaged director search firms to assist it in identifying and evaluating potential board candidates. The nominating and governance committee met four times during 2015. The nominating and governance committee did not take action by written consent during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121"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73"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independence of at least a majority of the directors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89"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11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eleven of twelve directors are independent under the rules of the New York Stock Exchange. The composition of the board also reflects diversity of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165" w:lineRule="exact"/>
        <w:rPr>
          <w:sz w:val="20"/>
          <w:szCs w:val="20"/>
          <w:color w:val="auto"/>
        </w:rPr>
      </w:pPr>
    </w:p>
    <w:p>
      <w:pPr>
        <w:ind w:firstLine="486"/>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The board of directors and the nominating and governance committee evaluated each of the directors’ contributions to the board of directors and role in the operation of the board of directors as a whole. In addition to the background and experience of each director and nominee outlined in the biographies on pages </w:t>
      </w:r>
      <w:hyperlink w:anchor="page7">
        <w:r>
          <w:rPr>
            <w:rFonts w:ascii="Arial" w:cs="Arial" w:eastAsia="Arial" w:hAnsi="Arial"/>
            <w:sz w:val="16"/>
            <w:szCs w:val="16"/>
            <w:u w:val="single" w:color="auto"/>
            <w:color w:val="0000EE"/>
          </w:rPr>
          <w:t>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w:t>
      </w:r>
      <w:hyperlink w:anchor="page7">
        <w:r>
          <w:rPr>
            <w:rFonts w:ascii="Arial" w:cs="Arial" w:eastAsia="Arial" w:hAnsi="Arial"/>
            <w:sz w:val="16"/>
            <w:szCs w:val="16"/>
            <w:u w:val="single" w:color="auto"/>
            <w:color w:val="0000EE"/>
          </w:rPr>
          <w:t>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the board of directors and the nominating and governance committee considered, in particular, the following</w:t>
      </w:r>
      <w:r>
        <w:rPr>
          <w:rFonts w:ascii="Arial" w:cs="Arial" w:eastAsia="Arial" w:hAnsi="Arial"/>
          <w:sz w:val="16"/>
          <w:szCs w:val="16"/>
          <w:b w:val="1"/>
          <w:bCs w:val="1"/>
          <w:color w:val="auto"/>
        </w:rPr>
        <w:t>:</w:t>
      </w:r>
    </w:p>
    <w:p>
      <w:pPr>
        <w:spacing w:after="0" w:line="143" w:lineRule="exact"/>
        <w:rPr>
          <w:sz w:val="20"/>
          <w:szCs w:val="20"/>
          <w:color w:val="auto"/>
        </w:rPr>
      </w:pPr>
    </w:p>
    <w:p>
      <w:pPr>
        <w:ind w:right="560" w:firstLine="486"/>
        <w:spacing w:after="0" w:line="282" w:lineRule="auto"/>
        <w:rPr>
          <w:sz w:val="20"/>
          <w:szCs w:val="20"/>
          <w:color w:val="auto"/>
        </w:rPr>
      </w:pPr>
      <w:r>
        <w:rPr>
          <w:rFonts w:ascii="Arial" w:cs="Arial" w:eastAsia="Arial" w:hAnsi="Arial"/>
          <w:sz w:val="18"/>
          <w:szCs w:val="18"/>
          <w:b w:val="1"/>
          <w:bCs w:val="1"/>
          <w:color w:val="auto"/>
        </w:rPr>
        <w:t xml:space="preserve">Gina R. Boswell </w:t>
      </w:r>
      <w:r>
        <w:rPr>
          <w:rFonts w:ascii="Arial" w:cs="Arial" w:eastAsia="Arial" w:hAnsi="Arial"/>
          <w:sz w:val="18"/>
          <w:szCs w:val="18"/>
          <w:color w:val="auto"/>
        </w:rPr>
        <w:t>— Ms. Boswell has significant managerial, strategic, operational, global and financial management expertise as a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senior positions she has held at several companies with global operations.</w:t>
      </w:r>
    </w:p>
    <w:p>
      <w:pPr>
        <w:spacing w:after="0" w:line="54" w:lineRule="exact"/>
        <w:rPr>
          <w:sz w:val="20"/>
          <w:szCs w:val="20"/>
          <w:color w:val="auto"/>
        </w:rPr>
      </w:pPr>
    </w:p>
    <w:p>
      <w:pPr>
        <w:ind w:right="40" w:firstLine="486"/>
        <w:spacing w:after="0" w:line="314" w:lineRule="auto"/>
        <w:rPr>
          <w:sz w:val="20"/>
          <w:szCs w:val="20"/>
          <w:color w:val="auto"/>
        </w:rPr>
      </w:pPr>
      <w:r>
        <w:rPr>
          <w:rFonts w:ascii="Arial" w:cs="Arial" w:eastAsia="Arial" w:hAnsi="Arial"/>
          <w:sz w:val="16"/>
          <w:szCs w:val="16"/>
          <w:b w:val="1"/>
          <w:bCs w:val="1"/>
          <w:color w:val="auto"/>
        </w:rPr>
        <w:t xml:space="preserve">Cari M. Dominguez </w:t>
      </w:r>
      <w:r>
        <w:rPr>
          <w:rFonts w:ascii="Arial" w:cs="Arial" w:eastAsia="Arial" w:hAnsi="Arial"/>
          <w:sz w:val="16"/>
          <w:szCs w:val="16"/>
          <w:color w:val="auto"/>
        </w:rPr>
        <w:t>— Ms. Dominguez has expertise in government relations and labor markets from her position as Chair of the U.S. Equal</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Opportunity Commission and other various governmental positions she held. Ms. Dominguez also has managerial, international and operational experience in the human resources industry as a result of the various senior positions she held at various human resource consulting groups.</w:t>
      </w:r>
    </w:p>
    <w:p>
      <w:pPr>
        <w:spacing w:after="0" w:line="34"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b w:val="1"/>
          <w:bCs w:val="1"/>
          <w:color w:val="auto"/>
        </w:rPr>
        <w:t xml:space="preserve">William Downe </w:t>
      </w:r>
      <w:r>
        <w:rPr>
          <w:rFonts w:ascii="Arial" w:cs="Arial" w:eastAsia="Arial" w:hAnsi="Arial"/>
          <w:sz w:val="18"/>
          <w:szCs w:val="18"/>
          <w:color w:val="auto"/>
        </w:rPr>
        <w:t>— Mr. Downe brings to the board significant managerial, operational and global experience he has gained during his tenure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BMO Financial Group.</w:t>
      </w:r>
    </w:p>
    <w:p>
      <w:pPr>
        <w:spacing w:after="0" w:line="54"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b w:val="1"/>
          <w:bCs w:val="1"/>
          <w:color w:val="auto"/>
        </w:rPr>
        <w:t xml:space="preserve">John F. Ferraro </w:t>
      </w:r>
      <w:r>
        <w:rPr>
          <w:rFonts w:ascii="Arial" w:cs="Arial" w:eastAsia="Arial" w:hAnsi="Arial"/>
          <w:sz w:val="18"/>
          <w:szCs w:val="18"/>
          <w:color w:val="auto"/>
        </w:rPr>
        <w:t>— Mr. Ferraro brings to the board significant managerial, operational, financial and global experience he gained during his tenure as</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Chief Operating Officer of Ernst &amp; Young ("EY") and the other various positions he held at EY.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Patricia Hemingway Hall </w:t>
      </w:r>
      <w:r>
        <w:rPr>
          <w:rFonts w:ascii="Arial" w:cs="Arial" w:eastAsia="Arial" w:hAnsi="Arial"/>
          <w:sz w:val="18"/>
          <w:szCs w:val="18"/>
          <w:color w:val="auto"/>
        </w:rPr>
        <w:t>— Ms. Hemingway Hall brings to the board significant managerial, operational, sales, marketing and government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from her tenure as President and Chief Executive Officer of Health Care Service Corporation (“HCSC”) and the other various positions she held at HCSC.</w:t>
      </w:r>
    </w:p>
    <w:p>
      <w:pPr>
        <w:spacing w:after="0" w:line="68" w:lineRule="exact"/>
        <w:rPr>
          <w:sz w:val="20"/>
          <w:szCs w:val="20"/>
          <w:color w:val="auto"/>
        </w:rPr>
      </w:pPr>
    </w:p>
    <w:p>
      <w:pPr>
        <w:ind w:right="160" w:firstLine="486"/>
        <w:spacing w:after="0" w:line="266" w:lineRule="auto"/>
        <w:rPr>
          <w:sz w:val="20"/>
          <w:szCs w:val="20"/>
          <w:color w:val="auto"/>
        </w:rPr>
      </w:pPr>
      <w:r>
        <w:rPr>
          <w:rFonts w:ascii="Arial" w:cs="Arial" w:eastAsia="Arial" w:hAnsi="Arial"/>
          <w:sz w:val="18"/>
          <w:szCs w:val="18"/>
          <w:b w:val="1"/>
          <w:bCs w:val="1"/>
          <w:color w:val="auto"/>
        </w:rPr>
        <w:t xml:space="preserve">Roberto Mendoza </w:t>
      </w:r>
      <w:r>
        <w:rPr>
          <w:rFonts w:ascii="Arial" w:cs="Arial" w:eastAsia="Arial" w:hAnsi="Arial"/>
          <w:sz w:val="18"/>
          <w:szCs w:val="18"/>
          <w:color w:val="auto"/>
        </w:rPr>
        <w:t>— Mr. Mendoza brings to the board significant global financial, strategic and banking activities gained as a result of the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he held at various global investment banking and financial advisory firms. Mr. Mendoza also brings an important perspective from his service as a director of other public company boards.</w:t>
      </w:r>
    </w:p>
    <w:p>
      <w:pPr>
        <w:spacing w:after="0" w:line="68" w:lineRule="exact"/>
        <w:rPr>
          <w:sz w:val="20"/>
          <w:szCs w:val="20"/>
          <w:color w:val="auto"/>
        </w:rPr>
      </w:pPr>
    </w:p>
    <w:p>
      <w:pPr>
        <w:ind w:right="280" w:firstLine="486"/>
        <w:spacing w:after="0" w:line="266" w:lineRule="auto"/>
        <w:rPr>
          <w:sz w:val="20"/>
          <w:szCs w:val="20"/>
          <w:color w:val="auto"/>
        </w:rPr>
      </w:pPr>
      <w:r>
        <w:rPr>
          <w:rFonts w:ascii="Arial" w:cs="Arial" w:eastAsia="Arial" w:hAnsi="Arial"/>
          <w:sz w:val="18"/>
          <w:szCs w:val="18"/>
          <w:b w:val="1"/>
          <w:bCs w:val="1"/>
          <w:color w:val="auto"/>
        </w:rPr>
        <w:t xml:space="preserve">Ulice Payne, Jr. </w:t>
      </w:r>
      <w:r>
        <w:rPr>
          <w:rFonts w:ascii="Arial" w:cs="Arial" w:eastAsia="Arial" w:hAnsi="Arial"/>
          <w:sz w:val="18"/>
          <w:szCs w:val="18"/>
          <w:color w:val="auto"/>
        </w:rPr>
        <w:t>— Mr. Payne brings to the board significant managerial, operational, financial and global experience as a result of many senior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he has held including as President of Addison-Clifton, LLC, a provider of global trade compliance advisory services. The board of directors also benefits from his broad experience in and knowledge of international business.</w:t>
      </w:r>
    </w:p>
    <w:p>
      <w:pPr>
        <w:spacing w:after="0" w:line="68"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b w:val="1"/>
          <w:bCs w:val="1"/>
          <w:color w:val="auto"/>
        </w:rPr>
        <w:t xml:space="preserve">Jonas Prising </w:t>
      </w:r>
      <w:r>
        <w:rPr>
          <w:rFonts w:ascii="Arial" w:cs="Arial" w:eastAsia="Arial" w:hAnsi="Arial"/>
          <w:sz w:val="18"/>
          <w:szCs w:val="18"/>
          <w:color w:val="auto"/>
        </w:rPr>
        <w:t>— Mr. Prising brings to the board a deep knowledge of ManpowerGroup and its operations from his many years of experience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72" w:lineRule="exact"/>
        <w:rPr>
          <w:sz w:val="20"/>
          <w:szCs w:val="20"/>
          <w:color w:val="auto"/>
        </w:rPr>
      </w:pPr>
    </w:p>
    <w:p>
      <w:pPr>
        <w:ind w:right="80" w:firstLine="486"/>
        <w:spacing w:after="0" w:line="347" w:lineRule="auto"/>
        <w:rPr>
          <w:sz w:val="20"/>
          <w:szCs w:val="20"/>
          <w:color w:val="auto"/>
        </w:rPr>
      </w:pPr>
      <w:r>
        <w:rPr>
          <w:rFonts w:ascii="Arial" w:cs="Arial" w:eastAsia="Arial" w:hAnsi="Arial"/>
          <w:sz w:val="16"/>
          <w:szCs w:val="16"/>
          <w:b w:val="1"/>
          <w:bCs w:val="1"/>
          <w:color w:val="auto"/>
        </w:rPr>
        <w:t xml:space="preserve">Paul Read </w:t>
      </w:r>
      <w:r>
        <w:rPr>
          <w:rFonts w:ascii="Arial" w:cs="Arial" w:eastAsia="Arial" w:hAnsi="Arial"/>
          <w:sz w:val="16"/>
          <w:szCs w:val="16"/>
          <w:color w:val="auto"/>
        </w:rPr>
        <w:t>— Mr. Read brings to the board significant managerial, operational, financial and global experience as a result of many senior positions he</w:t>
      </w:r>
      <w:r>
        <w:rPr>
          <w:rFonts w:ascii="Arial" w:cs="Arial" w:eastAsia="Arial" w:hAnsi="Arial"/>
          <w:sz w:val="16"/>
          <w:szCs w:val="16"/>
          <w:b w:val="1"/>
          <w:bCs w:val="1"/>
          <w:color w:val="auto"/>
        </w:rPr>
        <w:t xml:space="preserve"> </w:t>
      </w:r>
      <w:r>
        <w:rPr>
          <w:rFonts w:ascii="Arial" w:cs="Arial" w:eastAsia="Arial" w:hAnsi="Arial"/>
          <w:sz w:val="16"/>
          <w:szCs w:val="16"/>
          <w:color w:val="auto"/>
        </w:rPr>
        <w:t>has held, including his tenure as President and Chief Operating Officer of Ingram Micro Inc. and Chief Financial Officer of Flextronics International, Ltd.</w:t>
      </w:r>
    </w:p>
    <w:p>
      <w:pPr>
        <w:spacing w:after="0" w:line="8"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b w:val="1"/>
          <w:bCs w:val="1"/>
          <w:color w:val="auto"/>
        </w:rPr>
        <w:t xml:space="preserve">Elizabeth P. Sartain </w:t>
      </w:r>
      <w:r>
        <w:rPr>
          <w:rFonts w:ascii="Arial" w:cs="Arial" w:eastAsia="Arial" w:hAnsi="Arial"/>
          <w:sz w:val="18"/>
          <w:szCs w:val="18"/>
          <w:color w:val="auto"/>
        </w:rPr>
        <w:t>— Ms. Sartain brings to the board significant human resources experience as a result of the various senior management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she held at various multi-national companies as well as being an independent human resource advisor for many years. Ms. Sartain also brings an important perspective gained from her service as a director on other public company boards.</w:t>
      </w:r>
    </w:p>
    <w:p>
      <w:pPr>
        <w:spacing w:after="0" w:line="68" w:lineRule="exact"/>
        <w:rPr>
          <w:sz w:val="20"/>
          <w:szCs w:val="20"/>
          <w:color w:val="auto"/>
        </w:rPr>
      </w:pPr>
    </w:p>
    <w:p>
      <w:pPr>
        <w:ind w:right="80" w:firstLine="486"/>
        <w:spacing w:after="0" w:line="266" w:lineRule="auto"/>
        <w:rPr>
          <w:sz w:val="20"/>
          <w:szCs w:val="20"/>
          <w:color w:val="auto"/>
        </w:rPr>
      </w:pPr>
      <w:r>
        <w:rPr>
          <w:rFonts w:ascii="Arial" w:cs="Arial" w:eastAsia="Arial" w:hAnsi="Arial"/>
          <w:sz w:val="18"/>
          <w:szCs w:val="18"/>
          <w:b w:val="1"/>
          <w:bCs w:val="1"/>
          <w:color w:val="auto"/>
        </w:rPr>
        <w:t xml:space="preserve">John R. Walter </w:t>
      </w:r>
      <w:r>
        <w:rPr>
          <w:rFonts w:ascii="Arial" w:cs="Arial" w:eastAsia="Arial" w:hAnsi="Arial"/>
          <w:sz w:val="18"/>
          <w:szCs w:val="18"/>
          <w:color w:val="auto"/>
        </w:rPr>
        <w:t>— Mr. Walter brings to the board significant managerial, operational and global experience from his tenure as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AT&amp;T and President and Chief Executive Officer of R.R. Donnelley &amp; Sons Company and from other senior executive positions he has held at several other companies as well as his service as a director on other public company boards.</w:t>
      </w:r>
    </w:p>
    <w:p>
      <w:pPr>
        <w:spacing w:after="0" w:line="68" w:lineRule="exact"/>
        <w:rPr>
          <w:sz w:val="20"/>
          <w:szCs w:val="20"/>
          <w:color w:val="auto"/>
        </w:rPr>
      </w:pPr>
    </w:p>
    <w:p>
      <w:pPr>
        <w:jc w:val="both"/>
        <w:ind w:right="60" w:firstLine="486"/>
        <w:spacing w:after="0" w:line="266" w:lineRule="auto"/>
        <w:rPr>
          <w:sz w:val="20"/>
          <w:szCs w:val="20"/>
          <w:color w:val="auto"/>
        </w:rPr>
      </w:pPr>
      <w:r>
        <w:rPr>
          <w:rFonts w:ascii="Arial" w:cs="Arial" w:eastAsia="Arial" w:hAnsi="Arial"/>
          <w:sz w:val="18"/>
          <w:szCs w:val="18"/>
          <w:b w:val="1"/>
          <w:bCs w:val="1"/>
          <w:color w:val="auto"/>
        </w:rPr>
        <w:t xml:space="preserve">Edward J. Zore </w:t>
      </w:r>
      <w:r>
        <w:rPr>
          <w:rFonts w:ascii="Arial" w:cs="Arial" w:eastAsia="Arial" w:hAnsi="Arial"/>
          <w:sz w:val="18"/>
          <w:szCs w:val="18"/>
          <w:color w:val="auto"/>
        </w:rPr>
        <w:t>— Mr. Zore brings to the board significant managerial, operational and financial experience as a result of the various senior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 held with The Northwestern Mutual Life Insurance Company, including as Chairman and Chief Executive Officer and Chief Financial Officer. The board also benefits from his service as a director on other public company boards.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In August 2008, the SEC approved a negotiated settlement with EY and two of its partners, including Mr. Ferraro, relating to auditor independence issues arising out of business relationships between EY and an individual who was also a member of the board of directors of three of its audit clients. The matter arose out of actions taken by Mr. Ferraro in 2002 in his role as Vice Chairman of EY. As part of the settlement, the respondents neither admitted nor denied the underlying allegations and accepted an administrative cease and desist order. Mr. Ferraro did not receive any suspension, fines or other sanctions and remained a partner in good standing at EY through January 2015. Our Board of Directors took into consideration all factors regarding Mr. Ferraro’s character and experience when considering his appointment.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Chairman of the Board</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Following the retirement of Jeffrey A. Joerres, who served as Executive Chairman from 2014 until December 30, 2015, the board of directors appointed Jonas Prising chairman of the board of directors effective December 31, 2015. The board of directors evaluated the Company's leadership structure and determined that the presence of our independent lead director who, as described below, has meaningful oversight responsibilities, together with a strong leader in the combined role of chairman and chief executive officer, will serve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Duties of Lead Director</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8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Zore has served as lead director since February 2013 and was again re-appointed lead director in February 2016. The lead director’s duties as specified in the Company’s corporate governance guidelines are as follows:</w:t>
      </w:r>
    </w:p>
    <w:p>
      <w:pPr>
        <w:spacing w:after="0" w:line="94"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Preside at executive sessions of the non-employee directors and all other meetings of directors where the chairman of the board is not present;</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what information is sent to the board;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of directors in overseeing a part of the Company’s overall risk management.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62" w:lineRule="exact"/>
        <w:rPr>
          <w:sz w:val="20"/>
          <w:szCs w:val="20"/>
          <w:color w:val="auto"/>
        </w:rPr>
      </w:pP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62" w:lineRule="exact"/>
        <w:rPr>
          <w:rFonts w:ascii="Arial" w:cs="Arial" w:eastAsia="Arial" w:hAnsi="Arial"/>
          <w:sz w:val="18"/>
          <w:szCs w:val="18"/>
          <w:color w:val="auto"/>
        </w:rPr>
      </w:pPr>
    </w:p>
    <w:p>
      <w:pPr>
        <w:ind w:left="820" w:right="6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Executive Compensation and Human Resources Committee</w:t>
      </w:r>
    </w:p>
    <w:p>
      <w:pPr>
        <w:spacing w:after="0" w:line="11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62"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The executive compensation and human resources committee directly retains Mercer (US) Inc. to advise it on executive compensation matters. Mercer reports to the chair of the committee. On an annual basis, the Company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2015 were $267,106.</w:t>
      </w:r>
    </w:p>
    <w:p>
      <w:pPr>
        <w:spacing w:after="0" w:line="154"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Mercer was engaged by the committee to perform the following services in 2015:</w:t>
      </w:r>
    </w:p>
    <w:p>
      <w:pPr>
        <w:spacing w:after="0" w:line="117" w:lineRule="exact"/>
        <w:rPr>
          <w:sz w:val="20"/>
          <w:szCs w:val="20"/>
          <w:color w:val="auto"/>
        </w:rPr>
      </w:pPr>
    </w:p>
    <w:p>
      <w:pPr>
        <w:ind w:left="820" w:right="18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retirement benefits and total remuneration against the market;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1"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20" w:right="4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recommend the companies used in our comparator group and our industry peer group;</w:t>
      </w:r>
    </w:p>
    <w:p>
      <w:pPr>
        <w:spacing w:after="0" w:line="117"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Advise the executive compensation and human resources committee on salary, target incentive opportunities and equity grants;</w:t>
      </w:r>
    </w:p>
    <w:p>
      <w:pPr>
        <w:spacing w:after="0" w:line="117"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Brief the committee on trends in executive compensation and benefits among large public companies and on regulatory, legislative and other developments; and</w:t>
      </w:r>
    </w:p>
    <w:p>
      <w:pPr>
        <w:spacing w:after="0" w:line="62" w:lineRule="exact"/>
        <w:rPr>
          <w:rFonts w:ascii="Arial" w:cs="Arial" w:eastAsia="Arial" w:hAnsi="Arial"/>
          <w:sz w:val="18"/>
          <w:szCs w:val="18"/>
          <w:color w:val="auto"/>
        </w:rPr>
      </w:pPr>
    </w:p>
    <w:p>
      <w:pPr>
        <w:ind w:left="820" w:right="6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in reviewing the Compensation Discussion and Analysis and other executive compensation disclosures to be included in this proxy statement.</w:t>
      </w:r>
    </w:p>
    <w:p>
      <w:pPr>
        <w:spacing w:after="0" w:line="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In connection with the engagement, the committee and Mercer have agreed on written guidelines for minimizing potential conflicts of interest. These guidelines are as follows:</w:t>
      </w:r>
    </w:p>
    <w:p>
      <w:pPr>
        <w:spacing w:after="0" w:line="76"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w:t>
      </w:r>
    </w:p>
    <w:p>
      <w:pPr>
        <w:spacing w:after="0" w:line="117" w:lineRule="exact"/>
        <w:rPr>
          <w:rFonts w:ascii="Arial" w:cs="Arial" w:eastAsia="Arial" w:hAnsi="Arial"/>
          <w:sz w:val="18"/>
          <w:szCs w:val="18"/>
          <w:color w:val="auto"/>
        </w:rPr>
      </w:pPr>
    </w:p>
    <w:p>
      <w:pPr>
        <w:ind w:left="820" w:right="20" w:hanging="326"/>
        <w:spacing w:after="0" w:line="25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analysis to ensure accuracy, and consult with the chief executive officer about the compensation of the other executives of ManpowerGroup;</w:t>
      </w:r>
    </w:p>
    <w:p>
      <w:pPr>
        <w:spacing w:after="0" w:line="7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Mercer’s main contacts with management are the chief financial officer and executive vice president, global strategy and talent;</w:t>
      </w:r>
    </w:p>
    <w:p>
      <w:pPr>
        <w:spacing w:after="0" w:line="117" w:lineRule="exact"/>
        <w:rPr>
          <w:rFonts w:ascii="Arial" w:cs="Arial" w:eastAsia="Arial" w:hAnsi="Arial"/>
          <w:sz w:val="18"/>
          <w:szCs w:val="18"/>
          <w:color w:val="auto"/>
        </w:rPr>
      </w:pPr>
    </w:p>
    <w:p>
      <w:pPr>
        <w:ind w:left="820" w:right="580" w:hanging="326"/>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Mercer’s written reports may be distributed to committee members as part of the committee meeting mailings, except any findings and recommendation regarding the chief executive officer and during 2015, the executive chairman, are sent in a separate document directly to committee members;</w:t>
      </w:r>
    </w:p>
    <w:p>
      <w:pPr>
        <w:spacing w:after="0" w:line="7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62" w:lineRule="exact"/>
        <w:rPr>
          <w:rFonts w:ascii="Arial" w:cs="Arial" w:eastAsia="Arial" w:hAnsi="Arial"/>
          <w:sz w:val="18"/>
          <w:szCs w:val="18"/>
          <w:color w:val="auto"/>
        </w:rPr>
      </w:pPr>
    </w:p>
    <w:p>
      <w:pPr>
        <w:ind w:left="820" w:right="520" w:hanging="326"/>
        <w:spacing w:after="0" w:line="34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to a Mercer consultant performing any services, whether related to compensation or other consulting services, for ManpowerGroup in addition to those performed for the committee, the consultant must inform the committee chair and obtain approval.</w:t>
      </w:r>
    </w:p>
    <w:p>
      <w:pPr>
        <w:spacing w:after="0" w:line="1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8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2015 was $347,226. These services include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 The committee considered the independence of Mercer under the rules of the Securities and Exchange Commission and the listing standards of the New York Stock Exchange.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committee concluded that the services provided by the Marsh &amp; McLennan affiliates (other than Mercer), did not raise any conflicts of interest.</w:t>
      </w:r>
    </w:p>
    <w:p>
      <w:pPr>
        <w:spacing w:after="0" w:line="23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 Mercer’s or its affiliates’ other relationships with us because of the procedures Mercer and the committee have in place, including the following:</w:t>
      </w:r>
    </w:p>
    <w:p>
      <w:pPr>
        <w:spacing w:after="0" w:line="76" w:lineRule="exact"/>
        <w:rPr>
          <w:sz w:val="20"/>
          <w:szCs w:val="20"/>
          <w:color w:val="auto"/>
        </w:rPr>
      </w:pPr>
    </w:p>
    <w:p>
      <w:pPr>
        <w:ind w:left="820" w:right="34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62"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DIRECTORS AND EXECUTIVE OFFICERS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Set forth in the table below, as of February 23, 2016, are the shares of ManpowerGroup common stock beneficially owned by each director and nominee, each of the executive officers named in the table under the heading “Executive and Director Compensation — Summary Compensation Table,” and all directors and executive officers of ManpowerGroup as a group and the shares of ManpowerGroup common stock that could be acquired within 60 days of February 23, 2016 by such persons.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42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Right to</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Acquire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2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60" w:type="dxa"/>
            <w:vAlign w:val="bottom"/>
            <w:gridSpan w:val="3"/>
            <w:vMerge w:val="continue"/>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Owned(1)</w:t>
            </w:r>
          </w:p>
        </w:tc>
        <w:tc>
          <w:tcPr>
            <w:tcW w:w="42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Stock(1)(2)</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202,843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Gina R. Boswell</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12,694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 Chandrashekar</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18,729</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Cari M. Dominguez</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14,506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William Downe</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18,261</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John F. Ferraro</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100,070</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Patricia Hemingway Hall</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5,669</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A. Joerres</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418,501</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(4)</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304,416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Roberto Mendoza</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Ulice Payne, Jr</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Paul Read</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3,641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Elizabeth P. Sartain</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15,058</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Mara E. Swan</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93,128</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62,366</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J. Van Handel</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175,183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John R. Walter</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6,075</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Edward J. Zore</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38,244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 as a group (19 persons)</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1,148,458</w:t>
            </w:r>
          </w:p>
        </w:tc>
        <w:tc>
          <w:tcPr>
            <w:tcW w:w="4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704,306</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85725</wp:posOffset>
            </wp:positionV>
            <wp:extent cx="11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1% of outstanding shares.</w:t>
      </w:r>
    </w:p>
    <w:p>
      <w:pPr>
        <w:spacing w:after="0" w:line="117" w:lineRule="exact"/>
        <w:rPr>
          <w:sz w:val="20"/>
          <w:szCs w:val="20"/>
          <w:color w:val="auto"/>
        </w:rPr>
      </w:pPr>
    </w:p>
    <w:p>
      <w:pPr>
        <w:ind w:left="500" w:right="4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62" w:lineRule="exact"/>
        <w:rPr>
          <w:rFonts w:ascii="Arial" w:cs="Arial" w:eastAsia="Arial" w:hAnsi="Arial"/>
          <w:sz w:val="18"/>
          <w:szCs w:val="18"/>
          <w:color w:val="auto"/>
        </w:rPr>
      </w:pPr>
    </w:p>
    <w:p>
      <w:pPr>
        <w:ind w:left="500"/>
        <w:spacing w:after="0" w:line="259" w:lineRule="auto"/>
        <w:rPr>
          <w:rFonts w:ascii="Arial" w:cs="Arial" w:eastAsia="Arial" w:hAnsi="Arial"/>
          <w:sz w:val="18"/>
          <w:szCs w:val="18"/>
          <w:color w:val="auto"/>
        </w:rPr>
      </w:pPr>
      <w:r>
        <w:rPr>
          <w:rFonts w:ascii="Arial" w:cs="Arial" w:eastAsia="Arial" w:hAnsi="Arial"/>
          <w:sz w:val="18"/>
          <w:szCs w:val="18"/>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9"/>
              </w:rPr>
              <w:t>Vested Deferred Stock</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4"/>
                <w:szCs w:val="14"/>
                <w:b w:val="1"/>
                <w:bCs w:val="1"/>
                <w:color w:val="auto"/>
              </w:rPr>
              <w:t>Director</w:t>
            </w:r>
          </w:p>
        </w:tc>
        <w:tc>
          <w:tcPr>
            <w:tcW w:w="3240" w:type="dxa"/>
            <w:vAlign w:val="bottom"/>
          </w:tcPr>
          <w:p>
            <w:pPr>
              <w:spacing w:after="0"/>
              <w:rPr>
                <w:sz w:val="19"/>
                <w:szCs w:val="19"/>
                <w:color w:val="auto"/>
              </w:rPr>
            </w:pPr>
          </w:p>
        </w:tc>
        <w:tc>
          <w:tcPr>
            <w:tcW w:w="14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2003 Plan</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2011 Plan</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Cari M. Dominguez</w:t>
            </w:r>
          </w:p>
        </w:tc>
        <w:tc>
          <w:tcPr>
            <w:tcW w:w="470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3,339</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William Downe</w:t>
            </w:r>
          </w:p>
        </w:tc>
        <w:tc>
          <w:tcPr>
            <w:tcW w:w="4700" w:type="dxa"/>
            <w:vAlign w:val="bottom"/>
            <w:gridSpan w:val="4"/>
          </w:tcPr>
          <w:p>
            <w:pPr>
              <w:jc w:val="right"/>
              <w:ind w:right="388"/>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13,290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13,290</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Patricia Hemingway Hall</w:t>
            </w:r>
          </w:p>
        </w:tc>
        <w:tc>
          <w:tcPr>
            <w:tcW w:w="470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3,339</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Roberto Mendoza</w:t>
            </w:r>
          </w:p>
        </w:tc>
        <w:tc>
          <w:tcPr>
            <w:tcW w:w="4700" w:type="dxa"/>
            <w:vAlign w:val="bottom"/>
            <w:gridSpan w:val="4"/>
          </w:tcPr>
          <w:p>
            <w:pPr>
              <w:jc w:val="right"/>
              <w:ind w:right="388"/>
              <w:spacing w:after="0"/>
              <w:rPr>
                <w:sz w:val="20"/>
                <w:szCs w:val="20"/>
                <w:color w:val="auto"/>
              </w:rPr>
            </w:pPr>
            <w:r>
              <w:rPr>
                <w:rFonts w:ascii="Arial" w:cs="Arial" w:eastAsia="Arial" w:hAnsi="Arial"/>
                <w:sz w:val="18"/>
                <w:szCs w:val="18"/>
                <w:color w:val="auto"/>
              </w:rPr>
              <w:t>8,273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9,066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17,339</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Paul Read</w:t>
            </w:r>
          </w:p>
        </w:tc>
        <w:tc>
          <w:tcPr>
            <w:tcW w:w="470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John R. Walter</w:t>
            </w:r>
          </w:p>
        </w:tc>
        <w:tc>
          <w:tcPr>
            <w:tcW w:w="4700" w:type="dxa"/>
            <w:vAlign w:val="bottom"/>
            <w:gridSpan w:val="4"/>
          </w:tcPr>
          <w:p>
            <w:pPr>
              <w:jc w:val="right"/>
              <w:ind w:right="388"/>
              <w:spacing w:after="0"/>
              <w:rPr>
                <w:sz w:val="20"/>
                <w:szCs w:val="20"/>
                <w:color w:val="auto"/>
              </w:rPr>
            </w:pPr>
            <w:r>
              <w:rPr>
                <w:rFonts w:ascii="Arial" w:cs="Arial" w:eastAsia="Arial" w:hAnsi="Arial"/>
                <w:sz w:val="18"/>
                <w:szCs w:val="18"/>
                <w:color w:val="auto"/>
              </w:rPr>
              <w:t>7,740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6,685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14,425</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Edward J. Zore</w:t>
            </w:r>
          </w:p>
        </w:tc>
        <w:tc>
          <w:tcPr>
            <w:tcW w:w="470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8"/>
                <w:szCs w:val="18"/>
                <w:color w:val="auto"/>
              </w:rPr>
              <w:t>620</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5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40" w:type="dxa"/>
            <w:vAlign w:val="bottom"/>
          </w:tcPr>
          <w:p>
            <w:pPr>
              <w:jc w:val="right"/>
              <w:ind w:right="133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table does not include 1,661 unvested shares of deferred stock, which will be settled in shares of ManpowerGroup common stock on a one-for-one basis, held by each of Mr. Downe, Mr. Ferraro, Ms. Hemingway Hall, Mr. Mendoza and Mr. Walter that were issued under the 2011 Plan and the Terms and Conditions on January 1, 2016. These shares of deferred stock vest in equal quarterly installments during 2016.</w:t>
      </w:r>
    </w:p>
    <w:p>
      <w:pPr>
        <w:spacing w:after="0" w:line="5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following number of shares of unvested restricted stock as of the record date:</w:t>
      </w:r>
    </w:p>
    <w:p>
      <w:pPr>
        <w:spacing w:after="0" w:line="25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8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Restricted</w:t>
            </w:r>
          </w:p>
        </w:tc>
        <w:tc>
          <w:tcPr>
            <w:tcW w:w="0" w:type="dxa"/>
            <w:vAlign w:val="bottom"/>
          </w:tcPr>
          <w:p>
            <w:pPr>
              <w:spacing w:after="0"/>
              <w:rPr>
                <w:sz w:val="1"/>
                <w:szCs w:val="1"/>
                <w:color w:val="auto"/>
              </w:rPr>
            </w:pPr>
          </w:p>
        </w:tc>
      </w:tr>
      <w:tr>
        <w:trPr>
          <w:trHeight w:val="158"/>
        </w:trPr>
        <w:tc>
          <w:tcPr>
            <w:tcW w:w="8100" w:type="dxa"/>
            <w:vAlign w:val="bottom"/>
            <w:gridSpan w:val="3"/>
            <w:vMerge w:val="continue"/>
          </w:tcPr>
          <w:p>
            <w:pPr>
              <w:spacing w:after="0"/>
              <w:rPr>
                <w:sz w:val="13"/>
                <w:szCs w:val="13"/>
                <w:color w:val="auto"/>
              </w:rPr>
            </w:pPr>
          </w:p>
        </w:tc>
        <w:tc>
          <w:tcPr>
            <w:tcW w:w="1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Gina R. Boswell</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Cari Dominguez</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Ulice Payne, Jr.</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Paul Read</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Elizabeth P. Sartain</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Edward J. Zore</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1,661</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holders of the restricted stock have sole voting power with respect to all shares held and no dispositive power with respect to all shares held.</w:t>
      </w:r>
    </w:p>
    <w:p>
      <w:pPr>
        <w:spacing w:after="0" w:line="12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300 shares held by Mr. Joerres’s spouse.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180" w:right="20" w:hanging="3124"/>
        <w:spacing w:after="0" w:line="282" w:lineRule="auto"/>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RE-APPROVAL OF THE MATERIAL TERMS OF THE PERFORMANCE GOALS UNDER THE MANPOWERGROUP INC. CORPORATE SENIOR MANAGEMENT ANNUAL INCENTIVE POOL PLAN</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board of directors is recommending that the material terms of the performance goals under the ManpowerGroup Inc. Corporate Senior Management Annual Incentive Pool Plan (the “Pool Plan”) be re-approved by our shareholders in order to allow the executive compensation and human resources committee (the "committee") to make grants of awards under the Pool Plan that will qualify as performance-based compensation under Section 162(m) of the Internal Revenue Code of 1986, as amended (“Section 162(m)”). Specifically, the board of directors is seeking shareholder re-approval of the following material terms of performance goals under the Pool Plan (together, the “Material Terms of the Pool Plan Performance Goals”), which are described in further detail below under the heading “Summary of Material Terms of the Pool Plan Performance Goals:”</w:t>
      </w:r>
    </w:p>
    <w:p>
      <w:pPr>
        <w:spacing w:after="0" w:line="178"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employees eligible to be a participant under the Pool Plan;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eligible performance measures under the Pool Plan and descriptions of each found in the Pool Plan;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bonus amount payable to any participant under the Pool Plan for any performance period of $5,000,000.</w:t>
      </w:r>
    </w:p>
    <w:p>
      <w:pPr>
        <w:spacing w:after="0" w:line="21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2011, shareholders first approved the Pool Plan, including the Material Terms of the Pool Plan Performance Goals. In February 2016, upon the recommendation of the committee, the board of directors determined to submit the Material Terms of the Pool Plan Performance Goals, which remain unchanged since their first approval by shareholders in 2011, for re-approval by the shareholders.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recommending re-approval of the Material Terms of the Pool Plan Performance Goals, the board of directors and the committee believe this re-approval would be in the best interests of ManpowerGroup because the committee will have the ability to continue granting awards under the Pool Plan that qualify as performance-based compensation under Section 162(m).</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At the same time the committee recommended re-approval of the Material Terms of the Pool Plan Performance Goals to the Board, it amended and restated the Pool Plan to provide that any participant who retires during the year would be entitled to a pro-rata portion of their annual incentive for that year, based on actual performance, and to make certain changes that do not require shareholder approval. The complete text of the Pool Plan, reflecting all administrative changes made by the board of directors in February 2016 for which shareholder approval was not required, and which includes the Material Terms of the Pool Plan Performance Goals for which shareholder re-approval is being requested, is attached as </w:t>
      </w:r>
      <w:r>
        <w:rPr>
          <w:rFonts w:ascii="Arial" w:cs="Arial" w:eastAsia="Arial" w:hAnsi="Arial"/>
          <w:sz w:val="16"/>
          <w:szCs w:val="16"/>
          <w:i w:val="1"/>
          <w:iCs w:val="1"/>
          <w:color w:val="auto"/>
        </w:rPr>
        <w:t>Appendix A-1</w:t>
      </w:r>
      <w:r>
        <w:rPr>
          <w:rFonts w:ascii="Arial" w:cs="Arial" w:eastAsia="Arial" w:hAnsi="Arial"/>
          <w:sz w:val="16"/>
          <w:szCs w:val="16"/>
          <w:color w:val="auto"/>
        </w:rPr>
        <w:t xml:space="preserve"> to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Re-Approving the Material Terms of the Pool Plan Performance Goals</w:t>
      </w:r>
    </w:p>
    <w:p>
      <w:pPr>
        <w:spacing w:after="0" w:line="17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162(m) generally disallows a tax deduction to public companies for compensation over $1,000,000 for any fiscal year paid to the corporation’s CEO and the three most highly compensated NEOs (other than the CEO and CFO) in service as of the end of any fiscal year. However, Section 162(m) also provides that qualifying “performance-based compensation” will not be subject to the deduction limit if certain requirements are met. The Pool Plan is designed such that awards under the Pool Plan may constitute qualified performance-based compensation and, as such, be exempt from the $1,000,000 limitation on deductible compensation provided the Section 162(m) requirements are met.</w:t>
      </w:r>
    </w:p>
    <w:p>
      <w:pPr>
        <w:spacing w:after="0" w:line="119" w:lineRule="exact"/>
        <w:rPr>
          <w:sz w:val="20"/>
          <w:szCs w:val="20"/>
          <w:color w:val="auto"/>
        </w:rPr>
      </w:pPr>
    </w:p>
    <w:p>
      <w:pPr>
        <w:ind w:right="260" w:firstLine="648"/>
        <w:spacing w:after="0" w:line="288" w:lineRule="auto"/>
        <w:rPr>
          <w:sz w:val="20"/>
          <w:szCs w:val="20"/>
          <w:color w:val="auto"/>
        </w:rPr>
      </w:pPr>
      <w:r>
        <w:rPr>
          <w:rFonts w:ascii="Arial" w:cs="Arial" w:eastAsia="Arial" w:hAnsi="Arial"/>
          <w:sz w:val="16"/>
          <w:szCs w:val="16"/>
          <w:color w:val="auto"/>
        </w:rPr>
        <w:t>In order to qualify for the performance-based compensation exception under Section 162(m) and thereby avoid potential nondeductibility of compensation paid under the Pool Plan, the material terms of the performance goals under which the compensation is to be paid must be disclosed and subsequently approved by shareholders. For purposes of Section 162(m), these material terms include: (i) the individuals eligible to receive compensation;</w:t>
      </w:r>
    </w:p>
    <w:p>
      <w:pPr>
        <w:ind w:left="5620" w:right="5280" w:hanging="5612"/>
        <w:spacing w:after="0" w:line="922" w:lineRule="auto"/>
        <w:tabs>
          <w:tab w:leader="none" w:pos="2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description of the business criteria on which the performance goal is based; and 20</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maximum amount of compensation that can be paid to an individual under the performance goal. Section 162(m) also requires re-approval of the</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performance goals every five years. The Material Terms of the Pool Plan Performance Goals, as described below, were last approved by shareholders in 2011 at the time the Pool Plan was first adopted and have remained unchanged since that approval.</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ability to deduct the performance-based equity compensation granted to our executives enables us to reduce the expense of compensating them. Accordingly, our board of directors believes re-approval of the Material Terms of the Pool Plan Performance Goals benefits shareholders and requests that shareholders re-approve the Material Terms of the Pool Plan Performance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Terms of the Pool Plan Performance Goals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following is a summary of the Material Terms of the Pool Plan Performance Goals that are proposed to be re-approved by shareholders in order to qualify awards under the Pool Plan as performance-based compensation for purposes of Section 162(m) of the Internal Revenue Code.</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committee may designate any ManpowerGroup or affiliate (that is, a subsidiary or other entity controlled by ManpowerGroup)</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who is a corporate senior executive officer of ManpowerGroup to participate in the Pool Plan. As of the date of this proxy, we have approximately seven senior executives who would be eligible to participate in the Pool Plan.</w:t>
      </w:r>
    </w:p>
    <w:p>
      <w:pPr>
        <w:spacing w:after="0" w:line="181"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i w:val="1"/>
          <w:iCs w:val="1"/>
          <w:color w:val="auto"/>
        </w:rPr>
        <w:t>Performance Goals and Measures</w:t>
      </w:r>
      <w:r>
        <w:rPr>
          <w:rFonts w:ascii="Arial" w:cs="Arial" w:eastAsia="Arial" w:hAnsi="Arial"/>
          <w:sz w:val="18"/>
          <w:szCs w:val="18"/>
          <w:color w:val="auto"/>
        </w:rPr>
        <w:t>. The committee may use one or more of the following performance measures to establish goals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where applicable, (i) may be applied on an absolute or relative basis, (ii) may be valued on a growth or fixed basis, and (iii) may be applied on a company-wide, business segment, or individual basis. The performance measures are as follows: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per share diluted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Return on investment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Return on invested capital</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Return on equity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Return on net assets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Shareholder returns (either including or excluding dividends) over a specified period of time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return ratios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flow</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 of expense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Economic profit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profit margin percentage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 of indebtedness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ratios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before interest, taxes, depreciation or amortization (or any combination thereof)</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Attainment by a share of a specified market price for a specified period of time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 satisfaction survey results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 satisfaction survey results</w:t>
      </w:r>
    </w:p>
    <w:p>
      <w:pPr>
        <w:spacing w:after="0" w:line="63" w:lineRule="exact"/>
        <w:rPr>
          <w:sz w:val="20"/>
          <w:szCs w:val="20"/>
          <w:color w:val="auto"/>
        </w:rPr>
      </w:pPr>
    </w:p>
    <w:p>
      <w:pPr>
        <w:ind w:left="440" w:right="1080"/>
        <w:spacing w:after="0" w:line="308" w:lineRule="auto"/>
        <w:rPr>
          <w:sz w:val="20"/>
          <w:szCs w:val="20"/>
          <w:color w:val="auto"/>
        </w:rPr>
      </w:pPr>
      <w:r>
        <w:rPr>
          <w:rFonts w:ascii="Arial" w:cs="Arial" w:eastAsia="Arial" w:hAnsi="Arial"/>
          <w:sz w:val="17"/>
          <w:szCs w:val="17"/>
          <w:color w:val="auto"/>
        </w:rPr>
        <w:t>Strategic business criteria, consisting of one or more objectives based on achieving specified revenue, market penetration, or geographic expansion goals, or cost targets, or goals relating to acquisitions or divestitures, or any combination of the foregoing</w:t>
      </w: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1"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committee may specify any reasonable definition of the performance measures it uses at the time the performance goal is set. These definitions may provide for reasonable adjustments and may include or exclude items, including but not limited to: unusual gains or non-recurring gains; gains or losses on the sale of assets; changes in accounting principles or the application thereof; currency fluctuations, acquisitions, divestitures, or necessary financing activities; recapitalizations, including stock splits and dividends; expenses for restructuring activities; and other non-operating items.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Maximum Bonus Amount Payable. </w:t>
      </w:r>
      <w:r>
        <w:rPr>
          <w:rFonts w:ascii="Arial" w:cs="Arial" w:eastAsia="Arial" w:hAnsi="Arial"/>
          <w:sz w:val="16"/>
          <w:szCs w:val="16"/>
          <w:color w:val="auto"/>
        </w:rPr>
        <w:t>The maximum award any participant is entitled to receive for any performance period is limited to $5,000,000.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Terms of the Pool Plan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Administration of the Pool Plan. </w:t>
      </w:r>
      <w:r>
        <w:rPr>
          <w:rFonts w:ascii="Arial" w:cs="Arial" w:eastAsia="Arial" w:hAnsi="Arial"/>
          <w:sz w:val="18"/>
          <w:szCs w:val="18"/>
          <w:color w:val="auto"/>
        </w:rPr>
        <w:t>The committee administers the Pool Plan and is authorized to interpret and construe it as it deems necessary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operation of the Pool Plan. Any determination, interpretation, construction or other action made by the committee with respect to the Pool Plan is final and binding. Any payment or distribution under the Pool Plan is subject to the prior certification by the committee that the relevant performance goals have been achieved.</w:t>
      </w:r>
    </w:p>
    <w:p>
      <w:pPr>
        <w:spacing w:after="0" w:line="2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Bonus awards can be expressed as an individual award amount for each participant of the Pool Plan or as a percentage of one or more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pools. At the time the performance goals are established, the committee will establish an objective formula or standard for computing the amount of the bonus payable to each participant.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Following the completion of each performance period, the committee must certify in writing as to whether the performance goal(s) has been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attained. Based on the attainment of the performance goal, a maximum amount (either a pool or individual maximum amounts) will be established.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Pool Plan, the committee has the discretion to reduce each participant’s award to an amount lower than their respective share of the bonus pool (or lower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individual amounts, if a pool is not used). The committee intends to exercise such discretion based on company-wide performance goals, division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unit performance goals and participants’ individual performance. While the committee has the ability to exercise such negative discretion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manner it deems appropriate, it is anticipated that the committee will continue to use the goals of EPS, Return on Invested Capital, Adjusted Operating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 and various operational objectives to determine the amount payable to each participant (where such amount shall be equal to or less than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determined under the performance goal(s) under the Pool Plan). Similar to the attainment of the performance goal, the committee will need to certify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end of each performance period the amount of the award payable to each participant under the Pool Plan. The maximum award any participant is entitled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receive for any performance period is limited to $5,000,000.</w:t>
      </w:r>
    </w:p>
    <w:p>
      <w:pPr>
        <w:spacing w:after="0" w:line="10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Awards earned will be paid in cash on or before March 15 of the year following the year with respect to which it was earned. Participants may elect to defer a portion of any award in accordance with the terms of the Company’s Nonqualified Savings Plan.</w:t>
      </w:r>
    </w:p>
    <w:p>
      <w:pPr>
        <w:spacing w:after="0" w:line="6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Unless otherwise agreed upon, if a participant terminates employment for any reason during a performance period, he or</w:t>
      </w:r>
      <w:r>
        <w:rPr>
          <w:rFonts w:ascii="Arial" w:cs="Arial" w:eastAsia="Arial" w:hAnsi="Arial"/>
          <w:sz w:val="18"/>
          <w:szCs w:val="18"/>
          <w:i w:val="1"/>
          <w:iCs w:val="1"/>
          <w:color w:val="auto"/>
        </w:rPr>
        <w:t xml:space="preserve"> </w:t>
      </w:r>
      <w:r>
        <w:rPr>
          <w:rFonts w:ascii="Arial" w:cs="Arial" w:eastAsia="Arial" w:hAnsi="Arial"/>
          <w:sz w:val="18"/>
          <w:szCs w:val="18"/>
          <w:color w:val="auto"/>
        </w:rPr>
        <w:t>she will not receive any bonus award for the performance period. In the event of death or disability or retirement, unless otherwise agreed upon, the participant will receive a prorated award, based on actual performance, for the actual number of days the participant was employed by the Company during the performance period.</w:t>
      </w:r>
    </w:p>
    <w:p>
      <w:pPr>
        <w:spacing w:after="0" w:line="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 xml:space="preserve">Forfeiture of Amounts Paid. </w:t>
      </w:r>
      <w:r>
        <w:rPr>
          <w:rFonts w:ascii="Arial" w:cs="Arial" w:eastAsia="Arial" w:hAnsi="Arial"/>
          <w:sz w:val="18"/>
          <w:szCs w:val="18"/>
          <w:color w:val="auto"/>
        </w:rPr>
        <w:t>The Company has the right to require a participant to forfeit and return to the Company any amounts paid to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any clawback policy maintained by the Company.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Amendment or Termination of the Pool Plan. </w:t>
      </w:r>
      <w:r>
        <w:rPr>
          <w:rFonts w:ascii="Arial" w:cs="Arial" w:eastAsia="Arial" w:hAnsi="Arial"/>
          <w:sz w:val="18"/>
          <w:szCs w:val="18"/>
          <w:color w:val="auto"/>
        </w:rPr>
        <w:t>The committee may terminate or amend the Pool Plan at any time.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table sets forth the dollar value of the awards paid under the Pool Plan based on 2015 performance to (i) each of our named executive officers, (ii) all executive officers as a group, (iii) all non-employee directors as a group and (iv) all employees other than executive officers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Position</w:t>
            </w:r>
          </w:p>
        </w:tc>
        <w:tc>
          <w:tcPr>
            <w:tcW w:w="220" w:type="dxa"/>
            <w:vAlign w:val="bottom"/>
          </w:tcPr>
          <w:p>
            <w:pPr>
              <w:spacing w:after="0"/>
              <w:rPr>
                <w:sz w:val="14"/>
                <w:szCs w:val="14"/>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Dollar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2,300,000</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CEO</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Michael J. Van Handel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920,000</w:t>
            </w:r>
          </w:p>
        </w:tc>
      </w:tr>
      <w:tr>
        <w:trPr>
          <w:trHeight w:val="270"/>
        </w:trPr>
        <w:tc>
          <w:tcPr>
            <w:tcW w:w="40" w:type="dxa"/>
            <w:vAlign w:val="bottom"/>
          </w:tcPr>
          <w:p>
            <w:pPr>
              <w:spacing w:after="0"/>
              <w:rPr>
                <w:sz w:val="23"/>
                <w:szCs w:val="23"/>
                <w:color w:val="auto"/>
              </w:rPr>
            </w:pPr>
          </w:p>
        </w:tc>
        <w:tc>
          <w:tcPr>
            <w:tcW w:w="8380" w:type="dxa"/>
            <w:vAlign w:val="bottom"/>
            <w:gridSpan w:val="2"/>
          </w:tcPr>
          <w:p>
            <w:pPr>
              <w:ind w:left="320"/>
              <w:spacing w:after="0"/>
              <w:rPr>
                <w:sz w:val="20"/>
                <w:szCs w:val="20"/>
                <w:color w:val="auto"/>
              </w:rPr>
            </w:pPr>
            <w:r>
              <w:rPr>
                <w:rFonts w:ascii="Arial" w:cs="Arial" w:eastAsia="Arial" w:hAnsi="Arial"/>
                <w:sz w:val="18"/>
                <w:szCs w:val="18"/>
                <w:color w:val="auto"/>
              </w:rPr>
              <w:t>CFO</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1,105,000</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President &amp; COO</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Ram Chandrashekar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460,108</w:t>
            </w:r>
          </w:p>
        </w:tc>
      </w:tr>
      <w:tr>
        <w:trPr>
          <w:trHeight w:val="270"/>
        </w:trPr>
        <w:tc>
          <w:tcPr>
            <w:tcW w:w="40" w:type="dxa"/>
            <w:vAlign w:val="bottom"/>
          </w:tcPr>
          <w:p>
            <w:pPr>
              <w:spacing w:after="0"/>
              <w:rPr>
                <w:sz w:val="23"/>
                <w:szCs w:val="23"/>
                <w:color w:val="auto"/>
              </w:rPr>
            </w:pPr>
          </w:p>
        </w:tc>
        <w:tc>
          <w:tcPr>
            <w:tcW w:w="8380" w:type="dxa"/>
            <w:vAlign w:val="bottom"/>
            <w:gridSpan w:val="2"/>
          </w:tcPr>
          <w:p>
            <w:pPr>
              <w:ind w:left="320"/>
              <w:spacing w:after="0"/>
              <w:rPr>
                <w:sz w:val="20"/>
                <w:szCs w:val="20"/>
                <w:color w:val="auto"/>
              </w:rPr>
            </w:pPr>
            <w:r>
              <w:rPr>
                <w:rFonts w:ascii="Arial" w:cs="Arial" w:eastAsia="Arial" w:hAnsi="Arial"/>
                <w:sz w:val="18"/>
                <w:szCs w:val="18"/>
                <w:color w:val="auto"/>
              </w:rPr>
              <w:t>EVP, Operational Excellence &amp; IT and President, Asia Pacific Middle East</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Mara E. Swan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580,000</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EVP, Global Strategy &amp;Talent</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Jeffrey Joerres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1,563,750</w:t>
            </w:r>
          </w:p>
        </w:tc>
      </w:tr>
      <w:tr>
        <w:trPr>
          <w:trHeight w:val="270"/>
        </w:trPr>
        <w:tc>
          <w:tcPr>
            <w:tcW w:w="40" w:type="dxa"/>
            <w:vAlign w:val="bottom"/>
          </w:tcPr>
          <w:p>
            <w:pPr>
              <w:spacing w:after="0"/>
              <w:rPr>
                <w:sz w:val="23"/>
                <w:szCs w:val="23"/>
                <w:color w:val="auto"/>
              </w:rPr>
            </w:pPr>
          </w:p>
        </w:tc>
        <w:tc>
          <w:tcPr>
            <w:tcW w:w="8380" w:type="dxa"/>
            <w:vAlign w:val="bottom"/>
            <w:gridSpan w:val="2"/>
          </w:tcPr>
          <w:p>
            <w:pPr>
              <w:ind w:left="320"/>
              <w:spacing w:after="0"/>
              <w:rPr>
                <w:sz w:val="20"/>
                <w:szCs w:val="20"/>
                <w:color w:val="auto"/>
              </w:rPr>
            </w:pPr>
            <w:r>
              <w:rPr>
                <w:rFonts w:ascii="Arial" w:cs="Arial" w:eastAsia="Arial" w:hAnsi="Arial"/>
                <w:sz w:val="18"/>
                <w:szCs w:val="18"/>
                <w:color w:val="auto"/>
              </w:rPr>
              <w:t>Former Executive Chairman</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 executive officers as a group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5,705,108</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All non-employee directors as a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employees other than executive officers as a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170,000</w:t>
            </w:r>
          </w:p>
        </w:tc>
      </w:tr>
      <w:tr>
        <w:trPr>
          <w:trHeight w:val="27"/>
        </w:trPr>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is required to approve the proposal. Abstentions and broker non-votes will not be counted as votes cast and, therefore, will have no impact on the approval of the proposal.</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The board of directors recommends that you vote FOR the re-approval of the Material Terms of the Pool Plan Performance Goals, and your proxy will be so voted unless you specify otherwise.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4620" w:right="200" w:hanging="4383"/>
        <w:spacing w:after="0" w:line="282" w:lineRule="auto"/>
        <w:tabs>
          <w:tab w:leader="none" w:pos="45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RE-APPROVAL OF THE MATERIAL TERMS OF THE PERFORMANCE GOALS UNDER THE 2011 EQUITY INCENTIVE PLAN OF MANPOWERGROUP INC.</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board of directors is recommending that the material terms of the performance goals under the 2011 Equity Incentive Plan of ManpowerGroup Inc. (the “2011 Equity Incentive Plan”) be re-approved by our shareholders in order to allow the executive compensation and human resources committee (the “committee”) to make grants of awards under the 2011 Equity Incentive Plan that will qualify as performance-based compensation under Section 162(m) of the Internal Revenue Code of 1986, as amended ("Section 162(m)"). Specifically, the board of directors is seeking shareholder re-approval of the following material terms of performance goals under the 2011 Equity Incentive Plan (together, the “Material Terms of the 2011 Equity Incentive Plan Performance Goals”), which are described in further detail below under the heading “Summary of Material Terms of the 2011 Equity Incentive Plan:”</w:t>
      </w:r>
    </w:p>
    <w:p>
      <w:pPr>
        <w:spacing w:after="0" w:line="111"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employees eligible to receive certain awards under the 2011 Equity Incentive Plan;</w:t>
      </w:r>
    </w:p>
    <w:p>
      <w:pPr>
        <w:spacing w:after="0" w:line="23" w:lineRule="exact"/>
        <w:rPr>
          <w:rFonts w:ascii="Arial" w:cs="Arial" w:eastAsia="Arial" w:hAnsi="Arial"/>
          <w:sz w:val="18"/>
          <w:szCs w:val="18"/>
          <w:color w:val="auto"/>
        </w:rPr>
      </w:pPr>
    </w:p>
    <w:p>
      <w:pPr>
        <w:ind w:left="1300" w:right="360" w:hanging="320"/>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eligible “performance goals” under the 2011 Equity Incentive Plan and the descriptions of each found in the 2011 Equity Incentive Plan; and</w:t>
      </w: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individual award limits applicable to participants under the 2011 Equity Incentive Plan.</w:t>
      </w:r>
    </w:p>
    <w:p>
      <w:pPr>
        <w:spacing w:after="0" w:line="211"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2011, shareholders first approved the 2011 Equity Incentive Plan, including the Material Terms of the 2011 Equity Incentive Plan Performance Goals. In 2014, shareholders approved an amendment to the 2011 Equity Incentive Plan to increase the number of shares available for grant under the 2011 Equity Incentive Plan. In February 2016, upon the recommendation of the committee, the board of directors determined to submit the Material Terms of the 2011 Equity Incentive Plan Performance Goals, which remain unchanged since their first approval by shareholders in 2011, for re-approval by shareholders.</w:t>
      </w:r>
    </w:p>
    <w:p>
      <w:pPr>
        <w:spacing w:after="0" w:line="10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In recommending the re-approval of the Material Terms of the 2011 Equity Incentive Plan Performance Goals, the board of directors and the committee believe this re-approval would be in the best interests of ManpowerGroup because the committee will have the ability to continue granting certain awards under the 2011 Equity Incentive Plan that qualify as performance-based compensation under Section 162(m). The complete text of the 2011 Plan, which includes the Material Terms of the 2011 Equity Incentive Plan Performance Goals, is attached as </w:t>
      </w:r>
      <w:r>
        <w:rPr>
          <w:rFonts w:ascii="Arial" w:cs="Arial" w:eastAsia="Arial" w:hAnsi="Arial"/>
          <w:sz w:val="16"/>
          <w:szCs w:val="16"/>
          <w:i w:val="1"/>
          <w:iCs w:val="1"/>
          <w:color w:val="auto"/>
        </w:rPr>
        <w:t>Appendix B-1</w:t>
      </w:r>
      <w:r>
        <w:rPr>
          <w:rFonts w:ascii="Arial" w:cs="Arial" w:eastAsia="Arial" w:hAnsi="Arial"/>
          <w:sz w:val="16"/>
          <w:szCs w:val="16"/>
          <w:color w:val="auto"/>
        </w:rPr>
        <w:t xml:space="preserve"> to this proxy statement.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This proposal is not requesting any additional shares of common stock under the 2011 Equity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Re-Approving the Material Terms of the 2011 Equity Incentive Plan Performance Goals</w:t>
      </w:r>
    </w:p>
    <w:p>
      <w:pPr>
        <w:spacing w:after="0" w:line="17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Section 162(m) generally disallows a tax deduction to public companies for compensation over $1,000,000 for any fiscal year paid to the corporation’s CEO and the three most highly compensated NEOs (other than the CEO and CFO) in service as of the end of any fiscal year. However, Section 162(m) also provides that qualifying “performance-based compensation” will not be subject to the deduction limit if certain requirements are met. The 2011 Equity Incentive Plan is designed such that the committee may grant certain awards that constitute qualified performance-based compensation and, as such, be exempt from the $1,000,000 limitation on deductible compensation provided the Section 162(m) requirements are met.</w:t>
      </w:r>
    </w:p>
    <w:p>
      <w:pPr>
        <w:spacing w:after="0" w:line="1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order to qualify for the performance-based compensation exception under Section 162(m) and thereby avoid potential nondeductibility of certain awards granted under the 2011 Equity Incentive Plan, the material terms of the performance goals under which the compensation is to be paid must be disclosed and subsequently approved by shareholders. For purposes of Section 162(m), these material terms include: (i) the individuals eligible to receive compensation, (ii) a description of the business criteria on which the performance goal is based, and (iii) the maximum amount of compensation that can be paid to an individual under the performance goal. Section 162(m) also requires re-approval of the performance goals every five years. The Material Terms of the 2011 Equity Incentive Plan Performance Goals, as described below, were last approved by shareholders in 2011 and have remained unchanged since that approval.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ability to deduct certain performance-based equity compensation granted to our executives enables us to reduce the expense of compensating them. Accordingly, the board of directors, believes re-approval of the Material Terms of the 2011 Equity Incentive Plan Performance Goals benefits shareholders and requests that shareholders re-approve the Material Terms of the 2011 Equity Incentive Plan Performance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Terms of the 2011 Equity Incentive Plan Performance Goals</w:t>
      </w:r>
    </w:p>
    <w:p>
      <w:pPr>
        <w:spacing w:after="0" w:line="17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is a summary of the Material Terms of the Pool Plan Performance Goals that are proposed to be re-approved by shareholders in order to qualify certain awards under the 2011 Equity Incentive Plan as performance-based compensation for purposes of Section 162(m).</w:t>
      </w:r>
    </w:p>
    <w:p>
      <w:pPr>
        <w:spacing w:after="0" w:line="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Participants under the 2011 Equity Incentive Plan are limited to our non-employee directors and employees. Any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ManpowerGroup or its subsidiaries is eligible to receive awards under the 2011 Equity Incentive Plan. In determining the employees to whom awards will be granted and the number of shares to be covered by each award, the committee, as administrator, may take into account the nature of the services rendered by the employees, their present and potential contributions to our success and such other factors as the administrator may deem relevant. We estimate that approximately 27,000 persons are eligible to participate in the 2011 Equity Incentive Plan, which includes eleven non-employee directors and seven executive officers.</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Performance Measures and Goals</w:t>
      </w:r>
      <w:r>
        <w:rPr>
          <w:rFonts w:ascii="Arial" w:cs="Arial" w:eastAsia="Arial" w:hAnsi="Arial"/>
          <w:sz w:val="18"/>
          <w:szCs w:val="18"/>
          <w:color w:val="auto"/>
        </w:rPr>
        <w:t>. The committee may use one or more of the following performance goals when granting awards under the 2011</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which, where applicable: (i) may be set on a pre-tax or after-tax basis; (ii) may include or exclude the impact of changes in currency exchange rates; and (iii) may be applied on an absolute or relative basis; (iv) may be valued on a growth of fixed basis; and (v) may be applied on a company-wide, business segment, or individual basis.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investment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invested capital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equity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net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Shareholder returns (either including or excluding dividends) over a specified period of time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Financial return ratios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flow</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 of expense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Economic profit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profit margin percentage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profit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profit margin percentage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 of indebtedness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 ratios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before interest, taxes, depreciation or amortization (or any combination thereof)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Attainment by a share of common stock of a specified market price for a specified period of time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satisfaction survey results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Employee satisfaction survey results</w:t>
      </w:r>
    </w:p>
    <w:p>
      <w:pPr>
        <w:spacing w:after="0" w:line="63" w:lineRule="exact"/>
        <w:rPr>
          <w:sz w:val="20"/>
          <w:szCs w:val="20"/>
          <w:color w:val="auto"/>
        </w:rPr>
      </w:pPr>
    </w:p>
    <w:p>
      <w:pPr>
        <w:ind w:left="180" w:right="760"/>
        <w:spacing w:after="0" w:line="308" w:lineRule="auto"/>
        <w:rPr>
          <w:sz w:val="20"/>
          <w:szCs w:val="20"/>
          <w:color w:val="auto"/>
        </w:rPr>
      </w:pPr>
      <w:r>
        <w:rPr>
          <w:rFonts w:ascii="Arial" w:cs="Arial" w:eastAsia="Arial" w:hAnsi="Arial"/>
          <w:sz w:val="17"/>
          <w:szCs w:val="17"/>
          <w:color w:val="auto"/>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performance goals may be determined with or without regard to changes in accounting principles or the application thereof; extraordinary, unusual or non-recurring gains; gains or losses on the sale of assets; acquisitions, divestitures, or necessary financing activities; recapitalizations, including stock splits and dividends; expenses for restructuring activities; and other non-operating items, as specified at the time of grant.</w:t>
      </w:r>
    </w:p>
    <w:p>
      <w:pPr>
        <w:spacing w:after="0" w:line="3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Individual Award Limitations</w:t>
      </w:r>
      <w:r>
        <w:rPr>
          <w:rFonts w:ascii="Arial" w:cs="Arial" w:eastAsia="Arial" w:hAnsi="Arial"/>
          <w:sz w:val="18"/>
          <w:szCs w:val="18"/>
          <w:color w:val="auto"/>
        </w:rPr>
        <w:t>. No employee will be eligible to receive grants of options and stock appreciation rights for more than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750,000 shares during any three-year period (subject to adjustments under Paragraph 13 of the 2011 Equity Incentive Plan). Further, the aggregate number of shares of restricted stock and deferred stock, plus the number of restricted share units and performance share units granted to any one employee during any fiscal year of ManpowerGroup will be limited to 150,000 shares (subject to adjustments as provided under Paragraph 13 of the 2011 Equity Incentive Plan and excluding any such awards that may vest based on continued performance of services only (e.g., time-based vested restricted stock, restricted stock units or deferred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Terms of the 2011 Equity Incentive Plan</w:t>
      </w:r>
    </w:p>
    <w:p>
      <w:pPr>
        <w:spacing w:after="0" w:line="17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Common Stock Subject to the 2011 Equity Incentive Plan. </w:t>
      </w:r>
      <w:r>
        <w:rPr>
          <w:rFonts w:ascii="Arial" w:cs="Arial" w:eastAsia="Arial" w:hAnsi="Arial"/>
          <w:sz w:val="16"/>
          <w:szCs w:val="16"/>
          <w:color w:val="auto"/>
        </w:rPr>
        <w:t>The 2011 Equity Incentive Plan currently provides for the grant of nonstatutory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incentive stock options, restricted stock, restricted stock units, performance share units, share appreciation rights (SARs), and deferred stock to employees designated by the committee or the board of directors. The 2011 Equity Incentive Plan also provides for the grant of nonstatutory stock options, restricted stock, restricted stock units, performance share units, SARs and deferred stock to non-employee directors designated by the board of directors.</w:t>
      </w:r>
    </w:p>
    <w:p>
      <w:pPr>
        <w:spacing w:after="0" w:line="10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2011 Equity Incentive Plan is administered by the board of directors with respect to grants to non-employee directors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2011 Equity Incentive Plan. The 2011 Equity Incentive Plan is administered by the committee or the board of directors with respect to grants to employees. The committee will be designated from time to time by the board of directors, and it will be so constituted as to permit grants to be exempt from Section 16(b) of the Securities Exchange Act of 1934 and to permit grants of performance-based compensation under the 2011 Equity Incentive Plan to comply with Section 162(m), or any other statutory rule or regulatory requirements, unless otherwise determined by the board of directors. We refer to the board of directors and the committee as the administrator.</w:t>
      </w:r>
    </w:p>
    <w:p>
      <w:pPr>
        <w:spacing w:after="0" w:line="13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administrator has sole discretion to determine the employees or directors to whom awards will be granted, the terms and provisions of each such award and to make all other determinations and interpretations which it deems necessary or advisable for the administration of the 2011 Equity Incentive Plan. A decision of the administrator with regard to any of these matters is conclusive and binding.</w:t>
      </w:r>
    </w:p>
    <w:p>
      <w:pPr>
        <w:spacing w:after="0" w:line="12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Duration and Amendment of the 2011 Equity Incentive Plan</w:t>
      </w:r>
      <w:r>
        <w:rPr>
          <w:rFonts w:ascii="Arial" w:cs="Arial" w:eastAsia="Arial" w:hAnsi="Arial"/>
          <w:sz w:val="18"/>
          <w:szCs w:val="18"/>
          <w:color w:val="auto"/>
        </w:rPr>
        <w:t>. No awards may be granted pursuant to the 2011 Equity Incentive Plan after</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16, 2021. Except to the extent shareholder approval is required under tax, securities or any other applicable law or the listing standards of the New York Stock Exchange, the board of directors may amend, modify or terminate the 2011 Equity Incentive Plan (except in certain cases where participant consent is required).</w:t>
      </w:r>
    </w:p>
    <w:p>
      <w:pPr>
        <w:spacing w:after="0" w:line="1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Except as described below, the administrator may amend, modify or terminate an outstanding award. The administrator may not, without the participant’s consent, amend, modify or terminate an outstanding award unless it determines that the action would not materially and adversely affect the participant or where such amendment or modification is necessary in order for a participant to avoid becoming subject to penalties and/or interest under Section 409A of the Internal Revenue Code. Except in connection with a corporate transaction involving ManpowerGroup (including, without limitation, any stock dividend, stock split, recapitalization, merger, consolidation, combination, or exchange of shares), the administrator may not adjust or amend the exercise price of any outstanding option or SAR whether through amendment, cancellation or replacement grants or any other means.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7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following table sets forth the awards and the dollar value of the awards granted under the 2011 Equity Incentive Plan during 2015 to (i) each of our named executive officers, (ii) all executive officers as a group, (iii) all non-employee directors as a group and (iv) all employees other than executive officers as a group.</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Value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Value of Restricted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Value of</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Performance Share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Stock/RSUs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Performance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Units</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Deferred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r>
      <w:tr>
        <w:trPr>
          <w:trHeight w:val="18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Stock/RSUs</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 Units (2)</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Stock $ (1)</w:t>
            </w: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Jonas Prising</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14,656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1,128,072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52,078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1,128,009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43,966</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3,384,063</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CEO</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82"/>
        </w:trPr>
        <w:tc>
          <w:tcPr>
            <w:tcW w:w="2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4"/>
                <w:szCs w:val="14"/>
                <w:color w:val="auto"/>
              </w:rPr>
              <w:t>Michael J. Van Handel</w:t>
            </w:r>
          </w:p>
        </w:tc>
        <w:tc>
          <w:tcPr>
            <w:tcW w:w="1160" w:type="dxa"/>
            <w:vAlign w:val="bottom"/>
            <w:gridSpan w:val="2"/>
          </w:tcPr>
          <w:p>
            <w:pPr>
              <w:jc w:val="right"/>
              <w:ind w:right="52"/>
              <w:spacing w:after="0"/>
              <w:rPr>
                <w:sz w:val="20"/>
                <w:szCs w:val="20"/>
                <w:color w:val="auto"/>
              </w:rPr>
            </w:pPr>
            <w:r>
              <w:rPr>
                <w:rFonts w:ascii="Arial" w:cs="Arial" w:eastAsia="Arial" w:hAnsi="Arial"/>
                <w:sz w:val="14"/>
                <w:szCs w:val="14"/>
                <w:color w:val="auto"/>
              </w:rPr>
              <w:t>6,756</w:t>
            </w:r>
          </w:p>
        </w:tc>
        <w:tc>
          <w:tcPr>
            <w:tcW w:w="1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520,009</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24,008</w:t>
            </w:r>
          </w:p>
        </w:tc>
        <w:tc>
          <w:tcPr>
            <w:tcW w:w="12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520,013</w:t>
            </w:r>
          </w:p>
        </w:tc>
        <w:tc>
          <w:tcPr>
            <w:tcW w:w="10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20,268</w:t>
            </w:r>
          </w:p>
        </w:tc>
        <w:tc>
          <w:tcPr>
            <w:tcW w:w="12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1,560,028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2420" w:type="dxa"/>
            <w:vAlign w:val="bottom"/>
          </w:tcPr>
          <w:p>
            <w:pPr>
              <w:ind w:left="280"/>
              <w:spacing w:after="0"/>
              <w:rPr>
                <w:sz w:val="20"/>
                <w:szCs w:val="20"/>
                <w:color w:val="auto"/>
              </w:rPr>
            </w:pPr>
            <w:r>
              <w:rPr>
                <w:rFonts w:ascii="Arial" w:cs="Arial" w:eastAsia="Arial" w:hAnsi="Arial"/>
                <w:sz w:val="14"/>
                <w:szCs w:val="14"/>
                <w:color w:val="auto"/>
              </w:rPr>
              <w:t>CFO</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2"/>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Darryl Green</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9,095</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700,042</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32,318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700,008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27,284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2,100,049</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President &amp; COO</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82"/>
        </w:trPr>
        <w:tc>
          <w:tcPr>
            <w:tcW w:w="2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4"/>
                <w:szCs w:val="14"/>
                <w:color w:val="auto"/>
              </w:rPr>
              <w:t>Ram Chandrashekar</w:t>
            </w:r>
          </w:p>
        </w:tc>
        <w:tc>
          <w:tcPr>
            <w:tcW w:w="1160" w:type="dxa"/>
            <w:vAlign w:val="bottom"/>
            <w:gridSpan w:val="2"/>
          </w:tcPr>
          <w:p>
            <w:pPr>
              <w:jc w:val="right"/>
              <w:ind w:right="52"/>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280,017</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12,928</w:t>
            </w:r>
          </w:p>
        </w:tc>
        <w:tc>
          <w:tcPr>
            <w:tcW w:w="12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280,020</w:t>
            </w:r>
          </w:p>
        </w:tc>
        <w:tc>
          <w:tcPr>
            <w:tcW w:w="10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10,914</w:t>
            </w:r>
          </w:p>
        </w:tc>
        <w:tc>
          <w:tcPr>
            <w:tcW w:w="12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840,051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9"/>
        </w:trPr>
        <w:tc>
          <w:tcPr>
            <w:tcW w:w="2420" w:type="dxa"/>
            <w:vAlign w:val="bottom"/>
          </w:tcPr>
          <w:p>
            <w:pPr>
              <w:ind w:left="280"/>
              <w:spacing w:after="0"/>
              <w:rPr>
                <w:sz w:val="20"/>
                <w:szCs w:val="20"/>
                <w:color w:val="auto"/>
              </w:rPr>
            </w:pPr>
            <w:r>
              <w:rPr>
                <w:rFonts w:ascii="Arial" w:cs="Arial" w:eastAsia="Arial" w:hAnsi="Arial"/>
                <w:sz w:val="14"/>
                <w:szCs w:val="14"/>
                <w:color w:val="auto"/>
                <w:w w:val="89"/>
              </w:rPr>
              <w:t>EVP, Operational Excellence &amp; IT and</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420" w:type="dxa"/>
            <w:vAlign w:val="bottom"/>
          </w:tcPr>
          <w:p>
            <w:pPr>
              <w:ind w:left="280"/>
              <w:spacing w:after="0"/>
              <w:rPr>
                <w:sz w:val="20"/>
                <w:szCs w:val="20"/>
                <w:color w:val="auto"/>
              </w:rPr>
            </w:pPr>
            <w:r>
              <w:rPr>
                <w:rFonts w:ascii="Arial" w:cs="Arial" w:eastAsia="Arial" w:hAnsi="Arial"/>
                <w:sz w:val="14"/>
                <w:szCs w:val="14"/>
                <w:color w:val="auto"/>
                <w:w w:val="97"/>
              </w:rPr>
              <w:t>President, Asia Pacific Middle East</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Mara E. Swan</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3,119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240,069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11,081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240,014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9,355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720,054</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EVP, Global Strategy &amp; Talent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82"/>
        </w:trPr>
        <w:tc>
          <w:tcPr>
            <w:tcW w:w="2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4"/>
                <w:szCs w:val="14"/>
                <w:color w:val="auto"/>
              </w:rPr>
              <w:t>Jeffrey A. Joerres</w:t>
            </w:r>
          </w:p>
        </w:tc>
        <w:tc>
          <w:tcPr>
            <w:tcW w:w="1160" w:type="dxa"/>
            <w:vAlign w:val="bottom"/>
            <w:gridSpan w:val="2"/>
          </w:tcPr>
          <w:p>
            <w:pPr>
              <w:jc w:val="right"/>
              <w:ind w:right="52"/>
              <w:spacing w:after="0"/>
              <w:rPr>
                <w:sz w:val="20"/>
                <w:szCs w:val="20"/>
                <w:color w:val="auto"/>
              </w:rPr>
            </w:pPr>
            <w:r>
              <w:rPr>
                <w:rFonts w:ascii="Arial" w:cs="Arial" w:eastAsia="Arial" w:hAnsi="Arial"/>
                <w:sz w:val="14"/>
                <w:szCs w:val="14"/>
                <w:color w:val="auto"/>
              </w:rPr>
              <w:t>17,286</w:t>
            </w:r>
          </w:p>
        </w:tc>
        <w:tc>
          <w:tcPr>
            <w:tcW w:w="1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1,330,503</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40,334</w:t>
            </w:r>
          </w:p>
        </w:tc>
        <w:tc>
          <w:tcPr>
            <w:tcW w:w="12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3,104,508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2420" w:type="dxa"/>
            <w:vAlign w:val="bottom"/>
          </w:tcPr>
          <w:p>
            <w:pPr>
              <w:ind w:left="280"/>
              <w:spacing w:after="0"/>
              <w:rPr>
                <w:sz w:val="20"/>
                <w:szCs w:val="20"/>
                <w:color w:val="auto"/>
              </w:rPr>
            </w:pPr>
            <w:r>
              <w:rPr>
                <w:rFonts w:ascii="Arial" w:cs="Arial" w:eastAsia="Arial" w:hAnsi="Arial"/>
                <w:sz w:val="14"/>
                <w:szCs w:val="14"/>
                <w:color w:val="auto"/>
              </w:rPr>
              <w:t>Former Executive Chairman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2"/>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executive officers as a group</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38,824</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2,988,283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137,954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2,988,084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116,465</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8,964,311</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420" w:type="dxa"/>
            <w:vAlign w:val="bottom"/>
          </w:tcPr>
          <w:p>
            <w:pPr>
              <w:ind w:left="40"/>
              <w:spacing w:after="0"/>
              <w:rPr>
                <w:sz w:val="20"/>
                <w:szCs w:val="20"/>
                <w:color w:val="auto"/>
              </w:rPr>
            </w:pPr>
            <w:r>
              <w:rPr>
                <w:rFonts w:ascii="Arial" w:cs="Arial" w:eastAsia="Arial" w:hAnsi="Arial"/>
                <w:sz w:val="14"/>
                <w:szCs w:val="14"/>
                <w:color w:val="auto"/>
              </w:rPr>
              <w:t>All non-employee directors as a group</w:t>
            </w:r>
          </w:p>
        </w:tc>
        <w:tc>
          <w:tcPr>
            <w:tcW w:w="1160" w:type="dxa"/>
            <w:vAlign w:val="bottom"/>
            <w:gridSpan w:val="2"/>
          </w:tcPr>
          <w:p>
            <w:pPr>
              <w:jc w:val="right"/>
              <w:ind w:right="52"/>
              <w:spacing w:after="0"/>
              <w:rPr>
                <w:sz w:val="20"/>
                <w:szCs w:val="20"/>
                <w:color w:val="auto"/>
              </w:rPr>
            </w:pPr>
            <w:r>
              <w:rPr>
                <w:rFonts w:ascii="Arial" w:cs="Arial" w:eastAsia="Arial" w:hAnsi="Arial"/>
                <w:sz w:val="14"/>
                <w:szCs w:val="14"/>
                <w:color w:val="auto"/>
              </w:rPr>
              <w:t>12,108</w:t>
            </w:r>
          </w:p>
        </w:tc>
        <w:tc>
          <w:tcPr>
            <w:tcW w:w="1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825,402</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11,201</w:t>
            </w:r>
          </w:p>
        </w:tc>
        <w:tc>
          <w:tcPr>
            <w:tcW w:w="12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820,194</w:t>
            </w:r>
          </w:p>
        </w:tc>
      </w:tr>
      <w:tr>
        <w:trPr>
          <w:trHeight w:val="17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employees other than executive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officers as a group</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107,351</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8,262,806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9,234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200,008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7,796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600,058</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bl>
    <w:p>
      <w:pPr>
        <w:spacing w:after="0"/>
        <w:rPr>
          <w:sz w:val="20"/>
          <w:szCs w:val="20"/>
          <w:color w:val="auto"/>
        </w:rPr>
      </w:pPr>
      <w:r>
        <w:rPr>
          <w:rFonts w:ascii="Arial" w:cs="Arial" w:eastAsia="Arial" w:hAnsi="Arial"/>
          <w:sz w:val="22"/>
          <w:szCs w:val="22"/>
          <w:color w:val="auto"/>
        </w:rPr>
        <w:t>______</w:t>
      </w:r>
    </w:p>
    <w:p>
      <w:pPr>
        <w:spacing w:after="0" w:line="151" w:lineRule="exact"/>
        <w:rPr>
          <w:sz w:val="20"/>
          <w:szCs w:val="20"/>
          <w:color w:val="auto"/>
        </w:rPr>
      </w:pPr>
    </w:p>
    <w:p>
      <w:pPr>
        <w:ind w:left="500" w:right="340" w:hanging="465"/>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grant date fair value of awards that are reported in this column have been computed in accordance with Financial Accounting Standards Board ("FASB") Accounting Standards Codification ("ASC") Topic 718, "Stock Compensation".</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if target performance is achieved.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information as of December 31, 2015 about shares of our common stock outstanding and available for issuance under our existing equity compensation plans.</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Weighted-average exercise</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86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price of outstanding</w:t>
            </w: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 contractual</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 equity</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202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 as of</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rights as of December 31,</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term of outstanding 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2015(excluding</w:t>
            </w:r>
          </w:p>
        </w:tc>
        <w:tc>
          <w:tcPr>
            <w:tcW w:w="0" w:type="dxa"/>
            <w:vAlign w:val="bottom"/>
          </w:tcPr>
          <w:p>
            <w:pPr>
              <w:spacing w:after="0"/>
              <w:rPr>
                <w:sz w:val="1"/>
                <w:szCs w:val="1"/>
                <w:color w:val="auto"/>
              </w:rPr>
            </w:pPr>
          </w:p>
        </w:tc>
      </w:tr>
      <w:tr>
        <w:trPr>
          <w:trHeight w:val="149"/>
        </w:trPr>
        <w:tc>
          <w:tcPr>
            <w:tcW w:w="2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and rights as of</w:t>
            </w:r>
          </w:p>
        </w:tc>
        <w:tc>
          <w:tcPr>
            <w:tcW w:w="1740" w:type="dxa"/>
            <w:vAlign w:val="bottom"/>
          </w:tcPr>
          <w:p>
            <w:pPr>
              <w:jc w:val="right"/>
              <w:ind w:right="642"/>
              <w:spacing w:after="0" w:line="149"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warrants and rights as 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 in the first</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2015(years)</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column)</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28"/>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Equity compensation plans approved</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by security holders</w:t>
            </w:r>
          </w:p>
        </w:tc>
        <w:tc>
          <w:tcPr>
            <w:tcW w:w="1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2,505,301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4,442,210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approved by security holders</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2,505,301</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$69.91</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4,442,210</w:t>
            </w: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is required to approve the proposal. Abstentions and broker non-votes will not be counted as votes cast and, therefore, will have no impact on the approval of the proposal.</w:t>
      </w:r>
    </w:p>
    <w:p>
      <w:pPr>
        <w:spacing w:after="0" w:line="6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The board of directors recommends that you vote FOR the re-approval of the Material Terms of the 2011 Equity Incentive Plan Performance Goals and your proxy will be so voted unless you specify otherwise.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AND DIRECTOR COMPENSATION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00" w:type="dxa"/>
            <w:vAlign w:val="bottom"/>
            <w:gridSpan w:val="41"/>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Background</w:t>
              </w:r>
            </w:hyperlink>
          </w:p>
        </w:tc>
        <w:tc>
          <w:tcPr>
            <w:tcW w:w="3360" w:type="dxa"/>
            <w:vAlign w:val="bottom"/>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1400" w:type="dxa"/>
            <w:vAlign w:val="bottom"/>
            <w:tcBorders>
              <w:bottom w:val="single" w:sz="8" w:color="0000EE"/>
            </w:tcBorders>
            <w:gridSpan w:val="8"/>
          </w:tcPr>
          <w:p>
            <w:pPr>
              <w:spacing w:after="0"/>
              <w:rPr>
                <w:rFonts w:ascii="Arial" w:cs="Arial" w:eastAsia="Arial" w:hAnsi="Arial"/>
                <w:sz w:val="16"/>
                <w:szCs w:val="16"/>
                <w:b w:val="1"/>
                <w:bCs w:val="1"/>
                <w:color w:val="0000EE"/>
                <w:w w:val="90"/>
              </w:rPr>
            </w:pPr>
            <w:hyperlink w:anchor="page33">
              <w:r>
                <w:rPr>
                  <w:rFonts w:ascii="Arial" w:cs="Arial" w:eastAsia="Arial" w:hAnsi="Arial"/>
                  <w:sz w:val="16"/>
                  <w:szCs w:val="16"/>
                  <w:b w:val="1"/>
                  <w:bCs w:val="1"/>
                  <w:color w:val="0000EE"/>
                  <w:w w:val="90"/>
                </w:rPr>
                <w:t>Executive Summary</w:t>
              </w:r>
            </w:hyperlink>
          </w:p>
        </w:tc>
        <w:tc>
          <w:tcPr>
            <w:tcW w:w="6600" w:type="dxa"/>
            <w:vAlign w:val="bottom"/>
            <w:gridSpan w:val="33"/>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i w:val="1"/>
                <w:iCs w:val="1"/>
                <w:color w:val="0000EE"/>
              </w:rPr>
            </w:pPr>
            <w:hyperlink w:anchor="page33">
              <w:r>
                <w:rPr>
                  <w:rFonts w:ascii="Arial" w:cs="Arial" w:eastAsia="Arial" w:hAnsi="Arial"/>
                  <w:sz w:val="16"/>
                  <w:szCs w:val="16"/>
                  <w:i w:val="1"/>
                  <w:iCs w:val="1"/>
                  <w:color w:val="0000EE"/>
                </w:rPr>
                <w:t>2015 Compensation Reflected Strong 2015 Financial Results</w:t>
              </w:r>
            </w:hyperlink>
          </w:p>
        </w:tc>
        <w:tc>
          <w:tcPr>
            <w:tcW w:w="3360" w:type="dxa"/>
            <w:vAlign w:val="bottom"/>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i w:val="1"/>
                <w:iCs w:val="1"/>
                <w:color w:val="0000EE"/>
              </w:rPr>
            </w:pPr>
            <w:hyperlink w:anchor="page34">
              <w:r>
                <w:rPr>
                  <w:rFonts w:ascii="Arial" w:cs="Arial" w:eastAsia="Arial" w:hAnsi="Arial"/>
                  <w:sz w:val="16"/>
                  <w:szCs w:val="16"/>
                  <w:i w:val="1"/>
                  <w:iCs w:val="1"/>
                  <w:color w:val="0000EE"/>
                </w:rPr>
                <w:t>We Manage Our Business in Light of Global Macroeconomic Forces, Business Cycles and Complexity</w:t>
              </w:r>
            </w:hyperlink>
          </w:p>
        </w:tc>
        <w:tc>
          <w:tcPr>
            <w:tcW w:w="3360" w:type="dxa"/>
            <w:vAlign w:val="bottom"/>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tcBorders>
              <w:top w:val="single" w:sz="8" w:color="0000EE"/>
              <w:bottom w:val="single" w:sz="8" w:color="0000EE"/>
            </w:tcBorders>
            <w:gridSpan w:val="28"/>
          </w:tcPr>
          <w:p>
            <w:pPr>
              <w:spacing w:after="0"/>
              <w:rPr>
                <w:rFonts w:ascii="Arial" w:cs="Arial" w:eastAsia="Arial" w:hAnsi="Arial"/>
                <w:sz w:val="16"/>
                <w:szCs w:val="16"/>
                <w:i w:val="1"/>
                <w:iCs w:val="1"/>
                <w:color w:val="0000EE"/>
                <w:w w:val="92"/>
              </w:rPr>
            </w:pPr>
            <w:hyperlink w:anchor="page34">
              <w:r>
                <w:rPr>
                  <w:rFonts w:ascii="Arial" w:cs="Arial" w:eastAsia="Arial" w:hAnsi="Arial"/>
                  <w:sz w:val="16"/>
                  <w:szCs w:val="16"/>
                  <w:i w:val="1"/>
                  <w:iCs w:val="1"/>
                  <w:color w:val="0000EE"/>
                  <w:w w:val="92"/>
                </w:rPr>
                <w:t>Our Executive Pay is Designed to be Variable and Affordable</w:t>
              </w:r>
            </w:hyperlink>
          </w:p>
        </w:tc>
        <w:tc>
          <w:tcPr>
            <w:tcW w:w="2640" w:type="dxa"/>
            <w:vAlign w:val="bottom"/>
            <w:tcBorders>
              <w:top w:val="single" w:sz="8" w:color="0000EE"/>
            </w:tcBorders>
            <w:gridSpan w:val="10"/>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i w:val="1"/>
                <w:iCs w:val="1"/>
                <w:color w:val="0000EE"/>
              </w:rPr>
            </w:pPr>
            <w:hyperlink w:anchor="page34">
              <w:r>
                <w:rPr>
                  <w:rFonts w:ascii="Arial" w:cs="Arial" w:eastAsia="Arial" w:hAnsi="Arial"/>
                  <w:sz w:val="16"/>
                  <w:szCs w:val="16"/>
                  <w:i w:val="1"/>
                  <w:iCs w:val="1"/>
                  <w:color w:val="0000EE"/>
                </w:rPr>
                <w:t>We Focus on Three Key Performance Metrics</w:t>
              </w:r>
            </w:hyperlink>
          </w:p>
        </w:tc>
        <w:tc>
          <w:tcPr>
            <w:tcW w:w="3360" w:type="dxa"/>
            <w:vAlign w:val="bottom"/>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i w:val="1"/>
                <w:iCs w:val="1"/>
                <w:color w:val="0000EE"/>
              </w:rPr>
            </w:pPr>
            <w:hyperlink w:anchor="page35">
              <w:r>
                <w:rPr>
                  <w:rFonts w:ascii="Arial" w:cs="Arial" w:eastAsia="Arial" w:hAnsi="Arial"/>
                  <w:sz w:val="16"/>
                  <w:szCs w:val="16"/>
                  <w:i w:val="1"/>
                  <w:iCs w:val="1"/>
                  <w:color w:val="0000EE"/>
                </w:rPr>
                <w:t>We Utilize a Broad Group of Comparators for Compensation</w:t>
              </w:r>
            </w:hyperlink>
          </w:p>
        </w:tc>
        <w:tc>
          <w:tcPr>
            <w:tcW w:w="3360" w:type="dxa"/>
            <w:vAlign w:val="bottom"/>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top w:val="single" w:sz="8" w:color="0000EE"/>
              <w:bottom w:val="single" w:sz="8" w:color="0000EE"/>
            </w:tcBorders>
            <w:gridSpan w:val="20"/>
          </w:tcPr>
          <w:p>
            <w:pPr>
              <w:spacing w:after="0"/>
              <w:rPr>
                <w:rFonts w:ascii="Arial" w:cs="Arial" w:eastAsia="Arial" w:hAnsi="Arial"/>
                <w:sz w:val="16"/>
                <w:szCs w:val="16"/>
                <w:i w:val="1"/>
                <w:iCs w:val="1"/>
                <w:color w:val="0000EE"/>
                <w:w w:val="91"/>
              </w:rPr>
            </w:pPr>
            <w:hyperlink w:anchor="page35">
              <w:r>
                <w:rPr>
                  <w:rFonts w:ascii="Arial" w:cs="Arial" w:eastAsia="Arial" w:hAnsi="Arial"/>
                  <w:sz w:val="16"/>
                  <w:szCs w:val="16"/>
                  <w:i w:val="1"/>
                  <w:iCs w:val="1"/>
                  <w:color w:val="0000EE"/>
                  <w:w w:val="91"/>
                </w:rPr>
                <w:t>Key Compensation and Governance Policies</w:t>
              </w:r>
            </w:hyperlink>
          </w:p>
        </w:tc>
        <w:tc>
          <w:tcPr>
            <w:tcW w:w="1000" w:type="dxa"/>
            <w:vAlign w:val="bottom"/>
            <w:tcBorders>
              <w:top w:val="single" w:sz="8" w:color="0000EE"/>
            </w:tcBorders>
            <w:gridSpan w:val="7"/>
          </w:tcPr>
          <w:p>
            <w:pPr>
              <w:spacing w:after="0"/>
              <w:rPr>
                <w:sz w:val="20"/>
                <w:szCs w:val="20"/>
                <w:color w:val="auto"/>
              </w:rPr>
            </w:pPr>
          </w:p>
        </w:tc>
        <w:tc>
          <w:tcPr>
            <w:tcW w:w="3700" w:type="dxa"/>
            <w:vAlign w:val="bottom"/>
            <w:gridSpan w:val="12"/>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r>
      <w:tr>
        <w:trPr>
          <w:trHeight w:val="237"/>
        </w:trPr>
        <w:tc>
          <w:tcPr>
            <w:tcW w:w="320" w:type="dxa"/>
            <w:vAlign w:val="bottom"/>
          </w:tcPr>
          <w:p>
            <w:pPr>
              <w:spacing w:after="0"/>
              <w:rPr>
                <w:sz w:val="20"/>
                <w:szCs w:val="20"/>
                <w:color w:val="auto"/>
              </w:rPr>
            </w:pPr>
          </w:p>
        </w:tc>
        <w:tc>
          <w:tcPr>
            <w:tcW w:w="5800" w:type="dxa"/>
            <w:vAlign w:val="bottom"/>
            <w:tcBorders>
              <w:bottom w:val="single" w:sz="8" w:color="0000EE"/>
            </w:tcBorders>
            <w:gridSpan w:val="36"/>
          </w:tcPr>
          <w:p>
            <w:pPr>
              <w:spacing w:after="0"/>
              <w:rPr>
                <w:rFonts w:ascii="Arial" w:cs="Arial" w:eastAsia="Arial" w:hAnsi="Arial"/>
                <w:sz w:val="16"/>
                <w:szCs w:val="16"/>
                <w:i w:val="1"/>
                <w:iCs w:val="1"/>
                <w:color w:val="0000EE"/>
                <w:w w:val="93"/>
              </w:rPr>
            </w:pPr>
            <w:hyperlink w:anchor="page37">
              <w:r>
                <w:rPr>
                  <w:rFonts w:ascii="Arial" w:cs="Arial" w:eastAsia="Arial" w:hAnsi="Arial"/>
                  <w:sz w:val="16"/>
                  <w:szCs w:val="16"/>
                  <w:i w:val="1"/>
                  <w:iCs w:val="1"/>
                  <w:color w:val="0000EE"/>
                  <w:w w:val="93"/>
                </w:rPr>
                <w:t>CEO Compensation Continues to Follow our Guiding Principle of Pay-For-Performance</w:t>
              </w:r>
            </w:hyperlink>
          </w:p>
        </w:tc>
        <w:tc>
          <w:tcPr>
            <w:tcW w:w="1880" w:type="dxa"/>
            <w:vAlign w:val="bottom"/>
            <w:gridSpan w:val="4"/>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34</w:t>
              </w:r>
            </w:hyperlink>
          </w:p>
        </w:tc>
      </w:tr>
      <w:tr>
        <w:trPr>
          <w:trHeight w:val="237"/>
        </w:trPr>
        <w:tc>
          <w:tcPr>
            <w:tcW w:w="2600" w:type="dxa"/>
            <w:vAlign w:val="bottom"/>
            <w:tcBorders>
              <w:bottom w:val="single" w:sz="8" w:color="0000EE"/>
            </w:tcBorders>
            <w:gridSpan w:val="16"/>
          </w:tcPr>
          <w:p>
            <w:pPr>
              <w:spacing w:after="0"/>
              <w:rPr>
                <w:rFonts w:ascii="Arial" w:cs="Arial" w:eastAsia="Arial" w:hAnsi="Arial"/>
                <w:sz w:val="16"/>
                <w:szCs w:val="16"/>
                <w:b w:val="1"/>
                <w:bCs w:val="1"/>
                <w:color w:val="0000EE"/>
                <w:w w:val="90"/>
              </w:rPr>
            </w:pPr>
            <w:hyperlink w:anchor="page38">
              <w:r>
                <w:rPr>
                  <w:rFonts w:ascii="Arial" w:cs="Arial" w:eastAsia="Arial" w:hAnsi="Arial"/>
                  <w:sz w:val="16"/>
                  <w:szCs w:val="16"/>
                  <w:b w:val="1"/>
                  <w:bCs w:val="1"/>
                  <w:color w:val="0000EE"/>
                  <w:w w:val="90"/>
                </w:rPr>
                <w:t>Objectives of Compensation Program</w:t>
              </w:r>
            </w:hyperlink>
          </w:p>
        </w:tc>
        <w:tc>
          <w:tcPr>
            <w:tcW w:w="5400" w:type="dxa"/>
            <w:vAlign w:val="bottom"/>
            <w:gridSpan w:val="25"/>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35</w:t>
              </w:r>
            </w:hyperlink>
          </w:p>
        </w:tc>
      </w:tr>
      <w:tr>
        <w:trPr>
          <w:trHeight w:val="237"/>
        </w:trPr>
        <w:tc>
          <w:tcPr>
            <w:tcW w:w="2760" w:type="dxa"/>
            <w:vAlign w:val="bottom"/>
            <w:tcBorders>
              <w:bottom w:val="single" w:sz="8" w:color="0000EE"/>
            </w:tcBorders>
            <w:gridSpan w:val="18"/>
          </w:tcPr>
          <w:p>
            <w:pPr>
              <w:spacing w:after="0"/>
              <w:rPr>
                <w:rFonts w:ascii="Arial" w:cs="Arial" w:eastAsia="Arial" w:hAnsi="Arial"/>
                <w:sz w:val="16"/>
                <w:szCs w:val="16"/>
                <w:b w:val="1"/>
                <w:bCs w:val="1"/>
                <w:color w:val="0000EE"/>
                <w:w w:val="88"/>
              </w:rPr>
            </w:pPr>
            <w:hyperlink w:anchor="page39">
              <w:r>
                <w:rPr>
                  <w:rFonts w:ascii="Arial" w:cs="Arial" w:eastAsia="Arial" w:hAnsi="Arial"/>
                  <w:sz w:val="16"/>
                  <w:szCs w:val="16"/>
                  <w:b w:val="1"/>
                  <w:bCs w:val="1"/>
                  <w:color w:val="0000EE"/>
                  <w:w w:val="88"/>
                </w:rPr>
                <w:t>Say on Pay and Say on Frequency Votes</w:t>
              </w:r>
            </w:hyperlink>
          </w:p>
        </w:tc>
        <w:tc>
          <w:tcPr>
            <w:tcW w:w="5240" w:type="dxa"/>
            <w:vAlign w:val="bottom"/>
            <w:gridSpan w:val="23"/>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36</w:t>
              </w:r>
            </w:hyperlink>
          </w:p>
        </w:tc>
      </w:tr>
      <w:tr>
        <w:trPr>
          <w:trHeight w:val="237"/>
        </w:trPr>
        <w:tc>
          <w:tcPr>
            <w:tcW w:w="1760" w:type="dxa"/>
            <w:vAlign w:val="bottom"/>
            <w:tcBorders>
              <w:bottom w:val="single" w:sz="8" w:color="0000EE"/>
            </w:tcBorders>
            <w:gridSpan w:val="11"/>
          </w:tcPr>
          <w:p>
            <w:pPr>
              <w:spacing w:after="0"/>
              <w:rPr>
                <w:rFonts w:ascii="Arial" w:cs="Arial" w:eastAsia="Arial" w:hAnsi="Arial"/>
                <w:sz w:val="16"/>
                <w:szCs w:val="16"/>
                <w:b w:val="1"/>
                <w:bCs w:val="1"/>
                <w:color w:val="0000EE"/>
                <w:w w:val="89"/>
              </w:rPr>
            </w:pPr>
            <w:hyperlink w:anchor="page39">
              <w:r>
                <w:rPr>
                  <w:rFonts w:ascii="Arial" w:cs="Arial" w:eastAsia="Arial" w:hAnsi="Arial"/>
                  <w:sz w:val="16"/>
                  <w:szCs w:val="16"/>
                  <w:b w:val="1"/>
                  <w:bCs w:val="1"/>
                  <w:color w:val="0000EE"/>
                  <w:w w:val="89"/>
                </w:rPr>
                <w:t>Shareholder Engagement</w:t>
              </w:r>
            </w:hyperlink>
          </w:p>
        </w:tc>
        <w:tc>
          <w:tcPr>
            <w:tcW w:w="6240" w:type="dxa"/>
            <w:vAlign w:val="bottom"/>
            <w:gridSpan w:val="30"/>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36</w:t>
              </w:r>
            </w:hyperlink>
          </w:p>
        </w:tc>
      </w:tr>
      <w:tr>
        <w:trPr>
          <w:trHeight w:val="237"/>
        </w:trPr>
        <w:tc>
          <w:tcPr>
            <w:tcW w:w="1680" w:type="dxa"/>
            <w:vAlign w:val="bottom"/>
            <w:tcBorders>
              <w:bottom w:val="single" w:sz="8" w:color="0000EE"/>
            </w:tcBorders>
            <w:gridSpan w:val="10"/>
          </w:tcPr>
          <w:p>
            <w:pPr>
              <w:spacing w:after="0"/>
              <w:rPr>
                <w:rFonts w:ascii="Arial" w:cs="Arial" w:eastAsia="Arial" w:hAnsi="Arial"/>
                <w:sz w:val="16"/>
                <w:szCs w:val="16"/>
                <w:b w:val="1"/>
                <w:bCs w:val="1"/>
                <w:color w:val="0000EE"/>
                <w:w w:val="88"/>
              </w:rPr>
            </w:pPr>
            <w:hyperlink w:anchor="page39">
              <w:r>
                <w:rPr>
                  <w:rFonts w:ascii="Arial" w:cs="Arial" w:eastAsia="Arial" w:hAnsi="Arial"/>
                  <w:sz w:val="16"/>
                  <w:szCs w:val="16"/>
                  <w:b w:val="1"/>
                  <w:bCs w:val="1"/>
                  <w:color w:val="0000EE"/>
                  <w:w w:val="88"/>
                </w:rPr>
                <w:t>Compensation Elements</w:t>
              </w:r>
            </w:hyperlink>
          </w:p>
        </w:tc>
        <w:tc>
          <w:tcPr>
            <w:tcW w:w="6320" w:type="dxa"/>
            <w:vAlign w:val="bottom"/>
            <w:gridSpan w:val="31"/>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37"/>
        </w:trPr>
        <w:tc>
          <w:tcPr>
            <w:tcW w:w="8000" w:type="dxa"/>
            <w:vAlign w:val="bottom"/>
            <w:gridSpan w:val="41"/>
          </w:tcPr>
          <w:p>
            <w:pPr>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Pay for Results</w:t>
              </w:r>
            </w:hyperlink>
          </w:p>
        </w:tc>
        <w:tc>
          <w:tcPr>
            <w:tcW w:w="3360" w:type="dxa"/>
            <w:vAlign w:val="bottom"/>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40</w:t>
              </w:r>
            </w:hyperlink>
          </w:p>
        </w:tc>
      </w:tr>
      <w:tr>
        <w:trPr>
          <w:trHeight w:val="20"/>
        </w:trPr>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8000" w:type="dxa"/>
            <w:vAlign w:val="bottom"/>
            <w:gridSpan w:val="41"/>
          </w:tcPr>
          <w:p>
            <w:pP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Target Total Compensation</w:t>
              </w:r>
            </w:hyperlink>
          </w:p>
        </w:tc>
        <w:tc>
          <w:tcPr>
            <w:tcW w:w="3360" w:type="dxa"/>
            <w:vAlign w:val="bottom"/>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Borders>
              <w:bottom w:val="single" w:sz="8" w:color="0000EE"/>
            </w:tcBorders>
            <w:gridSpan w:val="22"/>
          </w:tcPr>
          <w:p>
            <w:pPr>
              <w:spacing w:after="0"/>
              <w:rPr>
                <w:rFonts w:ascii="Arial" w:cs="Arial" w:eastAsia="Arial" w:hAnsi="Arial"/>
                <w:sz w:val="16"/>
                <w:szCs w:val="16"/>
                <w:b w:val="1"/>
                <w:bCs w:val="1"/>
                <w:i w:val="1"/>
                <w:iCs w:val="1"/>
                <w:color w:val="0000EE"/>
                <w:w w:val="88"/>
              </w:rPr>
            </w:pPr>
            <w:hyperlink w:anchor="page45">
              <w:r>
                <w:rPr>
                  <w:rFonts w:ascii="Arial" w:cs="Arial" w:eastAsia="Arial" w:hAnsi="Arial"/>
                  <w:sz w:val="16"/>
                  <w:szCs w:val="16"/>
                  <w:b w:val="1"/>
                  <w:bCs w:val="1"/>
                  <w:i w:val="1"/>
                  <w:iCs w:val="1"/>
                  <w:color w:val="0000EE"/>
                  <w:w w:val="88"/>
                </w:rPr>
                <w:t>Balancing Short- and Long-Term Compensation</w:t>
              </w:r>
            </w:hyperlink>
          </w:p>
        </w:tc>
        <w:tc>
          <w:tcPr>
            <w:tcW w:w="4400" w:type="dxa"/>
            <w:vAlign w:val="bottom"/>
            <w:gridSpan w:val="17"/>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42</w:t>
              </w:r>
            </w:hyperlink>
          </w:p>
        </w:tc>
      </w:tr>
      <w:tr>
        <w:trPr>
          <w:trHeight w:val="237"/>
        </w:trPr>
        <w:tc>
          <w:tcPr>
            <w:tcW w:w="8000" w:type="dxa"/>
            <w:vAlign w:val="bottom"/>
            <w:gridSpan w:val="41"/>
          </w:tcPr>
          <w:p>
            <w:pPr>
              <w:spacing w:after="0"/>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Market Positioning: We Target Compensation Outcomes to the Median of the Competitive Market</w:t>
              </w:r>
            </w:hyperlink>
          </w:p>
        </w:tc>
        <w:tc>
          <w:tcPr>
            <w:tcW w:w="3360" w:type="dxa"/>
            <w:vAlign w:val="bottom"/>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r>
      <w:tr>
        <w:trPr>
          <w:trHeight w:val="237"/>
        </w:trPr>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280" w:type="dxa"/>
            <w:vAlign w:val="bottom"/>
            <w:tcBorders>
              <w:top w:val="single" w:sz="8" w:color="0000EE"/>
              <w:bottom w:val="single" w:sz="8" w:color="0000EE"/>
            </w:tcBorders>
            <w:gridSpan w:val="36"/>
          </w:tcPr>
          <w:p>
            <w:pPr>
              <w:spacing w:after="0"/>
              <w:rPr>
                <w:rFonts w:ascii="Arial" w:cs="Arial" w:eastAsia="Arial" w:hAnsi="Arial"/>
                <w:sz w:val="16"/>
                <w:szCs w:val="16"/>
                <w:b w:val="1"/>
                <w:bCs w:val="1"/>
                <w:i w:val="1"/>
                <w:iCs w:val="1"/>
                <w:color w:val="0000EE"/>
                <w:w w:val="89"/>
              </w:rPr>
            </w:pPr>
            <w:hyperlink w:anchor="page46">
              <w:r>
                <w:rPr>
                  <w:rFonts w:ascii="Arial" w:cs="Arial" w:eastAsia="Arial" w:hAnsi="Arial"/>
                  <w:sz w:val="16"/>
                  <w:szCs w:val="16"/>
                  <w:b w:val="1"/>
                  <w:bCs w:val="1"/>
                  <w:i w:val="1"/>
                  <w:iCs w:val="1"/>
                  <w:color w:val="0000EE"/>
                  <w:w w:val="89"/>
                </w:rPr>
                <w:t>How We Determine the Competitive Market: Challenges in Identifying a Relevant Peer Group</w:t>
              </w:r>
            </w:hyperlink>
          </w:p>
        </w:tc>
        <w:tc>
          <w:tcPr>
            <w:tcW w:w="180" w:type="dxa"/>
            <w:vAlign w:val="bottom"/>
            <w:tcBorders>
              <w:top w:val="single" w:sz="8" w:color="0000EE"/>
            </w:tcBorders>
          </w:tcPr>
          <w:p>
            <w:pPr>
              <w:spacing w:after="0"/>
              <w:rPr>
                <w:sz w:val="20"/>
                <w:szCs w:val="20"/>
                <w:color w:val="auto"/>
              </w:rPr>
            </w:pPr>
          </w:p>
        </w:tc>
        <w:tc>
          <w:tcPr>
            <w:tcW w:w="1200" w:type="dxa"/>
            <w:vAlign w:val="bottom"/>
            <w:gridSpan w:val="2"/>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46">
              <w:r>
                <w:rPr>
                  <w:rFonts w:ascii="Arial" w:cs="Arial" w:eastAsia="Arial" w:hAnsi="Arial"/>
                  <w:sz w:val="16"/>
                  <w:szCs w:val="16"/>
                  <w:color w:val="0000EE"/>
                </w:rPr>
                <w:t>43</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48">
              <w:r>
                <w:rPr>
                  <w:rFonts w:ascii="Arial" w:cs="Arial" w:eastAsia="Arial" w:hAnsi="Arial"/>
                  <w:sz w:val="16"/>
                  <w:szCs w:val="16"/>
                  <w:b w:val="1"/>
                  <w:bCs w:val="1"/>
                  <w:i w:val="1"/>
                  <w:iCs w:val="1"/>
                  <w:color w:val="0000EE"/>
                </w:rPr>
                <w:t>Assessing Individual Factors</w:t>
              </w:r>
            </w:hyperlink>
          </w:p>
        </w:tc>
        <w:tc>
          <w:tcPr>
            <w:tcW w:w="3360" w:type="dxa"/>
            <w:vAlign w:val="bottom"/>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45</w:t>
              </w:r>
            </w:hyperlink>
          </w:p>
        </w:tc>
      </w:tr>
      <w:tr>
        <w:trPr>
          <w:trHeight w:val="20"/>
        </w:trPr>
        <w:tc>
          <w:tcPr>
            <w:tcW w:w="3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740" w:type="dxa"/>
            <w:vAlign w:val="bottom"/>
            <w:tcBorders>
              <w:bottom w:val="single" w:sz="8" w:color="0000EE"/>
            </w:tcBorders>
            <w:gridSpan w:val="25"/>
          </w:tcPr>
          <w:p>
            <w:pPr>
              <w:spacing w:after="0"/>
              <w:rPr>
                <w:rFonts w:ascii="Arial" w:cs="Arial" w:eastAsia="Arial" w:hAnsi="Arial"/>
                <w:sz w:val="16"/>
                <w:szCs w:val="16"/>
                <w:b w:val="1"/>
                <w:bCs w:val="1"/>
                <w:color w:val="0000EE"/>
                <w:w w:val="90"/>
              </w:rPr>
            </w:pPr>
            <w:hyperlink w:anchor="page48">
              <w:r>
                <w:rPr>
                  <w:rFonts w:ascii="Arial" w:cs="Arial" w:eastAsia="Arial" w:hAnsi="Arial"/>
                  <w:sz w:val="16"/>
                  <w:szCs w:val="16"/>
                  <w:b w:val="1"/>
                  <w:bCs w:val="1"/>
                  <w:color w:val="0000EE"/>
                  <w:w w:val="90"/>
                </w:rPr>
                <w:t>How the Committee Determines Compensation Levels</w:t>
              </w:r>
            </w:hyperlink>
          </w:p>
        </w:tc>
        <w:tc>
          <w:tcPr>
            <w:tcW w:w="4260" w:type="dxa"/>
            <w:vAlign w:val="bottom"/>
            <w:gridSpan w:val="16"/>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45</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48">
              <w:r>
                <w:rPr>
                  <w:rFonts w:ascii="Arial" w:cs="Arial" w:eastAsia="Arial" w:hAnsi="Arial"/>
                  <w:sz w:val="16"/>
                  <w:szCs w:val="16"/>
                  <w:b w:val="1"/>
                  <w:bCs w:val="1"/>
                  <w:i w:val="1"/>
                  <w:iCs w:val="1"/>
                  <w:color w:val="0000EE"/>
                </w:rPr>
                <w:t>Setting Annual Incentive Goals and Equity Awards for Mr. Prising</w:t>
              </w:r>
            </w:hyperlink>
          </w:p>
        </w:tc>
        <w:tc>
          <w:tcPr>
            <w:tcW w:w="3360" w:type="dxa"/>
            <w:vAlign w:val="bottom"/>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45</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tcBorders>
              <w:bottom w:val="single" w:sz="8" w:color="0000EE"/>
            </w:tcBorders>
            <w:gridSpan w:val="39"/>
          </w:tcPr>
          <w:p>
            <w:pPr>
              <w:spacing w:after="0"/>
              <w:rPr>
                <w:rFonts w:ascii="Arial" w:cs="Arial" w:eastAsia="Arial" w:hAnsi="Arial"/>
                <w:sz w:val="16"/>
                <w:szCs w:val="16"/>
                <w:b w:val="1"/>
                <w:bCs w:val="1"/>
                <w:i w:val="1"/>
                <w:iCs w:val="1"/>
                <w:color w:val="0000EE"/>
                <w:w w:val="89"/>
              </w:rPr>
            </w:pPr>
            <w:hyperlink w:anchor="page49">
              <w:r>
                <w:rPr>
                  <w:rFonts w:ascii="Arial" w:cs="Arial" w:eastAsia="Arial" w:hAnsi="Arial"/>
                  <w:sz w:val="16"/>
                  <w:szCs w:val="16"/>
                  <w:b w:val="1"/>
                  <w:bCs w:val="1"/>
                  <w:i w:val="1"/>
                  <w:iCs w:val="1"/>
                  <w:color w:val="0000EE"/>
                  <w:w w:val="89"/>
                </w:rPr>
                <w:t>Setting Annual Incentive Goals and Equity Awards for Messrs. Van Handel, Green, Chandrashekar and Ms. Swan</w:t>
              </w:r>
            </w:hyperlink>
          </w:p>
        </w:tc>
        <w:tc>
          <w:tcPr>
            <w:tcW w:w="3360" w:type="dxa"/>
            <w:vAlign w:val="bottom"/>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46</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49">
              <w:r>
                <w:rPr>
                  <w:rFonts w:ascii="Arial" w:cs="Arial" w:eastAsia="Arial" w:hAnsi="Arial"/>
                  <w:sz w:val="16"/>
                  <w:szCs w:val="16"/>
                  <w:b w:val="1"/>
                  <w:bCs w:val="1"/>
                  <w:i w:val="1"/>
                  <w:iCs w:val="1"/>
                  <w:color w:val="0000EE"/>
                </w:rPr>
                <w:t>Setting Annual Incentive Goals and Equity Awards for Mr. Joerres</w:t>
              </w:r>
            </w:hyperlink>
          </w:p>
        </w:tc>
        <w:tc>
          <w:tcPr>
            <w:tcW w:w="3360" w:type="dxa"/>
            <w:vAlign w:val="bottom"/>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46</w:t>
              </w:r>
            </w:hyperlink>
          </w:p>
        </w:tc>
      </w:tr>
      <w:tr>
        <w:trPr>
          <w:trHeight w:val="20"/>
        </w:trPr>
        <w:tc>
          <w:tcPr>
            <w:tcW w:w="3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4100" w:type="dxa"/>
            <w:vAlign w:val="bottom"/>
            <w:tcBorders>
              <w:bottom w:val="single" w:sz="8" w:color="0000EE"/>
            </w:tcBorders>
            <w:gridSpan w:val="27"/>
          </w:tcPr>
          <w:p>
            <w:pPr>
              <w:spacing w:after="0"/>
              <w:rPr>
                <w:rFonts w:ascii="Arial" w:cs="Arial" w:eastAsia="Arial" w:hAnsi="Arial"/>
                <w:sz w:val="16"/>
                <w:szCs w:val="16"/>
                <w:b w:val="1"/>
                <w:bCs w:val="1"/>
                <w:color w:val="0000EE"/>
                <w:w w:val="90"/>
              </w:rPr>
            </w:pPr>
            <w:hyperlink w:anchor="page50">
              <w:r>
                <w:rPr>
                  <w:rFonts w:ascii="Arial" w:cs="Arial" w:eastAsia="Arial" w:hAnsi="Arial"/>
                  <w:sz w:val="16"/>
                  <w:szCs w:val="16"/>
                  <w:b w:val="1"/>
                  <w:bCs w:val="1"/>
                  <w:color w:val="0000EE"/>
                  <w:w w:val="90"/>
                </w:rPr>
                <w:t>Components of the 2015 Executive Compensation Program</w:t>
              </w:r>
            </w:hyperlink>
          </w:p>
        </w:tc>
        <w:tc>
          <w:tcPr>
            <w:tcW w:w="3900" w:type="dxa"/>
            <w:vAlign w:val="bottom"/>
            <w:gridSpan w:val="14"/>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47</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50">
              <w:r>
                <w:rPr>
                  <w:rFonts w:ascii="Arial" w:cs="Arial" w:eastAsia="Arial" w:hAnsi="Arial"/>
                  <w:sz w:val="16"/>
                  <w:szCs w:val="16"/>
                  <w:b w:val="1"/>
                  <w:bCs w:val="1"/>
                  <w:i w:val="1"/>
                  <w:iCs w:val="1"/>
                  <w:color w:val="0000EE"/>
                </w:rPr>
                <w:t>Base Salary</w:t>
              </w:r>
            </w:hyperlink>
          </w:p>
        </w:tc>
        <w:tc>
          <w:tcPr>
            <w:tcW w:w="336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47</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bottom w:val="single" w:sz="8" w:color="0000EE"/>
            </w:tcBorders>
            <w:gridSpan w:val="12"/>
          </w:tcPr>
          <w:p>
            <w:pPr>
              <w:spacing w:after="0"/>
              <w:rPr>
                <w:rFonts w:ascii="Arial" w:cs="Arial" w:eastAsia="Arial" w:hAnsi="Arial"/>
                <w:sz w:val="16"/>
                <w:szCs w:val="16"/>
                <w:b w:val="1"/>
                <w:bCs w:val="1"/>
                <w:i w:val="1"/>
                <w:iCs w:val="1"/>
                <w:color w:val="0000EE"/>
                <w:w w:val="88"/>
              </w:rPr>
            </w:pPr>
            <w:hyperlink w:anchor="page50">
              <w:r>
                <w:rPr>
                  <w:rFonts w:ascii="Arial" w:cs="Arial" w:eastAsia="Arial" w:hAnsi="Arial"/>
                  <w:sz w:val="16"/>
                  <w:szCs w:val="16"/>
                  <w:b w:val="1"/>
                  <w:bCs w:val="1"/>
                  <w:i w:val="1"/>
                  <w:iCs w:val="1"/>
                  <w:color w:val="0000EE"/>
                  <w:w w:val="88"/>
                </w:rPr>
                <w:t>Annual Cash Incentives</w:t>
              </w:r>
            </w:hyperlink>
          </w:p>
        </w:tc>
        <w:tc>
          <w:tcPr>
            <w:tcW w:w="6040" w:type="dxa"/>
            <w:vAlign w:val="bottom"/>
            <w:gridSpan w:val="27"/>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47</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38"/>
          </w:tcPr>
          <w:p>
            <w:pPr>
              <w:spacing w:after="0"/>
              <w:rPr>
                <w:rFonts w:ascii="Arial" w:cs="Arial" w:eastAsia="Arial" w:hAnsi="Arial"/>
                <w:sz w:val="16"/>
                <w:szCs w:val="16"/>
                <w:i w:val="1"/>
                <w:iCs w:val="1"/>
                <w:color w:val="0000EE"/>
              </w:rPr>
            </w:pPr>
            <w:hyperlink w:anchor="page50">
              <w:r>
                <w:rPr>
                  <w:rFonts w:ascii="Arial" w:cs="Arial" w:eastAsia="Arial" w:hAnsi="Arial"/>
                  <w:sz w:val="16"/>
                  <w:szCs w:val="16"/>
                  <w:i w:val="1"/>
                  <w:iCs w:val="1"/>
                  <w:color w:val="0000EE"/>
                </w:rPr>
                <w:t>Pool Plan</w:t>
              </w:r>
            </w:hyperlink>
          </w:p>
        </w:tc>
        <w:tc>
          <w:tcPr>
            <w:tcW w:w="336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47</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20" w:type="dxa"/>
            <w:vAlign w:val="bottom"/>
            <w:tcBorders>
              <w:bottom w:val="single" w:sz="8" w:color="0000EE"/>
            </w:tcBorders>
            <w:gridSpan w:val="32"/>
          </w:tcPr>
          <w:p>
            <w:pPr>
              <w:spacing w:after="0"/>
              <w:rPr>
                <w:rFonts w:ascii="Arial" w:cs="Arial" w:eastAsia="Arial" w:hAnsi="Arial"/>
                <w:sz w:val="16"/>
                <w:szCs w:val="16"/>
                <w:i w:val="1"/>
                <w:iCs w:val="1"/>
                <w:color w:val="0000EE"/>
                <w:w w:val="92"/>
              </w:rPr>
            </w:pPr>
            <w:hyperlink w:anchor="page51">
              <w:r>
                <w:rPr>
                  <w:rFonts w:ascii="Arial" w:cs="Arial" w:eastAsia="Arial" w:hAnsi="Arial"/>
                  <w:sz w:val="16"/>
                  <w:szCs w:val="16"/>
                  <w:i w:val="1"/>
                  <w:iCs w:val="1"/>
                  <w:color w:val="0000EE"/>
                  <w:w w:val="92"/>
                </w:rPr>
                <w:t>How the Committee Sets Underlying Goals for EPS and ROIC</w:t>
              </w:r>
            </w:hyperlink>
          </w:p>
        </w:tc>
        <w:tc>
          <w:tcPr>
            <w:tcW w:w="3200" w:type="dxa"/>
            <w:vAlign w:val="bottom"/>
            <w:gridSpan w:val="6"/>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48</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38"/>
          </w:tcPr>
          <w:p>
            <w:pPr>
              <w:spacing w:after="0"/>
              <w:rPr>
                <w:rFonts w:ascii="Arial" w:cs="Arial" w:eastAsia="Arial" w:hAnsi="Arial"/>
                <w:sz w:val="16"/>
                <w:szCs w:val="16"/>
                <w:i w:val="1"/>
                <w:iCs w:val="1"/>
                <w:color w:val="0000EE"/>
              </w:rPr>
            </w:pPr>
            <w:hyperlink w:anchor="page51">
              <w:r>
                <w:rPr>
                  <w:rFonts w:ascii="Arial" w:cs="Arial" w:eastAsia="Arial" w:hAnsi="Arial"/>
                  <w:sz w:val="16"/>
                  <w:szCs w:val="16"/>
                  <w:i w:val="1"/>
                  <w:iCs w:val="1"/>
                  <w:color w:val="0000EE"/>
                </w:rPr>
                <w:t>Discussion of Setting Annual Incentive Goals for the NEOs</w:t>
              </w:r>
            </w:hyperlink>
          </w:p>
        </w:tc>
        <w:tc>
          <w:tcPr>
            <w:tcW w:w="3360" w:type="dxa"/>
            <w:vAlign w:val="bottom"/>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tcBorders>
              <w:top w:val="single" w:sz="8" w:color="0000EE"/>
              <w:bottom w:val="single" w:sz="8" w:color="0000EE"/>
            </w:tcBorders>
            <w:gridSpan w:val="25"/>
          </w:tcPr>
          <w:p>
            <w:pPr>
              <w:spacing w:after="0"/>
              <w:rPr>
                <w:rFonts w:ascii="Arial" w:cs="Arial" w:eastAsia="Arial" w:hAnsi="Arial"/>
                <w:sz w:val="16"/>
                <w:szCs w:val="16"/>
                <w:i w:val="1"/>
                <w:iCs w:val="1"/>
                <w:color w:val="0000EE"/>
                <w:w w:val="93"/>
              </w:rPr>
            </w:pPr>
            <w:hyperlink w:anchor="page52">
              <w:r>
                <w:rPr>
                  <w:rFonts w:ascii="Arial" w:cs="Arial" w:eastAsia="Arial" w:hAnsi="Arial"/>
                  <w:sz w:val="16"/>
                  <w:szCs w:val="16"/>
                  <w:i w:val="1"/>
                  <w:iCs w:val="1"/>
                  <w:color w:val="0000EE"/>
                  <w:w w:val="93"/>
                </w:rPr>
                <w:t>Annual Incentive Award Opportunities for Mr. Prising</w:t>
              </w:r>
            </w:hyperlink>
          </w:p>
        </w:tc>
        <w:tc>
          <w:tcPr>
            <w:tcW w:w="320" w:type="dxa"/>
            <w:vAlign w:val="bottom"/>
            <w:tcBorders>
              <w:top w:val="single" w:sz="8" w:color="0000EE"/>
            </w:tcBorders>
            <w:gridSpan w:val="5"/>
          </w:tcPr>
          <w:p>
            <w:pPr>
              <w:spacing w:after="0"/>
              <w:rPr>
                <w:sz w:val="20"/>
                <w:szCs w:val="20"/>
                <w:color w:val="auto"/>
              </w:rPr>
            </w:pPr>
          </w:p>
        </w:tc>
        <w:tc>
          <w:tcPr>
            <w:tcW w:w="3500" w:type="dxa"/>
            <w:vAlign w:val="bottom"/>
            <w:gridSpan w:val="8"/>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50</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38"/>
          </w:tcPr>
          <w:p>
            <w:pPr>
              <w:spacing w:after="0"/>
              <w:rPr>
                <w:rFonts w:ascii="Arial" w:cs="Arial" w:eastAsia="Arial" w:hAnsi="Arial"/>
                <w:sz w:val="16"/>
                <w:szCs w:val="16"/>
                <w:i w:val="1"/>
                <w:iCs w:val="1"/>
                <w:color w:val="0000EE"/>
              </w:rPr>
            </w:pPr>
            <w:hyperlink w:anchor="page53">
              <w:r>
                <w:rPr>
                  <w:rFonts w:ascii="Arial" w:cs="Arial" w:eastAsia="Arial" w:hAnsi="Arial"/>
                  <w:sz w:val="16"/>
                  <w:szCs w:val="16"/>
                  <w:i w:val="1"/>
                  <w:iCs w:val="1"/>
                  <w:color w:val="0000EE"/>
                </w:rPr>
                <w:t>Annual Incentive Award Opportunities for Mr. Van Handel</w:t>
              </w:r>
            </w:hyperlink>
          </w:p>
        </w:tc>
        <w:tc>
          <w:tcPr>
            <w:tcW w:w="3360" w:type="dxa"/>
            <w:vAlign w:val="bottom"/>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50</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80" w:type="dxa"/>
            <w:vAlign w:val="bottom"/>
            <w:tcBorders>
              <w:top w:val="single" w:sz="8" w:color="0000EE"/>
            </w:tcBorders>
            <w:gridSpan w:val="29"/>
          </w:tcPr>
          <w:p>
            <w:pPr>
              <w:spacing w:after="0"/>
              <w:rPr>
                <w:rFonts w:ascii="Arial" w:cs="Arial" w:eastAsia="Arial" w:hAnsi="Arial"/>
                <w:sz w:val="16"/>
                <w:szCs w:val="16"/>
                <w:i w:val="1"/>
                <w:iCs w:val="1"/>
                <w:color w:val="0000EE"/>
              </w:rPr>
            </w:pPr>
            <w:hyperlink w:anchor="page54">
              <w:r>
                <w:rPr>
                  <w:rFonts w:ascii="Arial" w:cs="Arial" w:eastAsia="Arial" w:hAnsi="Arial"/>
                  <w:sz w:val="16"/>
                  <w:szCs w:val="16"/>
                  <w:i w:val="1"/>
                  <w:iCs w:val="1"/>
                  <w:color w:val="0000EE"/>
                </w:rPr>
                <w:t>Annual Incentive Award Opportunities for Mr. Green</w:t>
              </w:r>
            </w:hyperlink>
          </w:p>
        </w:tc>
        <w:tc>
          <w:tcPr>
            <w:tcW w:w="3540" w:type="dxa"/>
            <w:vAlign w:val="bottom"/>
            <w:gridSpan w:val="9"/>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51</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tcBorders>
              <w:bottom w:val="single" w:sz="8" w:color="0000EE"/>
            </w:tcBorders>
            <w:gridSpan w:val="31"/>
          </w:tcPr>
          <w:p>
            <w:pPr>
              <w:spacing w:after="0"/>
              <w:rPr>
                <w:rFonts w:ascii="Arial" w:cs="Arial" w:eastAsia="Arial" w:hAnsi="Arial"/>
                <w:sz w:val="16"/>
                <w:szCs w:val="16"/>
                <w:i w:val="1"/>
                <w:iCs w:val="1"/>
                <w:color w:val="0000EE"/>
                <w:w w:val="93"/>
              </w:rPr>
            </w:pPr>
            <w:hyperlink w:anchor="page54">
              <w:r>
                <w:rPr>
                  <w:rFonts w:ascii="Arial" w:cs="Arial" w:eastAsia="Arial" w:hAnsi="Arial"/>
                  <w:sz w:val="16"/>
                  <w:szCs w:val="16"/>
                  <w:i w:val="1"/>
                  <w:iCs w:val="1"/>
                  <w:color w:val="0000EE"/>
                  <w:w w:val="93"/>
                </w:rPr>
                <w:t>Annual Incentive Award Opportunities for Mr. Chandrashekar</w:t>
              </w:r>
            </w:hyperlink>
          </w:p>
        </w:tc>
        <w:tc>
          <w:tcPr>
            <w:tcW w:w="3280" w:type="dxa"/>
            <w:vAlign w:val="bottom"/>
            <w:gridSpan w:val="7"/>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52</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tcBorders>
              <w:bottom w:val="single" w:sz="8" w:color="0000EE"/>
            </w:tcBorders>
            <w:gridSpan w:val="24"/>
          </w:tcPr>
          <w:p>
            <w:pPr>
              <w:spacing w:after="0"/>
              <w:rPr>
                <w:rFonts w:ascii="Arial" w:cs="Arial" w:eastAsia="Arial" w:hAnsi="Arial"/>
                <w:sz w:val="16"/>
                <w:szCs w:val="16"/>
                <w:i w:val="1"/>
                <w:iCs w:val="1"/>
                <w:color w:val="0000EE"/>
                <w:w w:val="92"/>
              </w:rPr>
            </w:pPr>
            <w:hyperlink w:anchor="page55">
              <w:r>
                <w:rPr>
                  <w:rFonts w:ascii="Arial" w:cs="Arial" w:eastAsia="Arial" w:hAnsi="Arial"/>
                  <w:sz w:val="16"/>
                  <w:szCs w:val="16"/>
                  <w:i w:val="1"/>
                  <w:iCs w:val="1"/>
                  <w:color w:val="0000EE"/>
                  <w:w w:val="92"/>
                </w:rPr>
                <w:t>Annual Incentive Award Opportunities for Ms. Swan</w:t>
              </w:r>
            </w:hyperlink>
          </w:p>
        </w:tc>
        <w:tc>
          <w:tcPr>
            <w:tcW w:w="3900" w:type="dxa"/>
            <w:vAlign w:val="bottom"/>
            <w:gridSpan w:val="14"/>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52</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38"/>
          </w:tcPr>
          <w:p>
            <w:pPr>
              <w:spacing w:after="0"/>
              <w:rPr>
                <w:rFonts w:ascii="Arial" w:cs="Arial" w:eastAsia="Arial" w:hAnsi="Arial"/>
                <w:sz w:val="16"/>
                <w:szCs w:val="16"/>
                <w:i w:val="1"/>
                <w:iCs w:val="1"/>
                <w:color w:val="0000EE"/>
              </w:rPr>
            </w:pPr>
            <w:hyperlink w:anchor="page56">
              <w:r>
                <w:rPr>
                  <w:rFonts w:ascii="Arial" w:cs="Arial" w:eastAsia="Arial" w:hAnsi="Arial"/>
                  <w:sz w:val="16"/>
                  <w:szCs w:val="16"/>
                  <w:i w:val="1"/>
                  <w:iCs w:val="1"/>
                  <w:color w:val="0000EE"/>
                </w:rPr>
                <w:t>Annual Incentive Award Opportunities for Mr. Joerres</w:t>
              </w:r>
            </w:hyperlink>
          </w:p>
        </w:tc>
        <w:tc>
          <w:tcPr>
            <w:tcW w:w="3360" w:type="dxa"/>
            <w:vAlign w:val="bottom"/>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53</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56">
              <w:r>
                <w:rPr>
                  <w:rFonts w:ascii="Arial" w:cs="Arial" w:eastAsia="Arial" w:hAnsi="Arial"/>
                  <w:sz w:val="16"/>
                  <w:szCs w:val="16"/>
                  <w:b w:val="1"/>
                  <w:bCs w:val="1"/>
                  <w:i w:val="1"/>
                  <w:iCs w:val="1"/>
                  <w:color w:val="0000EE"/>
                </w:rPr>
                <w:t>Long-Term Incentives</w:t>
              </w:r>
            </w:hyperlink>
          </w:p>
        </w:tc>
        <w:tc>
          <w:tcPr>
            <w:tcW w:w="3360" w:type="dxa"/>
            <w:vAlign w:val="bottom"/>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54</w:t>
              </w:r>
            </w:hyperlink>
          </w:p>
        </w:tc>
      </w:tr>
      <w:tr>
        <w:trPr>
          <w:trHeight w:val="20"/>
        </w:trPr>
        <w:tc>
          <w:tcPr>
            <w:tcW w:w="34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8000" w:type="dxa"/>
            <w:vAlign w:val="bottom"/>
            <w:gridSpan w:val="41"/>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Career Shares and Deferred Compensation Plans</w:t>
              </w:r>
            </w:hyperlink>
          </w:p>
        </w:tc>
        <w:tc>
          <w:tcPr>
            <w:tcW w:w="3360" w:type="dxa"/>
            <w:vAlign w:val="bottom"/>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55</w:t>
              </w:r>
            </w:hyperlink>
          </w:p>
        </w:tc>
      </w:tr>
      <w:tr>
        <w:trPr>
          <w:trHeight w:val="237"/>
        </w:trPr>
        <w:tc>
          <w:tcPr>
            <w:tcW w:w="3400" w:type="dxa"/>
            <w:vAlign w:val="bottom"/>
            <w:tcBorders>
              <w:top w:val="single" w:sz="8" w:color="0000EE"/>
            </w:tcBorders>
            <w:gridSpan w:val="23"/>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Other Benefits</w:t>
              </w:r>
            </w:hyperlink>
          </w:p>
        </w:tc>
        <w:tc>
          <w:tcPr>
            <w:tcW w:w="4600" w:type="dxa"/>
            <w:vAlign w:val="bottom"/>
            <w:gridSpan w:val="18"/>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55</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59">
              <w:r>
                <w:rPr>
                  <w:rFonts w:ascii="Arial" w:cs="Arial" w:eastAsia="Arial" w:hAnsi="Arial"/>
                  <w:sz w:val="16"/>
                  <w:szCs w:val="16"/>
                  <w:b w:val="1"/>
                  <w:bCs w:val="1"/>
                  <w:i w:val="1"/>
                  <w:iCs w:val="1"/>
                  <w:color w:val="0000EE"/>
                </w:rPr>
                <w:t>Severance Agreements</w:t>
              </w:r>
            </w:hyperlink>
          </w:p>
        </w:tc>
        <w:tc>
          <w:tcPr>
            <w:tcW w:w="3360" w:type="dxa"/>
            <w:vAlign w:val="bottom"/>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56</w:t>
              </w:r>
            </w:hyperlink>
          </w:p>
        </w:tc>
      </w:tr>
      <w:tr>
        <w:trPr>
          <w:trHeight w:val="20"/>
        </w:trPr>
        <w:tc>
          <w:tcPr>
            <w:tcW w:w="340" w:type="dxa"/>
            <w:vAlign w:val="bottom"/>
            <w:gridSpan w:val="2"/>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060" w:type="dxa"/>
            <w:vAlign w:val="bottom"/>
            <w:tcBorders>
              <w:bottom w:val="single" w:sz="8" w:color="0000EE"/>
            </w:tcBorders>
            <w:gridSpan w:val="21"/>
          </w:tcPr>
          <w:p>
            <w:pPr>
              <w:spacing w:after="0"/>
              <w:rPr>
                <w:rFonts w:ascii="Arial" w:cs="Arial" w:eastAsia="Arial" w:hAnsi="Arial"/>
                <w:sz w:val="16"/>
                <w:szCs w:val="16"/>
                <w:b w:val="1"/>
                <w:bCs w:val="1"/>
                <w:color w:val="0000EE"/>
                <w:w w:val="89"/>
              </w:rPr>
            </w:pPr>
            <w:hyperlink w:anchor="page59">
              <w:r>
                <w:rPr>
                  <w:rFonts w:ascii="Arial" w:cs="Arial" w:eastAsia="Arial" w:hAnsi="Arial"/>
                  <w:sz w:val="16"/>
                  <w:szCs w:val="16"/>
                  <w:b w:val="1"/>
                  <w:bCs w:val="1"/>
                  <w:color w:val="0000EE"/>
                  <w:w w:val="89"/>
                </w:rPr>
                <w:t>Additional Executive Compensation Policies</w:t>
              </w:r>
            </w:hyperlink>
          </w:p>
        </w:tc>
        <w:tc>
          <w:tcPr>
            <w:tcW w:w="4940" w:type="dxa"/>
            <w:vAlign w:val="bottom"/>
            <w:gridSpan w:val="20"/>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56</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Borders>
              <w:bottom w:val="single" w:sz="8" w:color="0000EE"/>
            </w:tcBorders>
            <w:gridSpan w:val="29"/>
          </w:tcPr>
          <w:p>
            <w:pPr>
              <w:spacing w:after="0"/>
              <w:rPr>
                <w:rFonts w:ascii="Arial" w:cs="Arial" w:eastAsia="Arial" w:hAnsi="Arial"/>
                <w:sz w:val="16"/>
                <w:szCs w:val="16"/>
                <w:b w:val="1"/>
                <w:bCs w:val="1"/>
                <w:i w:val="1"/>
                <w:iCs w:val="1"/>
                <w:color w:val="0000EE"/>
                <w:w w:val="88"/>
              </w:rPr>
            </w:pPr>
            <w:hyperlink w:anchor="page59">
              <w:r>
                <w:rPr>
                  <w:rFonts w:ascii="Arial" w:cs="Arial" w:eastAsia="Arial" w:hAnsi="Arial"/>
                  <w:sz w:val="16"/>
                  <w:szCs w:val="16"/>
                  <w:b w:val="1"/>
                  <w:bCs w:val="1"/>
                  <w:i w:val="1"/>
                  <w:iCs w:val="1"/>
                  <w:color w:val="0000EE"/>
                  <w:w w:val="88"/>
                </w:rPr>
                <w:t>We Have Stock Ownership Guidelines for Executive Officers</w:t>
              </w:r>
            </w:hyperlink>
          </w:p>
        </w:tc>
        <w:tc>
          <w:tcPr>
            <w:tcW w:w="3600" w:type="dxa"/>
            <w:vAlign w:val="bottom"/>
            <w:gridSpan w:val="10"/>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56</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59">
              <w:r>
                <w:rPr>
                  <w:rFonts w:ascii="Arial" w:cs="Arial" w:eastAsia="Arial" w:hAnsi="Arial"/>
                  <w:sz w:val="16"/>
                  <w:szCs w:val="16"/>
                  <w:b w:val="1"/>
                  <w:bCs w:val="1"/>
                  <w:i w:val="1"/>
                  <w:iCs w:val="1"/>
                  <w:color w:val="0000EE"/>
                </w:rPr>
                <w:t>We Have Adopted a Clawback Policy</w:t>
              </w:r>
            </w:hyperlink>
          </w:p>
        </w:tc>
        <w:tc>
          <w:tcPr>
            <w:tcW w:w="3360" w:type="dxa"/>
            <w:vAlign w:val="bottom"/>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57</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Borders>
              <w:top w:val="single" w:sz="8" w:color="0000EE"/>
            </w:tcBorders>
            <w:gridSpan w:val="17"/>
          </w:tcPr>
          <w:p>
            <w:pPr>
              <w:spacing w:after="0"/>
              <w:rPr>
                <w:rFonts w:ascii="Arial" w:cs="Arial" w:eastAsia="Arial" w:hAnsi="Arial"/>
                <w:sz w:val="16"/>
                <w:szCs w:val="16"/>
                <w:b w:val="1"/>
                <w:bCs w:val="1"/>
                <w:i w:val="1"/>
                <w:iCs w:val="1"/>
                <w:color w:val="0000EE"/>
                <w:w w:val="93"/>
              </w:rPr>
            </w:pPr>
            <w:hyperlink w:anchor="page60">
              <w:r>
                <w:rPr>
                  <w:rFonts w:ascii="Arial" w:cs="Arial" w:eastAsia="Arial" w:hAnsi="Arial"/>
                  <w:sz w:val="16"/>
                  <w:szCs w:val="16"/>
                  <w:b w:val="1"/>
                  <w:bCs w:val="1"/>
                  <w:i w:val="1"/>
                  <w:iCs w:val="1"/>
                  <w:color w:val="0000EE"/>
                  <w:w w:val="93"/>
                </w:rPr>
                <w:t>We Prohibit Hedging Transactions</w:t>
              </w:r>
            </w:hyperlink>
          </w:p>
        </w:tc>
        <w:tc>
          <w:tcPr>
            <w:tcW w:w="5200" w:type="dxa"/>
            <w:vAlign w:val="bottom"/>
            <w:gridSpan w:val="22"/>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57</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39"/>
          </w:tcPr>
          <w:p>
            <w:pPr>
              <w:spacing w:after="0"/>
              <w:rPr>
                <w:rFonts w:ascii="Arial" w:cs="Arial" w:eastAsia="Arial" w:hAnsi="Arial"/>
                <w:sz w:val="16"/>
                <w:szCs w:val="16"/>
                <w:b w:val="1"/>
                <w:bCs w:val="1"/>
                <w:i w:val="1"/>
                <w:iCs w:val="1"/>
                <w:color w:val="0000EE"/>
              </w:rPr>
            </w:pPr>
            <w:hyperlink w:anchor="page60">
              <w:r>
                <w:rPr>
                  <w:rFonts w:ascii="Arial" w:cs="Arial" w:eastAsia="Arial" w:hAnsi="Arial"/>
                  <w:sz w:val="16"/>
                  <w:szCs w:val="16"/>
                  <w:b w:val="1"/>
                  <w:bCs w:val="1"/>
                  <w:i w:val="1"/>
                  <w:iCs w:val="1"/>
                  <w:color w:val="0000EE"/>
                </w:rPr>
                <w:t>We Provide Limited Expatriate Benefits</w:t>
              </w:r>
            </w:hyperlink>
          </w:p>
        </w:tc>
        <w:tc>
          <w:tcPr>
            <w:tcW w:w="3360" w:type="dxa"/>
            <w:vAlign w:val="bottom"/>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57</w:t>
              </w:r>
            </w:hyperlink>
          </w:p>
        </w:tc>
      </w:tr>
      <w:tr>
        <w:trPr>
          <w:trHeight w:val="20"/>
        </w:trPr>
        <w:tc>
          <w:tcPr>
            <w:tcW w:w="340" w:type="dxa"/>
            <w:vAlign w:val="bottom"/>
            <w:gridSpan w:val="2"/>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1420" w:type="dxa"/>
            <w:vAlign w:val="bottom"/>
            <w:gridSpan w:val="11"/>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1560" w:type="dxa"/>
            <w:vAlign w:val="bottom"/>
            <w:tcBorders>
              <w:bottom w:val="single" w:sz="8" w:color="0000EE"/>
            </w:tcBorders>
            <w:gridSpan w:val="9"/>
          </w:tcPr>
          <w:p>
            <w:pPr>
              <w:spacing w:after="0"/>
              <w:rPr>
                <w:rFonts w:ascii="Arial" w:cs="Arial" w:eastAsia="Arial" w:hAnsi="Arial"/>
                <w:sz w:val="16"/>
                <w:szCs w:val="16"/>
                <w:b w:val="1"/>
                <w:bCs w:val="1"/>
                <w:color w:val="0000EE"/>
                <w:w w:val="90"/>
              </w:rPr>
            </w:pPr>
            <w:hyperlink w:anchor="page60">
              <w:r>
                <w:rPr>
                  <w:rFonts w:ascii="Arial" w:cs="Arial" w:eastAsia="Arial" w:hAnsi="Arial"/>
                  <w:sz w:val="16"/>
                  <w:szCs w:val="16"/>
                  <w:b w:val="1"/>
                  <w:bCs w:val="1"/>
                  <w:color w:val="0000EE"/>
                  <w:w w:val="90"/>
                </w:rPr>
                <w:t>Realizable Pay in 2015</w:t>
              </w:r>
            </w:hyperlink>
          </w:p>
        </w:tc>
        <w:tc>
          <w:tcPr>
            <w:tcW w:w="6440" w:type="dxa"/>
            <w:vAlign w:val="bottom"/>
            <w:gridSpan w:val="32"/>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57</w:t>
              </w:r>
            </w:hyperlink>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bottom w:val="single" w:sz="8" w:color="0000EE"/>
            </w:tcBorders>
            <w:gridSpan w:val="24"/>
          </w:tcPr>
          <w:p>
            <w:pPr>
              <w:spacing w:after="0"/>
              <w:rPr>
                <w:rFonts w:ascii="Arial" w:cs="Arial" w:eastAsia="Arial" w:hAnsi="Arial"/>
                <w:sz w:val="16"/>
                <w:szCs w:val="16"/>
                <w:b w:val="1"/>
                <w:bCs w:val="1"/>
                <w:i w:val="1"/>
                <w:iCs w:val="1"/>
                <w:color w:val="0000EE"/>
                <w:w w:val="88"/>
              </w:rPr>
            </w:pPr>
            <w:hyperlink w:anchor="page61">
              <w:r>
                <w:rPr>
                  <w:rFonts w:ascii="Arial" w:cs="Arial" w:eastAsia="Arial" w:hAnsi="Arial"/>
                  <w:sz w:val="16"/>
                  <w:szCs w:val="16"/>
                  <w:b w:val="1"/>
                  <w:bCs w:val="1"/>
                  <w:i w:val="1"/>
                  <w:iCs w:val="1"/>
                  <w:color w:val="0000EE"/>
                  <w:w w:val="88"/>
                </w:rPr>
                <w:t>Supplemental Table of CEO Realizable Compensation</w:t>
              </w:r>
            </w:hyperlink>
          </w:p>
        </w:tc>
        <w:tc>
          <w:tcPr>
            <w:tcW w:w="4040" w:type="dxa"/>
            <w:vAlign w:val="bottom"/>
            <w:gridSpan w:val="15"/>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58</w:t>
              </w:r>
            </w:hyperlink>
          </w:p>
        </w:tc>
      </w:tr>
      <w:tr>
        <w:trPr>
          <w:trHeight w:val="237"/>
        </w:trPr>
        <w:tc>
          <w:tcPr>
            <w:tcW w:w="5100" w:type="dxa"/>
            <w:vAlign w:val="bottom"/>
            <w:tcBorders>
              <w:bottom w:val="single" w:sz="8" w:color="0000EE"/>
            </w:tcBorders>
            <w:gridSpan w:val="36"/>
          </w:tcPr>
          <w:p>
            <w:pPr>
              <w:spacing w:after="0"/>
              <w:rPr>
                <w:rFonts w:ascii="Arial" w:cs="Arial" w:eastAsia="Arial" w:hAnsi="Arial"/>
                <w:sz w:val="16"/>
                <w:szCs w:val="16"/>
                <w:b w:val="1"/>
                <w:bCs w:val="1"/>
                <w:color w:val="0000EE"/>
                <w:w w:val="92"/>
              </w:rPr>
            </w:pPr>
            <w:hyperlink w:anchor="page61">
              <w:r>
                <w:rPr>
                  <w:rFonts w:ascii="Arial" w:cs="Arial" w:eastAsia="Arial" w:hAnsi="Arial"/>
                  <w:sz w:val="16"/>
                  <w:szCs w:val="16"/>
                  <w:b w:val="1"/>
                  <w:bCs w:val="1"/>
                  <w:color w:val="0000EE"/>
                  <w:w w:val="92"/>
                </w:rPr>
                <w:t>Other Material Tax Implications of the Executive Compensation Program</w:t>
              </w:r>
            </w:hyperlink>
          </w:p>
        </w:tc>
        <w:tc>
          <w:tcPr>
            <w:tcW w:w="2900" w:type="dxa"/>
            <w:vAlign w:val="bottom"/>
            <w:gridSpan w:val="5"/>
          </w:tcPr>
          <w:p>
            <w:pPr>
              <w:spacing w:after="0"/>
              <w:rPr>
                <w:sz w:val="20"/>
                <w:szCs w:val="20"/>
                <w:color w:val="auto"/>
              </w:rPr>
            </w:pPr>
          </w:p>
        </w:tc>
        <w:tc>
          <w:tcPr>
            <w:tcW w:w="3360" w:type="dxa"/>
            <w:vAlign w:val="bottom"/>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58</w:t>
              </w:r>
            </w:hyperlink>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1"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compensation discussion and analysis describes ManpowerGroup’s executive compensation program for our executive officers for whom disclosure is required under the rules of the Securities and Exchange Commission ("SEC"). We refer to this group of executives as our named executive officers (“NEOs”). ManpowerGroup's NEOs for the year ended December 31, 2015 are the Chief Executive Officer (CEO), Chief Financial Officer (CFO) and the three most highly compensated executive officers (other than the CEO and CFO), who were serving as executive officers as of December 31, 2015. Our NEOs also include our former executive chairman, who retired from the Company effective December 30, 2015, and who is required under SEC rules to be included in our compensation disclosures. Our NEOs are listed below with their titles:</w:t>
      </w:r>
    </w:p>
    <w:p>
      <w:pPr>
        <w:spacing w:after="0" w:line="84"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Jonas Prising —Chief Executive Officer. Mr. Prising additionally became Chairman of the Company on December 31, 2015.</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Michael J. Van Handel — Executive Vice President and CFO (1)</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Darryl Green — President and Chief Operating Officer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Ram Chandrashekar — Executive Vice President, Operational Excellence and IT, and President, Asia Pacific Middle East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Mara E. Swan — Executive Vice President, Global Strategy and Talent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Jeffrey A. Joerres — Executive Chairman until his retirement from the Company on December 30, 2015</w:t>
      </w:r>
    </w:p>
    <w:p>
      <w:pPr>
        <w:spacing w:after="0" w:line="117" w:lineRule="exact"/>
        <w:rPr>
          <w:sz w:val="20"/>
          <w:szCs w:val="20"/>
          <w:color w:val="auto"/>
        </w:rPr>
      </w:pPr>
    </w:p>
    <w:p>
      <w:pPr>
        <w:ind w:left="820" w:hanging="326"/>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February 15, 2016, Mr. Van Handel retired as Executive Vice President and CFO and was appointed Senior Executive Vice President. On that same day, John T. McGinnis became the new Executive Vice President and CFO. The information in this proxy statement reflects that Mr. Van Handel held the title of CFO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2015 Compensation Reflected Strong 2015 Financial Results</w:t>
      </w:r>
    </w:p>
    <w:p>
      <w:pPr>
        <w:spacing w:after="0" w:line="117"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Our executive compensation programs are designed to reward performance, and 2015 was a strong year, with revenue growth in constant currency in most of our markets. Management continued to focus on improving our operating leverage and operational efficiency. These efforts were effective and resulted in meaningful increases in the three key performance metrics we use to incent and reward our NEOs:</w:t>
      </w:r>
    </w:p>
    <w:p>
      <w:pPr>
        <w:spacing w:after="0" w:line="53"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Diluted Earnings Per Share </w:t>
      </w:r>
      <w:r>
        <w:rPr>
          <w:rFonts w:ascii="Arial" w:cs="Arial" w:eastAsia="Arial" w:hAnsi="Arial"/>
          <w:sz w:val="18"/>
          <w:szCs w:val="18"/>
          <w:color w:val="auto"/>
        </w:rPr>
        <w:t>(“EPS”) (1) in constant currency was $</w:t>
      </w:r>
      <w:r>
        <w:rPr>
          <w:rFonts w:ascii="Arial" w:cs="Arial" w:eastAsia="Arial" w:hAnsi="Arial"/>
          <w:sz w:val="18"/>
          <w:szCs w:val="18"/>
          <w:b w:val="1"/>
          <w:bCs w:val="1"/>
          <w:color w:val="auto"/>
        </w:rPr>
        <w:t>6.21</w:t>
      </w:r>
      <w:r>
        <w:rPr>
          <w:rFonts w:ascii="Arial" w:cs="Arial" w:eastAsia="Arial" w:hAnsi="Arial"/>
          <w:sz w:val="18"/>
          <w:szCs w:val="18"/>
          <w:color w:val="auto"/>
        </w:rPr>
        <w:t>, an increase from $5.30 in 2014</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on Invested Capital </w:t>
      </w:r>
      <w:r>
        <w:rPr>
          <w:rFonts w:ascii="Arial" w:cs="Arial" w:eastAsia="Arial" w:hAnsi="Arial"/>
          <w:sz w:val="18"/>
          <w:szCs w:val="18"/>
          <w:color w:val="auto"/>
        </w:rPr>
        <w:t>(“ROIC”) (1) in constant currency was</w:t>
      </w:r>
      <w:r>
        <w:rPr>
          <w:rFonts w:ascii="Arial" w:cs="Arial" w:eastAsia="Arial" w:hAnsi="Arial"/>
          <w:sz w:val="18"/>
          <w:szCs w:val="18"/>
          <w:b w:val="1"/>
          <w:bCs w:val="1"/>
          <w:color w:val="auto"/>
        </w:rPr>
        <w:t xml:space="preserve"> 15.7%</w:t>
      </w:r>
      <w:r>
        <w:rPr>
          <w:rFonts w:ascii="Arial" w:cs="Arial" w:eastAsia="Arial" w:hAnsi="Arial"/>
          <w:sz w:val="18"/>
          <w:szCs w:val="18"/>
          <w:color w:val="auto"/>
        </w:rPr>
        <w:t>, an increase from 14.6% in 2014</w:t>
      </w:r>
    </w:p>
    <w:p>
      <w:pPr>
        <w:spacing w:after="0" w:line="117" w:lineRule="exact"/>
        <w:rPr>
          <w:rFonts w:ascii="Arial" w:cs="Arial" w:eastAsia="Arial" w:hAnsi="Arial"/>
          <w:sz w:val="18"/>
          <w:szCs w:val="18"/>
          <w:b w:val="1"/>
          <w:bCs w:val="1"/>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Operating Profit Margin Percent </w:t>
      </w:r>
      <w:r>
        <w:rPr>
          <w:rFonts w:ascii="Arial" w:cs="Arial" w:eastAsia="Arial" w:hAnsi="Arial"/>
          <w:sz w:val="18"/>
          <w:szCs w:val="18"/>
          <w:color w:val="auto"/>
        </w:rPr>
        <w:t>(“OPMP”) (1) was</w:t>
      </w:r>
      <w:r>
        <w:rPr>
          <w:rFonts w:ascii="Arial" w:cs="Arial" w:eastAsia="Arial" w:hAnsi="Arial"/>
          <w:sz w:val="18"/>
          <w:szCs w:val="18"/>
          <w:b w:val="1"/>
          <w:bCs w:val="1"/>
          <w:color w:val="auto"/>
        </w:rPr>
        <w:t xml:space="preserve"> 3.65%</w:t>
      </w:r>
      <w:r>
        <w:rPr>
          <w:rFonts w:ascii="Arial" w:cs="Arial" w:eastAsia="Arial" w:hAnsi="Arial"/>
          <w:sz w:val="18"/>
          <w:szCs w:val="18"/>
          <w:color w:val="auto"/>
        </w:rPr>
        <w:t>, an increase from 3.46% in 2014</w:t>
      </w:r>
    </w:p>
    <w:p>
      <w:pPr>
        <w:spacing w:after="0" w:line="121" w:lineRule="exact"/>
        <w:rPr>
          <w:sz w:val="20"/>
          <w:szCs w:val="20"/>
          <w:color w:val="auto"/>
        </w:rPr>
      </w:pPr>
    </w:p>
    <w:p>
      <w:pPr>
        <w:ind w:left="820" w:right="40" w:hanging="326"/>
        <w:spacing w:after="0" w:line="25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EPS, ROIC and OPMP have been calculated for 2015 and 2014 in accordance with our compensation plans. See page </w:t>
      </w:r>
      <w:hyperlink w:anchor="page51">
        <w:r>
          <w:rPr>
            <w:rFonts w:ascii="Arial" w:cs="Arial" w:eastAsia="Arial" w:hAnsi="Arial"/>
            <w:sz w:val="18"/>
            <w:szCs w:val="18"/>
            <w:u w:val="single" w:color="auto"/>
            <w:color w:val="0000EE"/>
          </w:rPr>
          <w:t>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an explanation of the calculations of each of these metrics. For 2015, the Committee exercised negative discretion, and utilized a lower EPS figure of $6.08, rather than $6.21, in calculating annual incentive compensation. This adjustment excluded from the EPS calculation the benefit of significant share repurchases the company completed in 2015, except to the extent necessary to offset dilution resulting from shares issued under equity plans. As reported, EPS and ROIC were $5.40 and 13.6%,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Beginning in 2015, our Executive Compensation and Human Resources Committee (the "Committee") determined that our key performance metrics of EPS and ROIC should be calculated and measured on a constant currency basis to ensure that payments under our annual incentives reflect the underlying performance of our businesses. By eliminating the impact of changes in foreign currency exchange rates (for example, the US Dollar appreciated 12% against the Euro in 2015), we are better able to capture year-over-year changes in underlying performance. As such, the EPS and ROIC figures used for compensation purposes and disclosed above are based on constant currency.</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Manage Our Business in Light of Global Macroeconomic Forces, Business Cycles and Complexity</w:t>
      </w:r>
    </w:p>
    <w:p>
      <w:pPr>
        <w:spacing w:after="0" w:line="131"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ManpowerGroup derives over 84% of its revenues from outside the United States, with the largest portions coming from the Company’s operating segments in Southern Europe (36%), Northern Europe (28%) and Asia Pacific Middle East (12%). Our business is truly global in nature and complexity, with over 27,000 employees and over 600,000 associates connected with clients worldwide on any given day. Our worldwide network serves global, multinational and local companies in 80 countries and territories. We placed approximately 3.4 million people in jobs in 2015, and provided a broad range of workforce solutions including recruitment and assessment, training and development, career management, outsourcing and workforce consulting.</w:t>
      </w:r>
    </w:p>
    <w:p>
      <w:pPr>
        <w:spacing w:after="0" w:line="6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results are highly dependent on labor market conditions, business cycles and other macroeconomic forces. During periods of recovery, we typically expect to see improvements in revenue, operating profit margin, and ROIC. During declines in the economic cycle, or periods of economic uncertainty, our revenue will often decline as our clients scale back use of our services due to reduced demand for their products and services. We have used periods of economic weakness and uncertainty to streamline our cost structure, such as the simplification and cost recalibration plan we began in 2012 and 2013. Despite an uneven global economic recovery, our strong operating discipline contributed to an increase in earnings of 12.8% in constant currency, or -2.0% as reported, for ManpowerGroup in 2015.</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Executive Pay is Designed to be Variable and Affordable</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the interests of our shareholders are served when strong operating performance drives enhanced financial performance. Therefore, the pay for our CEO and our other senior executives is closely aligned with our results, and their compensation varies year-over-year based on whether they have achieved collective and individual performance goals set by our Committee. This also reflects our philosophy of affordability — compensation is higher when our executives have delivered financial results that make it affordable for the Company and lower when financial results decline and make it less affordable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1903730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Focus on Three Key Performance Metrics</w:t>
      </w:r>
    </w:p>
    <w:p>
      <w:pPr>
        <w:spacing w:after="0" w:line="11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In 2015, we continued to focus on three performance metrics that we believe reflect whether we are running our businesses successfully for our shareholders.</w:t>
      </w:r>
    </w:p>
    <w:p>
      <w:pPr>
        <w:spacing w:after="0" w:line="62" w:lineRule="exact"/>
        <w:rPr>
          <w:sz w:val="20"/>
          <w:szCs w:val="20"/>
          <w:color w:val="auto"/>
        </w:rPr>
      </w:pPr>
    </w:p>
    <w:p>
      <w:pPr>
        <w:ind w:left="820" w:hanging="326"/>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the interests of our shareholders. We believe this metric is a critical measure of executive performance.</w:t>
      </w:r>
    </w:p>
    <w:p>
      <w:pPr>
        <w:spacing w:after="0" w:line="62" w:lineRule="exact"/>
        <w:rPr>
          <w:rFonts w:ascii="Arial" w:cs="Arial" w:eastAsia="Arial" w:hAnsi="Arial"/>
          <w:sz w:val="18"/>
          <w:szCs w:val="18"/>
          <w:color w:val="auto"/>
        </w:rPr>
      </w:pPr>
    </w:p>
    <w:p>
      <w:pPr>
        <w:ind w:left="820" w:right="140" w:hanging="326"/>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Return on Invested Capital</w:t>
      </w:r>
      <w:r>
        <w:rPr>
          <w:rFonts w:ascii="Arial" w:cs="Arial" w:eastAsia="Arial" w:hAnsi="Arial"/>
          <w:sz w:val="18"/>
          <w:szCs w:val="18"/>
          <w:color w:val="auto"/>
        </w:rPr>
        <w:t>. Even though we operate in the services industry, our business is capital intensive. We must pay our associates and consultants before we typically bill and collect from our clients. Our “ROIC” metric measures how efficiently and quickly we are converting our services into cash.</w:t>
      </w:r>
    </w:p>
    <w:p>
      <w:pPr>
        <w:spacing w:after="0" w:line="73"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xml:space="preserve"> Measures how efficiently our NEOs have deployed our operating resources to generate a profit. We believe using this metric drives a long-term focus on achieving sustainable profits.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Utilize a Broad Group of Comparators for Compensation</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It is difficult to find an industry-specific group of peer companies for benchmarking our executive compensation. We are significantly larger than other U.S.-listed companies in our industry (with $19.3 billion in revenue in 2015, compared to $5.5 billion of our nearest U.S.-listed competitor). Our two largest competitors, Adecco and Randstad, are based in Europe, and although the Committee reviews available compensation data for these two companies, their pay practices are different, and full compensation information is not disclosed. To ensure that we are utilizing meaningful data, the Committee’s independent compensation consultant, Mercer, has customized a peer group, which consists of 85 companies within the S&amp;P 500 and is designed to properly benchmark our NEOs' compensation against the relevant talent marketplace. The Committee believes that using this group provides a robust basis for comparing us to companies of similar scale and also represents the universe of top-tier companies we consider when looking for executive talent. The median revenue of the peers approximates that of ManpowerGroup, with a range of 70% to approximately 200% of our revenue.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Key Compensation and Governance Policies</w:t>
      </w:r>
    </w:p>
    <w:p>
      <w:pPr>
        <w:spacing w:after="0" w:line="225"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were pleased that our shareholders overwhelmingly approved the non-binding advisory vote on our executive compensation in 2015 with approximately 96% of votes cast in favor of the proposal. The Committee continually reviews the Company’s executive compensation program to maintain compensation practices that are in the best interests of our shareholders. Some of our key policies are summarized below:</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What We Do:</w:t>
      </w:r>
    </w:p>
    <w:p>
      <w:pPr>
        <w:spacing w:after="0" w:line="131"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tie pay to performance, including the use of performance share units. The majority of executive pay is variable.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use double triggers in our severance agreements and our equity awards.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maintain significant stock ownership guidelines for our NEOs.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engages an independent compensation consultant that works solely in support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260" w:hanging="326"/>
        <w:spacing w:after="0" w:line="286"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listen to our shareholders. In addition to an annual “say-on-pay” advisory vote, we regularly reach out to leading shareholders and their advisory firms to discuss our governance and executive compensation. In 2015, we met with many of our largest shareholders to review these topics and ensure our programs are well-understood and consistent with their expectations.</w:t>
      </w:r>
    </w:p>
    <w:p>
      <w:pPr>
        <w:spacing w:after="0" w:line="57" w:lineRule="exact"/>
        <w:rPr>
          <w:rFonts w:ascii="Arial" w:cs="Arial" w:eastAsia="Arial" w:hAnsi="Arial"/>
          <w:sz w:val="17"/>
          <w:szCs w:val="17"/>
          <w:color w:val="auto"/>
        </w:rPr>
      </w:pPr>
    </w:p>
    <w:p>
      <w:pPr>
        <w:ind w:left="820" w:right="20" w:hanging="326"/>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adjust our programs based on shareholder input. For example, in the past, we received comments that the performance period we utilized in our performance share unit program was too short. Based on that feedback, beginning in 2014, the Committee moved the performance period for our performance share units to a 3-year, rather than a 1-year, measurement period.</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What We Don’t Do:</w:t>
      </w:r>
    </w:p>
    <w:p>
      <w:pPr>
        <w:spacing w:after="0" w:line="117" w:lineRule="exact"/>
        <w:rPr>
          <w:sz w:val="20"/>
          <w:szCs w:val="20"/>
          <w:color w:val="auto"/>
        </w:rPr>
      </w:pPr>
    </w:p>
    <w:p>
      <w:pPr>
        <w:ind w:left="820" w:right="100" w:hanging="326"/>
        <w:spacing w:after="0" w:line="279"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do not reward our NEOs on Total Shareholder Return (“TSR”) as a performance metric. In our experience, our stock price can rise or fall quickly, often in advance of perceived changes in the global business climate. These fluctuations are often de-coupled from the fundamentals of our business. We believe other performance metrics are more effective at incenting executive performance, and we do not make use of TSR. Instead, our Committee sets meaningful targets each year for our three key metrics.</w:t>
      </w:r>
    </w:p>
    <w:p>
      <w:pPr>
        <w:spacing w:after="0" w:line="63" w:lineRule="exact"/>
        <w:rPr>
          <w:rFonts w:ascii="Arial" w:cs="Arial" w:eastAsia="Arial" w:hAnsi="Arial"/>
          <w:sz w:val="17"/>
          <w:szCs w:val="17"/>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provide tax gross up payments for any amounts considered excess parachute payments.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pay dividends on performance share units.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permit the repricing of stock options without prior shareholder approval, except in connection with a transaction.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do not permit executives to engage in short-selling of ManpowerGroup securities or trading in puts and calls on ManpowerGroup securities.</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permit our NEOs to pledge shares of our common stock.</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provide excessive perquisites to our NEOs.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We Maintain Strong Compensation and Corporate Governance Practices: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Over the years we have continued to enhance our compensation and corporate governance practices:</w:t>
      </w:r>
    </w:p>
    <w:p>
      <w:pPr>
        <w:spacing w:after="0" w:line="117" w:lineRule="exact"/>
        <w:rPr>
          <w:sz w:val="20"/>
          <w:szCs w:val="20"/>
          <w:color w:val="auto"/>
        </w:rPr>
      </w:pPr>
    </w:p>
    <w:p>
      <w:pPr>
        <w:ind w:left="820" w:right="30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Use ROIC as a key performance metric:</w:t>
      </w:r>
      <w:r>
        <w:rPr>
          <w:rFonts w:ascii="Arial" w:cs="Arial" w:eastAsia="Arial" w:hAnsi="Arial"/>
          <w:sz w:val="18"/>
          <w:szCs w:val="18"/>
          <w:color w:val="auto"/>
        </w:rPr>
        <w:t xml:space="preserve"> We replaced Economic Profit with ROIC to more clearly measure how effectively we are using our capital.</w:t>
      </w:r>
    </w:p>
    <w:p>
      <w:pPr>
        <w:spacing w:after="0" w:line="62"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Return to 3-year performance period for performance share units:</w:t>
      </w:r>
      <w:r>
        <w:rPr>
          <w:rFonts w:ascii="Arial" w:cs="Arial" w:eastAsia="Arial" w:hAnsi="Arial"/>
          <w:sz w:val="18"/>
          <w:szCs w:val="18"/>
          <w:color w:val="auto"/>
        </w:rPr>
        <w:t xml:space="preserve"> We returned to a 3-year performance period for performance share units to better align the interests of executive officers with long-term shareholder value.</w:t>
      </w:r>
    </w:p>
    <w:p>
      <w:pPr>
        <w:spacing w:after="0" w:line="62"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Further Expanded Use of Performance-Based Equity:</w:t>
      </w:r>
      <w:r>
        <w:rPr>
          <w:rFonts w:ascii="Arial" w:cs="Arial" w:eastAsia="Arial" w:hAnsi="Arial"/>
          <w:sz w:val="18"/>
          <w:szCs w:val="18"/>
          <w:color w:val="auto"/>
        </w:rPr>
        <w:t xml:space="preserve"> We modified our long-term incentive program to increase our use of performance share units to represent over 60% of long-term equity grants to all of our NEOs.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Elimination of classified board:</w:t>
      </w:r>
      <w:r>
        <w:rPr>
          <w:rFonts w:ascii="Arial" w:cs="Arial" w:eastAsia="Arial" w:hAnsi="Arial"/>
          <w:sz w:val="18"/>
          <w:szCs w:val="18"/>
          <w:color w:val="auto"/>
        </w:rPr>
        <w:t xml:space="preserve">  We eliminated our classified board structure and hold annual elections of directors.</w:t>
      </w:r>
    </w:p>
    <w:p>
      <w:pPr>
        <w:spacing w:after="0" w:line="117"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Strengthened role of lead director:</w:t>
      </w:r>
      <w:r>
        <w:rPr>
          <w:rFonts w:ascii="Arial" w:cs="Arial" w:eastAsia="Arial" w:hAnsi="Arial"/>
          <w:sz w:val="18"/>
          <w:szCs w:val="18"/>
          <w:color w:val="auto"/>
        </w:rPr>
        <w:t xml:space="preserve"> We eliminated a practice in which we rotated our lead director annually. Today, our board appoints a lead director with the intent that the individual will serve for at least three years. The roles and responsibilities of the lead director have been clarified, and the lead director receives additional compensation for serving in this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hanging="326"/>
        <w:spacing w:after="0" w:line="279"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Adoption of clawback policy:</w:t>
      </w:r>
      <w:r>
        <w:rPr>
          <w:rFonts w:ascii="Arial" w:cs="Arial" w:eastAsia="Arial" w:hAnsi="Arial"/>
          <w:sz w:val="17"/>
          <w:szCs w:val="17"/>
          <w:color w:val="auto"/>
        </w:rPr>
        <w:t xml:space="preserve"> Even though the SEC has not adopted final rules under the Dodd-Frank Wall Street Reform and Consumer Protection Act regarding clawback requirements, we believe it is an important feature of an executive compensation program.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22" w:lineRule="exact"/>
        <w:rPr>
          <w:rFonts w:ascii="Arial" w:cs="Arial" w:eastAsia="Arial" w:hAnsi="Arial"/>
          <w:sz w:val="17"/>
          <w:szCs w:val="17"/>
          <w:color w:val="auto"/>
        </w:rPr>
      </w:pPr>
    </w:p>
    <w:p>
      <w:pPr>
        <w:ind w:left="820" w:right="200" w:hanging="326"/>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Tightened Stock Ownership Guidelines:</w:t>
      </w:r>
      <w:r>
        <w:rPr>
          <w:rFonts w:ascii="Arial" w:cs="Arial" w:eastAsia="Arial" w:hAnsi="Arial"/>
          <w:sz w:val="18"/>
          <w:szCs w:val="18"/>
          <w:color w:val="auto"/>
        </w:rPr>
        <w:t xml:space="preserve"> Senior executives who have not met their individual ownership requirement must hold 50% of any of the shares they receive from an exercise or vesting of awards until the requirement is satisfied.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CEO Compensation Continues to Follow our Guiding Principle of Pay-For-Performance</w:t>
      </w:r>
    </w:p>
    <w:p>
      <w:pPr>
        <w:spacing w:after="0" w:line="13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We remain committed to performance-based compensation. Approximately 73% of Mr. Prising’s 2015 target compensation was tied to Company performance and 87% of his total pay was variable. As a result of our strong financial performance in 2015, Mr. Prising’s total compensation in 2015 was 108% of target. The discussion below highlights each component of Mr. Prising’s compensation in 2015.</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u w:val="single" w:color="auto"/>
          <w:color w:val="auto"/>
        </w:rPr>
        <w:t>Annual Cash Incentive: Payout Was 139% of Target.</w:t>
      </w:r>
      <w:r>
        <w:rPr>
          <w:rFonts w:ascii="Arial" w:cs="Arial" w:eastAsia="Arial" w:hAnsi="Arial"/>
          <w:sz w:val="17"/>
          <w:szCs w:val="17"/>
          <w:color w:val="auto"/>
        </w:rPr>
        <w:t xml:space="preserve"> In light of the financial performance of the Company and the Committee’s assessment of Mr. Prising’s achievement of his operating objectives as CEO, Mr. Prising’s annual cash incentive payout was 139% of target.</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actual cash incentive payout to Mr. Prising for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2015 Actual</w:t>
            </w:r>
          </w:p>
        </w:tc>
        <w:tc>
          <w:tcPr>
            <w:tcW w:w="1880" w:type="dxa"/>
            <w:vAlign w:val="bottom"/>
          </w:tcPr>
          <w:p>
            <w:pPr>
              <w:jc w:val="right"/>
              <w:ind w:right="356"/>
              <w:spacing w:after="0"/>
              <w:rPr>
                <w:sz w:val="20"/>
                <w:szCs w:val="20"/>
                <w:color w:val="auto"/>
              </w:rPr>
            </w:pPr>
            <w:r>
              <w:rPr>
                <w:rFonts w:ascii="Arial" w:cs="Arial" w:eastAsia="Arial" w:hAnsi="Arial"/>
                <w:sz w:val="14"/>
                <w:szCs w:val="14"/>
                <w:b w:val="1"/>
                <w:bCs w:val="1"/>
                <w:color w:val="auto"/>
              </w:rPr>
              <w:t>% Compared to</w:t>
            </w:r>
          </w:p>
        </w:tc>
      </w:tr>
      <w:tr>
        <w:trPr>
          <w:trHeight w:val="192"/>
        </w:trPr>
        <w:tc>
          <w:tcPr>
            <w:tcW w:w="7340" w:type="dxa"/>
            <w:vAlign w:val="bottom"/>
          </w:tcPr>
          <w:p>
            <w:pPr>
              <w:spacing w:after="0"/>
              <w:rPr>
                <w:sz w:val="16"/>
                <w:szCs w:val="16"/>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Payout $</w:t>
            </w:r>
          </w:p>
        </w:tc>
        <w:tc>
          <w:tcPr>
            <w:tcW w:w="1880" w:type="dxa"/>
            <w:vAlign w:val="bottom"/>
          </w:tcPr>
          <w:p>
            <w:pPr>
              <w:jc w:val="right"/>
              <w:ind w:right="656"/>
              <w:spacing w:after="0"/>
              <w:rPr>
                <w:sz w:val="20"/>
                <w:szCs w:val="20"/>
                <w:color w:val="auto"/>
              </w:rPr>
            </w:pPr>
            <w:r>
              <w:rPr>
                <w:rFonts w:ascii="Arial" w:cs="Arial" w:eastAsia="Arial" w:hAnsi="Arial"/>
                <w:sz w:val="14"/>
                <w:szCs w:val="14"/>
                <w:b w:val="1"/>
                <w:bCs w:val="1"/>
                <w:color w:val="auto"/>
              </w:rPr>
              <w:t>Target</w:t>
            </w:r>
          </w:p>
        </w:tc>
      </w:tr>
      <w:tr>
        <w:trPr>
          <w:trHeight w:val="250"/>
        </w:trPr>
        <w:tc>
          <w:tcPr>
            <w:tcW w:w="7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1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811,800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ROIC Goal</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891,000</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597,200</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Total ($)</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2,300,000</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u w:val="single" w:color="auto"/>
          <w:color w:val="auto"/>
        </w:rPr>
        <w:t>Long-Term Equity Awards: Approximately 60% are Based on Performance.</w:t>
      </w:r>
      <w:r>
        <w:rPr>
          <w:rFonts w:ascii="Arial" w:cs="Arial" w:eastAsia="Arial" w:hAnsi="Arial"/>
          <w:sz w:val="18"/>
          <w:szCs w:val="18"/>
          <w:color w:val="auto"/>
        </w:rPr>
        <w:t xml:space="preserve"> Mr. Prising’s 2015 compensation package included three long-term equity components:</w:t>
      </w:r>
    </w:p>
    <w:p>
      <w:pPr>
        <w:spacing w:after="0" w:line="62" w:lineRule="exact"/>
        <w:rPr>
          <w:sz w:val="20"/>
          <w:szCs w:val="20"/>
          <w:color w:val="auto"/>
        </w:rPr>
      </w:pPr>
    </w:p>
    <w:p>
      <w:pPr>
        <w:ind w:left="820" w:hanging="326"/>
        <w:spacing w:after="0" w:line="259"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60% of long-term awards were performance share units. Similar to 2014, these performance share units use a three-year performance period. They are calibrated to Operating Profit Margin Percent, which the Committee believes correctly focuses executive officers on long-term profitability. Following completion of the 2015-2017 performance period, the Committee will compare Operating Profit Margin Percent performance against target levels.</w:t>
      </w:r>
    </w:p>
    <w:p>
      <w:pPr>
        <w:spacing w:after="0" w:line="24"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20% of long-term awards were stock options that vest over a four year period.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20% of long-term awards were restricted stock units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1447165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4" w:lineRule="auto"/>
        <w:rPr>
          <w:rFonts w:ascii="Arial" w:cs="Arial" w:eastAsia="Arial" w:hAnsi="Arial"/>
          <w:sz w:val="18"/>
          <w:szCs w:val="18"/>
          <w:color w:val="auto"/>
        </w:rPr>
      </w:pPr>
      <w:r>
        <w:rPr>
          <w:rFonts w:ascii="Arial" w:cs="Arial" w:eastAsia="Arial" w:hAnsi="Arial"/>
          <w:sz w:val="18"/>
          <w:szCs w:val="18"/>
          <w:u w:val="single" w:color="auto"/>
          <w:color w:val="auto"/>
        </w:rPr>
        <w:t>Realizable Pay Reflected Stock Price Fluctuations.</w:t>
      </w:r>
      <w:r>
        <w:rPr>
          <w:rFonts w:ascii="Arial" w:cs="Arial" w:eastAsia="Arial" w:hAnsi="Arial"/>
          <w:sz w:val="18"/>
          <w:szCs w:val="18"/>
          <w:color w:val="auto"/>
        </w:rPr>
        <w:t xml:space="preserve"> Although we do not utilize TSR as a performance metric, we calculated realizable pay for Mr. Prising to show the impact of Company performance and stock price on his compensation granted or awarded during the year. The Company enjoyed strong operating performance in 2015 and stock price appreciation from $68.17 on January 1, 2015 to $84.29 as of December 31, 2015. However, the year-end price of $84.29 as of December 31, 2015 resulted in Mr. Prising’s calculated realizable pay being $8.7 million for 2015. This is slightly less than his total compensation of $9.1 million shown in the Summary Compensation Table using SEC reporting methodology because the intrinsic value of his stock options at the end of the year was less than the fair value of the options at the date of grant as reported in the Summary Compensation Table. In 2014, Mr. Prising's realizable pay was substantially less than his reported compensation, despite strong operating performance, due to the decline in the Company's stock price in 2014. See page </w:t>
      </w:r>
      <w:hyperlink w:anchor="page60">
        <w:r>
          <w:rPr>
            <w:rFonts w:ascii="Arial" w:cs="Arial" w:eastAsia="Arial" w:hAnsi="Arial"/>
            <w:sz w:val="18"/>
            <w:szCs w:val="18"/>
            <w:u w:val="single" w:color="auto"/>
            <w:color w:val="0000EE"/>
          </w:rPr>
          <w:t>58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84"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u w:val="single" w:color="auto"/>
          <w:color w:val="auto"/>
        </w:rPr>
        <w:t>Other Compensation Was Limited.</w:t>
      </w:r>
      <w:r>
        <w:rPr>
          <w:rFonts w:ascii="Arial" w:cs="Arial" w:eastAsia="Arial" w:hAnsi="Arial"/>
          <w:sz w:val="17"/>
          <w:szCs w:val="17"/>
          <w:color w:val="auto"/>
        </w:rPr>
        <w:t xml:space="preserve"> The level of perquisites provided to Mr. Prising is limited. In 2015, we provided a car lease to him under our broad-based auto program, in which Mr. Prising was responsible for 25% of the lease payments. Effective February 2016, Mr. Prising is no longer participating in that program. We also reimburse him for financial planning expenses which are capped at $12,000 per year. Besides these two items, Other Compensation in 2015 also included a company match and profit sharing contribution under our Nonqualified Savings Plan, in which Mr. Prising has elected to participate. Mr. Prising does not have a current pension plan, and does not participate in the Company’s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131" w:lineRule="exact"/>
        <w:rPr>
          <w:sz w:val="20"/>
          <w:szCs w:val="20"/>
          <w:color w:val="auto"/>
        </w:rPr>
      </w:pPr>
    </w:p>
    <w:p>
      <w:pPr>
        <w:ind w:left="820" w:right="40" w:hanging="326"/>
        <w:spacing w:after="0" w:line="25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accomplishments that contribute to ManpowerGroup’s success. For example, in 2015, approximately 60% of the CEO’s and 57% of the CFO’s target compensation, respectively, (and approximately 57% for the other NEOs) was tied to short- and long-term financial performance goals.</w:t>
      </w:r>
    </w:p>
    <w:p>
      <w:pPr>
        <w:spacing w:after="0" w:line="24" w:lineRule="exact"/>
        <w:rPr>
          <w:rFonts w:ascii="Arial" w:cs="Arial" w:eastAsia="Arial" w:hAnsi="Arial"/>
          <w:sz w:val="18"/>
          <w:szCs w:val="18"/>
          <w:color w:val="auto"/>
        </w:rPr>
      </w:pPr>
    </w:p>
    <w:p>
      <w:pPr>
        <w:ind w:left="820" w:right="520" w:hanging="326"/>
        <w:spacing w:after="0" w:line="25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Not pay for failure</w:t>
      </w:r>
      <w:r>
        <w:rPr>
          <w:rFonts w:ascii="Arial" w:cs="Arial" w:eastAsia="Arial" w:hAnsi="Arial"/>
          <w:sz w:val="18"/>
          <w:szCs w:val="18"/>
          <w:color w:val="auto"/>
        </w:rPr>
        <w:t>: We set threshold goals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goals are the lowest acceptable levels at which it is appropriate for the NEOs to receive an award. If the threshold level is not met, NEOs do not receive a payout related to that performance measure. In 2015, all of the executives met at least the threshold level for each performance-based incentive element.</w:t>
      </w:r>
    </w:p>
    <w:p>
      <w:pPr>
        <w:spacing w:after="0" w:line="24" w:lineRule="exact"/>
        <w:rPr>
          <w:rFonts w:ascii="Arial" w:cs="Arial" w:eastAsia="Arial" w:hAnsi="Arial"/>
          <w:sz w:val="18"/>
          <w:szCs w:val="18"/>
          <w:color w:val="auto"/>
        </w:rPr>
      </w:pPr>
    </w:p>
    <w:p>
      <w:pPr>
        <w:ind w:left="820" w:hanging="326"/>
        <w:spacing w:after="0" w:line="293"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Align with shareholder interests</w:t>
      </w:r>
      <w:r>
        <w:rPr>
          <w:rFonts w:ascii="Arial" w:cs="Arial" w:eastAsia="Arial" w:hAnsi="Arial"/>
          <w:sz w:val="16"/>
          <w:szCs w:val="16"/>
          <w:color w:val="auto"/>
        </w:rPr>
        <w:t>: The Committee sets performance goals and chooses compensation elements that closely align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those of shareholders. For example, performance share units, which make up approximately 40% of target compensation for both the CEO and CFO, respectively,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the value of our stock. In addition, a substantial portion of the annual cash incentive awards paid to our CEO and CFO are based on achievement of EPS and ROIC goals for the year.</w:t>
      </w:r>
    </w:p>
    <w:p>
      <w:pPr>
        <w:spacing w:after="0" w:line="2"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 experience to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global and complex environment. The Committee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believes it must provide pay opportunities to the NEOs that are competitive in order to attract and retain executives of this caliber.</w:t>
      </w:r>
    </w:p>
    <w:p>
      <w:pPr>
        <w:spacing w:after="0" w:line="77" w:lineRule="exact"/>
        <w:rPr>
          <w:sz w:val="20"/>
          <w:szCs w:val="20"/>
          <w:color w:val="auto"/>
        </w:rPr>
      </w:pPr>
    </w:p>
    <w:p>
      <w:pPr>
        <w:ind w:left="820" w:right="20" w:hanging="326"/>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short-term results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8" w:lineRule="exact"/>
        <w:rPr>
          <w:rFonts w:ascii="Arial" w:cs="Arial" w:eastAsia="Arial" w:hAnsi="Arial"/>
          <w:sz w:val="18"/>
          <w:szCs w:val="18"/>
          <w:color w:val="auto"/>
        </w:rPr>
      </w:pPr>
    </w:p>
    <w:p>
      <w:pPr>
        <w:jc w:val="both"/>
        <w:ind w:left="820" w:right="780" w:hanging="326"/>
        <w:spacing w:after="0" w:line="305"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internal and external performance reference points: </w:t>
      </w:r>
      <w:r>
        <w:rPr>
          <w:rFonts w:ascii="Arial" w:cs="Arial" w:eastAsia="Arial" w:hAnsi="Arial"/>
          <w:sz w:val="16"/>
          <w:szCs w:val="16"/>
          <w:color w:val="auto"/>
        </w:rPr>
        <w:t>We evaluate the elements of our compensation program against appropriate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comparator company practices as well as other executives within the Company with the same responsibilities and experience. However, identifying our competitive market is a challenge. See page </w:t>
      </w:r>
      <w:hyperlink w:anchor="page46">
        <w:r>
          <w:rPr>
            <w:rFonts w:ascii="Arial" w:cs="Arial" w:eastAsia="Arial" w:hAnsi="Arial"/>
            <w:sz w:val="16"/>
            <w:szCs w:val="16"/>
            <w:u w:val="single" w:color="auto"/>
            <w:color w:val="0000EE"/>
          </w:rPr>
          <w:t>43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 regarding our competitive market.</w:t>
      </w:r>
    </w:p>
    <w:p>
      <w:pPr>
        <w:ind w:left="820" w:right="20" w:hanging="326"/>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Recognize the cyclical nature of our business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is highly cyclical and our financial results are impacted by global economic cycles,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difficult to predict. In determining executive compensation, the Committee tries to strike an appropriate balance between fixed and variable pay, and to create meaningful incentives at all points in an economic cycle.</w:t>
      </w:r>
    </w:p>
    <w:p>
      <w:pPr>
        <w:spacing w:after="0" w:line="19"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 generally falls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median of the competitive market. The Committee believes this is the appropriate level to provide in order to attract and retain executives with the experience and capabilities we need.</w:t>
      </w:r>
    </w:p>
    <w:p>
      <w:pPr>
        <w:spacing w:after="0" w:line="19" w:lineRule="exact"/>
        <w:rPr>
          <w:rFonts w:ascii="Arial" w:cs="Arial" w:eastAsia="Arial" w:hAnsi="Arial"/>
          <w:sz w:val="18"/>
          <w:szCs w:val="18"/>
          <w:color w:val="auto"/>
        </w:rPr>
      </w:pPr>
    </w:p>
    <w:p>
      <w:pPr>
        <w:ind w:left="820" w:right="40" w:hanging="326"/>
        <w:spacing w:after="0" w:line="299"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Assure total compensation is affordable: </w:t>
      </w:r>
      <w:r>
        <w:rPr>
          <w:rFonts w:ascii="Arial" w:cs="Arial" w:eastAsia="Arial" w:hAnsi="Arial"/>
          <w:sz w:val="16"/>
          <w:szCs w:val="16"/>
          <w:color w:val="auto"/>
        </w:rPr>
        <w:t>Our NEOs’ compensation is variable year-over-year, which means compensation is higher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1" w:lineRule="exact"/>
        <w:rPr>
          <w:rFonts w:ascii="Arial" w:cs="Arial" w:eastAsia="Arial" w:hAnsi="Arial"/>
          <w:sz w:val="16"/>
          <w:szCs w:val="16"/>
          <w:color w:val="auto"/>
        </w:rPr>
      </w:pPr>
    </w:p>
    <w:p>
      <w:pPr>
        <w:ind w:left="820" w:hanging="326"/>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 objectives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various elements of the compensation program to ensure our executives are focused on achieving the financial and operational results that the Committee believes will best promote shareholder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and Say on Frequency Votes</w:t>
      </w:r>
    </w:p>
    <w:p>
      <w:pPr>
        <w:spacing w:after="0" w:line="121"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ManpowerGroup held a non-binding shareholder advisory vote at its 2015 Annual Meeting of Shareholders to approve the compensation of ManpowerGroup’s NEOs, also known as “Say on Pay.” This shareholder resolution was approved by approximately 96% of the votes cast, similar to 2014. We believe our annual “say on pay” vote represents an important opportunity for our shareholders to respond to our executive compensation programs. Because of the high shareholder approval ratings in both 2014 and 2015, which we believe demonstrates our shareholders' satisfaction with the alignment of our NEOs' compensation with the Company's performance, we did not make significant changes to the compensation program for 2016.</w:t>
      </w:r>
    </w:p>
    <w:p>
      <w:pPr>
        <w:spacing w:after="0" w:line="5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Dodd-Frank Wall Street Reform and Consumer Protection Act requires that shareholder votes on the frequency of Say on Pay be held at least once every 6 years. The next shareholder vote on frequency will occur at the Company's 2017 Annual Meeting of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jc w:val="both"/>
        <w:ind w:right="60" w:firstLine="486"/>
        <w:spacing w:after="0" w:line="312" w:lineRule="auto"/>
        <w:rPr>
          <w:sz w:val="20"/>
          <w:szCs w:val="20"/>
          <w:color w:val="auto"/>
        </w:rPr>
      </w:pPr>
      <w:r>
        <w:rPr>
          <w:rFonts w:ascii="Arial" w:cs="Arial" w:eastAsia="Arial" w:hAnsi="Arial"/>
          <w:sz w:val="16"/>
          <w:szCs w:val="16"/>
          <w:color w:val="auto"/>
        </w:rPr>
        <w:t>The Board of Directors believes shareholder engagement is an important part of its governance practices. In 2015, members of executive management engaged with many of the Company's largest shareholders to provide perspective on the Company's governance structure and compensation philosophies and to ensure that the Board of Directors and management understand and address the issues that are important to our shareholders.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are the main elements used by ManpowerGroup in its compensation program in 2015 along with key decisions by the Committee related to those elements:</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2015 Compensation Program Elements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Key</w:t>
            </w:r>
          </w:p>
        </w:tc>
        <w:tc>
          <w:tcPr>
            <w:tcW w:w="3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Objective and Determination</w:t>
            </w:r>
          </w:p>
        </w:tc>
        <w:tc>
          <w:tcPr>
            <w:tcW w:w="120" w:type="dxa"/>
            <w:vAlign w:val="bottom"/>
            <w:vMerge w:val="restart"/>
          </w:tcPr>
          <w:p>
            <w:pPr>
              <w:spacing w:after="0"/>
              <w:rPr>
                <w:sz w:val="14"/>
                <w:szCs w:val="14"/>
                <w:color w:val="auto"/>
              </w:rPr>
            </w:pPr>
          </w:p>
        </w:tc>
        <w:tc>
          <w:tcPr>
            <w:tcW w:w="34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2015 Decisions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Characteristics</w:t>
            </w:r>
          </w:p>
        </w:tc>
        <w:tc>
          <w:tcPr>
            <w:tcW w:w="12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920" w:type="dxa"/>
        <w:tblCellMar>
          <w:top w:w="0" w:type="dxa"/>
          <w:left w:w="0" w:type="dxa"/>
          <w:bottom w:w="0" w:type="dxa"/>
          <w:right w:w="0" w:type="dxa"/>
        </w:tblCellMar>
      </w:tblP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b w:val="1"/>
                <w:bCs w:val="1"/>
                <w:color w:val="auto"/>
                <w:w w:val="83"/>
              </w:rPr>
              <w:t>Base</w:t>
            </w:r>
          </w:p>
        </w:tc>
        <w:tc>
          <w:tcPr>
            <w:tcW w:w="2200" w:type="dxa"/>
            <w:vAlign w:val="bottom"/>
          </w:tcPr>
          <w:p>
            <w:pPr>
              <w:ind w:left="340"/>
              <w:spacing w:after="0"/>
              <w:rPr>
                <w:sz w:val="20"/>
                <w:szCs w:val="20"/>
                <w:color w:val="auto"/>
              </w:rPr>
            </w:pPr>
            <w:r>
              <w:rPr>
                <w:rFonts w:ascii="Arial" w:cs="Arial" w:eastAsia="Arial" w:hAnsi="Arial"/>
                <w:sz w:val="18"/>
                <w:szCs w:val="18"/>
                <w:color w:val="auto"/>
                <w:w w:val="98"/>
              </w:rPr>
              <w:t>Fixed compensation for</w:t>
            </w:r>
          </w:p>
        </w:tc>
      </w:tr>
      <w:tr>
        <w:trPr>
          <w:trHeight w:val="220"/>
        </w:trPr>
        <w:tc>
          <w:tcPr>
            <w:tcW w:w="8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Salary</w:t>
            </w:r>
          </w:p>
        </w:tc>
        <w:tc>
          <w:tcPr>
            <w:tcW w:w="2200" w:type="dxa"/>
            <w:vAlign w:val="bottom"/>
          </w:tcPr>
          <w:p>
            <w:pPr>
              <w:ind w:left="340"/>
              <w:spacing w:after="0"/>
              <w:rPr>
                <w:sz w:val="20"/>
                <w:szCs w:val="20"/>
                <w:color w:val="auto"/>
              </w:rPr>
            </w:pPr>
            <w:r>
              <w:rPr>
                <w:rFonts w:ascii="Arial" w:cs="Arial" w:eastAsia="Arial" w:hAnsi="Arial"/>
                <w:sz w:val="18"/>
                <w:szCs w:val="18"/>
                <w:color w:val="auto"/>
                <w:w w:val="89"/>
              </w:rPr>
              <w:t>performing the core areas</w:t>
            </w:r>
          </w:p>
        </w:tc>
      </w:tr>
      <w:tr>
        <w:trPr>
          <w:trHeight w:val="216"/>
        </w:trPr>
        <w:tc>
          <w:tcPr>
            <w:tcW w:w="84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of responsibility in</w:t>
            </w:r>
          </w:p>
        </w:tc>
      </w:tr>
      <w:tr>
        <w:trPr>
          <w:trHeight w:val="216"/>
        </w:trPr>
        <w:tc>
          <w:tcPr>
            <w:tcW w:w="84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amounts that are</w:t>
            </w:r>
          </w:p>
        </w:tc>
      </w:tr>
      <w:tr>
        <w:trPr>
          <w:trHeight w:val="216"/>
        </w:trPr>
        <w:tc>
          <w:tcPr>
            <w:tcW w:w="84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competitive in the</w:t>
            </w:r>
          </w:p>
        </w:tc>
      </w:tr>
      <w:tr>
        <w:trPr>
          <w:trHeight w:val="216"/>
        </w:trPr>
        <w:tc>
          <w:tcPr>
            <w:tcW w:w="84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markets in which we</w:t>
            </w:r>
          </w:p>
        </w:tc>
      </w:tr>
      <w:tr>
        <w:trPr>
          <w:trHeight w:val="230"/>
        </w:trPr>
        <w:tc>
          <w:tcPr>
            <w:tcW w:w="840" w:type="dxa"/>
            <w:vAlign w:val="bottom"/>
          </w:tcPr>
          <w:p>
            <w:pPr>
              <w:spacing w:after="0"/>
              <w:rPr>
                <w:sz w:val="20"/>
                <w:szCs w:val="20"/>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operate.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Annual</w:t>
            </w:r>
          </w:p>
        </w:tc>
        <w:tc>
          <w:tcPr>
            <w:tcW w:w="2080" w:type="dxa"/>
            <w:vAlign w:val="bottom"/>
          </w:tcPr>
          <w:p>
            <w:pPr>
              <w:ind w:left="280"/>
              <w:spacing w:after="0"/>
              <w:rPr>
                <w:sz w:val="20"/>
                <w:szCs w:val="20"/>
                <w:color w:val="auto"/>
              </w:rPr>
            </w:pPr>
            <w:r>
              <w:rPr>
                <w:rFonts w:ascii="Arial" w:cs="Arial" w:eastAsia="Arial" w:hAnsi="Arial"/>
                <w:sz w:val="18"/>
                <w:szCs w:val="18"/>
                <w:color w:val="auto"/>
                <w:w w:val="97"/>
              </w:rPr>
              <w:t>Variable compensation</w:t>
            </w:r>
          </w:p>
        </w:tc>
      </w:tr>
      <w:tr>
        <w:trPr>
          <w:trHeight w:val="216"/>
        </w:trPr>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Incentive</w:t>
            </w:r>
          </w:p>
        </w:tc>
        <w:tc>
          <w:tcPr>
            <w:tcW w:w="2080" w:type="dxa"/>
            <w:vAlign w:val="bottom"/>
          </w:tcPr>
          <w:p>
            <w:pPr>
              <w:ind w:left="280"/>
              <w:spacing w:after="0"/>
              <w:rPr>
                <w:sz w:val="20"/>
                <w:szCs w:val="20"/>
                <w:color w:val="auto"/>
              </w:rPr>
            </w:pPr>
            <w:r>
              <w:rPr>
                <w:rFonts w:ascii="Arial" w:cs="Arial" w:eastAsia="Arial" w:hAnsi="Arial"/>
                <w:sz w:val="18"/>
                <w:szCs w:val="18"/>
                <w:color w:val="auto"/>
                <w:w w:val="87"/>
              </w:rPr>
              <w:t>payable in cash based on</w:t>
            </w:r>
          </w:p>
        </w:tc>
      </w:tr>
      <w:tr>
        <w:trPr>
          <w:trHeight w:val="220"/>
        </w:trPr>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Award</w:t>
            </w:r>
          </w:p>
        </w:tc>
        <w:tc>
          <w:tcPr>
            <w:tcW w:w="2080" w:type="dxa"/>
            <w:vAlign w:val="bottom"/>
          </w:tcPr>
          <w:p>
            <w:pPr>
              <w:ind w:left="280"/>
              <w:spacing w:after="0"/>
              <w:rPr>
                <w:sz w:val="20"/>
                <w:szCs w:val="20"/>
                <w:color w:val="auto"/>
              </w:rPr>
            </w:pPr>
            <w:r>
              <w:rPr>
                <w:rFonts w:ascii="Arial" w:cs="Arial" w:eastAsia="Arial" w:hAnsi="Arial"/>
                <w:sz w:val="18"/>
                <w:szCs w:val="18"/>
                <w:color w:val="auto"/>
              </w:rPr>
              <w:t>performance against</w:t>
            </w:r>
          </w:p>
        </w:tc>
      </w:tr>
      <w:tr>
        <w:trPr>
          <w:trHeight w:val="216"/>
        </w:trPr>
        <w:tc>
          <w:tcPr>
            <w:tcW w:w="1020" w:type="dxa"/>
            <w:vAlign w:val="bottom"/>
          </w:tcPr>
          <w:p>
            <w:pPr>
              <w:spacing w:after="0"/>
              <w:rPr>
                <w:sz w:val="18"/>
                <w:szCs w:val="18"/>
                <w:color w:val="auto"/>
              </w:rPr>
            </w:pPr>
          </w:p>
        </w:tc>
        <w:tc>
          <w:tcPr>
            <w:tcW w:w="2080" w:type="dxa"/>
            <w:vAlign w:val="bottom"/>
          </w:tcPr>
          <w:p>
            <w:pPr>
              <w:ind w:left="280"/>
              <w:spacing w:after="0"/>
              <w:rPr>
                <w:sz w:val="20"/>
                <w:szCs w:val="20"/>
                <w:color w:val="auto"/>
              </w:rPr>
            </w:pPr>
            <w:r>
              <w:rPr>
                <w:rFonts w:ascii="Arial" w:cs="Arial" w:eastAsia="Arial" w:hAnsi="Arial"/>
                <w:sz w:val="18"/>
                <w:szCs w:val="18"/>
                <w:color w:val="auto"/>
              </w:rPr>
              <w:t>annually established</w:t>
            </w:r>
          </w:p>
        </w:tc>
      </w:tr>
      <w:tr>
        <w:trPr>
          <w:trHeight w:val="216"/>
        </w:trPr>
        <w:tc>
          <w:tcPr>
            <w:tcW w:w="1020" w:type="dxa"/>
            <w:vAlign w:val="bottom"/>
          </w:tcPr>
          <w:p>
            <w:pPr>
              <w:spacing w:after="0"/>
              <w:rPr>
                <w:sz w:val="18"/>
                <w:szCs w:val="18"/>
                <w:color w:val="auto"/>
              </w:rPr>
            </w:pPr>
          </w:p>
        </w:tc>
        <w:tc>
          <w:tcPr>
            <w:tcW w:w="2080" w:type="dxa"/>
            <w:vAlign w:val="bottom"/>
          </w:tcPr>
          <w:p>
            <w:pPr>
              <w:ind w:left="280"/>
              <w:spacing w:after="0"/>
              <w:rPr>
                <w:sz w:val="20"/>
                <w:szCs w:val="20"/>
                <w:color w:val="auto"/>
              </w:rPr>
            </w:pPr>
            <w:r>
              <w:rPr>
                <w:rFonts w:ascii="Arial" w:cs="Arial" w:eastAsia="Arial" w:hAnsi="Arial"/>
                <w:sz w:val="18"/>
                <w:szCs w:val="18"/>
                <w:color w:val="auto"/>
                <w:w w:val="89"/>
              </w:rPr>
              <w:t>goals and assessment of</w:t>
            </w:r>
          </w:p>
        </w:tc>
      </w:tr>
      <w:tr>
        <w:trPr>
          <w:trHeight w:val="230"/>
        </w:trPr>
        <w:tc>
          <w:tcPr>
            <w:tcW w:w="1020" w:type="dxa"/>
            <w:vAlign w:val="bottom"/>
          </w:tcPr>
          <w:p>
            <w:pPr>
              <w:spacing w:after="0"/>
              <w:rPr>
                <w:sz w:val="20"/>
                <w:szCs w:val="20"/>
                <w:color w:val="auto"/>
              </w:rPr>
            </w:pPr>
          </w:p>
        </w:tc>
        <w:tc>
          <w:tcPr>
            <w:tcW w:w="2080" w:type="dxa"/>
            <w:vAlign w:val="bottom"/>
          </w:tcPr>
          <w:p>
            <w:pPr>
              <w:ind w:left="280"/>
              <w:spacing w:after="0"/>
              <w:rPr>
                <w:sz w:val="20"/>
                <w:szCs w:val="20"/>
                <w:color w:val="auto"/>
              </w:rPr>
            </w:pPr>
            <w:r>
              <w:rPr>
                <w:rFonts w:ascii="Arial" w:cs="Arial" w:eastAsia="Arial" w:hAnsi="Arial"/>
                <w:sz w:val="18"/>
                <w:szCs w:val="18"/>
                <w:color w:val="auto"/>
                <w:w w:val="95"/>
              </w:rPr>
              <w:t>individual performance.</w:t>
            </w:r>
          </w:p>
        </w:tc>
      </w:tr>
    </w:tbl>
    <w:p>
      <w:pPr>
        <w:spacing w:after="0" w:line="20" w:lineRule="exact"/>
        <w:rPr>
          <w:sz w:val="20"/>
          <w:szCs w:val="20"/>
          <w:color w:val="auto"/>
        </w:rPr>
      </w:pPr>
      <w:r>
        <w:rPr>
          <w:sz w:val="20"/>
          <w:szCs w:val="20"/>
          <w:color w:val="auto"/>
        </w:rPr>
        <w:br w:type="column"/>
      </w:r>
    </w:p>
    <w:p>
      <w:pPr>
        <w:ind w:left="6" w:right="120"/>
        <w:spacing w:after="0" w:line="279" w:lineRule="auto"/>
        <w:rPr>
          <w:sz w:val="20"/>
          <w:szCs w:val="20"/>
          <w:color w:val="auto"/>
        </w:rPr>
      </w:pPr>
      <w:r>
        <w:rPr>
          <w:rFonts w:ascii="Arial" w:cs="Arial" w:eastAsia="Arial" w:hAnsi="Arial"/>
          <w:sz w:val="17"/>
          <w:szCs w:val="17"/>
          <w:color w:val="auto"/>
        </w:rPr>
        <w:t>Provide a fixed compensation for performing the core areas of responsibility of the NEO. These are reviewed annually and adjusted when appropriate.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Factors used to determine base salaries:</w:t>
      </w:r>
    </w:p>
    <w:p>
      <w:pPr>
        <w:spacing w:after="0" w:line="131" w:lineRule="exact"/>
        <w:rPr>
          <w:sz w:val="20"/>
          <w:szCs w:val="20"/>
          <w:color w:val="auto"/>
        </w:rPr>
      </w:pPr>
    </w:p>
    <w:p>
      <w:pPr>
        <w:ind w:left="146" w:hanging="146"/>
        <w:spacing w:after="0"/>
        <w:tabs>
          <w:tab w:leader="none" w:pos="1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NEO’s experience, skill, and performance.</w:t>
      </w:r>
    </w:p>
    <w:p>
      <w:pPr>
        <w:spacing w:after="0" w:line="142" w:lineRule="exact"/>
        <w:rPr>
          <w:rFonts w:ascii="Arial" w:cs="Arial" w:eastAsia="Arial" w:hAnsi="Arial"/>
          <w:sz w:val="17"/>
          <w:szCs w:val="17"/>
          <w:color w:val="auto"/>
        </w:rPr>
      </w:pPr>
    </w:p>
    <w:p>
      <w:pPr>
        <w:ind w:left="146" w:hanging="146"/>
        <w:spacing w:after="0"/>
        <w:tabs>
          <w:tab w:leader="none" w:pos="1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breadth of the NEO’s responsibilities.</w:t>
      </w:r>
    </w:p>
    <w:p>
      <w:pPr>
        <w:spacing w:after="0" w:line="142" w:lineRule="exact"/>
        <w:rPr>
          <w:rFonts w:ascii="Arial" w:cs="Arial" w:eastAsia="Arial" w:hAnsi="Arial"/>
          <w:sz w:val="17"/>
          <w:szCs w:val="17"/>
          <w:color w:val="auto"/>
        </w:rPr>
      </w:pPr>
    </w:p>
    <w:p>
      <w:pPr>
        <w:ind w:left="146" w:hanging="146"/>
        <w:spacing w:after="0"/>
        <w:tabs>
          <w:tab w:leader="none" w:pos="1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Internal equity among other NEOs.</w:t>
      </w:r>
    </w:p>
    <w:p>
      <w:pPr>
        <w:spacing w:after="0" w:line="130" w:lineRule="exact"/>
        <w:rPr>
          <w:rFonts w:ascii="Arial" w:cs="Arial" w:eastAsia="Arial" w:hAnsi="Arial"/>
          <w:sz w:val="18"/>
          <w:szCs w:val="18"/>
          <w:color w:val="auto"/>
        </w:rPr>
      </w:pPr>
    </w:p>
    <w:p>
      <w:pPr>
        <w:ind w:left="146" w:hanging="146"/>
        <w:spacing w:after="0"/>
        <w:tabs>
          <w:tab w:leader="none" w:pos="1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relative to market.</w:t>
      </w:r>
    </w:p>
    <w:p>
      <w:pPr>
        <w:spacing w:after="0" w:line="266" w:lineRule="exact"/>
        <w:rPr>
          <w:sz w:val="20"/>
          <w:szCs w:val="20"/>
          <w:color w:val="auto"/>
        </w:rPr>
      </w:pPr>
    </w:p>
    <w:p>
      <w:pPr>
        <w:ind w:left="6" w:right="180"/>
        <w:spacing w:after="0" w:line="286" w:lineRule="auto"/>
        <w:rPr>
          <w:sz w:val="20"/>
          <w:szCs w:val="20"/>
          <w:color w:val="auto"/>
        </w:rPr>
      </w:pPr>
      <w:r>
        <w:rPr>
          <w:rFonts w:ascii="Arial" w:cs="Arial" w:eastAsia="Arial" w:hAnsi="Arial"/>
          <w:sz w:val="17"/>
          <w:szCs w:val="17"/>
          <w:color w:val="auto"/>
        </w:rPr>
        <w:t>Motivate and reward NEOs for achievement of key strategic, operational and financial measures over the year.</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6"/>
          <w:szCs w:val="16"/>
          <w:color w:val="auto"/>
        </w:rPr>
        <w:t>Measures used to determine annual incentive:</w:t>
      </w:r>
    </w:p>
    <w:p>
      <w:pPr>
        <w:spacing w:after="0" w:line="154" w:lineRule="exact"/>
        <w:rPr>
          <w:sz w:val="20"/>
          <w:szCs w:val="20"/>
          <w:color w:val="auto"/>
        </w:rPr>
      </w:pPr>
    </w:p>
    <w:p>
      <w:pPr>
        <w:ind w:left="166" w:hanging="166"/>
        <w:spacing w:after="0" w:line="288" w:lineRule="auto"/>
        <w:tabs>
          <w:tab w:leader="none" w:pos="1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maximum aggregate annual incentives earned by the NEOs subject to the Manpower Inc. Corporate Senior Management Annual Incentive Pool Plan (“Pool Plan”) cannot exceed a certain percentage of gross profit (the “Pool”). Each NEO in the Pool Plan cannot earn more than his or her allocated portion of the Pool. The annual incentive is further limited by the Committee’s negative discretion.</w:t>
      </w:r>
    </w:p>
    <w:p>
      <w:pPr>
        <w:spacing w:after="0" w:line="20" w:lineRule="exact"/>
        <w:rPr>
          <w:sz w:val="20"/>
          <w:szCs w:val="20"/>
          <w:color w:val="auto"/>
        </w:rPr>
      </w:pPr>
      <w:r>
        <w:rPr>
          <w:sz w:val="20"/>
          <w:szCs w:val="20"/>
          <w:color w:val="auto"/>
        </w:rPr>
        <w:br w:type="column"/>
      </w:r>
    </w:p>
    <w:p>
      <w:pPr>
        <w:ind w:left="168" w:right="580" w:hanging="168"/>
        <w:spacing w:after="0" w:line="277" w:lineRule="auto"/>
        <w:tabs>
          <w:tab w:leader="none" w:pos="1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NEOs received an increase in base salary in 2015.</w:t>
      </w:r>
    </w:p>
    <w:p>
      <w:pPr>
        <w:spacing w:after="0" w:line="75" w:lineRule="exact"/>
        <w:rPr>
          <w:rFonts w:ascii="Arial" w:cs="Arial" w:eastAsia="Arial" w:hAnsi="Arial"/>
          <w:sz w:val="18"/>
          <w:szCs w:val="18"/>
          <w:color w:val="auto"/>
        </w:rPr>
      </w:pPr>
    </w:p>
    <w:p>
      <w:pPr>
        <w:ind w:left="168" w:right="420" w:hanging="168"/>
        <w:spacing w:after="0" w:line="259" w:lineRule="auto"/>
        <w:tabs>
          <w:tab w:leader="none" w:pos="159"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Mr. Prising's and Mr. Green's 2015 salary in the Summary Compensation Table on page </w:t>
      </w:r>
      <w:hyperlink w:anchor="page63">
        <w:r>
          <w:rPr>
            <w:rFonts w:ascii="Arial" w:cs="Arial" w:eastAsia="Arial" w:hAnsi="Arial"/>
            <w:sz w:val="18"/>
            <w:szCs w:val="18"/>
            <w:u w:val="single" w:color="auto"/>
            <w:color w:val="0000EE"/>
          </w:rPr>
          <w:t>61</w:t>
        </w:r>
        <w:r>
          <w:rPr>
            <w:rFonts w:ascii="Arial" w:cs="Arial" w:eastAsia="Arial" w:hAnsi="Arial"/>
            <w:sz w:val="18"/>
            <w:szCs w:val="18"/>
            <w:color w:val="0000EE"/>
          </w:rPr>
          <w:t xml:space="preserve"> </w:t>
        </w:r>
      </w:hyperlink>
      <w:r>
        <w:rPr>
          <w:rFonts w:ascii="Arial" w:cs="Arial" w:eastAsia="Arial" w:hAnsi="Arial"/>
          <w:sz w:val="18"/>
          <w:szCs w:val="18"/>
          <w:color w:val="000000"/>
        </w:rPr>
        <w:t>reflects</w:t>
      </w:r>
      <w:r>
        <w:rPr>
          <w:rFonts w:ascii="Arial" w:cs="Arial" w:eastAsia="Arial" w:hAnsi="Arial"/>
          <w:sz w:val="18"/>
          <w:szCs w:val="18"/>
          <w:color w:val="0000EE"/>
        </w:rPr>
        <w:t xml:space="preserve"> </w:t>
      </w:r>
      <w:r>
        <w:rPr>
          <w:rFonts w:ascii="Arial" w:cs="Arial" w:eastAsia="Arial" w:hAnsi="Arial"/>
          <w:sz w:val="18"/>
          <w:szCs w:val="18"/>
          <w:color w:val="000000"/>
        </w:rPr>
        <w:t>a full year as CEO and COO,</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92" w:lineRule="exact"/>
        <w:rPr>
          <w:rFonts w:ascii="Arial" w:cs="Arial" w:eastAsia="Arial" w:hAnsi="Arial"/>
          <w:sz w:val="18"/>
          <w:szCs w:val="18"/>
          <w:color w:val="0000EE"/>
        </w:rPr>
      </w:pPr>
    </w:p>
    <w:p>
      <w:pPr>
        <w:ind w:left="168" w:right="380" w:hanging="168"/>
        <w:spacing w:after="0" w:line="297" w:lineRule="auto"/>
        <w:tabs>
          <w:tab w:leader="none" w:pos="159"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Joerres received a decrease in his base salary in connection with his continued transition to the role of Executive Chairman. Mr. Joerres retired from the Company on December 30, 2015.</w:t>
      </w:r>
    </w:p>
    <w:p>
      <w:pPr>
        <w:spacing w:after="0" w:line="131" w:lineRule="exact"/>
        <w:rPr>
          <w:rFonts w:ascii="Arial" w:cs="Arial" w:eastAsia="Arial" w:hAnsi="Arial"/>
          <w:sz w:val="16"/>
          <w:szCs w:val="16"/>
          <w:color w:val="auto"/>
        </w:rPr>
      </w:pPr>
    </w:p>
    <w:p>
      <w:pPr>
        <w:ind w:left="168" w:right="500" w:hanging="168"/>
        <w:spacing w:after="0" w:line="254" w:lineRule="auto"/>
        <w:tabs>
          <w:tab w:leader="none" w:pos="1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Pool for 2015 was $24.7 million. Mr. Prising’s portion of the Pool for 2015 was $5.9 million. However, the individual limit under the Pool Plan</w:t>
      </w:r>
    </w:p>
    <w:p>
      <w:pPr>
        <w:spacing w:after="0" w:line="2" w:lineRule="exact"/>
        <w:rPr>
          <w:rFonts w:ascii="Arial" w:cs="Arial" w:eastAsia="Arial" w:hAnsi="Arial"/>
          <w:sz w:val="18"/>
          <w:szCs w:val="18"/>
          <w:color w:val="auto"/>
        </w:rPr>
      </w:pPr>
    </w:p>
    <w:p>
      <w:pPr>
        <w:ind w:left="168" w:right="480"/>
        <w:spacing w:after="0" w:line="261" w:lineRule="auto"/>
        <w:rPr>
          <w:rFonts w:ascii="Arial" w:cs="Arial" w:eastAsia="Arial" w:hAnsi="Arial"/>
          <w:sz w:val="18"/>
          <w:szCs w:val="18"/>
          <w:color w:val="auto"/>
        </w:rPr>
      </w:pPr>
      <w:r>
        <w:rPr>
          <w:rFonts w:ascii="Arial" w:cs="Arial" w:eastAsia="Arial" w:hAnsi="Arial"/>
          <w:sz w:val="18"/>
          <w:szCs w:val="18"/>
          <w:color w:val="auto"/>
        </w:rPr>
        <w:t>is $5 million, which was less than his share of the Pool.</w:t>
      </w:r>
    </w:p>
    <w:p>
      <w:pPr>
        <w:spacing w:after="0" w:line="183" w:lineRule="exact"/>
        <w:rPr>
          <w:rFonts w:ascii="Arial" w:cs="Arial" w:eastAsia="Arial" w:hAnsi="Arial"/>
          <w:sz w:val="18"/>
          <w:szCs w:val="18"/>
          <w:color w:val="auto"/>
        </w:rPr>
      </w:pPr>
    </w:p>
    <w:p>
      <w:pPr>
        <w:jc w:val="both"/>
        <w:ind w:left="168" w:right="560" w:hanging="168"/>
        <w:spacing w:after="0" w:line="286" w:lineRule="auto"/>
        <w:tabs>
          <w:tab w:leader="none" w:pos="159"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participant in the Pool Plan received an incentive significantly below his or her allocated portion of the Pool.</w:t>
      </w:r>
    </w:p>
    <w:p>
      <w:pPr>
        <w:spacing w:after="0" w:line="165" w:lineRule="exact"/>
        <w:rPr>
          <w:rFonts w:ascii="Arial" w:cs="Arial" w:eastAsia="Arial" w:hAnsi="Arial"/>
          <w:sz w:val="17"/>
          <w:szCs w:val="17"/>
          <w:color w:val="auto"/>
        </w:rPr>
      </w:pPr>
    </w:p>
    <w:p>
      <w:pPr>
        <w:ind w:left="168" w:right="640" w:hanging="168"/>
        <w:spacing w:after="0" w:line="277" w:lineRule="auto"/>
        <w:tabs>
          <w:tab w:leader="none" w:pos="1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EPS and ROIC levels achieved were above the target levels.</w:t>
      </w:r>
    </w:p>
    <w:p>
      <w:pPr>
        <w:spacing w:after="0" w:line="660" w:lineRule="exact"/>
        <w:rPr>
          <w:sz w:val="20"/>
          <w:szCs w:val="20"/>
          <w:color w:val="auto"/>
        </w:rPr>
      </w:pPr>
    </w:p>
    <w:p>
      <w:pPr>
        <w:sectPr>
          <w:pgSz w:w="11900" w:h="16838" w:orient="portrait"/>
          <w:cols w:equalWidth="0" w:num="3">
            <w:col w:w="3960" w:space="174"/>
            <w:col w:w="3366" w:space="172"/>
            <w:col w:w="3748"/>
          </w:cols>
          <w:pgMar w:left="240" w:top="121" w:right="2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Key</w:t>
            </w:r>
          </w:p>
        </w:tc>
        <w:tc>
          <w:tcPr>
            <w:tcW w:w="3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Objective and Determination</w:t>
            </w:r>
          </w:p>
        </w:tc>
        <w:tc>
          <w:tcPr>
            <w:tcW w:w="120" w:type="dxa"/>
            <w:vAlign w:val="bottom"/>
            <w:vMerge w:val="restart"/>
          </w:tcPr>
          <w:p>
            <w:pPr>
              <w:spacing w:after="0"/>
              <w:rPr>
                <w:sz w:val="14"/>
                <w:szCs w:val="14"/>
                <w:color w:val="auto"/>
              </w:rPr>
            </w:pPr>
          </w:p>
        </w:tc>
        <w:tc>
          <w:tcPr>
            <w:tcW w:w="34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2015 Decisions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Characteristics</w:t>
            </w:r>
          </w:p>
        </w:tc>
        <w:tc>
          <w:tcPr>
            <w:tcW w:w="12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080"/>
          </w:cols>
          <w:pgMar w:left="240" w:top="121" w:right="579" w:bottom="1440" w:gutter="0" w:footer="0" w:header="0"/>
        </w:sectPr>
      </w:pPr>
    </w:p>
    <w:p>
      <w:pPr>
        <w:ind w:left="4300" w:right="200" w:hanging="166"/>
        <w:spacing w:after="0" w:line="312" w:lineRule="auto"/>
        <w:tabs>
          <w:tab w:leader="none" w:pos="42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Committee uses performance metrics and individual operating objectives to determine the actual payout to the NEOs.</w:t>
      </w:r>
    </w:p>
    <w:p>
      <w:pPr>
        <w:spacing w:after="0" w:line="52" w:lineRule="exact"/>
        <w:rPr>
          <w:rFonts w:ascii="Arial" w:cs="Arial" w:eastAsia="Arial" w:hAnsi="Arial"/>
          <w:sz w:val="16"/>
          <w:szCs w:val="16"/>
          <w:color w:val="auto"/>
        </w:rPr>
      </w:pPr>
    </w:p>
    <w:p>
      <w:pPr>
        <w:ind w:left="4300" w:right="80" w:hanging="166"/>
        <w:spacing w:after="0" w:line="308" w:lineRule="auto"/>
        <w:tabs>
          <w:tab w:leader="none" w:pos="428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performance metrics used to determine NEOs annual incentive were:</w:t>
      </w:r>
    </w:p>
    <w:p>
      <w:pPr>
        <w:spacing w:after="0" w:line="51" w:lineRule="exact"/>
        <w:rPr>
          <w:rFonts w:ascii="Arial" w:cs="Arial" w:eastAsia="Arial" w:hAnsi="Arial"/>
          <w:sz w:val="17"/>
          <w:szCs w:val="17"/>
          <w:color w:val="auto"/>
        </w:rPr>
      </w:pPr>
    </w:p>
    <w:p>
      <w:pPr>
        <w:ind w:left="4620" w:hanging="162"/>
        <w:spacing w:after="0"/>
        <w:tabs>
          <w:tab w:leader="none" w:pos="4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EPS and ROIC for all NEOs.</w:t>
      </w:r>
    </w:p>
    <w:p>
      <w:pPr>
        <w:spacing w:after="0" w:line="130" w:lineRule="exact"/>
        <w:rPr>
          <w:rFonts w:ascii="Arial" w:cs="Arial" w:eastAsia="Arial" w:hAnsi="Arial"/>
          <w:sz w:val="18"/>
          <w:szCs w:val="18"/>
          <w:color w:val="auto"/>
        </w:rPr>
      </w:pPr>
    </w:p>
    <w:p>
      <w:pPr>
        <w:ind w:left="4620" w:hanging="162"/>
        <w:spacing w:after="0" w:line="276" w:lineRule="auto"/>
        <w:tabs>
          <w:tab w:leader="none" w:pos="4601" w:val="left"/>
        </w:tabs>
        <w:numPr>
          <w:ilvl w:val="1"/>
          <w:numId w:val="48"/>
        </w:numPr>
        <w:rPr>
          <w:rFonts w:ascii="Arial" w:cs="Arial" w:eastAsia="Arial" w:hAnsi="Arial"/>
          <w:sz w:val="17"/>
          <w:szCs w:val="17"/>
          <w:color w:val="0000EE"/>
        </w:rPr>
      </w:pPr>
      <w:r>
        <w:rPr>
          <w:rFonts w:ascii="Arial" w:cs="Arial" w:eastAsia="Arial" w:hAnsi="Arial"/>
          <w:sz w:val="17"/>
          <w:szCs w:val="17"/>
          <w:color w:val="auto"/>
        </w:rPr>
        <w:t xml:space="preserve">Adjusted Operating Unit Profit (AOUP) for Mr. Chandrashekar, who has responsibility for an operating unit (e.g. for a geographical region). See page </w:t>
      </w:r>
      <w:hyperlink w:anchor="page51">
        <w:r>
          <w:rPr>
            <w:rFonts w:ascii="Arial" w:cs="Arial" w:eastAsia="Arial" w:hAnsi="Arial"/>
            <w:sz w:val="17"/>
            <w:szCs w:val="17"/>
            <w:u w:val="single" w:color="auto"/>
            <w:color w:val="0000EE"/>
          </w:rPr>
          <w:t>49</w:t>
        </w:r>
        <w:r>
          <w:rPr>
            <w:rFonts w:ascii="Arial" w:cs="Arial" w:eastAsia="Arial" w:hAnsi="Arial"/>
            <w:sz w:val="17"/>
            <w:szCs w:val="17"/>
            <w:color w:val="0000EE"/>
          </w:rPr>
          <w:t xml:space="preserve">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the definition of AOUP.</w:t>
      </w:r>
    </w:p>
    <w:p>
      <w:pPr>
        <w:spacing w:after="0" w:line="20" w:lineRule="exact"/>
        <w:rPr>
          <w:sz w:val="20"/>
          <w:szCs w:val="20"/>
          <w:color w:val="auto"/>
        </w:rPr>
      </w:pPr>
      <w:r>
        <w:rPr>
          <w:sz w:val="20"/>
          <w:szCs w:val="20"/>
          <w:color w:val="auto"/>
        </w:rPr>
        <w:br w:type="column"/>
      </w:r>
    </w:p>
    <w:p>
      <w:pPr>
        <w:ind w:left="168" w:right="40" w:hanging="168"/>
        <w:spacing w:after="0" w:line="342" w:lineRule="auto"/>
        <w:tabs>
          <w:tab w:leader="none" w:pos="1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AOUP level for Mr. Chandrashekar was between the Threshold and Target level.</w:t>
      </w:r>
    </w:p>
    <w:p>
      <w:pPr>
        <w:spacing w:after="0" w:line="56" w:lineRule="exact"/>
        <w:rPr>
          <w:rFonts w:ascii="Arial" w:cs="Arial" w:eastAsia="Arial" w:hAnsi="Arial"/>
          <w:sz w:val="16"/>
          <w:szCs w:val="16"/>
          <w:color w:val="auto"/>
        </w:rPr>
      </w:pPr>
    </w:p>
    <w:p>
      <w:pPr>
        <w:ind w:left="168" w:right="160" w:hanging="168"/>
        <w:spacing w:after="0" w:line="312" w:lineRule="auto"/>
        <w:tabs>
          <w:tab w:leader="none" w:pos="1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NEOs received a percentage of their incentive for achieving a specified level of the operating objectives.</w:t>
      </w:r>
    </w:p>
    <w:p>
      <w:pPr>
        <w:spacing w:after="0" w:line="146" w:lineRule="exact"/>
        <w:rPr>
          <w:rFonts w:ascii="Arial" w:cs="Arial" w:eastAsia="Arial" w:hAnsi="Arial"/>
          <w:sz w:val="16"/>
          <w:szCs w:val="16"/>
          <w:color w:val="auto"/>
        </w:rPr>
      </w:pPr>
    </w:p>
    <w:p>
      <w:pPr>
        <w:ind w:left="148" w:hanging="148"/>
        <w:spacing w:after="0"/>
        <w:tabs>
          <w:tab w:leader="none" w:pos="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See page </w:t>
      </w:r>
      <w:hyperlink w:anchor="page50">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261" w:lineRule="exact"/>
        <w:rPr>
          <w:sz w:val="20"/>
          <w:szCs w:val="20"/>
          <w:color w:val="auto"/>
        </w:rPr>
      </w:pPr>
    </w:p>
    <w:p>
      <w:pPr>
        <w:sectPr>
          <w:pgSz w:w="11900" w:h="16838" w:orient="portrait"/>
          <w:cols w:equalWidth="0" w:num="2">
            <w:col w:w="7500" w:space="172"/>
            <w:col w:w="3408"/>
          </w:cols>
          <w:pgMar w:left="240" w:top="121" w:right="579" w:bottom="1440" w:gutter="0" w:footer="0" w:header="0"/>
          <w:type w:val="continuous"/>
        </w:sectPr>
      </w:pPr>
    </w:p>
    <w:tbl>
      <w:tblPr>
        <w:tblLayout w:type="fixed"/>
        <w:tblInd w:w="420" w:type="dxa"/>
        <w:tblCellMar>
          <w:top w:w="0" w:type="dxa"/>
          <w:left w:w="0" w:type="dxa"/>
          <w:bottom w:w="0" w:type="dxa"/>
          <w:right w:w="0" w:type="dxa"/>
        </w:tblCellMar>
      </w:tblPr>
      <w:tr>
        <w:trPr>
          <w:trHeight w:val="216"/>
        </w:trPr>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Performance Share</w:t>
            </w:r>
          </w:p>
        </w:tc>
        <w:tc>
          <w:tcPr>
            <w:tcW w:w="1960" w:type="dxa"/>
            <w:vAlign w:val="bottom"/>
          </w:tcPr>
          <w:p>
            <w:pPr>
              <w:ind w:left="100"/>
              <w:spacing w:after="0"/>
              <w:rPr>
                <w:sz w:val="20"/>
                <w:szCs w:val="20"/>
                <w:color w:val="auto"/>
              </w:rPr>
            </w:pPr>
            <w:r>
              <w:rPr>
                <w:rFonts w:ascii="Arial" w:cs="Arial" w:eastAsia="Arial" w:hAnsi="Arial"/>
                <w:sz w:val="18"/>
                <w:szCs w:val="18"/>
                <w:color w:val="auto"/>
              </w:rPr>
              <w:t>Variable compensation</w:t>
            </w:r>
          </w:p>
        </w:tc>
      </w:tr>
      <w:tr>
        <w:trPr>
          <w:trHeight w:val="220"/>
        </w:trPr>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Units</w:t>
            </w:r>
          </w:p>
        </w:tc>
        <w:tc>
          <w:tcPr>
            <w:tcW w:w="1960" w:type="dxa"/>
            <w:vAlign w:val="bottom"/>
          </w:tcPr>
          <w:p>
            <w:pPr>
              <w:ind w:left="100"/>
              <w:spacing w:after="0"/>
              <w:rPr>
                <w:sz w:val="20"/>
                <w:szCs w:val="20"/>
                <w:color w:val="auto"/>
              </w:rPr>
            </w:pPr>
            <w:r>
              <w:rPr>
                <w:rFonts w:ascii="Arial" w:cs="Arial" w:eastAsia="Arial" w:hAnsi="Arial"/>
                <w:sz w:val="18"/>
                <w:szCs w:val="18"/>
                <w:color w:val="auto"/>
              </w:rPr>
              <w:t>payable in shares of</w:t>
            </w:r>
          </w:p>
        </w:tc>
      </w:tr>
      <w:tr>
        <w:trPr>
          <w:trHeight w:val="230"/>
        </w:trPr>
        <w:tc>
          <w:tcPr>
            <w:tcW w:w="158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stock.</w:t>
            </w:r>
          </w:p>
        </w:tc>
      </w:tr>
      <w:tr>
        <w:trPr>
          <w:trHeight w:val="418"/>
        </w:trPr>
        <w:tc>
          <w:tcPr>
            <w:tcW w:w="1580" w:type="dxa"/>
            <w:vAlign w:val="bottom"/>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w w:val="98"/>
              </w:rPr>
              <w:t>The performance share</w:t>
            </w:r>
          </w:p>
        </w:tc>
      </w:tr>
      <w:tr>
        <w:trPr>
          <w:trHeight w:val="216"/>
        </w:trPr>
        <w:tc>
          <w:tcPr>
            <w:tcW w:w="158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units vest based on</w:t>
            </w:r>
          </w:p>
        </w:tc>
      </w:tr>
      <w:tr>
        <w:trPr>
          <w:trHeight w:val="216"/>
        </w:trPr>
        <w:tc>
          <w:tcPr>
            <w:tcW w:w="158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achievement of a pre-</w:t>
            </w:r>
          </w:p>
        </w:tc>
      </w:tr>
      <w:tr>
        <w:trPr>
          <w:trHeight w:val="216"/>
        </w:trPr>
        <w:tc>
          <w:tcPr>
            <w:tcW w:w="158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w w:val="93"/>
              </w:rPr>
              <w:t>established performance</w:t>
            </w:r>
          </w:p>
        </w:tc>
      </w:tr>
      <w:tr>
        <w:trPr>
          <w:trHeight w:val="216"/>
        </w:trPr>
        <w:tc>
          <w:tcPr>
            <w:tcW w:w="158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metric over a period of</w:t>
            </w:r>
          </w:p>
        </w:tc>
      </w:tr>
      <w:tr>
        <w:trPr>
          <w:trHeight w:val="216"/>
        </w:trPr>
        <w:tc>
          <w:tcPr>
            <w:tcW w:w="158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w w:val="90"/>
              </w:rPr>
              <w:t>time. If goals are not met,</w:t>
            </w:r>
          </w:p>
        </w:tc>
      </w:tr>
      <w:tr>
        <w:trPr>
          <w:trHeight w:val="230"/>
        </w:trPr>
        <w:tc>
          <w:tcPr>
            <w:tcW w:w="158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w w:val="95"/>
              </w:rPr>
              <w:t>shares are not received.</w:t>
            </w:r>
          </w:p>
        </w:tc>
      </w:tr>
    </w:tbl>
    <w:p>
      <w:pPr>
        <w:spacing w:after="0" w:line="20" w:lineRule="exact"/>
        <w:rPr>
          <w:sz w:val="20"/>
          <w:szCs w:val="20"/>
          <w:color w:val="auto"/>
        </w:rPr>
      </w:pPr>
      <w:r>
        <w:rPr>
          <w:sz w:val="20"/>
          <w:szCs w:val="20"/>
          <w:color w:val="auto"/>
        </w:rPr>
        <w:br w:type="column"/>
      </w:r>
    </w:p>
    <w:p>
      <w:pPr>
        <w:ind w:left="6" w:right="40"/>
        <w:spacing w:after="0" w:line="273" w:lineRule="auto"/>
        <w:rPr>
          <w:sz w:val="20"/>
          <w:szCs w:val="20"/>
          <w:color w:val="auto"/>
        </w:rPr>
      </w:pPr>
      <w:r>
        <w:rPr>
          <w:rFonts w:ascii="Arial" w:cs="Arial" w:eastAsia="Arial" w:hAnsi="Arial"/>
          <w:sz w:val="17"/>
          <w:szCs w:val="17"/>
          <w:color w:val="auto"/>
        </w:rPr>
        <w:t>Motivate and reward NEOs for performance against long-term financial objectives to align the interests of the NEOs with long-term shareholder value. Target amount awarded is determined based on job scope, market practice and individual performance.</w:t>
      </w:r>
    </w:p>
    <w:p>
      <w:pPr>
        <w:spacing w:after="0" w:line="84" w:lineRule="exact"/>
        <w:rPr>
          <w:sz w:val="20"/>
          <w:szCs w:val="20"/>
          <w:color w:val="auto"/>
        </w:rPr>
      </w:pPr>
    </w:p>
    <w:p>
      <w:pPr>
        <w:ind w:left="6" w:right="380"/>
        <w:spacing w:after="0" w:line="277" w:lineRule="auto"/>
        <w:rPr>
          <w:sz w:val="20"/>
          <w:szCs w:val="20"/>
          <w:color w:val="auto"/>
        </w:rPr>
      </w:pPr>
      <w:r>
        <w:rPr>
          <w:rFonts w:ascii="Arial" w:cs="Arial" w:eastAsia="Arial" w:hAnsi="Arial"/>
          <w:sz w:val="18"/>
          <w:szCs w:val="18"/>
          <w:color w:val="auto"/>
        </w:rPr>
        <w:t>Measures used to determine performance share units earned:</w:t>
      </w:r>
    </w:p>
    <w:p>
      <w:pPr>
        <w:spacing w:after="0" w:line="76" w:lineRule="exact"/>
        <w:rPr>
          <w:sz w:val="20"/>
          <w:szCs w:val="20"/>
          <w:color w:val="auto"/>
        </w:rPr>
      </w:pPr>
    </w:p>
    <w:p>
      <w:pPr>
        <w:ind w:left="166" w:hanging="166"/>
        <w:spacing w:after="0" w:line="259" w:lineRule="auto"/>
        <w:tabs>
          <w:tab w:leader="none" w:pos="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threshold level of average operating profit margin percent must be achieved during the 2015-2017 performance period to receive any PSU vesting.</w:t>
      </w:r>
    </w:p>
    <w:p>
      <w:pPr>
        <w:spacing w:after="0" w:line="92" w:lineRule="exact"/>
        <w:rPr>
          <w:rFonts w:ascii="Arial" w:cs="Arial" w:eastAsia="Arial" w:hAnsi="Arial"/>
          <w:sz w:val="18"/>
          <w:szCs w:val="18"/>
          <w:color w:val="auto"/>
        </w:rPr>
      </w:pPr>
    </w:p>
    <w:p>
      <w:pPr>
        <w:ind w:left="486" w:right="40" w:hanging="162"/>
        <w:spacing w:after="0" w:line="302" w:lineRule="auto"/>
        <w:tabs>
          <w:tab w:leader="none" w:pos="477" w:val="left"/>
        </w:tabs>
        <w:numPr>
          <w:ilvl w:val="1"/>
          <w:numId w:val="50"/>
        </w:numPr>
        <w:rPr>
          <w:rFonts w:ascii="Arial" w:cs="Arial" w:eastAsia="Arial" w:hAnsi="Arial"/>
          <w:sz w:val="16"/>
          <w:szCs w:val="16"/>
          <w:color w:val="auto"/>
        </w:rPr>
      </w:pPr>
      <w:r>
        <w:rPr>
          <w:rFonts w:ascii="Arial" w:cs="Arial" w:eastAsia="Arial" w:hAnsi="Arial"/>
          <w:sz w:val="16"/>
          <w:szCs w:val="16"/>
          <w:color w:val="auto"/>
        </w:rPr>
        <w:t>Payout levels for threshold, target and outstanding results are determined, and the actual payout percentage is calculated by interpolation.</w:t>
      </w:r>
    </w:p>
    <w:p>
      <w:pPr>
        <w:spacing w:after="0" w:line="59" w:lineRule="exact"/>
        <w:rPr>
          <w:rFonts w:ascii="Arial" w:cs="Arial" w:eastAsia="Arial" w:hAnsi="Arial"/>
          <w:sz w:val="16"/>
          <w:szCs w:val="16"/>
          <w:color w:val="auto"/>
        </w:rPr>
      </w:pPr>
    </w:p>
    <w:p>
      <w:pPr>
        <w:ind w:left="166" w:right="200" w:hanging="166"/>
        <w:spacing w:after="0" w:line="297" w:lineRule="auto"/>
        <w:tabs>
          <w:tab w:leader="none" w:pos="1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However, if average operating profit does not meet a certain pre-determined dollar “gate” over the 2015-2017 performance period, NEOs will not receive more than 100% of the target level payout.</w:t>
      </w:r>
    </w:p>
    <w:p>
      <w:pPr>
        <w:spacing w:after="0" w:line="212" w:lineRule="exact"/>
        <w:rPr>
          <w:sz w:val="20"/>
          <w:szCs w:val="20"/>
          <w:color w:val="auto"/>
        </w:rPr>
      </w:pPr>
    </w:p>
    <w:p>
      <w:pPr>
        <w:ind w:left="148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ind w:left="247" w:right="60" w:hanging="247"/>
        <w:spacing w:after="0" w:line="297" w:lineRule="auto"/>
        <w:tabs>
          <w:tab w:leader="none" w:pos="2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2015, performance share units represented approximately 60% of the total long-term equity incentive grants awarded to all of the NEOs. In the case of Mr. Joerres this figure exceeded 70%.</w:t>
      </w:r>
    </w:p>
    <w:p>
      <w:pPr>
        <w:spacing w:after="0" w:line="158" w:lineRule="exact"/>
        <w:rPr>
          <w:rFonts w:ascii="Arial" w:cs="Arial" w:eastAsia="Arial" w:hAnsi="Arial"/>
          <w:sz w:val="16"/>
          <w:szCs w:val="16"/>
          <w:color w:val="auto"/>
        </w:rPr>
      </w:pPr>
    </w:p>
    <w:p>
      <w:pPr>
        <w:ind w:left="247" w:hanging="247"/>
        <w:spacing w:after="0"/>
        <w:tabs>
          <w:tab w:leader="none" w:pos="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See page </w:t>
      </w:r>
      <w:hyperlink w:anchor="page56">
        <w:r>
          <w:rPr>
            <w:rFonts w:ascii="Arial" w:cs="Arial" w:eastAsia="Arial" w:hAnsi="Arial"/>
            <w:sz w:val="18"/>
            <w:szCs w:val="18"/>
            <w:u w:val="single" w:color="auto"/>
            <w:color w:val="0000EE"/>
          </w:rPr>
          <w:t>54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ectPr>
          <w:pgSz w:w="11900" w:h="16838" w:orient="portrait"/>
          <w:cols w:equalWidth="0" w:num="3">
            <w:col w:w="3960" w:space="174"/>
            <w:col w:w="3346" w:space="273"/>
            <w:col w:w="3327"/>
          </w:cols>
          <w:pgMar w:left="240" w:top="121" w:right="5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Key</w:t>
            </w:r>
          </w:p>
        </w:tc>
        <w:tc>
          <w:tcPr>
            <w:tcW w:w="3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Objective and Determination</w:t>
            </w:r>
          </w:p>
        </w:tc>
        <w:tc>
          <w:tcPr>
            <w:tcW w:w="120" w:type="dxa"/>
            <w:vAlign w:val="bottom"/>
            <w:vMerge w:val="restart"/>
          </w:tcPr>
          <w:p>
            <w:pPr>
              <w:spacing w:after="0"/>
              <w:rPr>
                <w:sz w:val="14"/>
                <w:szCs w:val="14"/>
                <w:color w:val="auto"/>
              </w:rPr>
            </w:pPr>
          </w:p>
        </w:tc>
        <w:tc>
          <w:tcPr>
            <w:tcW w:w="34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2015 Decisions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Characteristics</w:t>
            </w:r>
          </w:p>
        </w:tc>
        <w:tc>
          <w:tcPr>
            <w:tcW w:w="12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080"/>
          </w:cols>
          <w:pgMar w:left="240" w:top="121" w:right="579" w:bottom="1440" w:gutter="0" w:footer="0" w:header="0"/>
        </w:sectPr>
      </w:pPr>
    </w:p>
    <w:p>
      <w:pPr>
        <w:ind w:left="540"/>
        <w:spacing w:after="0"/>
        <w:tabs>
          <w:tab w:leader="none" w:pos="2080" w:val="left"/>
        </w:tabs>
        <w:rPr>
          <w:sz w:val="20"/>
          <w:szCs w:val="20"/>
          <w:color w:val="auto"/>
        </w:rPr>
      </w:pPr>
      <w:r>
        <w:rPr>
          <w:rFonts w:ascii="Arial" w:cs="Arial" w:eastAsia="Arial" w:hAnsi="Arial"/>
          <w:sz w:val="18"/>
          <w:szCs w:val="18"/>
          <w:b w:val="1"/>
          <w:bCs w:val="1"/>
          <w:color w:val="auto"/>
        </w:rPr>
        <w:t>Restricted Stock</w:t>
      </w:r>
      <w:r>
        <w:rPr>
          <w:sz w:val="20"/>
          <w:szCs w:val="20"/>
          <w:color w:val="auto"/>
        </w:rPr>
        <w:tab/>
      </w:r>
      <w:r>
        <w:rPr>
          <w:rFonts w:ascii="Arial" w:cs="Arial" w:eastAsia="Arial" w:hAnsi="Arial"/>
          <w:sz w:val="16"/>
          <w:szCs w:val="16"/>
          <w:color w:val="auto"/>
        </w:rPr>
        <w:t>Variable compensation</w:t>
      </w:r>
    </w:p>
    <w:p>
      <w:pPr>
        <w:spacing w:after="0" w:line="27" w:lineRule="exact"/>
        <w:rPr>
          <w:sz w:val="20"/>
          <w:szCs w:val="20"/>
          <w:color w:val="auto"/>
        </w:rPr>
      </w:pPr>
    </w:p>
    <w:p>
      <w:pPr>
        <w:ind w:left="960"/>
        <w:spacing w:after="0"/>
        <w:tabs>
          <w:tab w:leader="none" w:pos="2080" w:val="left"/>
        </w:tabs>
        <w:rPr>
          <w:sz w:val="20"/>
          <w:szCs w:val="20"/>
          <w:color w:val="auto"/>
        </w:rPr>
      </w:pPr>
      <w:r>
        <w:rPr>
          <w:rFonts w:ascii="Arial" w:cs="Arial" w:eastAsia="Arial" w:hAnsi="Arial"/>
          <w:sz w:val="18"/>
          <w:szCs w:val="18"/>
          <w:b w:val="1"/>
          <w:bCs w:val="1"/>
          <w:color w:val="auto"/>
        </w:rPr>
        <w:t>Units</w:t>
      </w:r>
      <w:r>
        <w:rPr>
          <w:sz w:val="20"/>
          <w:szCs w:val="20"/>
          <w:color w:val="auto"/>
        </w:rPr>
        <w:tab/>
      </w:r>
      <w:r>
        <w:rPr>
          <w:rFonts w:ascii="Arial" w:cs="Arial" w:eastAsia="Arial" w:hAnsi="Arial"/>
          <w:sz w:val="18"/>
          <w:szCs w:val="18"/>
          <w:color w:val="auto"/>
        </w:rPr>
        <w:t>payable in shares of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stock. 100% of the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restricted stock units vest</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on the third anniversary</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Stock Options</w:t>
            </w:r>
          </w:p>
        </w:tc>
        <w:tc>
          <w:tcPr>
            <w:tcW w:w="1940" w:type="dxa"/>
            <w:vAlign w:val="bottom"/>
          </w:tcPr>
          <w:p>
            <w:pPr>
              <w:ind w:left="140"/>
              <w:spacing w:after="0"/>
              <w:rPr>
                <w:sz w:val="20"/>
                <w:szCs w:val="20"/>
                <w:color w:val="auto"/>
              </w:rPr>
            </w:pPr>
            <w:r>
              <w:rPr>
                <w:rFonts w:ascii="Arial" w:cs="Arial" w:eastAsia="Arial" w:hAnsi="Arial"/>
                <w:sz w:val="18"/>
                <w:szCs w:val="18"/>
                <w:color w:val="auto"/>
              </w:rPr>
              <w:t>Nonqualified stock</w:t>
            </w:r>
          </w:p>
        </w:tc>
      </w:tr>
      <w:tr>
        <w:trPr>
          <w:trHeight w:val="216"/>
        </w:trPr>
        <w:tc>
          <w:tcPr>
            <w:tcW w:w="146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w w:val="90"/>
              </w:rPr>
              <w:t>options that expire in ten</w:t>
            </w:r>
          </w:p>
        </w:tc>
      </w:tr>
      <w:tr>
        <w:trPr>
          <w:trHeight w:val="216"/>
        </w:trPr>
        <w:tc>
          <w:tcPr>
            <w:tcW w:w="146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years and become</w:t>
            </w:r>
          </w:p>
        </w:tc>
      </w:tr>
      <w:tr>
        <w:trPr>
          <w:trHeight w:val="216"/>
        </w:trPr>
        <w:tc>
          <w:tcPr>
            <w:tcW w:w="146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w w:val="93"/>
              </w:rPr>
              <w:t>exercisable ratably over</w:t>
            </w:r>
          </w:p>
        </w:tc>
      </w:tr>
      <w:tr>
        <w:trPr>
          <w:trHeight w:val="230"/>
        </w:trPr>
        <w:tc>
          <w:tcPr>
            <w:tcW w:w="1460" w:type="dxa"/>
            <w:vAlign w:val="bottom"/>
          </w:tcPr>
          <w:p>
            <w:pPr>
              <w:spacing w:after="0"/>
              <w:rPr>
                <w:sz w:val="20"/>
                <w:szCs w:val="20"/>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four years.</w:t>
            </w:r>
          </w:p>
        </w:tc>
      </w:tr>
      <w:tr>
        <w:trPr>
          <w:trHeight w:val="373"/>
        </w:trPr>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Qualified</w:t>
            </w:r>
          </w:p>
        </w:tc>
        <w:tc>
          <w:tcPr>
            <w:tcW w:w="194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234"/>
        </w:trPr>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Retirement Plans</w:t>
            </w:r>
          </w:p>
        </w:tc>
        <w:tc>
          <w:tcPr>
            <w:tcW w:w="1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ind w:left="166" w:right="140" w:hanging="166"/>
        <w:spacing w:after="0" w:line="308" w:lineRule="auto"/>
        <w:tabs>
          <w:tab w:leader="none" w:pos="1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Restricted stock units cliff vest in full after three years and are paid in stock.</w:t>
      </w:r>
    </w:p>
    <w:p>
      <w:pPr>
        <w:spacing w:after="0" w:line="51" w:lineRule="exact"/>
        <w:rPr>
          <w:rFonts w:ascii="Arial" w:cs="Arial" w:eastAsia="Arial" w:hAnsi="Arial"/>
          <w:sz w:val="17"/>
          <w:szCs w:val="17"/>
          <w:color w:val="auto"/>
        </w:rPr>
      </w:pPr>
    </w:p>
    <w:p>
      <w:pPr>
        <w:ind w:left="166" w:right="160" w:hanging="166"/>
        <w:spacing w:after="0" w:line="291" w:lineRule="auto"/>
        <w:tabs>
          <w:tab w:leader="none" w:pos="15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Through stock price and dividend equivalents, restricted stock units directly align NEOs with the shareholders and add balance to the compensation program as they provide both upside potential and downside risk and add an additional retention incentive.</w:t>
      </w:r>
    </w:p>
    <w:p>
      <w:pPr>
        <w:spacing w:after="0" w:line="72" w:lineRule="exact"/>
        <w:rPr>
          <w:rFonts w:ascii="Arial" w:cs="Arial" w:eastAsia="Arial" w:hAnsi="Arial"/>
          <w:sz w:val="16"/>
          <w:szCs w:val="16"/>
          <w:color w:val="auto"/>
        </w:rPr>
      </w:pPr>
    </w:p>
    <w:p>
      <w:pPr>
        <w:ind w:left="166" w:hanging="166"/>
        <w:spacing w:after="0" w:line="264" w:lineRule="auto"/>
        <w:tabs>
          <w:tab w:leader="none" w:pos="1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 awarded is determined based on job scope, market practice and individual performance.</w:t>
      </w:r>
    </w:p>
    <w:p>
      <w:pPr>
        <w:spacing w:after="0" w:line="140" w:lineRule="exact"/>
        <w:rPr>
          <w:rFonts w:ascii="Arial" w:cs="Arial" w:eastAsia="Arial" w:hAnsi="Arial"/>
          <w:sz w:val="18"/>
          <w:szCs w:val="18"/>
          <w:color w:val="auto"/>
        </w:rPr>
      </w:pPr>
    </w:p>
    <w:p>
      <w:pPr>
        <w:ind w:left="166" w:right="160" w:hanging="166"/>
        <w:spacing w:after="0" w:line="297" w:lineRule="auto"/>
        <w:tabs>
          <w:tab w:leader="none" w:pos="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Align the interests of the NEOs with long-term shareholder value as well as retain executive talent. Amount awarded is determined based on job scope, market practice and individual performance.</w:t>
      </w:r>
    </w:p>
    <w:p>
      <w:pPr>
        <w:spacing w:after="0" w:line="117" w:lineRule="exact"/>
        <w:rPr>
          <w:rFonts w:ascii="Arial" w:cs="Arial" w:eastAsia="Arial" w:hAnsi="Arial"/>
          <w:sz w:val="16"/>
          <w:szCs w:val="16"/>
          <w:color w:val="auto"/>
        </w:rPr>
      </w:pPr>
    </w:p>
    <w:p>
      <w:pPr>
        <w:ind w:left="166" w:right="280" w:hanging="166"/>
        <w:spacing w:after="0" w:line="272" w:lineRule="auto"/>
        <w:tabs>
          <w:tab w:leader="none" w:pos="1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pension plan benefit in the United States, as we froze the qualified, noncontributory defined benefit pension plan, as well as the nonqualified, noncontributory defined benefit deferred compensation plans as of February 29, 2000.</w:t>
      </w:r>
    </w:p>
    <w:p>
      <w:pPr>
        <w:spacing w:after="0" w:line="83" w:lineRule="exact"/>
        <w:rPr>
          <w:rFonts w:ascii="Arial" w:cs="Arial" w:eastAsia="Arial" w:hAnsi="Arial"/>
          <w:sz w:val="17"/>
          <w:szCs w:val="17"/>
          <w:color w:val="auto"/>
        </w:rPr>
      </w:pPr>
    </w:p>
    <w:p>
      <w:pPr>
        <w:ind w:left="166" w:right="80" w:hanging="166"/>
        <w:spacing w:after="0" w:line="271" w:lineRule="auto"/>
        <w:tabs>
          <w:tab w:leader="none" w:pos="1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401(k) plan because of limitation on participation to highly compensated employees under the rules governing such plans, except that NEOs are eligible to participate in the catch-up contributions for individuals over the age of 50. None of the NEOs participate in the catch-up contributions.</w:t>
      </w:r>
    </w:p>
    <w:p>
      <w:pPr>
        <w:spacing w:after="0" w:line="233"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ind w:left="168" w:right="80" w:hanging="168"/>
        <w:spacing w:after="0" w:line="257" w:lineRule="auto"/>
        <w:tabs>
          <w:tab w:leader="none" w:pos="1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20% of all of the NEOs' long-term equity incentive grants in 2015 were in the form of restricted stock units. In the case of Mr. Joerres, this figure was approximately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8" w:right="40" w:hanging="168"/>
        <w:spacing w:after="0" w:line="257" w:lineRule="auto"/>
        <w:tabs>
          <w:tab w:leader="none" w:pos="1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20% of all of the NEOs’ long-term equity incentive grants in 2015 were in the form of stock options, except for Mr. Joerres who did not receive stock options in 2015.</w:t>
      </w:r>
    </w:p>
    <w:p>
      <w:pPr>
        <w:sectPr>
          <w:pgSz w:w="11900" w:h="16838" w:orient="portrait"/>
          <w:cols w:equalWidth="0" w:num="3">
            <w:col w:w="3940" w:space="194"/>
            <w:col w:w="3366" w:space="172"/>
            <w:col w:w="3408"/>
          </w:cols>
          <w:pgMar w:left="240" w:top="121" w:right="57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Key</w:t>
            </w:r>
          </w:p>
        </w:tc>
        <w:tc>
          <w:tcPr>
            <w:tcW w:w="3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Objective and Determination</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Characteristics</w:t>
            </w:r>
          </w:p>
        </w:tc>
        <w:tc>
          <w:tcPr>
            <w:tcW w:w="12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2015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38100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8200" w:space="720"/>
            <w:col w:w="2480"/>
          </w:cols>
          <w:pgMar w:left="240" w:top="121" w:right="259" w:bottom="1440" w:gutter="0" w:footer="0" w:header="0"/>
          <w:type w:val="continuous"/>
        </w:sectPr>
      </w:pPr>
    </w:p>
    <w:p>
      <w:pPr>
        <w:ind w:left="660"/>
        <w:spacing w:after="0"/>
        <w:tabs>
          <w:tab w:leader="none" w:pos="2080" w:val="left"/>
        </w:tabs>
        <w:rPr>
          <w:sz w:val="20"/>
          <w:szCs w:val="20"/>
          <w:color w:val="auto"/>
        </w:rPr>
      </w:pPr>
      <w:r>
        <w:rPr>
          <w:rFonts w:ascii="Arial" w:cs="Arial" w:eastAsia="Arial" w:hAnsi="Arial"/>
          <w:sz w:val="17"/>
          <w:szCs w:val="17"/>
          <w:b w:val="1"/>
          <w:bCs w:val="1"/>
          <w:color w:val="auto"/>
        </w:rPr>
        <w:t>Nonqualified</w:t>
      </w:r>
      <w:r>
        <w:rPr>
          <w:sz w:val="20"/>
          <w:szCs w:val="20"/>
          <w:color w:val="auto"/>
        </w:rPr>
        <w:tab/>
      </w:r>
      <w:r>
        <w:rPr>
          <w:rFonts w:ascii="Arial" w:cs="Arial" w:eastAsia="Arial" w:hAnsi="Arial"/>
          <w:sz w:val="17"/>
          <w:szCs w:val="17"/>
          <w:color w:val="auto"/>
        </w:rPr>
        <w:t>Similar to a 401(k) plan,</w:t>
      </w:r>
    </w:p>
    <w:p>
      <w:pPr>
        <w:spacing w:after="0" w:line="39" w:lineRule="exact"/>
        <w:rPr>
          <w:sz w:val="20"/>
          <w:szCs w:val="20"/>
          <w:color w:val="auto"/>
        </w:rPr>
      </w:pPr>
    </w:p>
    <w:p>
      <w:pPr>
        <w:ind w:left="680"/>
        <w:spacing w:after="0"/>
        <w:tabs>
          <w:tab w:leader="none" w:pos="2080" w:val="left"/>
        </w:tabs>
        <w:rPr>
          <w:sz w:val="20"/>
          <w:szCs w:val="20"/>
          <w:color w:val="auto"/>
        </w:rPr>
      </w:pPr>
      <w:r>
        <w:rPr>
          <w:rFonts w:ascii="Arial" w:cs="Arial" w:eastAsia="Arial" w:hAnsi="Arial"/>
          <w:sz w:val="18"/>
          <w:szCs w:val="18"/>
          <w:b w:val="1"/>
          <w:bCs w:val="1"/>
          <w:color w:val="auto"/>
        </w:rPr>
        <w:t>Savings Plan</w:t>
      </w:r>
      <w:r>
        <w:rPr>
          <w:sz w:val="20"/>
          <w:szCs w:val="20"/>
          <w:color w:val="auto"/>
        </w:rPr>
        <w:tab/>
      </w:r>
      <w:r>
        <w:rPr>
          <w:rFonts w:ascii="Arial" w:cs="Arial" w:eastAsia="Arial" w:hAnsi="Arial"/>
          <w:sz w:val="16"/>
          <w:szCs w:val="16"/>
          <w:color w:val="auto"/>
        </w:rPr>
        <w:t>however not as flexible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in regards to timing of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payouts of the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retirement benefits for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nonqualified plans. These</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benefits are unsecured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and subject to risk of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forfeiture in bankruptcy.</w:t>
      </w:r>
    </w:p>
    <w:p>
      <w:pPr>
        <w:spacing w:after="0" w:line="20" w:lineRule="exact"/>
        <w:rPr>
          <w:sz w:val="20"/>
          <w:szCs w:val="20"/>
          <w:color w:val="auto"/>
        </w:rPr>
      </w:pPr>
      <w:r>
        <w:rPr>
          <w:sz w:val="20"/>
          <w:szCs w:val="20"/>
          <w:color w:val="auto"/>
        </w:rPr>
        <w:br w:type="column"/>
      </w:r>
    </w:p>
    <w:p>
      <w:pPr>
        <w:ind w:left="166" w:hanging="166"/>
        <w:spacing w:after="0" w:line="264" w:lineRule="auto"/>
        <w:tabs>
          <w:tab w:leader="none" w:pos="1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Used to provide NEOs with reasonably competitive benefits to those in the competitive market.</w:t>
      </w:r>
    </w:p>
    <w:p>
      <w:pPr>
        <w:spacing w:after="0" w:line="20" w:lineRule="exact"/>
        <w:rPr>
          <w:sz w:val="20"/>
          <w:szCs w:val="20"/>
          <w:color w:val="auto"/>
        </w:rPr>
      </w:pPr>
      <w:r>
        <w:rPr>
          <w:sz w:val="20"/>
          <w:szCs w:val="20"/>
          <w:color w:val="auto"/>
        </w:rPr>
        <w:br w:type="column"/>
      </w:r>
    </w:p>
    <w:p>
      <w:pPr>
        <w:ind w:left="168" w:right="420" w:hanging="168"/>
        <w:spacing w:after="0" w:line="264" w:lineRule="auto"/>
        <w:tabs>
          <w:tab w:leader="none" w:pos="1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Prising, Mr. Van Handel, Ms. Swan and Mr. Joerres participated in the NQSP in 2015.</w:t>
      </w:r>
    </w:p>
    <w:p>
      <w:pPr>
        <w:spacing w:after="0" w:line="1433" w:lineRule="exact"/>
        <w:rPr>
          <w:sz w:val="20"/>
          <w:szCs w:val="20"/>
          <w:color w:val="auto"/>
        </w:rPr>
      </w:pPr>
    </w:p>
    <w:p>
      <w:pPr>
        <w:sectPr>
          <w:pgSz w:w="11900" w:h="16838" w:orient="portrait"/>
          <w:cols w:equalWidth="0" w:num="3">
            <w:col w:w="3960" w:space="174"/>
            <w:col w:w="2986" w:space="552"/>
            <w:col w:w="3728"/>
          </w:cols>
          <w:pgMar w:left="240" w:top="121" w:right="259" w:bottom="1440" w:gutter="0" w:footer="0" w:header="0"/>
          <w:type w:val="continuous"/>
        </w:sectPr>
      </w:pPr>
    </w:p>
    <w:p>
      <w:pPr>
        <w:ind w:left="620"/>
        <w:spacing w:after="0"/>
        <w:tabs>
          <w:tab w:leader="none" w:pos="2080" w:val="left"/>
        </w:tabs>
        <w:rPr>
          <w:sz w:val="20"/>
          <w:szCs w:val="20"/>
          <w:color w:val="auto"/>
        </w:rPr>
      </w:pPr>
      <w:r>
        <w:rPr>
          <w:rFonts w:ascii="Arial" w:cs="Arial" w:eastAsia="Arial" w:hAnsi="Arial"/>
          <w:sz w:val="18"/>
          <w:szCs w:val="18"/>
          <w:b w:val="1"/>
          <w:bCs w:val="1"/>
          <w:color w:val="auto"/>
        </w:rPr>
        <w:t>Career Shares</w:t>
      </w:r>
      <w:r>
        <w:rPr>
          <w:sz w:val="20"/>
          <w:szCs w:val="20"/>
          <w:color w:val="auto"/>
        </w:rPr>
        <w:tab/>
      </w:r>
      <w:r>
        <w:rPr>
          <w:rFonts w:ascii="Arial" w:cs="Arial" w:eastAsia="Arial" w:hAnsi="Arial"/>
          <w:sz w:val="16"/>
          <w:szCs w:val="16"/>
          <w:color w:val="auto"/>
        </w:rPr>
        <w:t>Used selectively by the</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Committee, taking into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account what is most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appropriate for an NEO</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in view of the retention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incentive provided by the</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award. Restricted stock</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units vest completely on</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 single date several</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years into the future.</w:t>
      </w:r>
    </w:p>
    <w:p>
      <w:pPr>
        <w:spacing w:after="0" w:line="20" w:lineRule="exact"/>
        <w:rPr>
          <w:sz w:val="20"/>
          <w:szCs w:val="20"/>
          <w:color w:val="auto"/>
        </w:rPr>
      </w:pPr>
      <w:r>
        <w:rPr>
          <w:sz w:val="20"/>
          <w:szCs w:val="20"/>
          <w:color w:val="auto"/>
        </w:rPr>
        <w:br w:type="column"/>
      </w:r>
    </w:p>
    <w:p>
      <w:pPr>
        <w:ind w:left="166" w:hanging="166"/>
        <w:spacing w:after="0" w:line="255" w:lineRule="auto"/>
        <w:tabs>
          <w:tab w:leader="none" w:pos="1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Used as a retention incentive in the form of restricted stock units and to supplement deferred compensation benefits to executives. The Committee considers each year whether to make any such grants and to whom.</w:t>
      </w:r>
    </w:p>
    <w:p>
      <w:pPr>
        <w:spacing w:after="0" w:line="20" w:lineRule="exact"/>
        <w:rPr>
          <w:sz w:val="20"/>
          <w:szCs w:val="20"/>
          <w:color w:val="auto"/>
        </w:rPr>
      </w:pPr>
      <w:r>
        <w:rPr>
          <w:sz w:val="20"/>
          <w:szCs w:val="20"/>
          <w:color w:val="auto"/>
        </w:rPr>
        <w:br w:type="column"/>
      </w:r>
    </w:p>
    <w:p>
      <w:pPr>
        <w:ind w:left="168" w:right="560" w:hanging="168"/>
        <w:spacing w:after="0" w:line="277" w:lineRule="auto"/>
        <w:tabs>
          <w:tab w:leader="none" w:pos="1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the NEOs received a career share grant in 2015.</w:t>
      </w:r>
    </w:p>
    <w:p>
      <w:pPr>
        <w:spacing w:after="0" w:line="1854" w:lineRule="exact"/>
        <w:rPr>
          <w:sz w:val="20"/>
          <w:szCs w:val="20"/>
          <w:color w:val="auto"/>
        </w:rPr>
      </w:pPr>
    </w:p>
    <w:p>
      <w:pPr>
        <w:sectPr>
          <w:pgSz w:w="11900" w:h="16838" w:orient="portrait"/>
          <w:cols w:equalWidth="0" w:num="3">
            <w:col w:w="3940" w:space="194"/>
            <w:col w:w="3366" w:space="172"/>
            <w:col w:w="3728"/>
          </w:cols>
          <w:pgMar w:left="240" w:top="121" w:right="259" w:bottom="1440" w:gutter="0" w:footer="0" w:header="0"/>
          <w:type w:val="continuous"/>
        </w:sect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Other Benefits</w:t>
      </w:r>
      <w:r>
        <w:rPr>
          <w:sz w:val="20"/>
          <w:szCs w:val="20"/>
          <w:color w:val="auto"/>
        </w:rPr>
        <w:tab/>
      </w:r>
      <w:r>
        <w:rPr>
          <w:rFonts w:ascii="Arial" w:cs="Arial" w:eastAsia="Arial" w:hAnsi="Arial"/>
          <w:sz w:val="16"/>
          <w:szCs w:val="16"/>
          <w:color w:val="auto"/>
        </w:rPr>
        <w:t>Used to attract and retain</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needed in the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Results</w:t>
      </w:r>
    </w:p>
    <w:p>
      <w:pPr>
        <w:spacing w:after="0" w:line="20" w:lineRule="exact"/>
        <w:rPr>
          <w:sz w:val="20"/>
          <w:szCs w:val="20"/>
          <w:color w:val="auto"/>
        </w:rPr>
      </w:pPr>
      <w:r>
        <w:rPr>
          <w:sz w:val="20"/>
          <w:szCs w:val="20"/>
          <w:color w:val="auto"/>
        </w:rPr>
        <w:br w:type="column"/>
      </w:r>
    </w:p>
    <w:p>
      <w:pPr>
        <w:ind w:left="166" w:hanging="166"/>
        <w:spacing w:after="0" w:line="272" w:lineRule="auto"/>
        <w:tabs>
          <w:tab w:leader="none" w:pos="147"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Additional benefits include financial planning reimbursement and broad-based automobile benefits, selected benefits for expatriate executives, participation in broad-based employee benefit plans, and certain other benefits required by local law or driven by local market practice.</w:t>
      </w:r>
    </w:p>
    <w:p>
      <w:pPr>
        <w:spacing w:after="0" w:line="20" w:lineRule="exact"/>
        <w:rPr>
          <w:sz w:val="20"/>
          <w:szCs w:val="20"/>
          <w:color w:val="auto"/>
        </w:rPr>
      </w:pPr>
      <w:r>
        <w:rPr>
          <w:sz w:val="20"/>
          <w:szCs w:val="20"/>
          <w:color w:val="auto"/>
        </w:rPr>
        <w:br w:type="column"/>
      </w:r>
    </w:p>
    <w:p>
      <w:pPr>
        <w:ind w:left="168" w:right="480" w:hanging="168"/>
        <w:spacing w:after="0" w:line="277" w:lineRule="auto"/>
        <w:tabs>
          <w:tab w:leader="none" w:pos="1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Limited participation by the NEOs in these programs.</w:t>
      </w:r>
    </w:p>
    <w:p>
      <w:pPr>
        <w:spacing w:after="0" w:line="1680" w:lineRule="exact"/>
        <w:rPr>
          <w:sz w:val="20"/>
          <w:szCs w:val="20"/>
          <w:color w:val="auto"/>
        </w:rPr>
      </w:pPr>
    </w:p>
    <w:p>
      <w:pPr>
        <w:sectPr>
          <w:pgSz w:w="11900" w:h="16838" w:orient="portrait"/>
          <w:cols w:equalWidth="0" w:num="3">
            <w:col w:w="3920" w:space="214"/>
            <w:col w:w="3366" w:space="172"/>
            <w:col w:w="3728"/>
          </w:cols>
          <w:pgMar w:left="240" w:top="121" w:right="259" w:bottom="1440" w:gutter="0" w:footer="0" w:header="0"/>
          <w:type w:val="continuous"/>
        </w:sectPr>
      </w:pPr>
    </w:p>
    <w:p>
      <w:pPr>
        <w:spacing w:after="0" w:line="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executive compensation program is designed to motivate our NEOs to contribute to the Company’s long-term performance and success. As such, the following pay components include pay for results features:</w:t>
      </w:r>
    </w:p>
    <w:p>
      <w:pPr>
        <w:spacing w:after="0" w:line="58" w:lineRule="exact"/>
        <w:rPr>
          <w:sz w:val="20"/>
          <w:szCs w:val="20"/>
          <w:color w:val="auto"/>
        </w:rPr>
      </w:pPr>
    </w:p>
    <w:p>
      <w:pPr>
        <w:ind w:left="820" w:hanging="326"/>
        <w:spacing w:after="0" w:line="277" w:lineRule="auto"/>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Annual Incentive Award</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goal ranges for our cash-based annual incentive award were established for Mr. Prising, Mr. Van</w:t>
      </w:r>
      <w:r>
        <w:rPr>
          <w:rFonts w:ascii="Arial" w:cs="Arial" w:eastAsia="Arial" w:hAnsi="Arial"/>
          <w:sz w:val="17"/>
          <w:szCs w:val="17"/>
          <w:b w:val="1"/>
          <w:bCs w:val="1"/>
          <w:color w:val="auto"/>
        </w:rPr>
        <w:t xml:space="preserve"> </w:t>
      </w:r>
      <w:r>
        <w:rPr>
          <w:rFonts w:ascii="Arial" w:cs="Arial" w:eastAsia="Arial" w:hAnsi="Arial"/>
          <w:sz w:val="17"/>
          <w:szCs w:val="17"/>
          <w:color w:val="auto"/>
        </w:rPr>
        <w:t>Handel, Mr. Green, Ms. Swan and Mr. Joerres for the performance metrics EPS and ROIC. For Mr. Chandrashekar, performance ranges were established for EPS, ROIC and AOUP, since his responsibilities included an operating unit. Award opportunities are established for achievement at threshold, target and outstanding levels. Payouts are generally based on actual performance on these metrics as well as the individual operating objectives for each NEO. However, NEOs who are subject to the Pool Plan cannot receive more than their allocable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820" w:right="100"/>
        <w:spacing w:after="0" w:line="311" w:lineRule="auto"/>
        <w:rPr>
          <w:rFonts w:ascii="Arial" w:cs="Arial" w:eastAsia="Arial" w:hAnsi="Arial"/>
          <w:sz w:val="18"/>
          <w:szCs w:val="18"/>
          <w:color w:val="auto"/>
        </w:rPr>
      </w:pPr>
      <w:r>
        <w:rPr>
          <w:rFonts w:ascii="Arial" w:cs="Arial" w:eastAsia="Arial" w:hAnsi="Arial"/>
          <w:sz w:val="18"/>
          <w:szCs w:val="18"/>
          <w:color w:val="auto"/>
        </w:rPr>
        <w:t xml:space="preserve">share of the Pool established under the Pool Plan. The maximum aggregate annual incentives that can be earned by the NEOs under the Pool Plan is determined using a percentage of gross profit. The higher the gross profit, the larger the Pool. See page </w:t>
      </w:r>
      <w:hyperlink w:anchor="page50">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regarding the use of the Pool Plan.</w:t>
      </w:r>
    </w:p>
    <w:p>
      <w:pPr>
        <w:spacing w:after="0" w:line="150" w:lineRule="exact"/>
        <w:rPr>
          <w:sz w:val="20"/>
          <w:szCs w:val="20"/>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Long-Term Incentive Awards</w:t>
      </w:r>
      <w:r>
        <w:rPr>
          <w:rFonts w:ascii="Arial" w:cs="Arial" w:eastAsia="Arial" w:hAnsi="Arial"/>
          <w:sz w:val="18"/>
          <w:szCs w:val="18"/>
          <w:b w:val="1"/>
          <w:bCs w:val="1"/>
          <w:i w:val="1"/>
          <w:iCs w:val="1"/>
          <w:color w:val="auto"/>
        </w:rPr>
        <w:t>:</w:t>
      </w:r>
    </w:p>
    <w:p>
      <w:pPr>
        <w:spacing w:after="0" w:line="121" w:lineRule="exact"/>
        <w:rPr>
          <w:rFonts w:ascii="Arial" w:cs="Arial" w:eastAsia="Arial" w:hAnsi="Arial"/>
          <w:sz w:val="18"/>
          <w:szCs w:val="18"/>
          <w:color w:val="auto"/>
        </w:rPr>
      </w:pPr>
    </w:p>
    <w:p>
      <w:pPr>
        <w:ind w:left="1300" w:right="20" w:hanging="320"/>
        <w:spacing w:after="0" w:line="293"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Performance Share Units — Approximately 60% of the NEOs’ long-term awards for 2015 were made in the form of performance share units, except for Mr. Joerres where performance share units represented 70% of his long-term awards. As stated earlier, the NEOs receive a certain number of shares of stock at the end of a specified period based on achievement measured against pre-established performance goals for that period, typically operating profit margin percent. Similar to 2014, the Committee used a three-year performance period (2015-2017) for performance share unit awards. Award opportunities are established for achievement at threshold, target and outstanding levels. The Committee believes using operating profit margin percent is appropriate because it is a driver of shareholder value.</w:t>
      </w:r>
    </w:p>
    <w:p>
      <w:pPr>
        <w:spacing w:after="0" w:line="164" w:lineRule="exact"/>
        <w:rPr>
          <w:rFonts w:ascii="Arial" w:cs="Arial" w:eastAsia="Arial" w:hAnsi="Arial"/>
          <w:sz w:val="16"/>
          <w:szCs w:val="16"/>
          <w:color w:val="auto"/>
        </w:rPr>
      </w:pPr>
    </w:p>
    <w:p>
      <w:pPr>
        <w:ind w:left="1300" w:hanging="320"/>
        <w:spacing w:after="0" w:line="259"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Stock Options — Approximately 20% of the NEOs’ long-term awards are made in the form of stock options, except for Mr. Joerres who did not receive a stock option grant in 2015. The Committee believes stock options provide an important overall longer term incentive for the NEOs to try to maximize value of ManpowerGroup’s stock. Because stock options are granted at a specific value on the date of grant, the ultimate compensation realized will depend on the stock price at the time of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Total Compensation</w:t>
      </w:r>
    </w:p>
    <w:p>
      <w:pPr>
        <w:spacing w:after="0" w:line="12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2015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55880</wp:posOffset>
            </wp:positionV>
            <wp:extent cx="4219575" cy="2624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957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NEO in the following table. This table outlines the values of the various elements and the percentage of each NEO’s total target compensation package that is variable (both short- and long-term) and performance-based (both short- and long-term).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NEO Target Compensation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 Total</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Variable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2015 Target</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Total 2015</w:t>
            </w:r>
          </w:p>
        </w:tc>
        <w:tc>
          <w:tcPr>
            <w:tcW w:w="9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Annual</w:t>
            </w:r>
          </w:p>
        </w:tc>
        <w:tc>
          <w:tcPr>
            <w:tcW w:w="10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Stock</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Target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Target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r>
      <w:tr>
        <w:trPr>
          <w:trHeight w:val="182"/>
        </w:trPr>
        <w:tc>
          <w:tcPr>
            <w:tcW w:w="2200" w:type="dxa"/>
            <w:vAlign w:val="bottom"/>
            <w:gridSpan w:val="2"/>
          </w:tcPr>
          <w:p>
            <w:pPr>
              <w:ind w:left="40"/>
              <w:spacing w:after="0"/>
              <w:rPr>
                <w:sz w:val="20"/>
                <w:szCs w:val="20"/>
                <w:color w:val="auto"/>
              </w:rPr>
            </w:pPr>
            <w:r>
              <w:rPr>
                <w:rFonts w:ascii="Arial" w:cs="Arial" w:eastAsia="Arial" w:hAnsi="Arial"/>
                <w:sz w:val="14"/>
                <w:szCs w:val="14"/>
                <w:b w:val="1"/>
                <w:bCs w:val="1"/>
                <w:color w:val="auto"/>
              </w:rPr>
              <w:t>NEO</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Salary</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Incentive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Options(1)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Units(1)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Units(1)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Comp</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Comp(2)</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4"/>
              </w:rPr>
              <w:t>Based(3)</w:t>
            </w:r>
          </w:p>
        </w:tc>
      </w:tr>
      <w:tr>
        <w:trPr>
          <w:trHeight w:val="250"/>
        </w:trPr>
        <w:tc>
          <w:tcPr>
            <w:tcW w:w="2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2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Jonas Prising</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1,650,000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1,128,009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3,384,063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1,128,072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8,390,144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3"/>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Michael J. Van Handel</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660,000</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660,000</w:t>
            </w:r>
          </w:p>
        </w:tc>
        <w:tc>
          <w:tcPr>
            <w:tcW w:w="12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520,013</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1,560,028</w:t>
            </w:r>
          </w:p>
        </w:tc>
        <w:tc>
          <w:tcPr>
            <w:tcW w:w="10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520,009</w:t>
            </w:r>
          </w:p>
        </w:tc>
        <w:tc>
          <w:tcPr>
            <w:tcW w:w="1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3,920,050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7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Darryl Green</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800,000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800,000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700,008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2,100,049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700,042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5,100,099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3"/>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Ram Chandrashekar</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568,035</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426,026</w:t>
            </w:r>
          </w:p>
        </w:tc>
        <w:tc>
          <w:tcPr>
            <w:tcW w:w="12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280,020</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840,051</w:t>
            </w:r>
          </w:p>
        </w:tc>
        <w:tc>
          <w:tcPr>
            <w:tcW w:w="10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280,017</w:t>
            </w:r>
          </w:p>
        </w:tc>
        <w:tc>
          <w:tcPr>
            <w:tcW w:w="1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2,394,149</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Mara E. Swan</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560,000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420,000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240,014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720,054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240,069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2,180,137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6"/>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Jeffrey A. Joerres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1,125,000</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3,104,508</w:t>
            </w:r>
          </w:p>
        </w:tc>
        <w:tc>
          <w:tcPr>
            <w:tcW w:w="10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1,330,503</w:t>
            </w:r>
          </w:p>
        </w:tc>
        <w:tc>
          <w:tcPr>
            <w:tcW w:w="1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6,460,011</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77470</wp:posOffset>
            </wp:positionV>
            <wp:extent cx="114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96" w:lineRule="exact"/>
        <w:rPr>
          <w:sz w:val="20"/>
          <w:szCs w:val="20"/>
          <w:color w:val="auto"/>
        </w:rPr>
      </w:pPr>
    </w:p>
    <w:p>
      <w:pPr>
        <w:ind w:left="500" w:right="34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value of equity awards in this table represents the grant date fair value of the equity awards at the target levels granted in 2015, as computed in accordance with FASB ASC Topic 718.</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annual incentive, stock options, performance share units and restricted stock units.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annual incentive, stock options and performance share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Balancing Short- and Long-Term Compensation</w:t>
      </w:r>
    </w:p>
    <w:p>
      <w:pPr>
        <w:spacing w:after="0" w:line="117"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18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-19050</wp:posOffset>
            </wp:positionV>
            <wp:extent cx="4467860" cy="244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6786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Positioning: We Target Compensation Outcomes to the Median of the Competitive Market</w:t>
      </w:r>
    </w:p>
    <w:p>
      <w:pPr>
        <w:spacing w:after="0" w:line="22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Company’s practice is to target compensation outcomes generally to the 50</w:t>
      </w:r>
      <w:r>
        <w:rPr>
          <w:rFonts w:ascii="Arial" w:cs="Arial" w:eastAsia="Arial" w:hAnsi="Arial"/>
          <w:sz w:val="15"/>
          <w:szCs w:val="15"/>
          <w:color w:val="auto"/>
        </w:rPr>
        <w:t>th</w:t>
      </w:r>
      <w:r>
        <w:rPr>
          <w:rFonts w:ascii="Arial" w:cs="Arial" w:eastAsia="Arial" w:hAnsi="Arial"/>
          <w:sz w:val="17"/>
          <w:szCs w:val="17"/>
          <w:color w:val="auto"/>
        </w:rPr>
        <w:t xml:space="preserve"> percentile of compensation paid in the competitive market for </w:t>
      </w:r>
      <w:r>
        <w:rPr>
          <w:rFonts w:ascii="Arial" w:cs="Arial" w:eastAsia="Arial" w:hAnsi="Arial"/>
          <w:sz w:val="17"/>
          <w:szCs w:val="17"/>
          <w:i w:val="1"/>
          <w:iCs w:val="1"/>
          <w:color w:val="auto"/>
        </w:rPr>
        <w:t>target</w:t>
      </w:r>
      <w:r>
        <w:rPr>
          <w:rFonts w:ascii="Arial" w:cs="Arial" w:eastAsia="Arial" w:hAnsi="Arial"/>
          <w:sz w:val="17"/>
          <w:szCs w:val="17"/>
          <w:color w:val="auto"/>
        </w:rPr>
        <w:t xml:space="preserve"> results. Our maximum award opportunities for </w:t>
      </w:r>
      <w:r>
        <w:rPr>
          <w:rFonts w:ascii="Arial" w:cs="Arial" w:eastAsia="Arial" w:hAnsi="Arial"/>
          <w:sz w:val="17"/>
          <w:szCs w:val="17"/>
          <w:i w:val="1"/>
          <w:iCs w:val="1"/>
          <w:color w:val="auto"/>
        </w:rPr>
        <w:t>outstanding</w:t>
      </w:r>
      <w:r>
        <w:rPr>
          <w:rFonts w:ascii="Arial" w:cs="Arial" w:eastAsia="Arial" w:hAnsi="Arial"/>
          <w:sz w:val="17"/>
          <w:szCs w:val="17"/>
          <w:color w:val="auto"/>
        </w:rPr>
        <w:t xml:space="preserve"> results are generally set to approximate the 75</w:t>
      </w:r>
      <w:r>
        <w:rPr>
          <w:rFonts w:ascii="Arial" w:cs="Arial" w:eastAsia="Arial" w:hAnsi="Arial"/>
          <w:sz w:val="15"/>
          <w:szCs w:val="15"/>
          <w:color w:val="auto"/>
        </w:rPr>
        <w:t>th</w:t>
      </w:r>
      <w:r>
        <w:rPr>
          <w:rFonts w:ascii="Arial" w:cs="Arial" w:eastAsia="Arial" w:hAnsi="Arial"/>
          <w:sz w:val="17"/>
          <w:szCs w:val="17"/>
          <w:color w:val="auto"/>
        </w:rPr>
        <w:t xml:space="preserve">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How We Determine the Competitive Market: Challenges in Identifying a Relevant Peer Group</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Our Committee has devoted considerable effort to identifying an appropriate competitive market for benchmarking our executive compensation, given that we are significantly larger and more global in scope than other U.S.-listed companies in our industry. The following outlines the analysis by the Committee, and its independent compensation consultant, Mercer, to develop meaningful peer groups.</w:t>
      </w:r>
    </w:p>
    <w:p>
      <w:pPr>
        <w:spacing w:after="0" w:line="1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85 companies within the S&amp;P 500 with minimum revenues of approximately $14 billion, maximum revenues of approximately $39 billion, and median revenues of $21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in 2015 is attached as </w:t>
      </w:r>
      <w:r>
        <w:rPr>
          <w:rFonts w:ascii="Arial" w:cs="Arial" w:eastAsia="Arial" w:hAnsi="Arial"/>
          <w:sz w:val="18"/>
          <w:szCs w:val="18"/>
          <w:i w:val="1"/>
          <w:iCs w:val="1"/>
          <w:color w:val="auto"/>
        </w:rPr>
        <w:t>Appendix C-1</w:t>
      </w:r>
      <w:r>
        <w:rPr>
          <w:rFonts w:ascii="Arial" w:cs="Arial" w:eastAsia="Arial" w:hAnsi="Arial"/>
          <w:sz w:val="18"/>
          <w:szCs w:val="18"/>
          <w:color w:val="auto"/>
        </w:rPr>
        <w:t>.</w:t>
      </w:r>
    </w:p>
    <w:p>
      <w:pPr>
        <w:spacing w:after="0" w:line="19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full compensation data is not disclosed. Our nearest U.S. public competitor had revenue of approximately $5.5 billion in 2015 compared to our revenue of $19.3 billion and the other U.S. public competitors are even smaller. Mercer has confirmed to the Committee that attempting to use such competitors would not produce meaningful data.</w:t>
      </w:r>
    </w:p>
    <w:p>
      <w:pPr>
        <w:spacing w:after="0" w:line="18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The Committee </w:t>
      </w:r>
      <w:r>
        <w:rPr>
          <w:rFonts w:ascii="Arial" w:cs="Arial" w:eastAsia="Arial" w:hAnsi="Arial"/>
          <w:sz w:val="17"/>
          <w:szCs w:val="17"/>
          <w:i w:val="1"/>
          <w:iCs w:val="1"/>
          <w:color w:val="auto"/>
        </w:rPr>
        <w:t>secondarily</w:t>
      </w:r>
      <w:r>
        <w:rPr>
          <w:rFonts w:ascii="Arial" w:cs="Arial" w:eastAsia="Arial" w:hAnsi="Arial"/>
          <w:sz w:val="17"/>
          <w:szCs w:val="17"/>
          <w:color w:val="auto"/>
        </w:rPr>
        <w:t xml:space="preserve"> utilizes data from U.S. compensation surveys published by Mercer and other third-party data providers that are recommended by Mercer as a means to evaluate compensation for each NEO’s position. For the CEO and CFO, their positions were typically compared to companies within the subset group of the S&amp;P 500. For the Executive Chairman, the Committee reviewed data regarding the relationship of the position to CEO pay for S&amp;P 500 companies with an Executive Chairman. For NEOs with responsibility for leading a business unit, their positions were compared with U.S. compensation survey data of similar sized groups and divisions. Compensation for global functional leaders was compared against U.S. compensation survey data recommended by Mercer for executives with similar roles and responsibilities, but not against the subset of S&amp;P 500 companies.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1"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Market data utilized by the Committee for benchmarking included the following survey data recommended by Mercer: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30" w:type="dxa"/>
            <w:vAlign w:val="bottom"/>
            <w:gridSpan w:val="3"/>
          </w:tcPr>
          <w:p>
            <w:pPr>
              <w:ind w:left="40"/>
              <w:spacing w:after="0"/>
              <w:rPr>
                <w:sz w:val="20"/>
                <w:szCs w:val="20"/>
                <w:color w:val="auto"/>
              </w:rPr>
            </w:pPr>
            <w:r>
              <w:rPr>
                <w:rFonts w:ascii="Arial" w:cs="Arial" w:eastAsia="Arial" w:hAnsi="Arial"/>
                <w:sz w:val="14"/>
                <w:szCs w:val="14"/>
                <w:b w:val="1"/>
                <w:bCs w:val="1"/>
                <w:color w:val="auto"/>
              </w:rPr>
              <w:t>NEO</w:t>
            </w:r>
          </w:p>
        </w:tc>
        <w:tc>
          <w:tcPr>
            <w:tcW w:w="287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Market Data Utilized</w:t>
            </w: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190" w:type="dxa"/>
            <w:vAlign w:val="bottom"/>
          </w:tcPr>
          <w:p>
            <w:pPr>
              <w:spacing w:after="0" w:line="20" w:lineRule="exact"/>
              <w:rPr>
                <w:sz w:val="1"/>
                <w:szCs w:val="1"/>
                <w:color w:val="auto"/>
              </w:rPr>
            </w:pPr>
          </w:p>
        </w:tc>
        <w:tc>
          <w:tcPr>
            <w:tcW w:w="287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43"/>
        </w:trPr>
        <w:tc>
          <w:tcPr>
            <w:tcW w:w="453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Mr. Prising</w:t>
            </w:r>
          </w:p>
        </w:tc>
        <w:tc>
          <w:tcPr>
            <w:tcW w:w="6890" w:type="dxa"/>
            <w:vAlign w:val="bottom"/>
            <w:gridSpan w:val="3"/>
            <w:shd w:val="clear" w:color="auto" w:fill="CCEEFF"/>
          </w:tcPr>
          <w:p>
            <w:pPr>
              <w:ind w:left="190"/>
              <w:spacing w:after="0"/>
              <w:rPr>
                <w:sz w:val="20"/>
                <w:szCs w:val="20"/>
                <w:color w:val="auto"/>
              </w:rPr>
            </w:pPr>
            <w:r>
              <w:rPr>
                <w:rFonts w:ascii="Arial" w:cs="Arial" w:eastAsia="Arial" w:hAnsi="Arial"/>
                <w:sz w:val="18"/>
                <w:szCs w:val="18"/>
                <w:color w:val="auto"/>
              </w:rPr>
              <w:t>S&amp;P 500 Data for CEOs (Chairman and non-Chairman)</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190" w:type="dxa"/>
            <w:vAlign w:val="bottom"/>
            <w:tcBorders>
              <w:bottom w:val="single" w:sz="8" w:color="CCEEFF"/>
            </w:tcBorders>
            <w:shd w:val="clear" w:color="auto" w:fill="CCEEFF"/>
          </w:tcPr>
          <w:p>
            <w:pPr>
              <w:spacing w:after="0"/>
              <w:rPr>
                <w:sz w:val="24"/>
                <w:szCs w:val="24"/>
                <w:color w:val="auto"/>
              </w:rPr>
            </w:pPr>
          </w:p>
        </w:tc>
        <w:tc>
          <w:tcPr>
            <w:tcW w:w="6890" w:type="dxa"/>
            <w:vAlign w:val="bottom"/>
            <w:tcBorders>
              <w:bottom w:val="single" w:sz="8" w:color="CCEEFF"/>
            </w:tcBorders>
            <w:gridSpan w:val="3"/>
            <w:shd w:val="clear" w:color="auto" w:fill="CCEEFF"/>
          </w:tcPr>
          <w:p>
            <w:pPr>
              <w:ind w:left="190"/>
              <w:spacing w:after="0"/>
              <w:rPr>
                <w:sz w:val="20"/>
                <w:szCs w:val="20"/>
                <w:color w:val="auto"/>
              </w:rPr>
            </w:pPr>
            <w:r>
              <w:rPr>
                <w:rFonts w:ascii="Arial" w:cs="Arial" w:eastAsia="Arial" w:hAnsi="Arial"/>
                <w:sz w:val="18"/>
                <w:szCs w:val="18"/>
                <w:color w:val="auto"/>
              </w:rPr>
              <w:t>U.S. Published Surveys for CEOs</w:t>
            </w:r>
          </w:p>
        </w:tc>
      </w:tr>
      <w:tr>
        <w:trPr>
          <w:trHeight w:val="243"/>
        </w:trPr>
        <w:tc>
          <w:tcPr>
            <w:tcW w:w="4530" w:type="dxa"/>
            <w:vAlign w:val="bottom"/>
            <w:gridSpan w:val="3"/>
          </w:tcPr>
          <w:p>
            <w:pPr>
              <w:ind w:left="40"/>
              <w:spacing w:after="0"/>
              <w:rPr>
                <w:sz w:val="20"/>
                <w:szCs w:val="20"/>
                <w:color w:val="auto"/>
              </w:rPr>
            </w:pPr>
            <w:r>
              <w:rPr>
                <w:rFonts w:ascii="Arial" w:cs="Arial" w:eastAsia="Arial" w:hAnsi="Arial"/>
                <w:sz w:val="18"/>
                <w:szCs w:val="18"/>
                <w:color w:val="auto"/>
              </w:rPr>
              <w:t>Mr. Van Handel</w:t>
            </w: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S&amp;P 500 Data for CFOs</w:t>
            </w: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90" w:type="dxa"/>
            <w:vAlign w:val="bottom"/>
          </w:tcPr>
          <w:p>
            <w:pPr>
              <w:spacing w:after="0"/>
              <w:rPr>
                <w:sz w:val="23"/>
                <w:szCs w:val="23"/>
                <w:color w:val="auto"/>
              </w:rPr>
            </w:pP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U.S. Published Surveys of CFOs</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90" w:type="dxa"/>
            <w:vAlign w:val="bottom"/>
          </w:tcPr>
          <w:p>
            <w:pPr>
              <w:spacing w:after="0"/>
              <w:rPr>
                <w:sz w:val="2"/>
                <w:szCs w:val="2"/>
                <w:color w:val="auto"/>
              </w:rPr>
            </w:pPr>
          </w:p>
        </w:tc>
        <w:tc>
          <w:tcPr>
            <w:tcW w:w="287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3"/>
        </w:trPr>
        <w:tc>
          <w:tcPr>
            <w:tcW w:w="453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Mr. Green</w:t>
            </w:r>
          </w:p>
        </w:tc>
        <w:tc>
          <w:tcPr>
            <w:tcW w:w="6890" w:type="dxa"/>
            <w:vAlign w:val="bottom"/>
            <w:gridSpan w:val="3"/>
            <w:shd w:val="clear" w:color="auto" w:fill="CCEEFF"/>
          </w:tcPr>
          <w:p>
            <w:pPr>
              <w:ind w:left="190"/>
              <w:spacing w:after="0"/>
              <w:rPr>
                <w:sz w:val="20"/>
                <w:szCs w:val="20"/>
                <w:color w:val="auto"/>
              </w:rPr>
            </w:pPr>
            <w:r>
              <w:rPr>
                <w:rFonts w:ascii="Arial" w:cs="Arial" w:eastAsia="Arial" w:hAnsi="Arial"/>
                <w:sz w:val="18"/>
                <w:szCs w:val="18"/>
                <w:color w:val="auto"/>
              </w:rPr>
              <w:t>S&amp;P 500 Data of Top Division Executives</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190" w:type="dxa"/>
            <w:vAlign w:val="bottom"/>
            <w:tcBorders>
              <w:bottom w:val="single" w:sz="8" w:color="CCEEFF"/>
            </w:tcBorders>
            <w:shd w:val="clear" w:color="auto" w:fill="CCEEFF"/>
          </w:tcPr>
          <w:p>
            <w:pPr>
              <w:spacing w:after="0"/>
              <w:rPr>
                <w:sz w:val="24"/>
                <w:szCs w:val="24"/>
                <w:color w:val="auto"/>
              </w:rPr>
            </w:pPr>
          </w:p>
        </w:tc>
        <w:tc>
          <w:tcPr>
            <w:tcW w:w="6890" w:type="dxa"/>
            <w:vAlign w:val="bottom"/>
            <w:tcBorders>
              <w:bottom w:val="single" w:sz="8" w:color="CCEEFF"/>
            </w:tcBorders>
            <w:gridSpan w:val="3"/>
            <w:shd w:val="clear" w:color="auto" w:fill="CCEEFF"/>
          </w:tcPr>
          <w:p>
            <w:pPr>
              <w:ind w:left="190"/>
              <w:spacing w:after="0"/>
              <w:rPr>
                <w:sz w:val="20"/>
                <w:szCs w:val="20"/>
                <w:color w:val="auto"/>
              </w:rPr>
            </w:pPr>
            <w:r>
              <w:rPr>
                <w:rFonts w:ascii="Arial" w:cs="Arial" w:eastAsia="Arial" w:hAnsi="Arial"/>
                <w:sz w:val="18"/>
                <w:szCs w:val="18"/>
                <w:color w:val="auto"/>
              </w:rPr>
              <w:t>U.S. Published Surveys of Top Division Executives</w:t>
            </w:r>
          </w:p>
        </w:tc>
      </w:tr>
      <w:tr>
        <w:trPr>
          <w:trHeight w:val="243"/>
        </w:trPr>
        <w:tc>
          <w:tcPr>
            <w:tcW w:w="4530" w:type="dxa"/>
            <w:vAlign w:val="bottom"/>
            <w:gridSpan w:val="3"/>
          </w:tcPr>
          <w:p>
            <w:pPr>
              <w:ind w:left="40"/>
              <w:spacing w:after="0"/>
              <w:rPr>
                <w:sz w:val="20"/>
                <w:szCs w:val="20"/>
                <w:color w:val="auto"/>
              </w:rPr>
            </w:pPr>
            <w:r>
              <w:rPr>
                <w:rFonts w:ascii="Arial" w:cs="Arial" w:eastAsia="Arial" w:hAnsi="Arial"/>
                <w:sz w:val="18"/>
                <w:szCs w:val="18"/>
                <w:color w:val="auto"/>
              </w:rPr>
              <w:t>Mr. Chandrashekar</w:t>
            </w: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U.S. Published Surveys of Top Division Executives</w:t>
            </w: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90" w:type="dxa"/>
            <w:vAlign w:val="bottom"/>
          </w:tcPr>
          <w:p>
            <w:pPr>
              <w:spacing w:after="0"/>
              <w:rPr>
                <w:sz w:val="23"/>
                <w:szCs w:val="23"/>
                <w:color w:val="auto"/>
              </w:rPr>
            </w:pP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S&amp;P 500 Data of Top Division Executives</w:t>
            </w: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90" w:type="dxa"/>
            <w:vAlign w:val="bottom"/>
          </w:tcPr>
          <w:p>
            <w:pPr>
              <w:spacing w:after="0"/>
              <w:rPr>
                <w:sz w:val="23"/>
                <w:szCs w:val="23"/>
                <w:color w:val="auto"/>
              </w:rPr>
            </w:pP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Asia Published Survey for Top Divisional Executives</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90" w:type="dxa"/>
            <w:vAlign w:val="bottom"/>
          </w:tcPr>
          <w:p>
            <w:pPr>
              <w:spacing w:after="0"/>
              <w:rPr>
                <w:sz w:val="2"/>
                <w:szCs w:val="2"/>
                <w:color w:val="auto"/>
              </w:rPr>
            </w:pPr>
          </w:p>
        </w:tc>
        <w:tc>
          <w:tcPr>
            <w:tcW w:w="287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53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Ms. Swan</w:t>
            </w:r>
          </w:p>
        </w:tc>
        <w:tc>
          <w:tcPr>
            <w:tcW w:w="6890" w:type="dxa"/>
            <w:vAlign w:val="bottom"/>
            <w:tcBorders>
              <w:bottom w:val="single" w:sz="8" w:color="CCEEFF"/>
            </w:tcBorders>
            <w:gridSpan w:val="3"/>
            <w:shd w:val="clear" w:color="auto" w:fill="CCEEFF"/>
          </w:tcPr>
          <w:p>
            <w:pPr>
              <w:ind w:left="190"/>
              <w:spacing w:after="0"/>
              <w:rPr>
                <w:sz w:val="20"/>
                <w:szCs w:val="20"/>
                <w:color w:val="auto"/>
              </w:rPr>
            </w:pPr>
            <w:r>
              <w:rPr>
                <w:rFonts w:ascii="Arial" w:cs="Arial" w:eastAsia="Arial" w:hAnsi="Arial"/>
                <w:sz w:val="18"/>
                <w:szCs w:val="18"/>
                <w:color w:val="auto"/>
              </w:rPr>
              <w:t>U.S. Published Survey of Top HR Executives</w:t>
            </w:r>
          </w:p>
        </w:tc>
      </w:tr>
      <w:tr>
        <w:trPr>
          <w:trHeight w:val="243"/>
        </w:trPr>
        <w:tc>
          <w:tcPr>
            <w:tcW w:w="4530" w:type="dxa"/>
            <w:vAlign w:val="bottom"/>
            <w:gridSpan w:val="3"/>
          </w:tcPr>
          <w:p>
            <w:pPr>
              <w:ind w:left="40"/>
              <w:spacing w:after="0"/>
              <w:rPr>
                <w:sz w:val="20"/>
                <w:szCs w:val="20"/>
                <w:color w:val="auto"/>
              </w:rPr>
            </w:pPr>
            <w:r>
              <w:rPr>
                <w:rFonts w:ascii="Arial" w:cs="Arial" w:eastAsia="Arial" w:hAnsi="Arial"/>
                <w:sz w:val="18"/>
                <w:szCs w:val="18"/>
                <w:color w:val="auto"/>
              </w:rPr>
              <w:t>Mr. Joerres</w:t>
            </w:r>
          </w:p>
        </w:tc>
        <w:tc>
          <w:tcPr>
            <w:tcW w:w="6890" w:type="dxa"/>
            <w:vAlign w:val="bottom"/>
            <w:gridSpan w:val="3"/>
          </w:tcPr>
          <w:p>
            <w:pPr>
              <w:ind w:left="190"/>
              <w:spacing w:after="0"/>
              <w:rPr>
                <w:sz w:val="20"/>
                <w:szCs w:val="20"/>
                <w:color w:val="auto"/>
              </w:rPr>
            </w:pPr>
            <w:r>
              <w:rPr>
                <w:rFonts w:ascii="Arial" w:cs="Arial" w:eastAsia="Arial" w:hAnsi="Arial"/>
                <w:sz w:val="18"/>
                <w:szCs w:val="18"/>
                <w:color w:val="auto"/>
              </w:rPr>
              <w:t>Relationship of Executive Chairman pay to CEO pay of S&amp;P 500 companies</w:t>
            </w:r>
          </w:p>
        </w:tc>
      </w:tr>
    </w:tbl>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Finally, the Committee does make use of the comparison data from staffing industry competitors, but only to consider the executive compensation </w:t>
      </w:r>
      <w:r>
        <w:rPr>
          <w:rFonts w:ascii="Arial" w:cs="Arial" w:eastAsia="Arial" w:hAnsi="Arial"/>
          <w:sz w:val="18"/>
          <w:szCs w:val="18"/>
          <w:i w:val="1"/>
          <w:iCs w:val="1"/>
          <w:color w:val="auto"/>
        </w:rPr>
        <w:t xml:space="preserve">practices </w:t>
      </w:r>
      <w:r>
        <w:rPr>
          <w:rFonts w:ascii="Arial" w:cs="Arial" w:eastAsia="Arial" w:hAnsi="Arial"/>
          <w:sz w:val="18"/>
          <w:szCs w:val="18"/>
          <w:color w:val="auto"/>
        </w:rPr>
        <w:t>of these firms. As noted above, the Committee believes the executive positions at these companies are not comparable in scope and complexity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NEO positions at ManpowerGroup. Therefore, the Committee does not believe that the compensation </w:t>
      </w:r>
      <w:r>
        <w:rPr>
          <w:rFonts w:ascii="Arial" w:cs="Arial" w:eastAsia="Arial" w:hAnsi="Arial"/>
          <w:sz w:val="18"/>
          <w:szCs w:val="18"/>
          <w:i w:val="1"/>
          <w:iCs w:val="1"/>
          <w:color w:val="auto"/>
        </w:rPr>
        <w:t>levels</w:t>
      </w:r>
      <w:r>
        <w:rPr>
          <w:rFonts w:ascii="Arial" w:cs="Arial" w:eastAsia="Arial" w:hAnsi="Arial"/>
          <w:sz w:val="18"/>
          <w:szCs w:val="18"/>
          <w:color w:val="auto"/>
        </w:rPr>
        <w:t xml:space="preserve"> paid to executives at these companies provide an appropriate indicator of the competitive market for ManpowerGroup NEOs. A list of the companies in the industry-specific comparator group is attached as </w:t>
      </w:r>
      <w:r>
        <w:rPr>
          <w:rFonts w:ascii="Arial" w:cs="Arial" w:eastAsia="Arial" w:hAnsi="Arial"/>
          <w:sz w:val="18"/>
          <w:szCs w:val="18"/>
          <w:i w:val="1"/>
          <w:iCs w:val="1"/>
          <w:color w:val="auto"/>
        </w:rPr>
        <w:t>Appendix D-1.</w:t>
      </w:r>
    </w:p>
    <w:p>
      <w:pPr>
        <w:spacing w:after="0" w:line="188"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For our NEOs, the following table illustrates how the total opportunity at target performance for total direct compensation for 2015 compared to the median compensation of executives in similar positions taken from the composite of the peer group and U.S. survey data considered.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900" w:type="dxa"/>
            <w:vAlign w:val="bottom"/>
            <w:gridSpan w:val="2"/>
          </w:tcPr>
          <w:p>
            <w:pPr>
              <w:ind w:left="1480"/>
              <w:spacing w:after="0"/>
              <w:rPr>
                <w:sz w:val="20"/>
                <w:szCs w:val="20"/>
                <w:color w:val="auto"/>
              </w:rPr>
            </w:pPr>
            <w:r>
              <w:rPr>
                <w:rFonts w:ascii="Arial" w:cs="Arial" w:eastAsia="Arial" w:hAnsi="Arial"/>
                <w:sz w:val="18"/>
                <w:szCs w:val="18"/>
                <w:b w:val="1"/>
                <w:bCs w:val="1"/>
                <w:color w:val="auto"/>
              </w:rPr>
              <w:t>Total Direct Compensation</w:t>
            </w:r>
          </w:p>
        </w:tc>
        <w:tc>
          <w:tcPr>
            <w:tcW w:w="0" w:type="dxa"/>
            <w:vAlign w:val="bottom"/>
          </w:tcPr>
          <w:p>
            <w:pPr>
              <w:spacing w:after="0"/>
              <w:rPr>
                <w:sz w:val="1"/>
                <w:szCs w:val="1"/>
                <w:color w:val="auto"/>
              </w:rPr>
            </w:pPr>
          </w:p>
        </w:tc>
      </w:tr>
      <w:tr>
        <w:trPr>
          <w:trHeight w:val="545"/>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6"/>
              </w:rPr>
              <w:t>% Variance to Median of</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Competitive Market</w:t>
            </w:r>
          </w:p>
        </w:tc>
        <w:tc>
          <w:tcPr>
            <w:tcW w:w="0" w:type="dxa"/>
            <w:vAlign w:val="bottom"/>
          </w:tcPr>
          <w:p>
            <w:pPr>
              <w:spacing w:after="0"/>
              <w:rPr>
                <w:sz w:val="1"/>
                <w:szCs w:val="1"/>
                <w:color w:val="auto"/>
              </w:rPr>
            </w:pPr>
          </w:p>
        </w:tc>
      </w:tr>
      <w:tr>
        <w:trPr>
          <w:trHeight w:val="152"/>
        </w:trPr>
        <w:tc>
          <w:tcPr>
            <w:tcW w:w="3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NEO</w:t>
            </w:r>
          </w:p>
        </w:tc>
        <w:tc>
          <w:tcPr>
            <w:tcW w:w="5240" w:type="dxa"/>
            <w:vAlign w:val="bottom"/>
          </w:tcPr>
          <w:p>
            <w:pPr>
              <w:spacing w:after="0"/>
              <w:rPr>
                <w:sz w:val="13"/>
                <w:szCs w:val="13"/>
                <w:color w:val="auto"/>
              </w:rPr>
            </w:pPr>
          </w:p>
        </w:tc>
        <w:tc>
          <w:tcPr>
            <w:tcW w:w="2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Subset of S&amp;P 500/</w:t>
            </w: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5240" w:type="dxa"/>
            <w:vAlign w:val="bottom"/>
          </w:tcPr>
          <w:p>
            <w:pPr>
              <w:spacing w:after="0"/>
              <w:rPr>
                <w:sz w:val="13"/>
                <w:szCs w:val="13"/>
                <w:color w:val="auto"/>
              </w:rPr>
            </w:pPr>
          </w:p>
        </w:tc>
        <w:tc>
          <w:tcPr>
            <w:tcW w:w="2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U.S. Survey Data Composite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7900" w:type="dxa"/>
            <w:vAlign w:val="bottom"/>
            <w:tcBorders>
              <w:bottom w:val="single" w:sz="8" w:color="CCEEFF"/>
            </w:tcBorders>
            <w:gridSpan w:val="2"/>
            <w:shd w:val="clear" w:color="auto" w:fill="CCEEFF"/>
          </w:tcPr>
          <w:p>
            <w:pPr>
              <w:jc w:val="center"/>
              <w:ind w:left="517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Michael J. Van Handel</w:t>
            </w:r>
          </w:p>
        </w:tc>
        <w:tc>
          <w:tcPr>
            <w:tcW w:w="7900" w:type="dxa"/>
            <w:vAlign w:val="bottom"/>
            <w:gridSpan w:val="2"/>
          </w:tcPr>
          <w:p>
            <w:pPr>
              <w:jc w:val="center"/>
              <w:ind w:left="517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7900" w:type="dxa"/>
            <w:vAlign w:val="bottom"/>
            <w:tcBorders>
              <w:bottom w:val="single" w:sz="8" w:color="CCEEFF"/>
            </w:tcBorders>
            <w:gridSpan w:val="2"/>
            <w:shd w:val="clear" w:color="auto" w:fill="CCEEFF"/>
          </w:tcPr>
          <w:p>
            <w:pPr>
              <w:jc w:val="center"/>
              <w:ind w:left="517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Ram Chandrashekar(1)</w:t>
            </w:r>
          </w:p>
        </w:tc>
        <w:tc>
          <w:tcPr>
            <w:tcW w:w="7900" w:type="dxa"/>
            <w:vAlign w:val="bottom"/>
            <w:gridSpan w:val="2"/>
          </w:tcPr>
          <w:p>
            <w:pPr>
              <w:jc w:val="center"/>
              <w:ind w:left="515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Mara E. Swan(2)</w:t>
            </w:r>
          </w:p>
        </w:tc>
        <w:tc>
          <w:tcPr>
            <w:tcW w:w="7900" w:type="dxa"/>
            <w:vAlign w:val="bottom"/>
            <w:tcBorders>
              <w:bottom w:val="single" w:sz="8" w:color="CCEEFF"/>
            </w:tcBorders>
            <w:gridSpan w:val="2"/>
            <w:shd w:val="clear" w:color="auto" w:fill="CCEEFF"/>
          </w:tcPr>
          <w:p>
            <w:pPr>
              <w:jc w:val="center"/>
              <w:ind w:left="5170"/>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Jeffrey A. Joerres</w:t>
            </w:r>
          </w:p>
        </w:tc>
        <w:tc>
          <w:tcPr>
            <w:tcW w:w="7900" w:type="dxa"/>
            <w:vAlign w:val="bottom"/>
            <w:gridSpan w:val="2"/>
          </w:tcPr>
          <w:p>
            <w:pPr>
              <w:jc w:val="center"/>
              <w:ind w:left="51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strike w:val="1"/>
        </w:rPr>
        <w:t>----------------</w:t>
      </w:r>
    </w:p>
    <w:p>
      <w:pPr>
        <w:spacing w:after="0" w:line="112" w:lineRule="exact"/>
        <w:rPr>
          <w:sz w:val="20"/>
          <w:szCs w:val="20"/>
          <w:color w:val="auto"/>
        </w:rPr>
      </w:pPr>
    </w:p>
    <w:p>
      <w:pPr>
        <w:ind w:left="500" w:right="28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2015, Mr. Chandrashekar was based in Asia, and international survey data was also used as a secondary source in setting his compensation. Such international data is not included in the composite reflected in this table.</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Compensation for Ms. Swan, who is a global functional leader, was compared against U.S. compensation survey data recommended by Mercer, but not against the subset of S&amp;P 500 companies.</w:t>
      </w:r>
    </w:p>
    <w:p>
      <w:pPr>
        <w:spacing w:after="0" w:line="184"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Mr. Prising’s target compensation falls below the median total direct compensation when benchmarked against survey data for CEOs. The Committee determined this was appropriate because Mr. Prising's tenure as CEO is less than two years. For Mr. Chandrashekar, his compensation is above the median of any roles 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was compared against because of his multiple roles and responsibilities, which the Committee determined was appropriate. For all other NEOs, the Committee determined their target compensation was within a suitable range of the median.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Assessing Individual Factors</w:t>
      </w:r>
    </w:p>
    <w:p>
      <w:pPr>
        <w:spacing w:after="0" w:line="225"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Committee Determines Compensation Levels</w:t>
      </w:r>
    </w:p>
    <w:p>
      <w:pPr>
        <w:spacing w:after="0" w:line="229"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The Committee determines the CEO compensation levels, including base salary, establishing and determining the achievement of the financial goals and operating objectives for the annual cash incentives, and any equity-based compensation awards, subject to ratification by the board of directors. Generally, the CEO establishes and determines the achievement of the goals and objectives for the annual incentive for the other NEOs, with the Committee making the final determinations. Similarly, the CEO generally recommends to the Committee any salary adjustments, cash incentive awards or equity-based awards for the other NEOs, which are then evaluated and determined by the Committee. In the case of the former Executive Chairman, however, these determinations were made by the Committee without recommendation from the CEO, and were then presented to the board of directors for ratification. Mercer also provided input to the Committee regarding the final 2015 compensation for all of the NEOs. This input reflected the Company's performance results for 2015, external market references against the peer group, internal compensation references and the individual performance of each of the NEOs. Under the Committee’s charter, compensation for our CEO, CFO and President is subject to ratification by the board of directors. Accordingly, the determinations for Mr. Prising, Mr. Van Handel, and Mr. Green, as well as Mr. Joerres, were ratified by the board of directors.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Setting Annual Incentive Goals and Equity Awards for Mr. Prising</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annual financial goals for the CEO are based on EPS and ROIC for the year. The process begins with collaboration between Mercer and the CFO. Mercer then reviews this outcome with the chair of the Committee, who makes a preliminary decision about the goals. The full Committee then reviews and determines the goals and range of award opportunities for achievement of the goals, including the weighting of each goal for the CEO,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9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Setting the operating objectives for the CEO begins with the CEO recommending to the Committee the objectives for himself for the year. The Committee reviews and ultimately approves these operating objectives, subject to any adjustments, in the context of ManpowerGroup’s strategic and financial plans.</w:t>
      </w:r>
    </w:p>
    <w:p>
      <w:pPr>
        <w:spacing w:after="0" w:line="181"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At each compensation committee meeting during the year, the Committee reviews the progress the CEO is making towards the achievement of his financial goals for the year. After the close of each year, the Committee reviews and approves, subject to ratification by the board of directors, an award amount for the annual cash incentive based on whether the annual objective financial goals have been achieved, the pool allocation earned under the Pool Plan, and based on the CEO’s performance towards each of his annual operating objectives.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Committee will generally determine and approve equity awards to the CEO and the related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part of the decision making process for the CEO’s compensation matters, any decisions of the Committee or ratifications by the board of directors regarding the CEO’s compensation, are done in executive session without any other management present.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Setting Annual Incentive Goals and Equity Awards for Messrs. Van Handel, Green, Chandrashekar and Ms. Swan</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process for setting the annual financial goals for the other NEOs begins with the CEO and CFO selecting the objective financial metrics and establishing proposed goals for those selected metrics for each of the NEOs. The EPS and ROIC metric is used for each NEO, with the same goals as those used for the CEO. The CEO and CFO determine the proposed goals and award opportunities for Mr. Chandrashekar’s other objective financial metric, AOUP. The Committee reviews these recommended financial goals, makes any adjustments it deems appropriate and then approves the financial goals and range of award opportunities, including the weighting of each goal.</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2015, Mr. Prising approved the operating objectives for Messrs. Van Handel, Green, Chandrashekar and Ms. Swan.</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After the close of each year, the Committee reviews and approves an award amount for the annual incentive to each NEO based on achievement of the NEO’s annual objective financial goals and the pool allocation earned under the Pool Plan. The CEO determines the amount of any award to each of the NEOs for performance towards each of their annual operating objectives. The CEO presents the recommended award for each NEO to the Committee for its review and approval, subject to ratification by the board of directors for Mr. Van Handel and Mr. Green.</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subject to ratification of the board of directors in the case of Mr. Van Handel and Mr. Green. These are generally based on recommendations by the CEO (although not with regard to himself). The Committee may make grants to NEOs at other times during the year, as it deems appropriate. The grant date for the awards is the date the Committee approves the awards. The exercise price for any options granted is the closing price on the date of grant.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Setting Annual Incentive Goals and Equity Awards for Mr. Joerres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process for the former Executive Chairman was similar to the process for the CEO. The annual financial goals for the former Executive Chairman were based on EPS and ROIC for the year. The Committee reviewed and determined the goals and range of award opportunities for achievement of the goals, including the weighting of each goal, subject to ratification by the board of directors. The former Executive Chairman recommended operating objectives for himself, and the Committee reviewed and ultimately approved these operating objectives, subject to any adjustments, in the context of ManpowerGroup's strategic and financial plans.</w:t>
      </w:r>
    </w:p>
    <w:p>
      <w:pPr>
        <w:spacing w:after="0" w:line="18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At each compensation committee meeting during the year, the Committee reviewed the progress the Executive Chairman made towards the achievement of his financial goals for the year. As Mr. Joerres retired on December 30, 2015, under the terms of the Pool Plan, Mr. Joerres would not have been eligible to receive any annual incentive for 2015, as his employment did not include the last day of the fiscal year. However, in light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of Mr. Joerres's retirement and his service throughout 2015, the Committee approved payment to Mr. Joerres of his full annual incentive for 2015</w:t>
      </w:r>
      <w:r>
        <w:rPr>
          <w:rFonts w:ascii="Arial" w:cs="Arial" w:eastAsia="Arial" w:hAnsi="Arial"/>
          <w:sz w:val="18"/>
          <w:szCs w:val="18"/>
          <w:color w:val="auto"/>
        </w:rPr>
        <w:t>,</w:t>
      </w:r>
      <w:r>
        <w:rPr>
          <w:rFonts w:ascii="Arial" w:cs="Arial" w:eastAsia="Arial" w:hAnsi="Arial"/>
          <w:sz w:val="17"/>
          <w:szCs w:val="17"/>
          <w:color w:val="auto"/>
        </w:rPr>
        <w:t xml:space="preserve"> based on actual performance results for the objectives approved for him in February 2015. In February 2016, the Committee reviewed and approved, and the board of directors subsequently ratified, an award amount for the annual cash incentive for Mr. Joerres, taking into account the pool allocation earned under the Pool Plan, the annual objective financial goals achieved, and his performance towards each of his annual operating objectives.</w:t>
      </w:r>
    </w:p>
    <w:p>
      <w:pPr>
        <w:spacing w:after="0" w:line="162"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Committee determined and approved equity awards and the related vesting schedules for Mr. Joerres as Executive Chairman, at its regularly scheduled meeting in February 2015, which were subsequently ratified by the board of directors. The grant date for the awards was the date the Committee approved the awards.</w:t>
      </w:r>
    </w:p>
    <w:p>
      <w:pPr>
        <w:spacing w:after="0" w:line="18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part of the decision making process for the Executive Chairman’s compensation matters, any decisions of the Committee or ratifications by the board of directors regarding his compensation, were done in executive session without any other management present.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2015 Executive Compensation Program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20" w:firstLine="486"/>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Base salaries for NEOs are set near the median of base salaries paid in the relevant competitive market, for the particular position, subject to individual performance factors as described earlier. None of the NEOs received an increase in base salary in 2015. Mr. Prising and Mr. Green's 2015 salary in the Summary Compensation Table on page </w:t>
      </w:r>
      <w:hyperlink w:anchor="page63">
        <w:r>
          <w:rPr>
            <w:rFonts w:ascii="Arial" w:cs="Arial" w:eastAsia="Arial" w:hAnsi="Arial"/>
            <w:sz w:val="18"/>
            <w:szCs w:val="18"/>
            <w:u w:val="single" w:color="auto"/>
            <w:color w:val="0000EE"/>
          </w:rPr>
          <w:t>61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reflects a full year as CEO and COO, respectively. Mr. Joerres’ base salary decreased to $900,000 effective February 10, 2015, due to his continued decrease in responsibilities.</w:t>
      </w:r>
    </w:p>
    <w:p>
      <w:pPr>
        <w:spacing w:after="0" w:line="187" w:lineRule="exact"/>
        <w:rPr>
          <w:sz w:val="20"/>
          <w:szCs w:val="20"/>
          <w:color w:val="auto"/>
        </w:rPr>
      </w:pPr>
    </w:p>
    <w:p>
      <w:pPr>
        <w:jc w:val="both"/>
        <w:ind w:right="80" w:firstLine="486"/>
        <w:spacing w:after="0" w:line="312" w:lineRule="auto"/>
        <w:rPr>
          <w:sz w:val="20"/>
          <w:szCs w:val="20"/>
          <w:color w:val="auto"/>
        </w:rPr>
      </w:pPr>
      <w:r>
        <w:rPr>
          <w:rFonts w:ascii="Arial" w:cs="Arial" w:eastAsia="Arial" w:hAnsi="Arial"/>
          <w:sz w:val="16"/>
          <w:szCs w:val="16"/>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Pool Plan</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stated earlier, in 2011 our shareholders approved the Corporate Senior Management Annual Incentive Pool Plan (the “Pool Plan”). The design of the Pool Plan sets maximum incentive levels for executives subject to the plan, and then enables the Committee to use negative discretion to establish actual incentives for our NEOs. This is done based on a subjective assessment of the individual’s achievements and performance and overall contribution to the Company and even more importantly, based on the Committee’s assessment of performance towards the pre-specified financial goals and operating objectives which are set at the beginning of the year. The Pool Plan is designed to maintain our ability to deduct the incentives to the greatest extent permitted under Section 162(m) of the Internal Revenue Code.</w:t>
      </w:r>
    </w:p>
    <w:p>
      <w:pPr>
        <w:spacing w:after="0" w:line="193"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In February 2016, the Committee approved an amendment to the Pool Plan so that any participant who retires during the year would be entitled to a pro-rata portion of their annual incentive for that year, based on actual performance</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the amendment, a participant who retired prior to December 31 of a given year would not be eligible for any incentive for that year, unless otherwise determined by the Committee.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2015, the Committee determined that the aggregate annual cash incentive awards for the NEOs who are subject to the Pool Plan cannot exceed</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.75% percent of gross profit. The maximum amount of the individual awards for each participating NEO will be the lesser of the shareholder approved maximum individual payout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Pool Plan of $5.0 million or a percentage of the gross profit pool as approved by the Committee in advance. The total incentive payout to executives cannot exceed 100% of the pool. During the first quarter of 2015, the Committee approved the pool allocations for each of the NEOs as follows: Mr. Prising (24%), Mr. Van Handel (10%), Mr. Green (12%), Mr. Chandrashekar (7%), Ms. Swan (7%), and Mr. Joerres (18%) with the balance of the pool being allocated to other executives and for any new executives hired or promoted during the year. Within this structure, the Committee uses negative discretion to determine incentives for our NEOs by continuing to use the goals of EPS, ROIC, AOUP and various operational objectives to calculate the amount for each of the NEOs, capped by each executive’s allocable share of the pool. Each of the NEOs who was a participant in the Pool Plan for 2015 received a cash incentive payment significantly less than his or her allocable share of the pool.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How the Committee Sets Underlying Goals for EPS and ROIC</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noted above, the Annual Cash Incentives for NEOs are based on two objective factors – EPS and ROIC – plus regional operating unit performance, where applicable, and individual performance objectives. For EPS and ROIC, the Committee sets target outcomes at a number that reflects an annual growth target. As mentioned earlier, beginning in 2015, the Committee determined to exclude the impact of currency when calculating EPS and ROIC to ensure that payments under our annual incentives reflect the underlying performance of our business. Accordingly, they set the EPS and ROIC targets on a constant currency basis. The calculation of EPS and ROIC are as follows:</w:t>
      </w:r>
    </w:p>
    <w:p>
      <w:pPr>
        <w:spacing w:after="0" w:line="90" w:lineRule="exact"/>
        <w:rPr>
          <w:sz w:val="20"/>
          <w:szCs w:val="20"/>
          <w:color w:val="auto"/>
        </w:rPr>
      </w:pPr>
    </w:p>
    <w:p>
      <w:pPr>
        <w:ind w:left="820" w:right="620" w:hanging="326"/>
        <w:spacing w:after="0" w:line="313" w:lineRule="auto"/>
        <w:tabs>
          <w:tab w:leader="none" w:pos="8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EPS </w:t>
      </w:r>
      <w:r>
        <w:rPr>
          <w:rFonts w:ascii="Arial" w:cs="Arial" w:eastAsia="Arial" w:hAnsi="Arial"/>
          <w:sz w:val="17"/>
          <w:szCs w:val="17"/>
          <w:color w:val="auto"/>
        </w:rPr>
        <w:t>— net earnings per share — diluted, including net earnings from continuing and discontinued operations, but excluding the impact of</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any cumulative effects of changes in accounting principles, extraordinary items or goodwill impairment.</w:t>
      </w:r>
    </w:p>
    <w:p>
      <w:pPr>
        <w:spacing w:after="0" w:line="138" w:lineRule="exact"/>
        <w:rPr>
          <w:rFonts w:ascii="Arial" w:cs="Arial" w:eastAsia="Arial" w:hAnsi="Arial"/>
          <w:sz w:val="17"/>
          <w:szCs w:val="17"/>
          <w:color w:val="auto"/>
        </w:rPr>
      </w:pPr>
    </w:p>
    <w:p>
      <w:pPr>
        <w:ind w:left="820" w:right="20" w:hanging="326"/>
        <w:spacing w:after="0" w:line="266"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 taxes plus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and goodwill impairment minus taxes, excluding the impact of currency. Average capital is the average monthly ending balance of capital employed plus or minus adjustments.</w:t>
      </w:r>
    </w:p>
    <w:p>
      <w:pPr>
        <w:spacing w:after="0" w:line="180" w:lineRule="exact"/>
        <w:rPr>
          <w:sz w:val="20"/>
          <w:szCs w:val="20"/>
          <w:color w:val="auto"/>
        </w:rPr>
      </w:pPr>
    </w:p>
    <w:p>
      <w:pPr>
        <w:jc w:val="both"/>
        <w:ind w:right="360" w:firstLine="486"/>
        <w:spacing w:after="0" w:line="288" w:lineRule="auto"/>
        <w:rPr>
          <w:sz w:val="20"/>
          <w:szCs w:val="20"/>
          <w:color w:val="auto"/>
        </w:rPr>
      </w:pPr>
      <w:r>
        <w:rPr>
          <w:rFonts w:ascii="Arial" w:cs="Arial" w:eastAsia="Arial" w:hAnsi="Arial"/>
          <w:sz w:val="16"/>
          <w:szCs w:val="16"/>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w:t>
      </w:r>
    </w:p>
    <w:p>
      <w:pPr>
        <w:ind w:right="380"/>
        <w:spacing w:after="0" w:line="323" w:lineRule="auto"/>
        <w:rPr>
          <w:sz w:val="20"/>
          <w:szCs w:val="20"/>
          <w:color w:val="auto"/>
        </w:rPr>
      </w:pPr>
      <w:r>
        <w:rPr>
          <w:rFonts w:ascii="Arial" w:cs="Arial" w:eastAsia="Arial" w:hAnsi="Arial"/>
          <w:sz w:val="16"/>
          <w:szCs w:val="16"/>
          <w:color w:val="auto"/>
        </w:rPr>
        <w:t>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3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ROIC target is then determined based on the earnings growth reflected by the EPS target as well as consideration by the Committee of factors relating to the Company’s level of capital. The other financial performance metrics under the plan used to determine the annual incentives earned by the other NEOs are determined in a similar way, taking into consideration the economic conditions and expected financial performance of each individual region, where applicable, as well as the overall EPS and ROIC targets. 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Discussion of Setting Annual Incentive Goals for the NEOs</w:t>
      </w:r>
    </w:p>
    <w:p>
      <w:pPr>
        <w:spacing w:after="0" w:line="22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Company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manage our accounts receivable and other capital investments carefully in order to maximize the return on capital deployed. Our goal is to continuously improve our ROIC through year over year increases.</w:t>
      </w:r>
    </w:p>
    <w:p>
      <w:pPr>
        <w:spacing w:after="0" w:line="166"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For 2015, the Committee based its EPS and ROIC target levels on the following EPS growth rate goals for threshold, target and outstanding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ind w:left="40"/>
              <w:spacing w:after="0"/>
              <w:rPr>
                <w:sz w:val="20"/>
                <w:szCs w:val="20"/>
                <w:color w:val="auto"/>
              </w:rPr>
            </w:pPr>
            <w:r>
              <w:rPr>
                <w:rFonts w:ascii="Arial" w:cs="Arial" w:eastAsia="Arial" w:hAnsi="Arial"/>
                <w:sz w:val="14"/>
                <w:szCs w:val="14"/>
                <w:b w:val="1"/>
                <w:bCs w:val="1"/>
                <w:color w:val="auto"/>
              </w:rPr>
              <w:t>Goal</w:t>
            </w:r>
          </w:p>
        </w:tc>
        <w:tc>
          <w:tcPr>
            <w:tcW w:w="4180" w:type="dxa"/>
            <w:vAlign w:val="bottom"/>
            <w:gridSpan w:val="3"/>
          </w:tcPr>
          <w:p>
            <w:pPr>
              <w:jc w:val="center"/>
              <w:ind w:left="2759"/>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3"/>
        </w:trPr>
        <w:tc>
          <w:tcPr>
            <w:tcW w:w="4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EPS Growth Rate</w:t>
            </w:r>
          </w:p>
        </w:tc>
        <w:tc>
          <w:tcPr>
            <w:tcW w:w="3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setting the target growth rate, the Committee assumed continuing improvement in global economic conditions. Correspondingly, the growth target for outstanding performance represents what the Committee believes is an appropriate growth rate for outstanding performance. The Committee believes the threshold growth rate is the minimum level at which it was appropriate to earn an incentive mainly due to continued uncertainty in the global economic conditions that existed at the time when the goals were set.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EPS and ROIC goals established by the Committee for 2015, which correspond to the EPS growth targets: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ind w:left="40"/>
              <w:spacing w:after="0"/>
              <w:rPr>
                <w:sz w:val="20"/>
                <w:szCs w:val="20"/>
                <w:color w:val="auto"/>
              </w:rPr>
            </w:pPr>
            <w:r>
              <w:rPr>
                <w:rFonts w:ascii="Arial" w:cs="Arial" w:eastAsia="Arial" w:hAnsi="Arial"/>
                <w:sz w:val="14"/>
                <w:szCs w:val="14"/>
                <w:b w:val="1"/>
                <w:bCs w:val="1"/>
                <w:color w:val="auto"/>
              </w:rPr>
              <w:t>Goal</w:t>
            </w:r>
          </w:p>
        </w:tc>
        <w:tc>
          <w:tcPr>
            <w:tcW w:w="4700" w:type="dxa"/>
            <w:vAlign w:val="bottom"/>
            <w:gridSpan w:val="3"/>
          </w:tcPr>
          <w:p>
            <w:pPr>
              <w:ind w:left="3820"/>
              <w:spacing w:after="0"/>
              <w:rPr>
                <w:sz w:val="20"/>
                <w:szCs w:val="20"/>
                <w:color w:val="auto"/>
              </w:rPr>
            </w:pPr>
            <w:r>
              <w:rPr>
                <w:rFonts w:ascii="Arial" w:cs="Arial" w:eastAsia="Arial" w:hAnsi="Arial"/>
                <w:sz w:val="14"/>
                <w:szCs w:val="14"/>
                <w:b w:val="1"/>
                <w:bCs w:val="1"/>
                <w:color w:val="auto"/>
              </w:rPr>
              <w:t>Threshold</w:t>
            </w: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Target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EPS</w:t>
            </w:r>
          </w:p>
        </w:tc>
        <w:tc>
          <w:tcPr>
            <w:tcW w:w="4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$5.85</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ROIC</w:t>
            </w:r>
          </w:p>
        </w:tc>
        <w:tc>
          <w:tcPr>
            <w:tcW w:w="44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1"/>
                <w:szCs w:val="21"/>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15.0%</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r>
    </w:tbl>
    <w:p>
      <w:pPr>
        <w:spacing w:after="0" w:line="22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Where an individual executive has specific responsibility for a geographic operating unit, the Committee also uses AOUP as a financial performance metric, to drive profitability in the executive’s business unit, while factoring in the cost of carrying accounts receivable. The calculation of AOUP is as follows:</w:t>
      </w:r>
    </w:p>
    <w:p>
      <w:pPr>
        <w:spacing w:after="0" w:line="83" w:lineRule="exact"/>
        <w:rPr>
          <w:sz w:val="20"/>
          <w:szCs w:val="20"/>
          <w:color w:val="auto"/>
        </w:rPr>
      </w:pPr>
    </w:p>
    <w:p>
      <w:pPr>
        <w:ind w:left="820" w:hanging="326"/>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AOUP </w:t>
      </w:r>
      <w:r>
        <w:rPr>
          <w:rFonts w:ascii="Arial" w:cs="Arial" w:eastAsia="Arial" w:hAnsi="Arial"/>
          <w:sz w:val="18"/>
          <w:szCs w:val="18"/>
          <w:color w:val="auto"/>
        </w:rPr>
        <w:t>— Operating unit profit less a cost of net capital.</w:t>
      </w:r>
    </w:p>
    <w:p>
      <w:pPr>
        <w:spacing w:after="0" w:line="229" w:lineRule="exact"/>
        <w:rPr>
          <w:rFonts w:ascii="Arial" w:cs="Arial" w:eastAsia="Arial" w:hAnsi="Arial"/>
          <w:sz w:val="18"/>
          <w:szCs w:val="18"/>
          <w:color w:val="auto"/>
        </w:rPr>
      </w:pPr>
    </w:p>
    <w:p>
      <w:pPr>
        <w:ind w:left="1300" w:right="8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Operating unit profit is equal to revenues less direct costs and branch and national headquarters operating costs translated into U.S. Dollars in constant currency.</w:t>
      </w:r>
    </w:p>
    <w:p>
      <w:pPr>
        <w:spacing w:after="0" w:line="170"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Cost of net capital is average net capital multiplied by 12%. Average net capital equals trade accounts receivable less allowance for doubtful accounts and other miscellaneous adjustments, calculated based on the average of the monthly ending balances, translated in U.S. Dollars using the same exchange rates as used for operating unit profit.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Annual Incentive Award Opportunities for Mr. Prising</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Committee determined that EPS and ROIC were the appropriate performance metrics in 2015 for Mr. Prising as the CEO. The following chart shows the Committee’s determination of award opportunities for the annual incentive payable to Mr. Prising for 2015, as a percentage of his 2015 base salary of $1,100,000: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540" w:type="dxa"/>
            <w:vAlign w:val="bottom"/>
            <w:gridSpan w:val="3"/>
          </w:tcPr>
          <w:p>
            <w:pPr>
              <w:ind w:left="2600"/>
              <w:spacing w:after="0"/>
              <w:rPr>
                <w:sz w:val="20"/>
                <w:szCs w:val="20"/>
                <w:color w:val="auto"/>
              </w:rPr>
            </w:pPr>
            <w:r>
              <w:rPr>
                <w:rFonts w:ascii="Arial" w:cs="Arial" w:eastAsia="Arial" w:hAnsi="Arial"/>
                <w:sz w:val="14"/>
                <w:szCs w:val="14"/>
                <w:b w:val="1"/>
                <w:bCs w:val="1"/>
                <w:color w:val="auto"/>
              </w:rPr>
              <w:t>Threshold</w:t>
            </w:r>
          </w:p>
        </w:tc>
        <w:tc>
          <w:tcPr>
            <w:tcW w:w="3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5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 (weighted 40%)</w:t>
            </w:r>
          </w:p>
        </w:tc>
        <w:tc>
          <w:tcPr>
            <w:tcW w:w="3220" w:type="dxa"/>
            <w:vAlign w:val="bottom"/>
            <w:tcBorders>
              <w:bottom w:val="single" w:sz="8" w:color="CCEEFF"/>
            </w:tcBorders>
            <w:gridSpan w:val="2"/>
            <w:shd w:val="clear" w:color="auto" w:fill="CCEEFF"/>
          </w:tcPr>
          <w:p>
            <w:pPr>
              <w:jc w:val="center"/>
              <w:ind w:left="2514"/>
              <w:spacing w:after="0"/>
              <w:rPr>
                <w:sz w:val="20"/>
                <w:szCs w:val="20"/>
                <w:color w:val="auto"/>
              </w:rPr>
            </w:pPr>
            <w:r>
              <w:rPr>
                <w:rFonts w:ascii="Arial" w:cs="Arial" w:eastAsia="Arial" w:hAnsi="Arial"/>
                <w:sz w:val="18"/>
                <w:szCs w:val="18"/>
                <w:color w:val="auto"/>
                <w:w w:val="90"/>
              </w:rPr>
              <w:t>15.0%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1"/>
              </w:rPr>
              <w:t>120.0%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ROIC goal (weighted 40%)</w:t>
            </w:r>
          </w:p>
        </w:tc>
        <w:tc>
          <w:tcPr>
            <w:tcW w:w="3220" w:type="dxa"/>
            <w:vAlign w:val="bottom"/>
            <w:gridSpan w:val="2"/>
          </w:tcPr>
          <w:p>
            <w:pPr>
              <w:jc w:val="center"/>
              <w:ind w:left="2514"/>
              <w:spacing w:after="0"/>
              <w:rPr>
                <w:sz w:val="20"/>
                <w:szCs w:val="20"/>
                <w:color w:val="auto"/>
              </w:rPr>
            </w:pPr>
            <w:r>
              <w:rPr>
                <w:rFonts w:ascii="Arial" w:cs="Arial" w:eastAsia="Arial" w:hAnsi="Arial"/>
                <w:sz w:val="18"/>
                <w:szCs w:val="18"/>
                <w:color w:val="auto"/>
                <w:w w:val="90"/>
              </w:rPr>
              <w:t>15.0%</w:t>
            </w:r>
          </w:p>
        </w:tc>
        <w:tc>
          <w:tcPr>
            <w:tcW w:w="32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60.0%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120.0%</w:t>
            </w:r>
          </w:p>
        </w:tc>
        <w:tc>
          <w:tcPr>
            <w:tcW w:w="3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 (weighted 20%)</w:t>
            </w:r>
          </w:p>
        </w:tc>
        <w:tc>
          <w:tcPr>
            <w:tcW w:w="3220" w:type="dxa"/>
            <w:vAlign w:val="bottom"/>
            <w:tcBorders>
              <w:bottom w:val="single" w:sz="8" w:color="CCEEFF"/>
            </w:tcBorders>
            <w:gridSpan w:val="2"/>
            <w:shd w:val="clear" w:color="auto" w:fill="CCEEFF"/>
          </w:tcPr>
          <w:p>
            <w:pPr>
              <w:jc w:val="center"/>
              <w:ind w:left="2514"/>
              <w:spacing w:after="0"/>
              <w:rPr>
                <w:sz w:val="20"/>
                <w:szCs w:val="20"/>
                <w:color w:val="auto"/>
              </w:rPr>
            </w:pPr>
            <w:r>
              <w:rPr>
                <w:rFonts w:ascii="Arial" w:cs="Arial" w:eastAsia="Arial" w:hAnsi="Arial"/>
                <w:sz w:val="18"/>
                <w:szCs w:val="18"/>
                <w:color w:val="auto"/>
                <w:w w:val="92"/>
              </w:rPr>
              <w:t>7.5%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3"/>
              </w:rPr>
              <w:t>60.0%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jc w:val="center"/>
              <w:ind w:left="2514"/>
              <w:spacing w:after="0"/>
              <w:rPr>
                <w:sz w:val="20"/>
                <w:szCs w:val="20"/>
                <w:color w:val="auto"/>
              </w:rPr>
            </w:pPr>
            <w:r>
              <w:rPr>
                <w:rFonts w:ascii="Arial" w:cs="Arial" w:eastAsia="Arial" w:hAnsi="Arial"/>
                <w:sz w:val="18"/>
                <w:szCs w:val="18"/>
                <w:color w:val="auto"/>
                <w:w w:val="90"/>
              </w:rPr>
              <w:t>37.5%</w:t>
            </w:r>
          </w:p>
        </w:tc>
        <w:tc>
          <w:tcPr>
            <w:tcW w:w="32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1"/>
              </w:rPr>
              <w:t>150.0%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300.0%</w:t>
            </w:r>
          </w:p>
        </w:tc>
        <w:tc>
          <w:tcPr>
            <w:tcW w:w="300" w:type="dxa"/>
            <w:vAlign w:val="bottom"/>
          </w:tcPr>
          <w:p>
            <w:pPr>
              <w:spacing w:after="0"/>
              <w:rPr>
                <w:sz w:val="21"/>
                <w:szCs w:val="2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objectives for Mr. Prising for 2015 are as follows:</w:t>
      </w:r>
    </w:p>
    <w:p>
      <w:pPr>
        <w:spacing w:after="0" w:line="63" w:lineRule="exact"/>
        <w:rPr>
          <w:sz w:val="20"/>
          <w:szCs w:val="20"/>
          <w:color w:val="auto"/>
        </w:rPr>
      </w:pPr>
    </w:p>
    <w:p>
      <w:pPr>
        <w:ind w:left="820" w:hanging="32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progress towards strategic plans within each of the brands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a strong team and a robust and diverse talent pipeline, including succession planning for key leadership</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Committee determined that Mr. Prising earned a cash incentive award for 2015 between target and outstanding for all of his financial objectives in</w:t>
      </w:r>
    </w:p>
    <w:p>
      <w:pPr>
        <w:spacing w:after="0" w:line="46"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2015. The Committee also approved an incentive award to Mr. Prising based on its determination of the level of performance towards achievement of his various operating objectives. Based on these accomplishments, the Committee determined to pay the 2015 award to Mr. Prising as follows: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5460" w:type="dxa"/>
            <w:vAlign w:val="bottom"/>
            <w:gridSpan w:val="3"/>
          </w:tcPr>
          <w:p>
            <w:pPr>
              <w:ind w:left="3940"/>
              <w:spacing w:after="0"/>
              <w:rPr>
                <w:sz w:val="20"/>
                <w:szCs w:val="20"/>
                <w:color w:val="auto"/>
              </w:rPr>
            </w:pPr>
            <w:r>
              <w:rPr>
                <w:rFonts w:ascii="Arial" w:cs="Arial" w:eastAsia="Arial" w:hAnsi="Arial"/>
                <w:sz w:val="14"/>
                <w:szCs w:val="14"/>
                <w:b w:val="1"/>
                <w:bCs w:val="1"/>
                <w:color w:val="auto"/>
              </w:rPr>
              <w:t>Target Award</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Actual Award</w:t>
            </w:r>
          </w:p>
        </w:tc>
      </w:tr>
      <w:tr>
        <w:trPr>
          <w:trHeight w:val="21"/>
        </w:trPr>
        <w:tc>
          <w:tcPr>
            <w:tcW w:w="4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480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90"/>
              </w:rPr>
              <w:t>$1,650,000</w:t>
            </w:r>
          </w:p>
        </w:tc>
        <w:tc>
          <w:tcPr>
            <w:tcW w:w="660" w:type="dxa"/>
            <w:vAlign w:val="bottom"/>
            <w:shd w:val="clear" w:color="auto" w:fill="CCEEFF"/>
          </w:tcPr>
          <w:p>
            <w:pPr>
              <w:spacing w:after="0"/>
              <w:rPr>
                <w:sz w:val="21"/>
                <w:szCs w:val="21"/>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$2,300,000</w:t>
            </w:r>
          </w:p>
        </w:tc>
        <w:tc>
          <w:tcPr>
            <w:tcW w:w="280" w:type="dxa"/>
            <w:vAlign w:val="bottom"/>
            <w:shd w:val="clear" w:color="auto" w:fill="CCEEFF"/>
          </w:tcPr>
          <w:p>
            <w:pPr>
              <w:spacing w:after="0"/>
              <w:rPr>
                <w:sz w:val="21"/>
                <w:szCs w:val="21"/>
                <w:color w:val="auto"/>
              </w:rPr>
            </w:pPr>
          </w:p>
        </w:tc>
      </w:tr>
      <w:tr>
        <w:trPr>
          <w:trHeight w:val="27"/>
        </w:trPr>
        <w:tc>
          <w:tcPr>
            <w:tcW w:w="43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486"/>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For 2015, the calculation of EPS for Mr. Prising and the other NEOs was adjusted downward by the Committee, exercising negative discretion to adjust for the impact on EPS of significant share repurchase activity during the year. See page </w:t>
      </w:r>
      <w:hyperlink w:anchor="page68">
        <w:r>
          <w:rPr>
            <w:rFonts w:ascii="Arial" w:cs="Arial" w:eastAsia="Arial" w:hAnsi="Arial"/>
            <w:sz w:val="16"/>
            <w:szCs w:val="16"/>
            <w:u w:val="single" w:color="auto"/>
            <w:color w:val="0000EE"/>
          </w:rPr>
          <w:t>66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calculations for Mr. Prising and the other NEOs.</w:t>
      </w:r>
    </w:p>
    <w:p>
      <w:pPr>
        <w:spacing w:after="0" w:line="124"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Annual Incentive Award Opportunities for Mr. Van Handel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Similar to the CEO, the Committee determined EPS and ROIC as the appropriate performance metrics for Mr. Van Handel as the CFO.</w:t>
      </w:r>
    </w:p>
    <w:p>
      <w:pPr>
        <w:spacing w:after="0" w:line="22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Van Handel for 2015, as a percentage of his 2015 base salary of $660,000: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720" w:type="dxa"/>
            <w:vAlign w:val="bottom"/>
            <w:gridSpan w:val="3"/>
          </w:tcPr>
          <w:p>
            <w:pPr>
              <w:ind w:left="3780"/>
              <w:spacing w:after="0"/>
              <w:rPr>
                <w:sz w:val="20"/>
                <w:szCs w:val="20"/>
                <w:color w:val="auto"/>
              </w:rPr>
            </w:pPr>
            <w:r>
              <w:rPr>
                <w:rFonts w:ascii="Arial" w:cs="Arial" w:eastAsia="Arial" w:hAnsi="Arial"/>
                <w:sz w:val="14"/>
                <w:szCs w:val="14"/>
                <w:b w:val="1"/>
                <w:bCs w:val="1"/>
                <w:color w:val="auto"/>
              </w:rPr>
              <w:t>Threshold</w:t>
            </w:r>
          </w:p>
        </w:tc>
        <w:tc>
          <w:tcPr>
            <w:tcW w:w="3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4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 (weighted 40%)</w:t>
            </w:r>
          </w:p>
        </w:tc>
        <w:tc>
          <w:tcPr>
            <w:tcW w:w="4400" w:type="dxa"/>
            <w:vAlign w:val="bottom"/>
            <w:tcBorders>
              <w:bottom w:val="single" w:sz="8" w:color="CCEEFF"/>
            </w:tcBorders>
            <w:gridSpan w:val="2"/>
            <w:shd w:val="clear" w:color="auto" w:fill="CCEEFF"/>
          </w:tcPr>
          <w:p>
            <w:pPr>
              <w:jc w:val="center"/>
              <w:ind w:left="3693"/>
              <w:spacing w:after="0"/>
              <w:rPr>
                <w:sz w:val="20"/>
                <w:szCs w:val="20"/>
                <w:color w:val="auto"/>
              </w:rPr>
            </w:pPr>
            <w:r>
              <w:rPr>
                <w:rFonts w:ascii="Arial" w:cs="Arial" w:eastAsia="Arial" w:hAnsi="Arial"/>
                <w:sz w:val="18"/>
                <w:szCs w:val="18"/>
                <w:color w:val="auto"/>
                <w:w w:val="90"/>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3"/>
              </w:rPr>
              <w:t>80.0%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ROIC goal (weighted 40%)</w:t>
            </w:r>
          </w:p>
        </w:tc>
        <w:tc>
          <w:tcPr>
            <w:tcW w:w="4400" w:type="dxa"/>
            <w:vAlign w:val="bottom"/>
            <w:gridSpan w:val="2"/>
          </w:tcPr>
          <w:p>
            <w:pPr>
              <w:jc w:val="center"/>
              <w:ind w:left="3693"/>
              <w:spacing w:after="0"/>
              <w:rPr>
                <w:sz w:val="20"/>
                <w:szCs w:val="20"/>
                <w:color w:val="auto"/>
              </w:rPr>
            </w:pPr>
            <w:r>
              <w:rPr>
                <w:rFonts w:ascii="Arial" w:cs="Arial" w:eastAsia="Arial" w:hAnsi="Arial"/>
                <w:sz w:val="18"/>
                <w:szCs w:val="18"/>
                <w:color w:val="auto"/>
                <w:w w:val="90"/>
              </w:rPr>
              <w:t>10.0%</w:t>
            </w:r>
          </w:p>
        </w:tc>
        <w:tc>
          <w:tcPr>
            <w:tcW w:w="32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40.0%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3"/>
              </w:rPr>
              <w:t>80.0%</w:t>
            </w:r>
          </w:p>
        </w:tc>
        <w:tc>
          <w:tcPr>
            <w:tcW w:w="30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 (weighted 20%)</w:t>
            </w:r>
          </w:p>
        </w:tc>
        <w:tc>
          <w:tcPr>
            <w:tcW w:w="4400" w:type="dxa"/>
            <w:vAlign w:val="bottom"/>
            <w:tcBorders>
              <w:bottom w:val="single" w:sz="8" w:color="CCEEFF"/>
            </w:tcBorders>
            <w:gridSpan w:val="2"/>
            <w:shd w:val="clear" w:color="auto" w:fill="CCEEFF"/>
          </w:tcPr>
          <w:p>
            <w:pPr>
              <w:jc w:val="center"/>
              <w:ind w:left="3693"/>
              <w:spacing w:after="0"/>
              <w:rPr>
                <w:sz w:val="20"/>
                <w:szCs w:val="20"/>
                <w:color w:val="auto"/>
              </w:rPr>
            </w:pPr>
            <w:r>
              <w:rPr>
                <w:rFonts w:ascii="Arial" w:cs="Arial" w:eastAsia="Arial" w:hAnsi="Arial"/>
                <w:sz w:val="18"/>
                <w:szCs w:val="18"/>
                <w:color w:val="auto"/>
                <w:w w:val="92"/>
              </w:rPr>
              <w:t>5.0%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3"/>
              </w:rPr>
              <w:t>40.0%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jc w:val="center"/>
              <w:ind w:left="3693"/>
              <w:spacing w:after="0"/>
              <w:rPr>
                <w:sz w:val="20"/>
                <w:szCs w:val="20"/>
                <w:color w:val="auto"/>
              </w:rPr>
            </w:pPr>
            <w:r>
              <w:rPr>
                <w:rFonts w:ascii="Arial" w:cs="Arial" w:eastAsia="Arial" w:hAnsi="Arial"/>
                <w:sz w:val="18"/>
                <w:szCs w:val="18"/>
                <w:color w:val="auto"/>
                <w:w w:val="90"/>
              </w:rPr>
              <w:t>25.0%</w:t>
            </w:r>
          </w:p>
        </w:tc>
        <w:tc>
          <w:tcPr>
            <w:tcW w:w="32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1"/>
              </w:rPr>
              <w:t>100.0%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200.0%</w:t>
            </w:r>
          </w:p>
        </w:tc>
        <w:tc>
          <w:tcPr>
            <w:tcW w:w="300" w:type="dxa"/>
            <w:vAlign w:val="bottom"/>
          </w:tcPr>
          <w:p>
            <w:pPr>
              <w:spacing w:after="0"/>
              <w:rPr>
                <w:sz w:val="21"/>
                <w:szCs w:val="21"/>
                <w:color w:val="auto"/>
              </w:rPr>
            </w:pPr>
          </w:p>
        </w:tc>
      </w:tr>
      <w:tr>
        <w:trPr>
          <w:trHeight w:val="594"/>
        </w:trPr>
        <w:tc>
          <w:tcPr>
            <w:tcW w:w="4200" w:type="dxa"/>
            <w:vAlign w:val="bottom"/>
          </w:tcPr>
          <w:p>
            <w:pPr>
              <w:spacing w:after="0"/>
              <w:rPr>
                <w:sz w:val="24"/>
                <w:szCs w:val="24"/>
                <w:color w:val="auto"/>
              </w:rPr>
            </w:pPr>
          </w:p>
        </w:tc>
        <w:tc>
          <w:tcPr>
            <w:tcW w:w="3780" w:type="dxa"/>
            <w:vAlign w:val="bottom"/>
          </w:tcPr>
          <w:p>
            <w:pPr>
              <w:jc w:val="right"/>
              <w:ind w:right="2093"/>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objectives for Mr. Van Handel for 2015 are as follows:</w:t>
      </w:r>
    </w:p>
    <w:p>
      <w:pPr>
        <w:spacing w:after="0" w:line="90" w:lineRule="exact"/>
        <w:rPr>
          <w:sz w:val="20"/>
          <w:szCs w:val="20"/>
          <w:color w:val="auto"/>
        </w:rPr>
      </w:pPr>
    </w:p>
    <w:p>
      <w:pPr>
        <w:ind w:left="820" w:hanging="32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 with other senior executives to ensure we increase profits, while balancing investments with growth</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 with CEO to enhance investor relationships</w:t>
      </w:r>
    </w:p>
    <w:p>
      <w:pPr>
        <w:spacing w:after="0" w:line="27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Committee determined that Mr. Van Handel earned a cash incentive award for 2015 between target and outstanding for EPS and ROIC. The Committee also approved an incentive award for Mr. Van Handel based on its determination of the level of performance towards achievement of his operating objectives. Based on these accomplishments, the Committee determined to pay the 2015 award to Mr. Van Handel as follows: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Target Award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Actual Award</w:t>
            </w:r>
          </w:p>
        </w:tc>
      </w:tr>
      <w:tr>
        <w:trPr>
          <w:trHeight w:val="21"/>
        </w:trPr>
        <w:tc>
          <w:tcPr>
            <w:tcW w:w="83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3"/>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CFO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$660,000</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$920,000</w:t>
            </w:r>
          </w:p>
        </w:tc>
        <w:tc>
          <w:tcPr>
            <w:tcW w:w="280" w:type="dxa"/>
            <w:vAlign w:val="bottom"/>
            <w:shd w:val="clear" w:color="auto" w:fill="CCEEFF"/>
          </w:tcPr>
          <w:p>
            <w:pPr>
              <w:spacing w:after="0"/>
              <w:rPr>
                <w:sz w:val="21"/>
                <w:szCs w:val="21"/>
                <w:color w:val="auto"/>
              </w:rPr>
            </w:pPr>
          </w:p>
        </w:tc>
      </w:tr>
      <w:tr>
        <w:trPr>
          <w:trHeight w:val="27"/>
        </w:trPr>
        <w:tc>
          <w:tcPr>
            <w:tcW w:w="8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Annual Incentive Award Opportunities for Mr. Green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Similar to the CEO and CFO, the Committee determined EPS and ROIC as the appropriate performance metrics for Mr. Green as President and COO.</w:t>
      </w:r>
    </w:p>
    <w:p>
      <w:pPr>
        <w:spacing w:after="0" w:line="248"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Green for 2015, as a percentage of his 2015 base salary of $800,000: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auto"/>
              </w:rPr>
              <w:t>Target</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81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 (weighted 40%)</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40.0%</w:t>
            </w:r>
          </w:p>
        </w:tc>
        <w:tc>
          <w:tcPr>
            <w:tcW w:w="1020" w:type="dxa"/>
            <w:vAlign w:val="bottom"/>
            <w:tcBorders>
              <w:bottom w:val="single" w:sz="8" w:color="CCEEFF"/>
            </w:tcBorders>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0"/>
              </w:rPr>
              <w:t>80.0%</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ROIC goal (weighted 40%)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240" w:type="dxa"/>
            <w:vAlign w:val="bottom"/>
          </w:tcPr>
          <w:p>
            <w:pPr>
              <w:spacing w:after="0"/>
              <w:rPr>
                <w:sz w:val="21"/>
                <w:szCs w:val="21"/>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40.0%</w:t>
            </w:r>
          </w:p>
        </w:tc>
        <w:tc>
          <w:tcPr>
            <w:tcW w:w="102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80.0%</w:t>
            </w:r>
          </w:p>
        </w:tc>
        <w:tc>
          <w:tcPr>
            <w:tcW w:w="24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 (weighted 20%)</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20.0%</w:t>
            </w:r>
          </w:p>
        </w:tc>
        <w:tc>
          <w:tcPr>
            <w:tcW w:w="1020" w:type="dxa"/>
            <w:vAlign w:val="bottom"/>
            <w:tcBorders>
              <w:bottom w:val="single" w:sz="8" w:color="CCEEFF"/>
            </w:tcBorders>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0"/>
              </w:rPr>
              <w:t>40.0%</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Total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240" w:type="dxa"/>
            <w:vAlign w:val="bottom"/>
          </w:tcPr>
          <w:p>
            <w:pPr>
              <w:spacing w:after="0"/>
              <w:rPr>
                <w:sz w:val="21"/>
                <w:szCs w:val="21"/>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100.0%</w:t>
            </w:r>
          </w:p>
        </w:tc>
        <w:tc>
          <w:tcPr>
            <w:tcW w:w="1020" w:type="dxa"/>
            <w:vAlign w:val="bottom"/>
            <w:gridSpan w:val="2"/>
          </w:tcPr>
          <w:p>
            <w:pPr>
              <w:jc w:val="center"/>
              <w:ind w:left="154"/>
              <w:spacing w:after="0"/>
              <w:rPr>
                <w:sz w:val="20"/>
                <w:szCs w:val="20"/>
                <w:color w:val="auto"/>
              </w:rPr>
            </w:pPr>
            <w:r>
              <w:rPr>
                <w:rFonts w:ascii="Arial" w:cs="Arial" w:eastAsia="Arial" w:hAnsi="Arial"/>
                <w:sz w:val="18"/>
                <w:szCs w:val="18"/>
                <w:color w:val="auto"/>
                <w:w w:val="88"/>
              </w:rPr>
              <w:t>200.0%</w:t>
            </w:r>
          </w:p>
        </w:tc>
        <w:tc>
          <w:tcPr>
            <w:tcW w:w="240" w:type="dxa"/>
            <w:vAlign w:val="bottom"/>
          </w:tcPr>
          <w:p>
            <w:pPr>
              <w:spacing w:after="0"/>
              <w:rPr>
                <w:sz w:val="21"/>
                <w:szCs w:val="2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objectives for Mr. Green for 2015 were as follows:</w:t>
      </w:r>
    </w:p>
    <w:p>
      <w:pPr>
        <w:spacing w:after="0" w:line="63" w:lineRule="exact"/>
        <w:rPr>
          <w:sz w:val="20"/>
          <w:szCs w:val="20"/>
          <w:color w:val="auto"/>
        </w:rPr>
      </w:pPr>
    </w:p>
    <w:p>
      <w:pPr>
        <w:ind w:left="820" w:hanging="32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Accelerate Experis performance in certain skill verticals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operational and strategic insight that aligns with, and supports, the CEO’s objectives</w:t>
      </w:r>
    </w:p>
    <w:p>
      <w:pPr>
        <w:spacing w:after="0" w:line="6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Committee determined that Mr. Green earned a cash incentive award for 2015 between target and outstanding for EPS and ROIC. The Committee also approved an incentive award to Mr. Green based on its determination of the level of performance towards achievement of his various operating objectives. Based on these accomplishments, the Committee determined to pay the 2015 award to Mr. Green as follows: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40" w:type="dxa"/>
            <w:vAlign w:val="bottom"/>
            <w:gridSpan w:val="3"/>
          </w:tcPr>
          <w:p>
            <w:pPr>
              <w:ind w:left="5500"/>
              <w:spacing w:after="0"/>
              <w:rPr>
                <w:sz w:val="20"/>
                <w:szCs w:val="20"/>
                <w:color w:val="auto"/>
              </w:rPr>
            </w:pPr>
            <w:r>
              <w:rPr>
                <w:rFonts w:ascii="Arial" w:cs="Arial" w:eastAsia="Arial" w:hAnsi="Arial"/>
                <w:sz w:val="14"/>
                <w:szCs w:val="14"/>
                <w:b w:val="1"/>
                <w:bCs w:val="1"/>
                <w:color w:val="auto"/>
              </w:rPr>
              <w:t>Target Award</w:t>
            </w:r>
          </w:p>
        </w:tc>
        <w:tc>
          <w:tcPr>
            <w:tcW w:w="1620" w:type="dxa"/>
            <w:vAlign w:val="bottom"/>
            <w:gridSpan w:val="3"/>
          </w:tcPr>
          <w:p>
            <w:pPr>
              <w:ind w:left="320"/>
              <w:spacing w:after="0"/>
              <w:rPr>
                <w:sz w:val="20"/>
                <w:szCs w:val="20"/>
                <w:color w:val="auto"/>
              </w:rPr>
            </w:pPr>
            <w:r>
              <w:rPr>
                <w:rFonts w:ascii="Arial" w:cs="Arial" w:eastAsia="Arial" w:hAnsi="Arial"/>
                <w:sz w:val="14"/>
                <w:szCs w:val="14"/>
                <w:b w:val="1"/>
                <w:bCs w:val="1"/>
                <w:color w:val="auto"/>
              </w:rPr>
              <w:t>Actual Award</w:t>
            </w:r>
          </w:p>
        </w:tc>
      </w:tr>
      <w:tr>
        <w:trPr>
          <w:trHeight w:val="21"/>
        </w:trPr>
        <w:tc>
          <w:tcPr>
            <w:tcW w:w="29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w:t>
            </w:r>
          </w:p>
        </w:tc>
        <w:tc>
          <w:tcPr>
            <w:tcW w:w="6340" w:type="dxa"/>
            <w:vAlign w:val="bottom"/>
            <w:tcBorders>
              <w:bottom w:val="single" w:sz="8" w:color="CCEEFF"/>
            </w:tcBorders>
            <w:gridSpan w:val="2"/>
            <w:shd w:val="clear" w:color="auto" w:fill="CCEEFF"/>
          </w:tcPr>
          <w:p>
            <w:pPr>
              <w:ind w:left="5500"/>
              <w:spacing w:after="0"/>
              <w:rPr>
                <w:sz w:val="20"/>
                <w:szCs w:val="20"/>
                <w:color w:val="auto"/>
              </w:rPr>
            </w:pPr>
            <w:r>
              <w:rPr>
                <w:rFonts w:ascii="Arial" w:cs="Arial" w:eastAsia="Arial" w:hAnsi="Arial"/>
                <w:sz w:val="18"/>
                <w:szCs w:val="18"/>
                <w:color w:val="auto"/>
              </w:rPr>
              <w:t>$800,000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90"/>
              </w:rPr>
              <w:t>$1,105,000</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459"/>
        </w:trPr>
        <w:tc>
          <w:tcPr>
            <w:tcW w:w="2960" w:type="dxa"/>
            <w:vAlign w:val="bottom"/>
          </w:tcPr>
          <w:p>
            <w:pPr>
              <w:spacing w:after="0"/>
              <w:rPr>
                <w:sz w:val="24"/>
                <w:szCs w:val="24"/>
                <w:color w:val="auto"/>
              </w:rPr>
            </w:pPr>
          </w:p>
        </w:tc>
        <w:tc>
          <w:tcPr>
            <w:tcW w:w="5500" w:type="dxa"/>
            <w:vAlign w:val="bottom"/>
          </w:tcPr>
          <w:p>
            <w:pPr>
              <w:jc w:val="right"/>
              <w:ind w:right="2676"/>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Annual Incentive Award Opportunities for Mr. Chandrashekar</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Committee determined that EPS, ROIC and AOUP were the appropriate performance metrics for Mr. Chandrashekar, Executive Vice President, Operational Excellence and IT, and President, Asia Pacific Middle East.</w:t>
      </w:r>
    </w:p>
    <w:p>
      <w:pPr>
        <w:spacing w:after="0" w:line="17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2015, as a percentage of his 2015 base salary of $568,035: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80" w:type="dxa"/>
            <w:vAlign w:val="bottom"/>
            <w:gridSpan w:val="3"/>
          </w:tcPr>
          <w:p>
            <w:pPr>
              <w:ind w:left="1200"/>
              <w:spacing w:after="0"/>
              <w:rPr>
                <w:sz w:val="20"/>
                <w:szCs w:val="20"/>
                <w:color w:val="auto"/>
              </w:rPr>
            </w:pPr>
            <w:r>
              <w:rPr>
                <w:rFonts w:ascii="Arial" w:cs="Arial" w:eastAsia="Arial" w:hAnsi="Arial"/>
                <w:sz w:val="14"/>
                <w:szCs w:val="14"/>
                <w:b w:val="1"/>
                <w:bCs w:val="1"/>
                <w:color w:val="auto"/>
              </w:rPr>
              <w:t>Threshold</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21"/>
        </w:trPr>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AOUP goal (weighted 40%)</w:t>
            </w:r>
          </w:p>
        </w:tc>
        <w:tc>
          <w:tcPr>
            <w:tcW w:w="1820" w:type="dxa"/>
            <w:vAlign w:val="bottom"/>
            <w:tcBorders>
              <w:bottom w:val="single" w:sz="8" w:color="CCEEFF"/>
            </w:tcBorders>
            <w:gridSpan w:val="2"/>
            <w:shd w:val="clear" w:color="auto" w:fill="CCEEFF"/>
          </w:tcPr>
          <w:p>
            <w:pPr>
              <w:jc w:val="center"/>
              <w:ind w:left="1133"/>
              <w:spacing w:after="0"/>
              <w:rPr>
                <w:sz w:val="20"/>
                <w:szCs w:val="20"/>
                <w:color w:val="auto"/>
              </w:rPr>
            </w:pPr>
            <w:r>
              <w:rPr>
                <w:rFonts w:ascii="Arial" w:cs="Arial" w:eastAsia="Arial" w:hAnsi="Arial"/>
                <w:sz w:val="18"/>
                <w:szCs w:val="18"/>
                <w:color w:val="auto"/>
                <w:w w:val="91"/>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30.00%</w:t>
            </w:r>
          </w:p>
        </w:tc>
        <w:tc>
          <w:tcPr>
            <w:tcW w:w="1060" w:type="dxa"/>
            <w:vAlign w:val="bottom"/>
            <w:tcBorders>
              <w:bottom w:val="single" w:sz="8" w:color="CCEEFF"/>
            </w:tcBorders>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1"/>
              </w:rPr>
              <w:t>60.00%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EPS goal (weighted 20%%)</w:t>
            </w:r>
          </w:p>
        </w:tc>
        <w:tc>
          <w:tcPr>
            <w:tcW w:w="1820" w:type="dxa"/>
            <w:vAlign w:val="bottom"/>
            <w:gridSpan w:val="2"/>
          </w:tcPr>
          <w:p>
            <w:pPr>
              <w:jc w:val="center"/>
              <w:ind w:left="1113"/>
              <w:spacing w:after="0"/>
              <w:rPr>
                <w:sz w:val="20"/>
                <w:szCs w:val="20"/>
                <w:color w:val="auto"/>
              </w:rPr>
            </w:pPr>
            <w:r>
              <w:rPr>
                <w:rFonts w:ascii="Arial" w:cs="Arial" w:eastAsia="Arial" w:hAnsi="Arial"/>
                <w:sz w:val="18"/>
                <w:szCs w:val="18"/>
                <w:color w:val="auto"/>
                <w:w w:val="90"/>
              </w:rPr>
              <w:t>5.00%</w:t>
            </w:r>
          </w:p>
        </w:tc>
        <w:tc>
          <w:tcPr>
            <w:tcW w:w="260" w:type="dxa"/>
            <w:vAlign w:val="bottom"/>
          </w:tcPr>
          <w:p>
            <w:pPr>
              <w:spacing w:after="0"/>
              <w:rPr>
                <w:sz w:val="21"/>
                <w:szCs w:val="21"/>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15.00%</w:t>
            </w:r>
          </w:p>
        </w:tc>
        <w:tc>
          <w:tcPr>
            <w:tcW w:w="1060" w:type="dxa"/>
            <w:vAlign w:val="bottom"/>
            <w:gridSpan w:val="2"/>
          </w:tcPr>
          <w:p>
            <w:pPr>
              <w:jc w:val="center"/>
              <w:ind w:left="213"/>
              <w:spacing w:after="0"/>
              <w:rPr>
                <w:sz w:val="20"/>
                <w:szCs w:val="20"/>
                <w:color w:val="auto"/>
              </w:rPr>
            </w:pPr>
            <w:r>
              <w:rPr>
                <w:rFonts w:ascii="Arial" w:cs="Arial" w:eastAsia="Arial" w:hAnsi="Arial"/>
                <w:sz w:val="18"/>
                <w:szCs w:val="18"/>
                <w:color w:val="auto"/>
                <w:w w:val="91"/>
              </w:rPr>
              <w:t>30.00%</w:t>
            </w:r>
          </w:p>
        </w:tc>
        <w:tc>
          <w:tcPr>
            <w:tcW w:w="3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ROIC goal (weighted 20%)</w:t>
            </w:r>
          </w:p>
        </w:tc>
        <w:tc>
          <w:tcPr>
            <w:tcW w:w="1820" w:type="dxa"/>
            <w:vAlign w:val="bottom"/>
            <w:tcBorders>
              <w:bottom w:val="single" w:sz="8" w:color="CCEEFF"/>
            </w:tcBorders>
            <w:gridSpan w:val="2"/>
            <w:shd w:val="clear" w:color="auto" w:fill="CCEEFF"/>
          </w:tcPr>
          <w:p>
            <w:pPr>
              <w:jc w:val="center"/>
              <w:ind w:left="1113"/>
              <w:spacing w:after="0"/>
              <w:rPr>
                <w:sz w:val="20"/>
                <w:szCs w:val="20"/>
                <w:color w:val="auto"/>
              </w:rPr>
            </w:pPr>
            <w:r>
              <w:rPr>
                <w:rFonts w:ascii="Arial" w:cs="Arial" w:eastAsia="Arial" w:hAnsi="Arial"/>
                <w:sz w:val="18"/>
                <w:szCs w:val="18"/>
                <w:color w:val="auto"/>
                <w:w w:val="90"/>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15.00%</w:t>
            </w:r>
          </w:p>
        </w:tc>
        <w:tc>
          <w:tcPr>
            <w:tcW w:w="1060" w:type="dxa"/>
            <w:vAlign w:val="bottom"/>
            <w:tcBorders>
              <w:bottom w:val="single" w:sz="8" w:color="CCEEFF"/>
            </w:tcBorders>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1"/>
              </w:rPr>
              <w:t>30.00%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Operating Objectives (weighted 20%)</w:t>
            </w:r>
          </w:p>
        </w:tc>
        <w:tc>
          <w:tcPr>
            <w:tcW w:w="1820" w:type="dxa"/>
            <w:vAlign w:val="bottom"/>
            <w:gridSpan w:val="2"/>
          </w:tcPr>
          <w:p>
            <w:pPr>
              <w:jc w:val="center"/>
              <w:ind w:left="1113"/>
              <w:spacing w:after="0"/>
              <w:rPr>
                <w:sz w:val="20"/>
                <w:szCs w:val="20"/>
                <w:color w:val="auto"/>
              </w:rPr>
            </w:pPr>
            <w:r>
              <w:rPr>
                <w:rFonts w:ascii="Arial" w:cs="Arial" w:eastAsia="Arial" w:hAnsi="Arial"/>
                <w:sz w:val="18"/>
                <w:szCs w:val="18"/>
                <w:color w:val="auto"/>
                <w:w w:val="90"/>
              </w:rPr>
              <w:t>5.00%</w:t>
            </w:r>
          </w:p>
        </w:tc>
        <w:tc>
          <w:tcPr>
            <w:tcW w:w="260" w:type="dxa"/>
            <w:vAlign w:val="bottom"/>
          </w:tcPr>
          <w:p>
            <w:pPr>
              <w:spacing w:after="0"/>
              <w:rPr>
                <w:sz w:val="21"/>
                <w:szCs w:val="21"/>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15.00%</w:t>
            </w:r>
          </w:p>
        </w:tc>
        <w:tc>
          <w:tcPr>
            <w:tcW w:w="1060" w:type="dxa"/>
            <w:vAlign w:val="bottom"/>
            <w:gridSpan w:val="2"/>
          </w:tcPr>
          <w:p>
            <w:pPr>
              <w:jc w:val="center"/>
              <w:ind w:left="213"/>
              <w:spacing w:after="0"/>
              <w:rPr>
                <w:sz w:val="20"/>
                <w:szCs w:val="20"/>
                <w:color w:val="auto"/>
              </w:rPr>
            </w:pPr>
            <w:r>
              <w:rPr>
                <w:rFonts w:ascii="Arial" w:cs="Arial" w:eastAsia="Arial" w:hAnsi="Arial"/>
                <w:sz w:val="18"/>
                <w:szCs w:val="18"/>
                <w:color w:val="auto"/>
                <w:w w:val="91"/>
              </w:rPr>
              <w:t>30.00%</w:t>
            </w:r>
          </w:p>
        </w:tc>
        <w:tc>
          <w:tcPr>
            <w:tcW w:w="3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gridSpan w:val="2"/>
            <w:shd w:val="clear" w:color="auto" w:fill="CCEEFF"/>
          </w:tcPr>
          <w:p>
            <w:pPr>
              <w:jc w:val="center"/>
              <w:ind w:left="1113"/>
              <w:spacing w:after="0"/>
              <w:rPr>
                <w:sz w:val="20"/>
                <w:szCs w:val="20"/>
                <w:color w:val="auto"/>
              </w:rPr>
            </w:pPr>
            <w:r>
              <w:rPr>
                <w:rFonts w:ascii="Arial" w:cs="Arial" w:eastAsia="Arial" w:hAnsi="Arial"/>
                <w:sz w:val="18"/>
                <w:szCs w:val="18"/>
                <w:color w:val="auto"/>
                <w:w w:val="90"/>
              </w:rPr>
              <w:t>25.0%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75.0%</w:t>
            </w:r>
          </w:p>
        </w:tc>
        <w:tc>
          <w:tcPr>
            <w:tcW w:w="1060" w:type="dxa"/>
            <w:vAlign w:val="bottom"/>
            <w:tcBorders>
              <w:bottom w:val="single" w:sz="8" w:color="CCEEFF"/>
            </w:tcBorders>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1"/>
              </w:rPr>
              <w:t>150.0%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324"/>
        </w:trPr>
        <w:tc>
          <w:tcPr>
            <w:tcW w:w="6900" w:type="dxa"/>
            <w:vAlign w:val="bottom"/>
          </w:tcPr>
          <w:p>
            <w:pPr>
              <w:ind w:left="500"/>
              <w:spacing w:after="0"/>
              <w:rPr>
                <w:sz w:val="20"/>
                <w:szCs w:val="20"/>
                <w:color w:val="auto"/>
              </w:rPr>
            </w:pPr>
            <w:r>
              <w:rPr>
                <w:rFonts w:ascii="Arial" w:cs="Arial" w:eastAsia="Arial" w:hAnsi="Arial"/>
                <w:sz w:val="18"/>
                <w:szCs w:val="18"/>
                <w:color w:val="auto"/>
              </w:rPr>
              <w:t>The operating objectives for Mr. Chandrashekar for 2015 are as follows: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21" w:lineRule="exact"/>
        <w:rPr>
          <w:sz w:val="20"/>
          <w:szCs w:val="20"/>
          <w:color w:val="auto"/>
        </w:rPr>
      </w:pPr>
    </w:p>
    <w:p>
      <w:pPr>
        <w:ind w:left="820" w:hanging="326"/>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Promote operational excellence by enhancing internal reporting, analytics, and focus on execution</w:t>
      </w:r>
    </w:p>
    <w:p>
      <w:pPr>
        <w:spacing w:after="0" w:line="6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Committee determined that Mr. Chandrashekar earned a cash incentive award for 2015 between threshold and target for AOUP and between target and outstanding for both EPS and ROIC. The Committee also approved an incentive award for Mr. Chandrashekar based on its determination of the level of performance towards achievement of his operating objectives. Based on these accomplishments, the Committee determined to pay the 2015 award to Mr. Chandrashekar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780" w:type="dxa"/>
            <w:vAlign w:val="bottom"/>
            <w:gridSpan w:val="3"/>
          </w:tcPr>
          <w:p>
            <w:pPr>
              <w:jc w:val="center"/>
              <w:ind w:left="979"/>
              <w:spacing w:after="0"/>
              <w:rPr>
                <w:sz w:val="20"/>
                <w:szCs w:val="20"/>
                <w:color w:val="auto"/>
              </w:rPr>
            </w:pPr>
            <w:r>
              <w:rPr>
                <w:rFonts w:ascii="Arial" w:cs="Arial" w:eastAsia="Arial" w:hAnsi="Arial"/>
                <w:sz w:val="14"/>
                <w:szCs w:val="14"/>
                <w:b w:val="1"/>
                <w:bCs w:val="1"/>
                <w:color w:val="auto"/>
                <w:w w:val="93"/>
              </w:rPr>
              <w:t>Target Award(1)</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Actual Award(1)</w:t>
            </w:r>
          </w:p>
        </w:tc>
      </w:tr>
      <w:tr>
        <w:trPr>
          <w:trHeight w:val="21"/>
        </w:trPr>
        <w:tc>
          <w:tcPr>
            <w:tcW w:w="7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EVP, Operational Excellence and IT, and President, Asia Pacific Middle East</w:t>
            </w:r>
          </w:p>
        </w:tc>
        <w:tc>
          <w:tcPr>
            <w:tcW w:w="2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$426,026</w:t>
            </w: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$460,108</w:t>
            </w:r>
          </w:p>
        </w:tc>
        <w:tc>
          <w:tcPr>
            <w:tcW w:w="280" w:type="dxa"/>
            <w:vAlign w:val="bottom"/>
            <w:shd w:val="clear" w:color="auto" w:fill="CCEEFF"/>
          </w:tcPr>
          <w:p>
            <w:pPr>
              <w:spacing w:after="0"/>
              <w:rPr>
                <w:sz w:val="21"/>
                <w:szCs w:val="21"/>
                <w:color w:val="auto"/>
              </w:rPr>
            </w:pPr>
          </w:p>
        </w:tc>
      </w:tr>
      <w:tr>
        <w:trPr>
          <w:trHeight w:val="27"/>
        </w:trPr>
        <w:tc>
          <w:tcPr>
            <w:tcW w:w="70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right="340" w:hanging="49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Chandrashekar’s target award and actual award received have been translated at an exchange rate of 0.789017 (in U.S. Dollars), which was the exchange rate on February 11, 2014, the date Mr. Chandrashekar was promoted to Executive Vice President, Operational Excellence and IT and President, Asia Pacific Middle East.</w:t>
      </w:r>
    </w:p>
    <w:p>
      <w:pPr>
        <w:spacing w:after="0" w:line="18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i w:val="1"/>
          <w:iCs w:val="1"/>
          <w:color w:val="auto"/>
        </w:rPr>
        <w:t>Annual Incentive Award Opportunities for Ms. Swan</w:t>
      </w:r>
    </w:p>
    <w:p>
      <w:pPr>
        <w:spacing w:after="0" w:line="22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Committee determined EPS and ROIC were the appropriate performance metrics for Ms. Swan, Executive Vice President, Global Strategy and Talent.</w:t>
      </w:r>
    </w:p>
    <w:p>
      <w:pPr>
        <w:spacing w:after="0" w:line="170"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2015, as a percentage of her 2015 base salary of $560,000: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780" w:type="dxa"/>
            <w:vAlign w:val="bottom"/>
            <w:gridSpan w:val="3"/>
          </w:tcPr>
          <w:p>
            <w:pPr>
              <w:ind w:left="3900"/>
              <w:spacing w:after="0"/>
              <w:rPr>
                <w:sz w:val="20"/>
                <w:szCs w:val="20"/>
                <w:color w:val="auto"/>
              </w:rPr>
            </w:pPr>
            <w:r>
              <w:rPr>
                <w:rFonts w:ascii="Arial" w:cs="Arial" w:eastAsia="Arial" w:hAnsi="Arial"/>
                <w:sz w:val="14"/>
                <w:szCs w:val="14"/>
                <w:b w:val="1"/>
                <w:bCs w:val="1"/>
                <w:color w:val="auto"/>
              </w:rPr>
              <w:t>Threshold</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21"/>
        </w:trPr>
        <w:tc>
          <w:tcPr>
            <w:tcW w:w="4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 (weighted 40%)</w:t>
            </w:r>
          </w:p>
        </w:tc>
        <w:tc>
          <w:tcPr>
            <w:tcW w:w="4520" w:type="dxa"/>
            <w:vAlign w:val="bottom"/>
            <w:tcBorders>
              <w:bottom w:val="single" w:sz="8" w:color="CCEEFF"/>
            </w:tcBorders>
            <w:gridSpan w:val="2"/>
            <w:shd w:val="clear" w:color="auto" w:fill="CCEEFF"/>
          </w:tcPr>
          <w:p>
            <w:pPr>
              <w:jc w:val="center"/>
              <w:ind w:left="3833"/>
              <w:spacing w:after="0"/>
              <w:rPr>
                <w:sz w:val="20"/>
                <w:szCs w:val="20"/>
                <w:color w:val="auto"/>
              </w:rPr>
            </w:pPr>
            <w:r>
              <w:rPr>
                <w:rFonts w:ascii="Arial" w:cs="Arial" w:eastAsia="Arial" w:hAnsi="Arial"/>
                <w:sz w:val="18"/>
                <w:szCs w:val="18"/>
                <w:color w:val="auto"/>
                <w:w w:val="91"/>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30.00%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1"/>
              </w:rPr>
              <w:t>60.00%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ROIC goal (weighted 40%)</w:t>
            </w:r>
          </w:p>
        </w:tc>
        <w:tc>
          <w:tcPr>
            <w:tcW w:w="4520" w:type="dxa"/>
            <w:vAlign w:val="bottom"/>
            <w:gridSpan w:val="2"/>
          </w:tcPr>
          <w:p>
            <w:pPr>
              <w:jc w:val="center"/>
              <w:ind w:left="3833"/>
              <w:spacing w:after="0"/>
              <w:rPr>
                <w:sz w:val="20"/>
                <w:szCs w:val="20"/>
                <w:color w:val="auto"/>
              </w:rPr>
            </w:pPr>
            <w:r>
              <w:rPr>
                <w:rFonts w:ascii="Arial" w:cs="Arial" w:eastAsia="Arial" w:hAnsi="Arial"/>
                <w:sz w:val="18"/>
                <w:szCs w:val="18"/>
                <w:color w:val="auto"/>
                <w:w w:val="91"/>
              </w:rPr>
              <w:t>10.00%</w:t>
            </w:r>
          </w:p>
        </w:tc>
        <w:tc>
          <w:tcPr>
            <w:tcW w:w="260" w:type="dxa"/>
            <w:vAlign w:val="bottom"/>
          </w:tcPr>
          <w:p>
            <w:pPr>
              <w:spacing w:after="0"/>
              <w:rPr>
                <w:sz w:val="21"/>
                <w:szCs w:val="21"/>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30.00%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60.00%</w:t>
            </w:r>
          </w:p>
        </w:tc>
        <w:tc>
          <w:tcPr>
            <w:tcW w:w="30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 (weighted 20%)</w:t>
            </w:r>
          </w:p>
        </w:tc>
        <w:tc>
          <w:tcPr>
            <w:tcW w:w="4520" w:type="dxa"/>
            <w:vAlign w:val="bottom"/>
            <w:tcBorders>
              <w:bottom w:val="single" w:sz="8" w:color="CCEEFF"/>
            </w:tcBorders>
            <w:gridSpan w:val="2"/>
            <w:shd w:val="clear" w:color="auto" w:fill="CCEEFF"/>
          </w:tcPr>
          <w:p>
            <w:pPr>
              <w:jc w:val="center"/>
              <w:ind w:left="3813"/>
              <w:spacing w:after="0"/>
              <w:rPr>
                <w:sz w:val="20"/>
                <w:szCs w:val="20"/>
                <w:color w:val="auto"/>
              </w:rPr>
            </w:pPr>
            <w:r>
              <w:rPr>
                <w:rFonts w:ascii="Arial" w:cs="Arial" w:eastAsia="Arial" w:hAnsi="Arial"/>
                <w:sz w:val="18"/>
                <w:szCs w:val="18"/>
                <w:color w:val="auto"/>
                <w:w w:val="90"/>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15.00%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1"/>
              </w:rPr>
              <w:t>30.00%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w:t>
            </w:r>
          </w:p>
        </w:tc>
        <w:tc>
          <w:tcPr>
            <w:tcW w:w="4520" w:type="dxa"/>
            <w:vAlign w:val="bottom"/>
            <w:gridSpan w:val="2"/>
          </w:tcPr>
          <w:p>
            <w:pPr>
              <w:jc w:val="center"/>
              <w:ind w:left="3813"/>
              <w:spacing w:after="0"/>
              <w:rPr>
                <w:sz w:val="20"/>
                <w:szCs w:val="20"/>
                <w:color w:val="auto"/>
              </w:rPr>
            </w:pPr>
            <w:r>
              <w:rPr>
                <w:rFonts w:ascii="Arial" w:cs="Arial" w:eastAsia="Arial" w:hAnsi="Arial"/>
                <w:sz w:val="18"/>
                <w:szCs w:val="18"/>
                <w:color w:val="auto"/>
                <w:w w:val="90"/>
              </w:rPr>
              <w:t>25.0%</w:t>
            </w:r>
          </w:p>
        </w:tc>
        <w:tc>
          <w:tcPr>
            <w:tcW w:w="260" w:type="dxa"/>
            <w:vAlign w:val="bottom"/>
          </w:tcPr>
          <w:p>
            <w:pPr>
              <w:spacing w:after="0"/>
              <w:rPr>
                <w:sz w:val="21"/>
                <w:szCs w:val="21"/>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75.0%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150.0%</w:t>
            </w:r>
          </w:p>
        </w:tc>
        <w:tc>
          <w:tcPr>
            <w:tcW w:w="300" w:type="dxa"/>
            <w:vAlign w:val="bottom"/>
          </w:tcPr>
          <w:p>
            <w:pPr>
              <w:spacing w:after="0"/>
              <w:rPr>
                <w:sz w:val="21"/>
                <w:szCs w:val="21"/>
                <w:color w:val="auto"/>
              </w:rPr>
            </w:pPr>
          </w:p>
        </w:tc>
      </w:tr>
      <w:tr>
        <w:trPr>
          <w:trHeight w:val="702"/>
        </w:trPr>
        <w:tc>
          <w:tcPr>
            <w:tcW w:w="4200" w:type="dxa"/>
            <w:vAlign w:val="bottom"/>
          </w:tcPr>
          <w:p>
            <w:pPr>
              <w:spacing w:after="0"/>
              <w:rPr>
                <w:sz w:val="24"/>
                <w:szCs w:val="24"/>
                <w:color w:val="auto"/>
              </w:rPr>
            </w:pPr>
          </w:p>
        </w:tc>
        <w:tc>
          <w:tcPr>
            <w:tcW w:w="3900" w:type="dxa"/>
            <w:vAlign w:val="bottom"/>
          </w:tcPr>
          <w:p>
            <w:pPr>
              <w:jc w:val="right"/>
              <w:ind w:right="2213"/>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objectives for Ms. Swan for 2015 are as follows:</w:t>
      </w:r>
    </w:p>
    <w:p>
      <w:pPr>
        <w:spacing w:after="0" w:line="117" w:lineRule="exact"/>
        <w:rPr>
          <w:sz w:val="20"/>
          <w:szCs w:val="20"/>
          <w:color w:val="auto"/>
        </w:rPr>
      </w:pPr>
    </w:p>
    <w:p>
      <w:pPr>
        <w:ind w:left="820" w:hanging="326"/>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Accelerate performance in certain brands by developing a strategic direction that positions the brand for market leadership</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Define future desired state and evolution of the client value chain</w:t>
      </w:r>
    </w:p>
    <w:p>
      <w:pPr>
        <w:spacing w:after="0" w:line="11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Committee determined that Ms. Swan earned a cash incentive award for 2015 between target and outstanding for EPS and ROIC. The Committee also approved an incentive award to Ms. Swan based on its determination of the level of performance towards achievement of her operating objectives. Based on these accomplishments, the Committee determined to pay the 2015 award to Ms. Swan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700" w:type="dxa"/>
            <w:vAlign w:val="bottom"/>
            <w:gridSpan w:val="3"/>
          </w:tcPr>
          <w:p>
            <w:pPr>
              <w:jc w:val="center"/>
              <w:ind w:left="2499"/>
              <w:spacing w:after="0"/>
              <w:rPr>
                <w:sz w:val="20"/>
                <w:szCs w:val="20"/>
                <w:color w:val="auto"/>
              </w:rPr>
            </w:pPr>
            <w:r>
              <w:rPr>
                <w:rFonts w:ascii="Arial" w:cs="Arial" w:eastAsia="Arial" w:hAnsi="Arial"/>
                <w:sz w:val="14"/>
                <w:szCs w:val="14"/>
                <w:b w:val="1"/>
                <w:bCs w:val="1"/>
                <w:color w:val="auto"/>
                <w:w w:val="93"/>
              </w:rPr>
              <w:t>Target Award</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Actual Award</w:t>
            </w:r>
          </w:p>
        </w:tc>
      </w:tr>
      <w:tr>
        <w:trPr>
          <w:trHeight w:val="21"/>
        </w:trPr>
        <w:tc>
          <w:tcPr>
            <w:tcW w:w="5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EVP, Global Strategy and Talent</w:t>
            </w: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$420,000</w:t>
            </w:r>
          </w:p>
        </w:tc>
        <w:tc>
          <w:tcPr>
            <w:tcW w:w="6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$580,000</w:t>
            </w:r>
          </w:p>
        </w:tc>
        <w:tc>
          <w:tcPr>
            <w:tcW w:w="260" w:type="dxa"/>
            <w:vAlign w:val="bottom"/>
            <w:shd w:val="clear" w:color="auto" w:fill="CCEEFF"/>
          </w:tcPr>
          <w:p>
            <w:pPr>
              <w:spacing w:after="0"/>
              <w:rPr>
                <w:sz w:val="21"/>
                <w:szCs w:val="21"/>
                <w:color w:val="auto"/>
              </w:rPr>
            </w:pPr>
          </w:p>
        </w:tc>
      </w:tr>
      <w:tr>
        <w:trPr>
          <w:trHeight w:val="27"/>
        </w:trPr>
        <w:tc>
          <w:tcPr>
            <w:tcW w:w="56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Annual Incentive Award Opportunities for Mr. Joerres</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Committee determined that EPS and ROIC were the appropriate performance metrics for Mr. Joerres for 2015, since he was expected to be substantially involved in the Company until his retirement.</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Joerres as Executive Chairman as a percentage of his 2015 base salary of $900,000: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2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Threshold</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 (weighted 40%)</w:t>
            </w:r>
          </w:p>
        </w:tc>
        <w:tc>
          <w:tcPr>
            <w:tcW w:w="136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0"/>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50.0%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1"/>
              </w:rPr>
              <w:t>100.0%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ROIC goal (weighted 40%)</w:t>
            </w:r>
          </w:p>
        </w:tc>
        <w:tc>
          <w:tcPr>
            <w:tcW w:w="136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10.0%</w:t>
            </w:r>
          </w:p>
        </w:tc>
        <w:tc>
          <w:tcPr>
            <w:tcW w:w="260" w:type="dxa"/>
            <w:vAlign w:val="bottom"/>
          </w:tcPr>
          <w:p>
            <w:pPr>
              <w:spacing w:after="0"/>
              <w:rPr>
                <w:sz w:val="21"/>
                <w:szCs w:val="21"/>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50.0%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 (weighted 20%)</w:t>
            </w:r>
          </w:p>
        </w:tc>
        <w:tc>
          <w:tcPr>
            <w:tcW w:w="136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2"/>
              </w:rPr>
              <w:t>5.0%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25.0%</w:t>
            </w:r>
          </w:p>
        </w:tc>
        <w:tc>
          <w:tcPr>
            <w:tcW w:w="10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3"/>
              </w:rPr>
              <w:t>50.0%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25.0%</w:t>
            </w:r>
          </w:p>
        </w:tc>
        <w:tc>
          <w:tcPr>
            <w:tcW w:w="260" w:type="dxa"/>
            <w:vAlign w:val="bottom"/>
          </w:tcPr>
          <w:p>
            <w:pPr>
              <w:spacing w:after="0"/>
              <w:rPr>
                <w:sz w:val="21"/>
                <w:szCs w:val="21"/>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125.0%</w:t>
            </w:r>
          </w:p>
        </w:tc>
        <w:tc>
          <w:tcPr>
            <w:tcW w:w="106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250.0%</w:t>
            </w:r>
          </w:p>
        </w:tc>
        <w:tc>
          <w:tcPr>
            <w:tcW w:w="300" w:type="dxa"/>
            <w:vAlign w:val="bottom"/>
          </w:tcPr>
          <w:p>
            <w:pPr>
              <w:spacing w:after="0"/>
              <w:rPr>
                <w:sz w:val="21"/>
                <w:szCs w:val="21"/>
                <w:color w:val="auto"/>
              </w:rPr>
            </w:pPr>
          </w:p>
        </w:tc>
      </w:tr>
      <w:tr>
        <w:trPr>
          <w:trHeight w:val="351"/>
        </w:trPr>
        <w:tc>
          <w:tcPr>
            <w:tcW w:w="7360" w:type="dxa"/>
            <w:vAlign w:val="bottom"/>
          </w:tcPr>
          <w:p>
            <w:pPr>
              <w:ind w:left="500"/>
              <w:spacing w:after="0"/>
              <w:rPr>
                <w:sz w:val="20"/>
                <w:szCs w:val="20"/>
                <w:color w:val="auto"/>
              </w:rPr>
            </w:pPr>
            <w:r>
              <w:rPr>
                <w:rFonts w:ascii="Arial" w:cs="Arial" w:eastAsia="Arial" w:hAnsi="Arial"/>
                <w:sz w:val="18"/>
                <w:szCs w:val="18"/>
                <w:color w:val="auto"/>
              </w:rPr>
              <w:t>The Committee established operating objectives for Mr. Joerres for 2015 as follows :</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left="820" w:hanging="326"/>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to ensure a smooth CEO transition and collaborate with the CEO on key initiatives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insights on future organizational needs and market changes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 solutions opportunities within the Company's global clients</w:t>
      </w:r>
    </w:p>
    <w:p>
      <w:pPr>
        <w:spacing w:after="0" w:line="6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stated earlier, as Mr. Joerres retired on December 30, 2015, under the terms of the Pool Plan, he would not have been eligible to receive any annual incentive for 2015, as his employment did not include the last day of the fiscal year. However, in light of Mr. Joerres's retirement and his service throughout 2015, the Committee approved payment to Mr. Joerres of his full annual incentive for 2015, based on actual performance results for the objectives first approved for him in February 2015.</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Committee determined that Mr. Joerres earned a cash incentive award for 2015 between target and outstanding for EPS and ROIC. The Committee also approved an incentive award to Mr. Joerres based on its determination of the level of performance towards achievement of his various operating objectives. Based on these accomplishments, the Committee determined to pay the 2015 award to Mr. Joerres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60" w:type="dxa"/>
            <w:vAlign w:val="bottom"/>
            <w:gridSpan w:val="2"/>
          </w:tcPr>
          <w:p>
            <w:pPr>
              <w:ind w:left="4820"/>
              <w:spacing w:after="0"/>
              <w:rPr>
                <w:sz w:val="20"/>
                <w:szCs w:val="20"/>
                <w:color w:val="auto"/>
              </w:rPr>
            </w:pPr>
            <w:r>
              <w:rPr>
                <w:rFonts w:ascii="Arial" w:cs="Arial" w:eastAsia="Arial" w:hAnsi="Arial"/>
                <w:sz w:val="14"/>
                <w:szCs w:val="14"/>
                <w:b w:val="1"/>
                <w:bCs w:val="1"/>
                <w:color w:val="auto"/>
                <w:w w:val="91"/>
              </w:rPr>
              <w:t>Target Award</w:t>
            </w:r>
          </w:p>
        </w:tc>
        <w:tc>
          <w:tcPr>
            <w:tcW w:w="1840" w:type="dxa"/>
            <w:vAlign w:val="bottom"/>
            <w:gridSpan w:val="3"/>
          </w:tcPr>
          <w:p>
            <w:pPr>
              <w:ind w:left="680"/>
              <w:spacing w:after="0"/>
              <w:rPr>
                <w:sz w:val="20"/>
                <w:szCs w:val="20"/>
                <w:color w:val="auto"/>
              </w:rPr>
            </w:pPr>
            <w:r>
              <w:rPr>
                <w:rFonts w:ascii="Arial" w:cs="Arial" w:eastAsia="Arial" w:hAnsi="Arial"/>
                <w:sz w:val="14"/>
                <w:szCs w:val="14"/>
                <w:b w:val="1"/>
                <w:bCs w:val="1"/>
                <w:color w:val="auto"/>
              </w:rPr>
              <w:t>Actual Award</w:t>
            </w:r>
          </w:p>
        </w:tc>
      </w:tr>
      <w:tr>
        <w:trPr>
          <w:trHeight w:val="21"/>
        </w:trPr>
        <w:tc>
          <w:tcPr>
            <w:tcW w:w="3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Former Executive Chairman</w:t>
            </w:r>
          </w:p>
        </w:tc>
        <w:tc>
          <w:tcPr>
            <w:tcW w:w="5660" w:type="dxa"/>
            <w:vAlign w:val="bottom"/>
            <w:tcBorders>
              <w:bottom w:val="single" w:sz="8" w:color="CCEEFF"/>
            </w:tcBorders>
            <w:gridSpan w:val="2"/>
            <w:shd w:val="clear" w:color="auto" w:fill="CCEEFF"/>
          </w:tcPr>
          <w:p>
            <w:pPr>
              <w:ind w:left="4840"/>
              <w:spacing w:after="0"/>
              <w:rPr>
                <w:sz w:val="20"/>
                <w:szCs w:val="20"/>
                <w:color w:val="auto"/>
              </w:rPr>
            </w:pPr>
            <w:r>
              <w:rPr>
                <w:rFonts w:ascii="Arial" w:cs="Arial" w:eastAsia="Arial" w:hAnsi="Arial"/>
                <w:sz w:val="18"/>
                <w:szCs w:val="18"/>
                <w:color w:val="auto"/>
                <w:w w:val="88"/>
              </w:rPr>
              <w:t>$1,125,000</w:t>
            </w:r>
          </w:p>
        </w:tc>
        <w:tc>
          <w:tcPr>
            <w:tcW w:w="15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8"/>
              </w:rPr>
              <w:t>$1,563,750</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459"/>
        </w:trPr>
        <w:tc>
          <w:tcPr>
            <w:tcW w:w="3840" w:type="dxa"/>
            <w:vAlign w:val="bottom"/>
          </w:tcPr>
          <w:p>
            <w:pPr>
              <w:spacing w:after="0"/>
              <w:rPr>
                <w:sz w:val="24"/>
                <w:szCs w:val="24"/>
                <w:color w:val="auto"/>
              </w:rPr>
            </w:pPr>
          </w:p>
        </w:tc>
        <w:tc>
          <w:tcPr>
            <w:tcW w:w="4820" w:type="dxa"/>
            <w:vAlign w:val="bottom"/>
          </w:tcPr>
          <w:p>
            <w:pPr>
              <w:jc w:val="right"/>
              <w:ind w:right="2816"/>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25" w:lineRule="exact"/>
        <w:rPr>
          <w:sz w:val="20"/>
          <w:szCs w:val="20"/>
          <w:color w:val="auto"/>
        </w:rPr>
      </w:pPr>
    </w:p>
    <w:p>
      <w:pPr>
        <w:ind w:right="60" w:firstLine="486"/>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Each year the Committee determines the appropriate mix of performance share units, stock options and restricted stock grants that should comprise the long-term incentives for the NEOs. This flexibility allows the Committee to tailor its program to create the incentive structure that it believes will best align executive performance and the needs of the Company. The Committee has determined that the performance needs of the Company are best met through a package of awards for the NEOs made up of 60% performance share units, 20% stock options and 20% restricted stock units. We believe this will further align the NEOs’ interests with long-term shareholder value, particularly as 60% of the awards vest based on performance criteria. For Mr. Joerres, the Committee determined his awards were made of 70% performance share units and 30% restricted stock units. He was not granted stock options in 2015. The performance share units, stock options and restricted stock units awarded in 2015 have the characteristics below. The specific long-term incentive grants for each officer are shown in the Grants of Plan Based Awards table on page </w:t>
      </w:r>
      <w:hyperlink w:anchor="page66">
        <w:r>
          <w:rPr>
            <w:rFonts w:ascii="Arial" w:cs="Arial" w:eastAsia="Arial" w:hAnsi="Arial"/>
            <w:sz w:val="17"/>
            <w:szCs w:val="17"/>
            <w:u w:val="single" w:color="auto"/>
            <w:color w:val="0000EE"/>
          </w:rPr>
          <w:t>64</w:t>
        </w:r>
      </w:hyperlink>
      <w:r>
        <w:rPr>
          <w:rFonts w:ascii="Arial" w:cs="Arial" w:eastAsia="Arial" w:hAnsi="Arial"/>
          <w:sz w:val="17"/>
          <w:szCs w:val="17"/>
          <w:color w:val="auto"/>
        </w:rPr>
        <w:t>.</w:t>
      </w:r>
    </w:p>
    <w:p>
      <w:pPr>
        <w:spacing w:after="0" w:line="1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the performance share units granted in 2015, vesting will be based on achievement of a pre-established goal for average operating profit margin percent, over a three year period. The Committee believes operating profit margin percent correctly focuses executive officers on the long-term profitability of the Company. Following completion of the 2015-2017 performance period, the Committee will compare operating profit margin percent performance against target levels.</w:t>
      </w:r>
    </w:p>
    <w:p>
      <w:pPr>
        <w:spacing w:after="0" w:line="18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shows the goals established by the Committee for the 2015-2017 performance period for these performance share units and the associated payout percentage: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0" w:type="dxa"/>
            <w:vAlign w:val="bottom"/>
            <w:gridSpan w:val="3"/>
          </w:tcPr>
          <w:p>
            <w:pPr>
              <w:ind w:left="2140"/>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1440" w:type="dxa"/>
            <w:vAlign w:val="bottom"/>
            <w:gridSpan w:val="3"/>
          </w:tcPr>
          <w:p>
            <w:pPr>
              <w:ind w:left="320"/>
              <w:spacing w:after="0"/>
              <w:rPr>
                <w:sz w:val="20"/>
                <w:szCs w:val="20"/>
                <w:color w:val="auto"/>
              </w:rPr>
            </w:pPr>
            <w:r>
              <w:rPr>
                <w:rFonts w:ascii="Arial" w:cs="Arial" w:eastAsia="Arial" w:hAnsi="Arial"/>
                <w:sz w:val="14"/>
                <w:szCs w:val="14"/>
                <w:b w:val="1"/>
                <w:bCs w:val="1"/>
                <w:color w:val="auto"/>
              </w:rPr>
              <w:t>Outstanding</w:t>
            </w:r>
          </w:p>
        </w:tc>
      </w:tr>
      <w:tr>
        <w:trPr>
          <w:trHeight w:val="21"/>
        </w:trPr>
        <w:tc>
          <w:tcPr>
            <w:tcW w:w="5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Operating Profit Margin Percent 2015-2017</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Payout Percentage</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1"/>
                <w:szCs w:val="21"/>
                <w:color w:val="auto"/>
              </w:rPr>
            </w:pPr>
          </w:p>
        </w:tc>
      </w:tr>
    </w:tbl>
    <w:p>
      <w:pPr>
        <w:spacing w:after="0" w:line="22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To determine the average operating profit margin percent at the end of the three year period, the actual performance results from each year will be averaged to determine the three-year average performance results. The final award will be determined by using the three-year payout scale relative to the 3-year average performance.</w:t>
      </w:r>
    </w:p>
    <w:p>
      <w:pPr>
        <w:spacing w:after="0" w:line="18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$595.0 million, meaning participants cannot receive more than 100% of the target level payout unless average operating profit for the 2015-2017 performance period exceeds $595.0 million.</w:t>
      </w:r>
    </w:p>
    <w:p>
      <w:pPr>
        <w:spacing w:after="0" w:line="18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February 2013, the Committee approved a special performance share unit grant to Mr. Chandrashekar, who was serving as Senior Vice President, Operational Excellence and IT at the time of grant, for 7,610 shares at the target level. The number of performance shares that could be earned under this grant was based on the performance goal of reducing the Company's selling and administrative expenses as a percent of gross profit. The measurement period for achievement of this performance goal was the 2015 calendar year. Goals were set at the target and outstanding levels. If performance fell below the target level, Mr. Chandrashekar would not receive any of the performance units granted. At the target performance level, Mr. Chandrashekar would earn 100% of the performance share units granted and at the outstanding performance level, Mr. Chandrashekar would earn 150% of the performance share units granted. Any performance shares earned will vest on July 1, 2016.</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At the conclusion of the 2015 performance period, the committee determined the Company's selling and administrative expenses as a percent of gross profit was between the target and outstanding level, and approved a performance payout of 124%. Accordingly, Mr. Chandrashekar earned 9,436 performance share units, which will vest in the form of common stock in July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The Committee uses stock options to align the interests of the NEOs with long-term shareholder value. Consistent with past years, these will vest ratably over a four-year period.</w:t>
      </w:r>
    </w:p>
    <w:p>
      <w:pPr>
        <w:spacing w:after="0" w:line="170"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As stated earlier, the Committee chose to include restricted stock units to provide a retention incentive to the NEOs as they are only payable in stock if the NEO remains with the Company through the vesting date. The restricted stock units have a three-year cliff vest.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 and Deferred Compensation Plans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Career Shares</w:t>
      </w:r>
    </w:p>
    <w:p>
      <w:pPr>
        <w:spacing w:after="0" w:line="22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to whom to make such grants and the size of any such grants. None of the NEOs were granted career shares in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profit sharing.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167"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As required under applicable law, we contribute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2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2015. ManpowerGroup also maintains a broad-based auto program that covers approximately 400 management employees in the U.S., including the U.S.-based NEOs. Pursuant to this program, ManpowerGroup pays 75% of the cost of a leased car for NEOs based in the U.S. who participate in the program. Consistent with local practice in Singapore, where Mr. Chandrashekar is based, ManpowerGroup provided him with a car in 2015.</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25" w:lineRule="exact"/>
        <w:rPr>
          <w:sz w:val="20"/>
          <w:szCs w:val="20"/>
          <w:color w:val="auto"/>
        </w:rPr>
      </w:pPr>
    </w:p>
    <w:p>
      <w:pPr>
        <w:ind w:firstLine="486"/>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ManpowerGroup has entered into severance agreements (which include change of control benefits) with each of the NEOs. These severance agreements are more fully described on pages </w:t>
      </w:r>
      <w:hyperlink w:anchor="page79">
        <w:r>
          <w:rPr>
            <w:rFonts w:ascii="Arial" w:cs="Arial" w:eastAsia="Arial" w:hAnsi="Arial"/>
            <w:sz w:val="17"/>
            <w:szCs w:val="17"/>
            <w:u w:val="single" w:color="auto"/>
            <w:color w:val="0000EE"/>
          </w:rPr>
          <w:t>76</w:t>
        </w:r>
      </w:hyperlink>
      <w:r>
        <w:rPr>
          <w:rFonts w:ascii="Arial" w:cs="Arial" w:eastAsia="Arial" w:hAnsi="Arial"/>
          <w:sz w:val="17"/>
          <w:szCs w:val="17"/>
          <w:color w:val="auto"/>
        </w:rPr>
        <w:t>-</w:t>
      </w:r>
      <w:hyperlink w:anchor="page79">
        <w:r>
          <w:rPr>
            <w:rFonts w:ascii="Arial" w:cs="Arial" w:eastAsia="Arial" w:hAnsi="Arial"/>
            <w:sz w:val="17"/>
            <w:szCs w:val="17"/>
            <w:u w:val="single" w:color="auto"/>
            <w:color w:val="0000EE"/>
          </w:rPr>
          <w:t>78</w:t>
        </w:r>
      </w:hyperlink>
      <w:r>
        <w:rPr>
          <w:rFonts w:ascii="Arial" w:cs="Arial" w:eastAsia="Arial" w:hAnsi="Arial"/>
          <w:sz w:val="17"/>
          <w:szCs w:val="17"/>
          <w:color w:val="auto"/>
        </w:rPr>
        <w:t>.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7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To align our executive compensation program with best governance practices within the Committee’s philosophy, the Committee has eliminated any tax gross up payments and has adopted double triggers in our severance agreements in order for our NEOs to receive benefits following a change in control.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Stock Ownership Guidelines for Executive Officers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restricted stock or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restricted stock units or performance share units until the ownership guidelines have been satisfied. As indicated in the following table, as of December 31, 2015, each of the NEOs had met these guidelines.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Target as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4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held as</w:t>
            </w:r>
          </w:p>
        </w:tc>
        <w:tc>
          <w:tcPr>
            <w:tcW w:w="2140" w:type="dxa"/>
            <w:vAlign w:val="bottom"/>
            <w:vMerge w:val="restart"/>
          </w:tcPr>
          <w:p>
            <w:pPr>
              <w:jc w:val="right"/>
              <w:ind w:right="638"/>
              <w:spacing w:after="0"/>
              <w:rPr>
                <w:sz w:val="20"/>
                <w:szCs w:val="20"/>
                <w:color w:val="auto"/>
              </w:rPr>
            </w:pPr>
            <w:r>
              <w:rPr>
                <w:rFonts w:ascii="Arial" w:cs="Arial" w:eastAsia="Arial" w:hAnsi="Arial"/>
                <w:sz w:val="14"/>
                <w:szCs w:val="14"/>
                <w:b w:val="1"/>
                <w:bCs w:val="1"/>
                <w:color w:val="auto"/>
              </w:rPr>
              <w:t>Status as of</w:t>
            </w: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NEO</w:t>
            </w: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a multiple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60" w:type="dxa"/>
            <w:vAlign w:val="bottom"/>
            <w:gridSpan w:val="3"/>
            <w:vMerge w:val="continue"/>
          </w:tcPr>
          <w:p>
            <w:pPr>
              <w:spacing w:after="0"/>
              <w:rPr>
                <w:sz w:val="13"/>
                <w:szCs w:val="13"/>
                <w:color w:val="auto"/>
              </w:rPr>
            </w:pPr>
          </w:p>
        </w:tc>
        <w:tc>
          <w:tcPr>
            <w:tcW w:w="1000" w:type="dxa"/>
            <w:vAlign w:val="bottom"/>
          </w:tcPr>
          <w:p>
            <w:pPr>
              <w:jc w:val="center"/>
              <w:ind w:left="188"/>
              <w:spacing w:after="0" w:line="158" w:lineRule="exact"/>
              <w:rPr>
                <w:sz w:val="20"/>
                <w:szCs w:val="20"/>
                <w:color w:val="auto"/>
              </w:rPr>
            </w:pPr>
            <w:r>
              <w:rPr>
                <w:rFonts w:ascii="Arial" w:cs="Arial" w:eastAsia="Arial" w:hAnsi="Arial"/>
                <w:sz w:val="14"/>
                <w:szCs w:val="14"/>
                <w:b w:val="1"/>
                <w:bCs w:val="1"/>
                <w:color w:val="auto"/>
                <w:w w:val="93"/>
              </w:rPr>
              <w:t>of salary</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value($)</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shares(#)</w:t>
            </w:r>
          </w:p>
        </w:tc>
        <w:tc>
          <w:tcPr>
            <w:tcW w:w="2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2015(#)</w:t>
            </w:r>
          </w:p>
        </w:tc>
        <w:tc>
          <w:tcPr>
            <w:tcW w:w="100" w:type="dxa"/>
            <w:vAlign w:val="bottom"/>
          </w:tcPr>
          <w:p>
            <w:pPr>
              <w:spacing w:after="0"/>
              <w:rPr>
                <w:sz w:val="13"/>
                <w:szCs w:val="13"/>
                <w:color w:val="auto"/>
              </w:rPr>
            </w:pPr>
          </w:p>
        </w:tc>
        <w:tc>
          <w:tcPr>
            <w:tcW w:w="2140" w:type="dxa"/>
            <w:vAlign w:val="bottom"/>
          </w:tcPr>
          <w:p>
            <w:pPr>
              <w:jc w:val="right"/>
              <w:ind w:right="318"/>
              <w:spacing w:after="0" w:line="158" w:lineRule="exact"/>
              <w:rPr>
                <w:sz w:val="20"/>
                <w:szCs w:val="20"/>
                <w:color w:val="auto"/>
              </w:rPr>
            </w:pPr>
            <w:r>
              <w:rPr>
                <w:rFonts w:ascii="Arial" w:cs="Arial" w:eastAsia="Arial" w:hAnsi="Arial"/>
                <w:sz w:val="14"/>
                <w:szCs w:val="14"/>
                <w:b w:val="1"/>
                <w:bCs w:val="1"/>
                <w:color w:val="auto"/>
              </w:rPr>
              <w:t>December 31, 2015(1)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Jonas Prising</w:t>
            </w: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6,600,000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94,011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188,168</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Guideline Met</w:t>
            </w:r>
          </w:p>
        </w:tc>
        <w:tc>
          <w:tcPr>
            <w:tcW w:w="0" w:type="dxa"/>
            <w:vAlign w:val="bottom"/>
          </w:tcPr>
          <w:p>
            <w:pPr>
              <w:spacing w:after="0"/>
              <w:rPr>
                <w:sz w:val="1"/>
                <w:szCs w:val="1"/>
                <w:color w:val="auto"/>
              </w:rPr>
            </w:pPr>
          </w:p>
        </w:tc>
      </w:tr>
      <w:tr>
        <w:trPr>
          <w:trHeight w:val="239"/>
        </w:trPr>
        <w:tc>
          <w:tcPr>
            <w:tcW w:w="2860" w:type="dxa"/>
            <w:vAlign w:val="bottom"/>
            <w:gridSpan w:val="3"/>
          </w:tcPr>
          <w:p>
            <w:pPr>
              <w:ind w:left="40"/>
              <w:spacing w:after="0"/>
              <w:rPr>
                <w:sz w:val="20"/>
                <w:szCs w:val="20"/>
                <w:color w:val="auto"/>
              </w:rPr>
            </w:pPr>
            <w:r>
              <w:rPr>
                <w:rFonts w:ascii="Arial" w:cs="Arial" w:eastAsia="Arial" w:hAnsi="Arial"/>
                <w:sz w:val="17"/>
                <w:szCs w:val="17"/>
                <w:color w:val="auto"/>
              </w:rPr>
              <w:t>Michael J. Van Handel</w:t>
            </w:r>
          </w:p>
        </w:tc>
        <w:tc>
          <w:tcPr>
            <w:tcW w:w="1000" w:type="dxa"/>
            <w:vAlign w:val="bottom"/>
          </w:tcPr>
          <w:p>
            <w:pPr>
              <w:spacing w:after="0"/>
              <w:rPr>
                <w:sz w:val="20"/>
                <w:szCs w:val="20"/>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2,640,000</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7"/>
                <w:szCs w:val="17"/>
                <w:color w:val="auto"/>
              </w:rPr>
              <w:t>37,604</w:t>
            </w:r>
          </w:p>
        </w:tc>
        <w:tc>
          <w:tcPr>
            <w:tcW w:w="100" w:type="dxa"/>
            <w:vAlign w:val="bottom"/>
          </w:tcPr>
          <w:p>
            <w:pPr>
              <w:spacing w:after="0"/>
              <w:rPr>
                <w:sz w:val="20"/>
                <w:szCs w:val="20"/>
                <w:color w:val="auto"/>
              </w:rPr>
            </w:pPr>
          </w:p>
        </w:tc>
        <w:tc>
          <w:tcPr>
            <w:tcW w:w="2040" w:type="dxa"/>
            <w:vAlign w:val="bottom"/>
          </w:tcPr>
          <w:p>
            <w:pPr>
              <w:jc w:val="right"/>
              <w:ind w:right="40"/>
              <w:spacing w:after="0"/>
              <w:rPr>
                <w:sz w:val="20"/>
                <w:szCs w:val="20"/>
                <w:color w:val="auto"/>
              </w:rPr>
            </w:pPr>
            <w:r>
              <w:rPr>
                <w:rFonts w:ascii="Arial" w:cs="Arial" w:eastAsia="Arial" w:hAnsi="Arial"/>
                <w:sz w:val="17"/>
                <w:szCs w:val="17"/>
                <w:color w:val="auto"/>
              </w:rPr>
              <w:t>100,743</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Guideline Met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Darryl Green</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45,584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67,074</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Guideline Met</w:t>
            </w:r>
          </w:p>
        </w:tc>
        <w:tc>
          <w:tcPr>
            <w:tcW w:w="0" w:type="dxa"/>
            <w:vAlign w:val="bottom"/>
          </w:tcPr>
          <w:p>
            <w:pPr>
              <w:spacing w:after="0"/>
              <w:rPr>
                <w:sz w:val="1"/>
                <w:szCs w:val="1"/>
                <w:color w:val="auto"/>
              </w:rPr>
            </w:pPr>
          </w:p>
        </w:tc>
      </w:tr>
      <w:tr>
        <w:trPr>
          <w:trHeight w:val="239"/>
        </w:trPr>
        <w:tc>
          <w:tcPr>
            <w:tcW w:w="2860" w:type="dxa"/>
            <w:vAlign w:val="bottom"/>
            <w:gridSpan w:val="3"/>
          </w:tcPr>
          <w:p>
            <w:pPr>
              <w:ind w:left="40"/>
              <w:spacing w:after="0"/>
              <w:rPr>
                <w:sz w:val="20"/>
                <w:szCs w:val="20"/>
                <w:color w:val="auto"/>
              </w:rPr>
            </w:pPr>
            <w:r>
              <w:rPr>
                <w:rFonts w:ascii="Arial" w:cs="Arial" w:eastAsia="Arial" w:hAnsi="Arial"/>
                <w:sz w:val="17"/>
                <w:szCs w:val="17"/>
                <w:color w:val="auto"/>
              </w:rPr>
              <w:t>Ram Chandrashekar</w:t>
            </w:r>
          </w:p>
        </w:tc>
        <w:tc>
          <w:tcPr>
            <w:tcW w:w="1000" w:type="dxa"/>
            <w:vAlign w:val="bottom"/>
          </w:tcPr>
          <w:p>
            <w:pPr>
              <w:spacing w:after="0"/>
              <w:rPr>
                <w:sz w:val="20"/>
                <w:szCs w:val="20"/>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1,710,000</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7"/>
                <w:szCs w:val="17"/>
                <w:color w:val="auto"/>
              </w:rPr>
              <w:t>24,359</w:t>
            </w:r>
          </w:p>
        </w:tc>
        <w:tc>
          <w:tcPr>
            <w:tcW w:w="100" w:type="dxa"/>
            <w:vAlign w:val="bottom"/>
          </w:tcPr>
          <w:p>
            <w:pPr>
              <w:spacing w:after="0"/>
              <w:rPr>
                <w:sz w:val="20"/>
                <w:szCs w:val="20"/>
                <w:color w:val="auto"/>
              </w:rPr>
            </w:pPr>
          </w:p>
        </w:tc>
        <w:tc>
          <w:tcPr>
            <w:tcW w:w="2040" w:type="dxa"/>
            <w:vAlign w:val="bottom"/>
          </w:tcPr>
          <w:p>
            <w:pPr>
              <w:jc w:val="right"/>
              <w:ind w:right="40"/>
              <w:spacing w:after="0"/>
              <w:rPr>
                <w:sz w:val="20"/>
                <w:szCs w:val="20"/>
                <w:color w:val="auto"/>
              </w:rPr>
            </w:pPr>
            <w:r>
              <w:rPr>
                <w:rFonts w:ascii="Arial" w:cs="Arial" w:eastAsia="Arial" w:hAnsi="Arial"/>
                <w:sz w:val="17"/>
                <w:szCs w:val="17"/>
                <w:color w:val="auto"/>
              </w:rPr>
              <w:t>29,511</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Guideline Met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Mara E. Swan</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1,680,000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23,931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60,711</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Guideline Met</w:t>
            </w:r>
          </w:p>
        </w:tc>
        <w:tc>
          <w:tcPr>
            <w:tcW w:w="0" w:type="dxa"/>
            <w:vAlign w:val="bottom"/>
          </w:tcPr>
          <w:p>
            <w:pPr>
              <w:spacing w:after="0"/>
              <w:rPr>
                <w:sz w:val="1"/>
                <w:szCs w:val="1"/>
                <w:color w:val="auto"/>
              </w:rPr>
            </w:pPr>
          </w:p>
        </w:tc>
      </w:tr>
      <w:tr>
        <w:trPr>
          <w:trHeight w:val="239"/>
        </w:trPr>
        <w:tc>
          <w:tcPr>
            <w:tcW w:w="2860" w:type="dxa"/>
            <w:vAlign w:val="bottom"/>
            <w:gridSpan w:val="3"/>
          </w:tcPr>
          <w:p>
            <w:pPr>
              <w:ind w:left="40"/>
              <w:spacing w:after="0"/>
              <w:rPr>
                <w:sz w:val="20"/>
                <w:szCs w:val="20"/>
                <w:color w:val="auto"/>
              </w:rPr>
            </w:pPr>
            <w:r>
              <w:rPr>
                <w:rFonts w:ascii="Arial" w:cs="Arial" w:eastAsia="Arial" w:hAnsi="Arial"/>
                <w:sz w:val="17"/>
                <w:szCs w:val="17"/>
                <w:color w:val="auto"/>
              </w:rPr>
              <w:t>Jeffrey A. Joerres</w:t>
            </w:r>
          </w:p>
        </w:tc>
        <w:tc>
          <w:tcPr>
            <w:tcW w:w="1000" w:type="dxa"/>
            <w:vAlign w:val="bottom"/>
          </w:tcPr>
          <w:p>
            <w:pPr>
              <w:spacing w:after="0"/>
              <w:rPr>
                <w:sz w:val="20"/>
                <w:szCs w:val="20"/>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7"/>
                <w:szCs w:val="17"/>
                <w:color w:val="auto"/>
              </w:rPr>
              <w:t>71,221</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7"/>
        </w:trPr>
        <w:tc>
          <w:tcPr>
            <w:tcW w:w="2860" w:type="dxa"/>
            <w:vAlign w:val="bottom"/>
            <w:gridSpan w:val="3"/>
          </w:tcPr>
          <w:p>
            <w:pPr>
              <w:spacing w:after="0"/>
              <w:rPr>
                <w:sz w:val="20"/>
                <w:szCs w:val="20"/>
                <w:color w:val="auto"/>
              </w:rPr>
            </w:pPr>
            <w:r>
              <w:rPr>
                <w:rFonts w:ascii="Arial" w:cs="Arial" w:eastAsia="Arial" w:hAnsi="Arial"/>
                <w:sz w:val="18"/>
                <w:szCs w:val="18"/>
                <w:color w:val="auto"/>
              </w:rPr>
              <w:t>_______</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the policy, NEOs have five years from January 1, 2014 to attain the targeted ownership levels.</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Joerres remained in compliance with the stock ownership guidelines through his retirement date of December 30, 2015.</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1"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Adopted a Clawback Policy</w:t>
      </w:r>
    </w:p>
    <w:p>
      <w:pPr>
        <w:spacing w:after="0" w:line="225"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Prohibit Hedging Transactions</w:t>
      </w:r>
    </w:p>
    <w:p>
      <w:pPr>
        <w:spacing w:after="0" w:line="225"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ManpowerGroup has adopted a policy prohibiting designated individuals, including the NEOs, from engaging in short-selling of ManpowerGroup securities and buying and selling puts and calls on ManpowerGroup securities without advance approval. We also do not permit these designated individuals to pledge ManpowerGroup securities. To date, no designated individual has requested approval to engage in such transactions.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Provide Limited Expatriate Benefits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who are assigned outside of their home country, which eliminate any tax disadvantages caused by relocation and compensate them for the disruption it causes to them and to their families.</w:t>
      </w:r>
    </w:p>
    <w:p>
      <w:pPr>
        <w:spacing w:after="0" w:line="18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connection with Mr. Chandrashekar’s role as Executive Vice President, Operational Excellence and IT, and President, Asia Pacific Middle East, Mr. Chandrashekar receives tax equalization payments related to any compensation earned for the time required to be spent in the United States as part of his role. He also receives certain other benefits, including a car and return visit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Realizable Pay in 2015</w:t>
      </w:r>
    </w:p>
    <w:p>
      <w:pPr>
        <w:spacing w:after="0" w:line="229" w:lineRule="exact"/>
        <w:rPr>
          <w:sz w:val="20"/>
          <w:szCs w:val="20"/>
          <w:color w:val="auto"/>
        </w:rPr>
      </w:pPr>
    </w:p>
    <w:p>
      <w:pPr>
        <w:ind w:right="60" w:firstLine="486"/>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w:t>
      </w:r>
      <w:hyperlink w:anchor="page63">
        <w:r>
          <w:rPr>
            <w:rFonts w:ascii="Arial" w:cs="Arial" w:eastAsia="Arial" w:hAnsi="Arial"/>
            <w:sz w:val="18"/>
            <w:szCs w:val="18"/>
            <w:u w:val="single" w:color="auto"/>
            <w:color w:val="0000EE"/>
          </w:rPr>
          <w:t>61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evaluate the alignment between pay and performance. 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2015, of $84.29. For realizable pay our method of calculating equity award values is as follows:</w:t>
      </w:r>
    </w:p>
    <w:p>
      <w:pPr>
        <w:spacing w:after="0" w:line="99" w:lineRule="exact"/>
        <w:rPr>
          <w:sz w:val="20"/>
          <w:szCs w:val="20"/>
          <w:color w:val="auto"/>
        </w:rPr>
      </w:pPr>
    </w:p>
    <w:p>
      <w:pPr>
        <w:ind w:left="820" w:right="260" w:hanging="326"/>
        <w:spacing w:after="0" w:line="27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We use the “intrinsic value” of the stock options granted to Mr. Prising in February 2015, meaning the spread between the grant price and the price of the underlying stock at year end.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Restricted Stock Units. We use the year-end value of the restricted stock units awarded to Mr. Prising in February 2015.</w:t>
      </w:r>
    </w:p>
    <w:p>
      <w:pPr>
        <w:spacing w:after="0" w:line="63"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Share Units. We calculate performance share units using the target performance shares granted in 2015 and value these shares using the year-end stock price on December 31, 2015.</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realizable pay calculation reflects the significant equity component of Mr. Prising’s total compensation, and illustrates how the value of</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Mr. Prising’s 2015 compensation is sensitive to movements in our stock price. The Company enjoyed strong operating performance in 2015 and stock price appreciation with a year-end price of $84.29 as of December 31, 2015. However, Mr. Prising’s realizable pay calculated for 2015 was slightly less than his total compensation shown in the Summary Compensation Table using SEC reporting</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methodology because the intrinsic value of his stock options at the end of the year was less than the fair value of the option at the date of grant as reported in the Summary Compensation Table. As we have noted previously, stock market fluctuations can occur without regard to, or in disproportion to, the fundamentals of our business, as was the case in 2014. Mr. Prising's realizable pay was substantially less than his reported compensation for 2014, despite strong operating performance, due to the decline in the Company's stock price in 2014.</w:t>
      </w:r>
    </w:p>
    <w:p>
      <w:pPr>
        <w:spacing w:after="0" w:line="187" w:lineRule="exact"/>
        <w:rPr>
          <w:sz w:val="20"/>
          <w:szCs w:val="20"/>
          <w:color w:val="auto"/>
        </w:rPr>
      </w:pPr>
    </w:p>
    <w:p>
      <w:pPr>
        <w:ind w:right="300" w:firstLine="48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table below shows realizable pay for Mr. Prising in 2015 as compared to his compensation as reported in the Summary Compensation Table on page </w:t>
      </w:r>
      <w:hyperlink w:anchor="page63">
        <w:r>
          <w:rPr>
            <w:rFonts w:ascii="Arial" w:cs="Arial" w:eastAsia="Arial" w:hAnsi="Arial"/>
            <w:sz w:val="18"/>
            <w:szCs w:val="18"/>
            <w:u w:val="single" w:color="auto"/>
            <w:color w:val="0000EE"/>
          </w:rPr>
          <w:t>61</w:t>
        </w:r>
      </w:hyperlink>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6220" w:type="dxa"/>
            <w:vAlign w:val="bottom"/>
            <w:gridSpan w:val="3"/>
          </w:tcPr>
          <w:p>
            <w:pPr>
              <w:ind w:left="940"/>
              <w:spacing w:after="0"/>
              <w:rPr>
                <w:sz w:val="20"/>
                <w:szCs w:val="20"/>
                <w:color w:val="auto"/>
              </w:rPr>
            </w:pPr>
            <w:r>
              <w:rPr>
                <w:rFonts w:ascii="Arial" w:cs="Arial" w:eastAsia="Arial" w:hAnsi="Arial"/>
                <w:sz w:val="18"/>
                <w:szCs w:val="18"/>
                <w:b w:val="1"/>
                <w:bCs w:val="1"/>
                <w:color w:val="auto"/>
              </w:rPr>
              <w:t>Supplemental Table of CEO Realizable Compensation</w:t>
            </w:r>
          </w:p>
        </w:tc>
        <w:tc>
          <w:tcPr>
            <w:tcW w:w="2500" w:type="dxa"/>
            <w:vAlign w:val="bottom"/>
          </w:tcPr>
          <w:p>
            <w:pPr>
              <w:spacing w:after="0"/>
              <w:rPr>
                <w:sz w:val="20"/>
                <w:szCs w:val="20"/>
                <w:color w:val="auto"/>
              </w:rPr>
            </w:pPr>
          </w:p>
        </w:tc>
      </w:tr>
      <w:tr>
        <w:trPr>
          <w:trHeight w:val="360"/>
        </w:trPr>
        <w:tc>
          <w:tcPr>
            <w:tcW w:w="2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2015 Compensation As</w:t>
            </w:r>
          </w:p>
        </w:tc>
        <w:tc>
          <w:tcPr>
            <w:tcW w:w="250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Reported in the</w:t>
            </w:r>
          </w:p>
        </w:tc>
        <w:tc>
          <w:tcPr>
            <w:tcW w:w="25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Summary</w:t>
            </w: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 Total Realizable</w:t>
            </w:r>
          </w:p>
        </w:tc>
      </w:tr>
      <w:tr>
        <w:trPr>
          <w:trHeight w:val="234"/>
        </w:trPr>
        <w:tc>
          <w:tcPr>
            <w:tcW w:w="27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Compensation Table</w:t>
            </w:r>
          </w:p>
        </w:tc>
        <w:tc>
          <w:tcPr>
            <w:tcW w:w="2500" w:type="dxa"/>
            <w:vAlign w:val="bottom"/>
          </w:tcPr>
          <w:p>
            <w:pPr>
              <w:jc w:val="right"/>
              <w:ind w:right="610"/>
              <w:spacing w:after="0"/>
              <w:rPr>
                <w:sz w:val="20"/>
                <w:szCs w:val="20"/>
                <w:color w:val="auto"/>
              </w:rPr>
            </w:pPr>
            <w:r>
              <w:rPr>
                <w:rFonts w:ascii="Arial" w:cs="Arial" w:eastAsia="Arial" w:hAnsi="Arial"/>
                <w:sz w:val="18"/>
                <w:szCs w:val="18"/>
                <w:b w:val="1"/>
                <w:bCs w:val="1"/>
                <w:color w:val="auto"/>
              </w:rPr>
              <w:t>Compensation</w:t>
            </w:r>
          </w:p>
        </w:tc>
      </w:tr>
      <w:tr>
        <w:trPr>
          <w:trHeight w:val="27"/>
        </w:trPr>
        <w:tc>
          <w:tcPr>
            <w:tcW w:w="27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 Salary</w:t>
            </w:r>
          </w:p>
        </w:tc>
        <w:tc>
          <w:tcPr>
            <w:tcW w:w="6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$1,100,000</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Annual Incentive</w:t>
            </w:r>
          </w:p>
        </w:tc>
        <w:tc>
          <w:tcPr>
            <w:tcW w:w="6120" w:type="dxa"/>
            <w:vAlign w:val="bottom"/>
            <w:gridSpan w:val="2"/>
          </w:tcPr>
          <w:p>
            <w:pPr>
              <w:jc w:val="right"/>
              <w:ind w:right="30"/>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2,300,000</w:t>
            </w:r>
          </w:p>
        </w:tc>
      </w:tr>
      <w:tr>
        <w:trPr>
          <w:trHeight w:val="27"/>
        </w:trPr>
        <w:tc>
          <w:tcPr>
            <w:tcW w:w="27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w:t>
            </w:r>
          </w:p>
        </w:tc>
        <w:tc>
          <w:tcPr>
            <w:tcW w:w="348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3,400,000</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3,400,000</w:t>
            </w:r>
          </w:p>
        </w:tc>
      </w:tr>
      <w:tr>
        <w:trPr>
          <w:trHeight w:val="20"/>
        </w:trPr>
        <w:tc>
          <w:tcPr>
            <w:tcW w:w="2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6120" w:type="dxa"/>
            <w:vAlign w:val="bottom"/>
            <w:gridSpan w:val="2"/>
          </w:tcPr>
          <w:p>
            <w:pPr>
              <w:jc w:val="right"/>
              <w:ind w:right="30"/>
              <w:spacing w:after="0"/>
              <w:rPr>
                <w:sz w:val="20"/>
                <w:szCs w:val="20"/>
                <w:color w:val="auto"/>
              </w:rPr>
            </w:pPr>
            <w:r>
              <w:rPr>
                <w:rFonts w:ascii="Arial" w:cs="Arial" w:eastAsia="Arial" w:hAnsi="Arial"/>
                <w:sz w:val="18"/>
                <w:szCs w:val="18"/>
                <w:color w:val="auto"/>
              </w:rPr>
              <w:t>1,128,009</w:t>
            </w:r>
          </w:p>
        </w:tc>
        <w:tc>
          <w:tcPr>
            <w:tcW w:w="100" w:type="dxa"/>
            <w:vAlign w:val="bottom"/>
          </w:tcPr>
          <w:p>
            <w:pPr>
              <w:spacing w:after="0"/>
              <w:rPr>
                <w:sz w:val="20"/>
                <w:szCs w:val="20"/>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381,211</w:t>
            </w:r>
          </w:p>
        </w:tc>
      </w:tr>
      <w:tr>
        <w:trPr>
          <w:trHeight w:val="27"/>
        </w:trPr>
        <w:tc>
          <w:tcPr>
            <w:tcW w:w="2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6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1,128,072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1,235,354</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Performance share units</w:t>
            </w:r>
          </w:p>
        </w:tc>
        <w:tc>
          <w:tcPr>
            <w:tcW w:w="6120" w:type="dxa"/>
            <w:vAlign w:val="bottom"/>
            <w:gridSpan w:val="2"/>
          </w:tcPr>
          <w:p>
            <w:pPr>
              <w:jc w:val="right"/>
              <w:ind w:right="30"/>
              <w:spacing w:after="0"/>
              <w:rPr>
                <w:sz w:val="20"/>
                <w:szCs w:val="20"/>
                <w:color w:val="auto"/>
              </w:rPr>
            </w:pPr>
            <w:r>
              <w:rPr>
                <w:rFonts w:ascii="Arial" w:cs="Arial" w:eastAsia="Arial" w:hAnsi="Arial"/>
                <w:sz w:val="18"/>
                <w:szCs w:val="18"/>
                <w:color w:val="auto"/>
              </w:rPr>
              <w:t>3,384,063</w:t>
            </w:r>
          </w:p>
        </w:tc>
        <w:tc>
          <w:tcPr>
            <w:tcW w:w="1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3,705,894</w:t>
            </w:r>
          </w:p>
        </w:tc>
      </w:tr>
      <w:tr>
        <w:trPr>
          <w:trHeight w:val="27"/>
        </w:trPr>
        <w:tc>
          <w:tcPr>
            <w:tcW w:w="27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$9,040,144</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$8,722,459</w:t>
            </w:r>
          </w:p>
        </w:tc>
      </w:tr>
      <w:tr>
        <w:trPr>
          <w:trHeight w:val="27"/>
        </w:trPr>
        <w:tc>
          <w:tcPr>
            <w:tcW w:w="27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implications for ManpowerGroup</w:t>
      </w:r>
    </w:p>
    <w:p>
      <w:pPr>
        <w:spacing w:after="0" w:line="22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Section 162(m) of the Internal Revenue Code generally disallows a tax deduction to public corporations for compensation over $1,000,000 for any fiscal year paid to the corporation’s CEO and three most highly compensated NEOs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implications for NEOs</w:t>
      </w:r>
    </w:p>
    <w:p>
      <w:pPr>
        <w:spacing w:after="0" w:line="13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REPORT OF THE EXECUTIVE COMPENSATION AND HUMAN RESOURCES COMMITTEE OF THE BOARD OF DIRECTORS</w:t>
      </w:r>
    </w:p>
    <w:p>
      <w:pPr>
        <w:spacing w:after="0" w:line="229"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Zore,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William Downe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Elizabeth P. Sartain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 R. Walter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AND HUMAN RESOURCES COMMITTEE INTERLOCKS AND INSIDER PARTICIPATION</w:t>
      </w:r>
    </w:p>
    <w:p>
      <w:pPr>
        <w:spacing w:after="0" w:line="229"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2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195" w:lineRule="exact"/>
        <w:rPr>
          <w:sz w:val="20"/>
          <w:szCs w:val="20"/>
          <w:color w:val="auto"/>
        </w:rPr>
      </w:pPr>
    </w:p>
    <w:p>
      <w:pPr>
        <w:ind w:left="820" w:right="240" w:hanging="326"/>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8" w:lineRule="exact"/>
        <w:rPr>
          <w:rFonts w:ascii="Arial" w:cs="Arial" w:eastAsia="Arial" w:hAnsi="Arial"/>
          <w:sz w:val="18"/>
          <w:szCs w:val="18"/>
          <w:color w:val="auto"/>
        </w:rPr>
      </w:pPr>
    </w:p>
    <w:p>
      <w:pPr>
        <w:ind w:left="820" w:right="300" w:hanging="326"/>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annual incentive and PSU awards are capped at a maximum level such that employees cannot receive a bonus that is significant enough to create a significant risk to the Company.</w:t>
      </w:r>
    </w:p>
    <w:p>
      <w:pPr>
        <w:spacing w:after="0" w:line="8" w:lineRule="exact"/>
        <w:rPr>
          <w:rFonts w:ascii="Arial" w:cs="Arial" w:eastAsia="Arial" w:hAnsi="Arial"/>
          <w:sz w:val="18"/>
          <w:szCs w:val="18"/>
          <w:color w:val="auto"/>
        </w:rPr>
      </w:pPr>
    </w:p>
    <w:p>
      <w:pPr>
        <w:ind w:left="820" w:right="380" w:hanging="326"/>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 NEOs is subject to stock ownership guidelines.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20" w:hanging="326"/>
        <w:spacing w:after="0"/>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adopted a clawback policy.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do not permit executives to engage in short-selling of ManpowerGroup securities or trading in puts and calls on ManpowerGroup securities.</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permit our NEOs to pledge shares of our common stock.</w:t>
      </w:r>
    </w:p>
    <w:p>
      <w:pPr>
        <w:spacing w:after="0" w:line="63"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is an approval process of the various incentive plans in each country, which are approved by the country manager and financial manager in the respective country to ensure the growth metrics are based on company performance.</w:t>
      </w:r>
    </w:p>
    <w:p>
      <w:pPr>
        <w:spacing w:after="0" w:line="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1"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table below sets forth the compensation information for our NEOs during the fiscal years ended December 31, 2015, December 31, 2014 and December 31, 2013. Mr. Chandrashekar was not an NEO in 2013, therefore, in accordance with the SEC’s disclosure rules, his compensation for that year is not included in the tables below. All amounts are calculated in accordance with SEC disclosure rules, including amounts with respect to our equity compensation plan awards, as further described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Pension</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Value and</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Non-</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Non-Equity</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Qualified</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Incentive</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All</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Plan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520"/>
              <w:spacing w:after="0" w:line="135" w:lineRule="exact"/>
              <w:rPr>
                <w:sz w:val="20"/>
                <w:szCs w:val="20"/>
                <w:color w:val="auto"/>
              </w:rPr>
            </w:pPr>
            <w:r>
              <w:rPr>
                <w:rFonts w:ascii="Arial" w:cs="Arial" w:eastAsia="Arial" w:hAnsi="Arial"/>
                <w:sz w:val="13"/>
                <w:szCs w:val="13"/>
                <w:b w:val="1"/>
                <w:bCs w:val="1"/>
                <w:color w:val="auto"/>
              </w:rPr>
              <w:t>Name &amp;</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Salary</w:t>
            </w:r>
          </w:p>
        </w:tc>
        <w:tc>
          <w:tcPr>
            <w:tcW w:w="8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Bonus</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Awards</w:t>
            </w: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Earnings</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Principal Position</w:t>
            </w: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($)(2)</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1"/>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Jonas Prising(5)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1,100,000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4,512,135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1,128,009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2,300,000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74,742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9,114,886</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CEO</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950,000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4,480,145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1,120,034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2,015,000</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55,484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8,620,663</w:t>
            </w: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650,000</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2,550,094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450,002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908,375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93,534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4,652,005</w:t>
            </w:r>
          </w:p>
        </w:tc>
        <w:tc>
          <w:tcPr>
            <w:tcW w:w="0" w:type="dxa"/>
            <w:vAlign w:val="bottom"/>
          </w:tcPr>
          <w:p>
            <w:pPr>
              <w:spacing w:after="0"/>
              <w:rPr>
                <w:sz w:val="1"/>
                <w:szCs w:val="1"/>
                <w:color w:val="auto"/>
              </w:rPr>
            </w:pPr>
          </w:p>
        </w:tc>
      </w:tr>
      <w:tr>
        <w:trPr>
          <w:trHeight w:val="259"/>
        </w:trPr>
        <w:tc>
          <w:tcPr>
            <w:tcW w:w="16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Michael J. Van Handel</w:t>
            </w:r>
          </w:p>
        </w:tc>
        <w:tc>
          <w:tcPr>
            <w:tcW w:w="580" w:type="dxa"/>
            <w:vAlign w:val="bottom"/>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660,000</w:t>
            </w:r>
          </w:p>
        </w:tc>
        <w:tc>
          <w:tcPr>
            <w:tcW w:w="14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2,080,037</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520,013</w:t>
            </w:r>
          </w:p>
        </w:tc>
        <w:tc>
          <w:tcPr>
            <w:tcW w:w="100" w:type="dxa"/>
            <w:vAlign w:val="bottom"/>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920,000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(1,709)</w:t>
            </w:r>
          </w:p>
        </w:tc>
        <w:tc>
          <w:tcPr>
            <w:tcW w:w="120" w:type="dxa"/>
            <w:vAlign w:val="bottom"/>
          </w:tcPr>
          <w:p>
            <w:pPr>
              <w:spacing w:after="0"/>
              <w:rPr>
                <w:sz w:val="22"/>
                <w:szCs w:val="22"/>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74,820</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4,253,161</w:t>
            </w:r>
          </w:p>
        </w:tc>
        <w:tc>
          <w:tcPr>
            <w:tcW w:w="0" w:type="dxa"/>
            <w:vAlign w:val="bottom"/>
          </w:tcPr>
          <w:p>
            <w:pPr>
              <w:spacing w:after="0"/>
              <w:rPr>
                <w:sz w:val="1"/>
                <w:szCs w:val="1"/>
                <w:color w:val="auto"/>
              </w:rPr>
            </w:pPr>
          </w:p>
        </w:tc>
      </w:tr>
      <w:tr>
        <w:trPr>
          <w:trHeight w:val="189"/>
        </w:trPr>
        <w:tc>
          <w:tcPr>
            <w:tcW w:w="1620" w:type="dxa"/>
            <w:vAlign w:val="bottom"/>
          </w:tcPr>
          <w:p>
            <w:pPr>
              <w:ind w:left="40"/>
              <w:spacing w:after="0"/>
              <w:rPr>
                <w:sz w:val="20"/>
                <w:szCs w:val="20"/>
                <w:color w:val="auto"/>
              </w:rPr>
            </w:pPr>
            <w:r>
              <w:rPr>
                <w:rFonts w:ascii="Arial" w:cs="Arial" w:eastAsia="Arial" w:hAnsi="Arial"/>
                <w:sz w:val="13"/>
                <w:szCs w:val="13"/>
                <w:color w:val="auto"/>
              </w:rPr>
              <w:t>CFO</w:t>
            </w:r>
          </w:p>
        </w:tc>
        <w:tc>
          <w:tcPr>
            <w:tcW w:w="580" w:type="dxa"/>
            <w:vAlign w:val="bottom"/>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660,000</w:t>
            </w:r>
          </w:p>
        </w:tc>
        <w:tc>
          <w:tcPr>
            <w:tcW w:w="14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2,080,100</w:t>
            </w: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520,021</w:t>
            </w:r>
          </w:p>
        </w:tc>
        <w:tc>
          <w:tcPr>
            <w:tcW w:w="100" w:type="dxa"/>
            <w:vAlign w:val="bottom"/>
          </w:tcPr>
          <w:p>
            <w:pPr>
              <w:spacing w:after="0"/>
              <w:rPr>
                <w:sz w:val="16"/>
                <w:szCs w:val="16"/>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1,029,600</w:t>
            </w:r>
          </w:p>
        </w:tc>
        <w:tc>
          <w:tcPr>
            <w:tcW w:w="100" w:type="dxa"/>
            <w:vAlign w:val="bottom"/>
          </w:tcPr>
          <w:p>
            <w:pPr>
              <w:spacing w:after="0"/>
              <w:rPr>
                <w:sz w:val="16"/>
                <w:szCs w:val="16"/>
                <w:color w:val="auto"/>
              </w:rPr>
            </w:pP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20,135</w:t>
            </w:r>
          </w:p>
        </w:tc>
        <w:tc>
          <w:tcPr>
            <w:tcW w:w="120" w:type="dxa"/>
            <w:vAlign w:val="bottom"/>
          </w:tcPr>
          <w:p>
            <w:pPr>
              <w:spacing w:after="0"/>
              <w:rPr>
                <w:sz w:val="16"/>
                <w:szCs w:val="16"/>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62,010</w:t>
            </w: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4,371,866</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2013</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600,000</w:t>
            </w:r>
          </w:p>
        </w:tc>
        <w:tc>
          <w:tcPr>
            <w:tcW w:w="14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1,750,020</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750,009</w:t>
            </w:r>
          </w:p>
        </w:tc>
        <w:tc>
          <w:tcPr>
            <w:tcW w:w="10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1,048,800</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(11,260)</w:t>
            </w:r>
          </w:p>
        </w:tc>
        <w:tc>
          <w:tcPr>
            <w:tcW w:w="120" w:type="dxa"/>
            <w:vAlign w:val="bottom"/>
          </w:tcPr>
          <w:p>
            <w:pPr>
              <w:spacing w:after="0"/>
              <w:rPr>
                <w:sz w:val="23"/>
                <w:szCs w:val="23"/>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47,594</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4,185,163</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Darryl Green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800,000</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2,800,091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700,008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1,105,000</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47,429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5,452,528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President &amp; COO</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750,000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2,800,146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700,032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1,104,953</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124,179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5,479,310</w:t>
            </w: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650,000</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1,050,054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450,002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650,780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224,307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3,025,143</w:t>
            </w:r>
          </w:p>
        </w:tc>
        <w:tc>
          <w:tcPr>
            <w:tcW w:w="0" w:type="dxa"/>
            <w:vAlign w:val="bottom"/>
          </w:tcPr>
          <w:p>
            <w:pPr>
              <w:spacing w:after="0"/>
              <w:rPr>
                <w:sz w:val="1"/>
                <w:szCs w:val="1"/>
                <w:color w:val="auto"/>
              </w:rPr>
            </w:pPr>
          </w:p>
        </w:tc>
      </w:tr>
      <w:tr>
        <w:trPr>
          <w:trHeight w:val="259"/>
        </w:trPr>
        <w:tc>
          <w:tcPr>
            <w:tcW w:w="16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Ram Chandrashekar(6)</w:t>
            </w:r>
          </w:p>
        </w:tc>
        <w:tc>
          <w:tcPr>
            <w:tcW w:w="580" w:type="dxa"/>
            <w:vAlign w:val="bottom"/>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568,035</w:t>
            </w:r>
          </w:p>
        </w:tc>
        <w:tc>
          <w:tcPr>
            <w:tcW w:w="14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1,120,068</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280,020</w:t>
            </w:r>
          </w:p>
        </w:tc>
        <w:tc>
          <w:tcPr>
            <w:tcW w:w="100" w:type="dxa"/>
            <w:vAlign w:val="bottom"/>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460,108</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101,760</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2,529,991</w:t>
            </w:r>
          </w:p>
        </w:tc>
        <w:tc>
          <w:tcPr>
            <w:tcW w:w="0" w:type="dxa"/>
            <w:vAlign w:val="bottom"/>
          </w:tcPr>
          <w:p>
            <w:pPr>
              <w:spacing w:after="0"/>
              <w:rPr>
                <w:sz w:val="1"/>
                <w:szCs w:val="1"/>
                <w:color w:val="auto"/>
              </w:rPr>
            </w:pPr>
          </w:p>
        </w:tc>
      </w:tr>
      <w:tr>
        <w:trPr>
          <w:trHeight w:val="164"/>
        </w:trPr>
        <w:tc>
          <w:tcPr>
            <w:tcW w:w="1620" w:type="dxa"/>
            <w:vAlign w:val="bottom"/>
          </w:tcPr>
          <w:p>
            <w:pPr>
              <w:ind w:left="40"/>
              <w:spacing w:after="0"/>
              <w:rPr>
                <w:sz w:val="20"/>
                <w:szCs w:val="20"/>
                <w:color w:val="auto"/>
              </w:rPr>
            </w:pPr>
            <w:r>
              <w:rPr>
                <w:rFonts w:ascii="Arial" w:cs="Arial" w:eastAsia="Arial" w:hAnsi="Arial"/>
                <w:sz w:val="13"/>
                <w:szCs w:val="13"/>
                <w:color w:val="auto"/>
                <w:w w:val="93"/>
              </w:rPr>
              <w:t>EVP, Operational Excellence</w:t>
            </w:r>
          </w:p>
        </w:tc>
        <w:tc>
          <w:tcPr>
            <w:tcW w:w="580" w:type="dxa"/>
            <w:vAlign w:val="bottom"/>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568,035</w:t>
            </w:r>
          </w:p>
        </w:tc>
        <w:tc>
          <w:tcPr>
            <w:tcW w:w="1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1,620,046</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280,023</w:t>
            </w:r>
          </w:p>
        </w:tc>
        <w:tc>
          <w:tcPr>
            <w:tcW w:w="10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621,089</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97,532</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3,186,725</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Arial" w:cs="Arial" w:eastAsia="Arial" w:hAnsi="Arial"/>
                <w:sz w:val="13"/>
                <w:szCs w:val="13"/>
                <w:color w:val="auto"/>
              </w:rPr>
              <w:t>&amp; IT and President, Asia</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rPr>
                <w:sz w:val="20"/>
                <w:szCs w:val="20"/>
                <w:color w:val="auto"/>
              </w:rPr>
            </w:pPr>
            <w:r>
              <w:rPr>
                <w:rFonts w:ascii="Arial" w:cs="Arial" w:eastAsia="Arial" w:hAnsi="Arial"/>
                <w:sz w:val="13"/>
                <w:szCs w:val="13"/>
                <w:color w:val="auto"/>
              </w:rPr>
              <w:t>Pacific Middle East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Mara E. Swan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560,000</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960,123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240,014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580,000</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71,432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2,411,569</w:t>
            </w:r>
          </w:p>
        </w:tc>
        <w:tc>
          <w:tcPr>
            <w:tcW w:w="0" w:type="dxa"/>
            <w:vAlign w:val="bottom"/>
          </w:tcPr>
          <w:p>
            <w:pPr>
              <w:spacing w:after="0"/>
              <w:rPr>
                <w:sz w:val="1"/>
                <w:szCs w:val="1"/>
                <w:color w:val="auto"/>
              </w:rPr>
            </w:pPr>
          </w:p>
        </w:tc>
      </w:tr>
      <w:tr>
        <w:trPr>
          <w:trHeight w:val="81"/>
        </w:trPr>
        <w:tc>
          <w:tcPr>
            <w:tcW w:w="162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EVP, Global Strategy</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560,000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1,460,097</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240,024</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653,632</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65,284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2,979,037</w:t>
            </w:r>
          </w:p>
        </w:tc>
        <w:tc>
          <w:tcPr>
            <w:tcW w:w="0" w:type="dxa"/>
            <w:vAlign w:val="bottom"/>
          </w:tcPr>
          <w:p>
            <w:pPr>
              <w:spacing w:after="0"/>
              <w:rPr>
                <w:sz w:val="1"/>
                <w:szCs w:val="1"/>
                <w:color w:val="auto"/>
              </w:rPr>
            </w:pPr>
          </w:p>
        </w:tc>
      </w:tr>
      <w:tr>
        <w:trPr>
          <w:trHeight w:val="160"/>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&amp; Talent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525,000</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770,068</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330,010</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680,348</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51,187</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2,356,613</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16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tcPr>
          <w:p>
            <w:pPr>
              <w:ind w:left="40"/>
              <w:spacing w:after="0"/>
              <w:rPr>
                <w:sz w:val="20"/>
                <w:szCs w:val="20"/>
                <w:color w:val="auto"/>
              </w:rPr>
            </w:pPr>
            <w:r>
              <w:rPr>
                <w:rFonts w:ascii="Arial" w:cs="Arial" w:eastAsia="Arial" w:hAnsi="Arial"/>
                <w:sz w:val="13"/>
                <w:szCs w:val="13"/>
                <w:color w:val="auto"/>
              </w:rPr>
              <w:t>Jeffrey A. Joerres(7)</w:t>
            </w:r>
          </w:p>
        </w:tc>
        <w:tc>
          <w:tcPr>
            <w:tcW w:w="580" w:type="dxa"/>
            <w:vAlign w:val="bottom"/>
          </w:tcPr>
          <w:p>
            <w:pPr>
              <w:jc w:val="right"/>
              <w:spacing w:after="0"/>
              <w:rPr>
                <w:sz w:val="20"/>
                <w:szCs w:val="20"/>
                <w:color w:val="auto"/>
              </w:rPr>
            </w:pPr>
            <w:r>
              <w:rPr>
                <w:rFonts w:ascii="Arial" w:cs="Arial" w:eastAsia="Arial" w:hAnsi="Arial"/>
                <w:sz w:val="13"/>
                <w:szCs w:val="13"/>
                <w:color w:val="auto"/>
              </w:rPr>
              <w:t>2015</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911,923</w:t>
            </w:r>
          </w:p>
        </w:tc>
        <w:tc>
          <w:tcPr>
            <w:tcW w:w="14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4,435,011</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1,563,750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(10,985)</w:t>
            </w:r>
          </w:p>
        </w:tc>
        <w:tc>
          <w:tcPr>
            <w:tcW w:w="120" w:type="dxa"/>
            <w:vAlign w:val="bottom"/>
          </w:tcPr>
          <w:p>
            <w:pPr>
              <w:spacing w:after="0"/>
              <w:rPr>
                <w:sz w:val="15"/>
                <w:szCs w:val="15"/>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78,289</w:t>
            </w:r>
          </w:p>
        </w:tc>
        <w:tc>
          <w:tcPr>
            <w:tcW w:w="12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6,977,988</w:t>
            </w: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20" w:type="dxa"/>
            <w:vAlign w:val="bottom"/>
          </w:tcPr>
          <w:p>
            <w:pPr>
              <w:ind w:left="40"/>
              <w:spacing w:after="0"/>
              <w:rPr>
                <w:sz w:val="20"/>
                <w:szCs w:val="20"/>
                <w:color w:val="auto"/>
              </w:rPr>
            </w:pPr>
            <w:r>
              <w:rPr>
                <w:rFonts w:ascii="Arial" w:cs="Arial" w:eastAsia="Arial" w:hAnsi="Arial"/>
                <w:sz w:val="13"/>
                <w:szCs w:val="13"/>
                <w:color w:val="auto"/>
              </w:rPr>
              <w:t>Former Executive</w:t>
            </w:r>
          </w:p>
        </w:tc>
        <w:tc>
          <w:tcPr>
            <w:tcW w:w="580" w:type="dxa"/>
            <w:vAlign w:val="bottom"/>
          </w:tcPr>
          <w:p>
            <w:pPr>
              <w:jc w:val="right"/>
              <w:spacing w:after="0"/>
              <w:rPr>
                <w:sz w:val="20"/>
                <w:szCs w:val="20"/>
                <w:color w:val="auto"/>
              </w:rPr>
            </w:pPr>
            <w:r>
              <w:rPr>
                <w:rFonts w:ascii="Arial" w:cs="Arial" w:eastAsia="Arial" w:hAnsi="Arial"/>
                <w:sz w:val="13"/>
                <w:szCs w:val="13"/>
                <w:color w:val="auto"/>
              </w:rPr>
              <w:t>2014</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1,066,667</w:t>
            </w:r>
          </w:p>
        </w:tc>
        <w:tc>
          <w:tcPr>
            <w:tcW w:w="1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6,400,097</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1,600,013</w:t>
            </w:r>
          </w:p>
        </w:tc>
        <w:tc>
          <w:tcPr>
            <w:tcW w:w="10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2,236,001</w:t>
            </w:r>
          </w:p>
        </w:tc>
        <w:tc>
          <w:tcPr>
            <w:tcW w:w="100" w:type="dxa"/>
            <w:vAlign w:val="bottom"/>
          </w:tcPr>
          <w:p>
            <w:pPr>
              <w:spacing w:after="0"/>
              <w:rPr>
                <w:sz w:val="14"/>
                <w:szCs w:val="14"/>
                <w:color w:val="auto"/>
              </w:rPr>
            </w:pP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21,302</w:t>
            </w:r>
          </w:p>
        </w:tc>
        <w:tc>
          <w:tcPr>
            <w:tcW w:w="120" w:type="dxa"/>
            <w:vAlign w:val="bottom"/>
          </w:tcPr>
          <w:p>
            <w:pPr>
              <w:spacing w:after="0"/>
              <w:rPr>
                <w:sz w:val="14"/>
                <w:szCs w:val="14"/>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67,716</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11,391,796</w:t>
            </w: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rPr>
                <w:sz w:val="20"/>
                <w:szCs w:val="20"/>
                <w:color w:val="auto"/>
              </w:rPr>
            </w:pPr>
            <w:r>
              <w:rPr>
                <w:rFonts w:ascii="Arial" w:cs="Arial" w:eastAsia="Arial" w:hAnsi="Arial"/>
                <w:sz w:val="13"/>
                <w:szCs w:val="13"/>
                <w:color w:val="auto"/>
              </w:rPr>
              <w:t>Chairman</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2013</w:t>
            </w:r>
          </w:p>
        </w:tc>
        <w:tc>
          <w:tcPr>
            <w:tcW w:w="10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1,200,000</w:t>
            </w:r>
          </w:p>
        </w:tc>
        <w:tc>
          <w:tcPr>
            <w:tcW w:w="140" w:type="dxa"/>
            <w:vAlign w:val="bottom"/>
          </w:tcPr>
          <w:p>
            <w:pPr>
              <w:spacing w:after="0"/>
              <w:rPr>
                <w:sz w:val="13"/>
                <w:szCs w:val="13"/>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1"/>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4,900,077</w:t>
            </w:r>
          </w:p>
        </w:tc>
        <w:tc>
          <w:tcPr>
            <w:tcW w:w="120" w:type="dxa"/>
            <w:vAlign w:val="bottom"/>
          </w:tcPr>
          <w:p>
            <w:pPr>
              <w:spacing w:after="0"/>
              <w:rPr>
                <w:sz w:val="13"/>
                <w:szCs w:val="13"/>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1,100,002</w:t>
            </w:r>
          </w:p>
        </w:tc>
        <w:tc>
          <w:tcPr>
            <w:tcW w:w="100" w:type="dxa"/>
            <w:vAlign w:val="bottom"/>
          </w:tcPr>
          <w:p>
            <w:pPr>
              <w:spacing w:after="0"/>
              <w:rPr>
                <w:sz w:val="13"/>
                <w:szCs w:val="13"/>
                <w:color w:val="auto"/>
              </w:rPr>
            </w:pPr>
          </w:p>
        </w:tc>
        <w:tc>
          <w:tcPr>
            <w:tcW w:w="1360" w:type="dxa"/>
            <w:vAlign w:val="bottom"/>
            <w:vMerge w:val="restart"/>
          </w:tcPr>
          <w:p>
            <w:pPr>
              <w:jc w:val="right"/>
              <w:ind w:right="37"/>
              <w:spacing w:after="0"/>
              <w:rPr>
                <w:sz w:val="20"/>
                <w:szCs w:val="20"/>
                <w:color w:val="auto"/>
              </w:rPr>
            </w:pPr>
            <w:r>
              <w:rPr>
                <w:rFonts w:ascii="Arial" w:cs="Arial" w:eastAsia="Arial" w:hAnsi="Arial"/>
                <w:sz w:val="13"/>
                <w:szCs w:val="13"/>
                <w:color w:val="auto"/>
              </w:rPr>
              <w:t>3,098,400</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(10,457)</w:t>
            </w:r>
          </w:p>
        </w:tc>
        <w:tc>
          <w:tcPr>
            <w:tcW w:w="120" w:type="dxa"/>
            <w:vAlign w:val="bottom"/>
          </w:tcPr>
          <w:p>
            <w:pPr>
              <w:spacing w:after="0"/>
              <w:rPr>
                <w:sz w:val="13"/>
                <w:szCs w:val="13"/>
                <w:color w:val="auto"/>
              </w:rPr>
            </w:pPr>
          </w:p>
        </w:tc>
        <w:tc>
          <w:tcPr>
            <w:tcW w:w="1340" w:type="dxa"/>
            <w:vAlign w:val="bottom"/>
            <w:vMerge w:val="restart"/>
          </w:tcPr>
          <w:p>
            <w:pPr>
              <w:jc w:val="right"/>
              <w:ind w:right="37"/>
              <w:spacing w:after="0"/>
              <w:rPr>
                <w:sz w:val="20"/>
                <w:szCs w:val="20"/>
                <w:color w:val="auto"/>
              </w:rPr>
            </w:pPr>
            <w:r>
              <w:rPr>
                <w:rFonts w:ascii="Arial" w:cs="Arial" w:eastAsia="Arial" w:hAnsi="Arial"/>
                <w:sz w:val="13"/>
                <w:szCs w:val="13"/>
                <w:color w:val="auto"/>
              </w:rPr>
              <w:t>75,149</w:t>
            </w:r>
          </w:p>
        </w:tc>
        <w:tc>
          <w:tcPr>
            <w:tcW w:w="120" w:type="dxa"/>
            <w:vAlign w:val="bottom"/>
          </w:tcPr>
          <w:p>
            <w:pPr>
              <w:spacing w:after="0"/>
              <w:rPr>
                <w:sz w:val="13"/>
                <w:szCs w:val="13"/>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10,363,171</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114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79" w:lineRule="exact"/>
        <w:rPr>
          <w:sz w:val="20"/>
          <w:szCs w:val="20"/>
          <w:color w:val="auto"/>
        </w:rPr>
      </w:pPr>
    </w:p>
    <w:p>
      <w:pPr>
        <w:ind w:left="500" w:right="40" w:hanging="492"/>
        <w:spacing w:after="0" w:line="259"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w:t>
      </w:r>
      <w:hyperlink w:anchor="page66">
        <w:r>
          <w:rPr>
            <w:rFonts w:ascii="Arial" w:cs="Arial" w:eastAsia="Arial" w:hAnsi="Arial"/>
            <w:sz w:val="18"/>
            <w:szCs w:val="18"/>
            <w:u w:val="single" w:color="auto"/>
            <w:color w:val="0000EE"/>
          </w:rPr>
          <w:t>64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breakout in the grant date fair value of performance share units and restricted stock units.</w:t>
      </w:r>
    </w:p>
    <w:p>
      <w:pPr>
        <w:spacing w:after="0" w:line="24"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grant date fair value of the 2015 performance share unit awards at the outstanding level for each executive officer was:</w:t>
      </w:r>
    </w:p>
    <w:p>
      <w:pPr>
        <w:spacing w:after="0" w:line="160"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7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4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2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Jonas Prising</w:t>
            </w:r>
          </w:p>
        </w:tc>
        <w:tc>
          <w:tcPr>
            <w:tcW w:w="4980" w:type="dxa"/>
            <w:vAlign w:val="bottom"/>
            <w:tcBorders>
              <w:bottom w:val="single" w:sz="8" w:color="CCEEFF"/>
            </w:tcBorders>
            <w:gridSpan w:val="2"/>
            <w:shd w:val="clear" w:color="auto" w:fill="CCEEFF"/>
          </w:tcPr>
          <w:p>
            <w:pPr>
              <w:jc w:val="center"/>
              <w:ind w:left="4052"/>
              <w:spacing w:after="0"/>
              <w:rPr>
                <w:sz w:val="20"/>
                <w:szCs w:val="20"/>
                <w:color w:val="auto"/>
              </w:rPr>
            </w:pPr>
            <w:r>
              <w:rPr>
                <w:rFonts w:ascii="Arial" w:cs="Arial" w:eastAsia="Arial" w:hAnsi="Arial"/>
                <w:sz w:val="18"/>
                <w:szCs w:val="18"/>
                <w:color w:val="auto"/>
                <w:w w:val="88"/>
              </w:rPr>
              <w:t>$6,768,126</w:t>
            </w:r>
          </w:p>
        </w:tc>
      </w:tr>
      <w:tr>
        <w:trPr>
          <w:trHeight w:val="243"/>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Michael J. Van Handel</w:t>
            </w:r>
          </w:p>
        </w:tc>
        <w:tc>
          <w:tcPr>
            <w:tcW w:w="4980" w:type="dxa"/>
            <w:vAlign w:val="bottom"/>
            <w:gridSpan w:val="2"/>
          </w:tcPr>
          <w:p>
            <w:pPr>
              <w:jc w:val="center"/>
              <w:ind w:left="4092"/>
              <w:spacing w:after="0"/>
              <w:rPr>
                <w:sz w:val="20"/>
                <w:szCs w:val="20"/>
                <w:color w:val="auto"/>
              </w:rPr>
            </w:pPr>
            <w:r>
              <w:rPr>
                <w:rFonts w:ascii="Arial" w:cs="Arial" w:eastAsia="Arial" w:hAnsi="Arial"/>
                <w:sz w:val="18"/>
                <w:szCs w:val="18"/>
                <w:color w:val="auto"/>
                <w:w w:val="89"/>
              </w:rPr>
              <w:t>3,120,056</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Darryl Green</w:t>
            </w:r>
          </w:p>
        </w:tc>
        <w:tc>
          <w:tcPr>
            <w:tcW w:w="4980" w:type="dxa"/>
            <w:vAlign w:val="bottom"/>
            <w:tcBorders>
              <w:bottom w:val="single" w:sz="8" w:color="CCEEFF"/>
            </w:tcBorders>
            <w:gridSpan w:val="2"/>
            <w:shd w:val="clear" w:color="auto" w:fill="CCEEFF"/>
          </w:tcPr>
          <w:p>
            <w:pPr>
              <w:jc w:val="center"/>
              <w:ind w:left="4092"/>
              <w:spacing w:after="0"/>
              <w:rPr>
                <w:sz w:val="20"/>
                <w:szCs w:val="20"/>
                <w:color w:val="auto"/>
              </w:rPr>
            </w:pPr>
            <w:r>
              <w:rPr>
                <w:rFonts w:ascii="Arial" w:cs="Arial" w:eastAsia="Arial" w:hAnsi="Arial"/>
                <w:sz w:val="18"/>
                <w:szCs w:val="18"/>
                <w:color w:val="auto"/>
                <w:w w:val="89"/>
              </w:rPr>
              <w:t>4,200,098</w:t>
            </w:r>
          </w:p>
        </w:tc>
      </w:tr>
      <w:tr>
        <w:trPr>
          <w:trHeight w:val="243"/>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Ram Chandrashekar</w:t>
            </w:r>
          </w:p>
        </w:tc>
        <w:tc>
          <w:tcPr>
            <w:tcW w:w="4980" w:type="dxa"/>
            <w:vAlign w:val="bottom"/>
            <w:gridSpan w:val="2"/>
          </w:tcPr>
          <w:p>
            <w:pPr>
              <w:jc w:val="center"/>
              <w:ind w:left="4092"/>
              <w:spacing w:after="0"/>
              <w:rPr>
                <w:sz w:val="20"/>
                <w:szCs w:val="20"/>
                <w:color w:val="auto"/>
              </w:rPr>
            </w:pPr>
            <w:r>
              <w:rPr>
                <w:rFonts w:ascii="Arial" w:cs="Arial" w:eastAsia="Arial" w:hAnsi="Arial"/>
                <w:sz w:val="18"/>
                <w:szCs w:val="18"/>
                <w:color w:val="auto"/>
                <w:w w:val="89"/>
              </w:rPr>
              <w:t>1,680,102</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Mara E. Swan</w:t>
            </w:r>
          </w:p>
        </w:tc>
        <w:tc>
          <w:tcPr>
            <w:tcW w:w="4980" w:type="dxa"/>
            <w:vAlign w:val="bottom"/>
            <w:tcBorders>
              <w:bottom w:val="single" w:sz="8" w:color="CCEEFF"/>
            </w:tcBorders>
            <w:gridSpan w:val="2"/>
            <w:shd w:val="clear" w:color="auto" w:fill="CCEEFF"/>
          </w:tcPr>
          <w:p>
            <w:pPr>
              <w:jc w:val="center"/>
              <w:ind w:left="4092"/>
              <w:spacing w:after="0"/>
              <w:rPr>
                <w:sz w:val="20"/>
                <w:szCs w:val="20"/>
                <w:color w:val="auto"/>
              </w:rPr>
            </w:pPr>
            <w:r>
              <w:rPr>
                <w:rFonts w:ascii="Arial" w:cs="Arial" w:eastAsia="Arial" w:hAnsi="Arial"/>
                <w:sz w:val="18"/>
                <w:szCs w:val="18"/>
                <w:color w:val="auto"/>
                <w:w w:val="89"/>
              </w:rPr>
              <w:t>1,440,108</w:t>
            </w:r>
          </w:p>
        </w:tc>
      </w:tr>
      <w:tr>
        <w:trPr>
          <w:trHeight w:val="243"/>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Jeffrey A. Joerres</w:t>
            </w:r>
          </w:p>
        </w:tc>
        <w:tc>
          <w:tcPr>
            <w:tcW w:w="4980" w:type="dxa"/>
            <w:vAlign w:val="bottom"/>
            <w:gridSpan w:val="2"/>
          </w:tcPr>
          <w:p>
            <w:pPr>
              <w:jc w:val="center"/>
              <w:ind w:left="4092"/>
              <w:spacing w:after="0"/>
              <w:rPr>
                <w:sz w:val="20"/>
                <w:szCs w:val="20"/>
                <w:color w:val="auto"/>
              </w:rPr>
            </w:pPr>
            <w:r>
              <w:rPr>
                <w:rFonts w:ascii="Arial" w:cs="Arial" w:eastAsia="Arial" w:hAnsi="Arial"/>
                <w:sz w:val="18"/>
                <w:szCs w:val="18"/>
                <w:color w:val="auto"/>
                <w:w w:val="89"/>
              </w:rPr>
              <w:t>6,209,016</w:t>
            </w:r>
          </w:p>
        </w:tc>
      </w:tr>
      <w:tr>
        <w:trPr>
          <w:trHeight w:val="59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40" w:type="dxa"/>
            <w:vAlign w:val="bottom"/>
          </w:tcPr>
          <w:p>
            <w:pPr>
              <w:jc w:val="right"/>
              <w:ind w:right="2632"/>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value of options in this table represents the grant date fair value of the stock options as computed in accordance with FASB ASC Topic 718.</w:t>
      </w:r>
    </w:p>
    <w:p>
      <w:pPr>
        <w:spacing w:after="0" w:line="182" w:lineRule="exact"/>
        <w:rPr>
          <w:rFonts w:ascii="Arial" w:cs="Arial" w:eastAsia="Arial" w:hAnsi="Arial"/>
          <w:sz w:val="17"/>
          <w:szCs w:val="17"/>
          <w:color w:val="auto"/>
        </w:rPr>
      </w:pPr>
    </w:p>
    <w:p>
      <w:pPr>
        <w:ind w:left="500" w:right="100" w:hanging="492"/>
        <w:spacing w:after="0" w:line="308"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Although the amount of benefits for each executive officer under the U.S. pension plans was frozen in 2000, the change in actuarial value is due to the change in actuarial assumptions from year to year, as calculated under the rules governing financial reporting for U.S. pension plans.</w:t>
      </w:r>
    </w:p>
    <w:p>
      <w:pPr>
        <w:spacing w:after="0" w:line="92" w:lineRule="exact"/>
        <w:rPr>
          <w:rFonts w:ascii="Arial" w:cs="Arial" w:eastAsia="Arial" w:hAnsi="Arial"/>
          <w:sz w:val="17"/>
          <w:szCs w:val="17"/>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in 2015 Table.</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Prising was CEO for all of 2015 and additionally became Chairman on December 31, 2015.</w:t>
      </w:r>
    </w:p>
    <w:p>
      <w:pPr>
        <w:spacing w:after="0" w:line="171" w:lineRule="exact"/>
        <w:rPr>
          <w:rFonts w:ascii="Arial" w:cs="Arial" w:eastAsia="Arial" w:hAnsi="Arial"/>
          <w:sz w:val="18"/>
          <w:szCs w:val="18"/>
          <w:color w:val="auto"/>
        </w:rPr>
      </w:pPr>
    </w:p>
    <w:p>
      <w:pPr>
        <w:ind w:left="500" w:right="300" w:hanging="492"/>
        <w:spacing w:after="0" w:line="291"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Chandrashekar’s annual salary is 719,927 Singapore Dollars ("SGD"). Mr. Chandrashekar’s salary and incentive payment are paid in SGD. His salary has been translated at an exchange rate of 0.789017 (in U.S. Dollars), which was the exchange rate on February 11, 2014, the date</w:t>
      </w:r>
    </w:p>
    <w:p>
      <w:pPr>
        <w:ind w:left="500" w:right="220"/>
        <w:spacing w:after="0" w:line="254" w:lineRule="auto"/>
        <w:rPr>
          <w:rFonts w:ascii="Arial" w:cs="Arial" w:eastAsia="Arial" w:hAnsi="Arial"/>
          <w:sz w:val="16"/>
          <w:szCs w:val="16"/>
          <w:color w:val="auto"/>
        </w:rPr>
      </w:pPr>
      <w:r>
        <w:rPr>
          <w:rFonts w:ascii="Arial" w:cs="Arial" w:eastAsia="Arial" w:hAnsi="Arial"/>
          <w:sz w:val="18"/>
          <w:szCs w:val="18"/>
          <w:color w:val="auto"/>
        </w:rPr>
        <w:t>Mr. Chandrashekar was promoted to Executive Vice President, Operational Excellence &amp; IT and President, Asia Pacific Middle East. The amount of all other compensation has been translated at an exchange rate of 0.70490 (in U.S. Dollars), the rate in effect on December 31, 2015. Based on the exchange rate of 0.70490 (in U.S. Dollars), as of December 31, 2015, Mr. Chandrashekar’s salary was $507,477 and incentive compensation was $409,534.</w:t>
      </w:r>
    </w:p>
    <w:p>
      <w:pPr>
        <w:spacing w:after="0" w:line="135" w:lineRule="exact"/>
        <w:rPr>
          <w:rFonts w:ascii="Arial" w:cs="Arial" w:eastAsia="Arial" w:hAnsi="Arial"/>
          <w:sz w:val="16"/>
          <w:szCs w:val="16"/>
          <w:color w:val="auto"/>
        </w:rPr>
      </w:pPr>
    </w:p>
    <w:p>
      <w:pPr>
        <w:ind w:left="500" w:right="520" w:hanging="492"/>
        <w:spacing w:after="0" w:line="277"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Joerres's salary was $1,000,000 until February 10, 2015, when his salary was decreased to $900,000, which continued until his retirement as Executive Chairman on December 30,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in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Perquisites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Payments/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Accruals</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&amp; Other</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Tax</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 Defined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Personal</w:t>
            </w:r>
          </w:p>
        </w:tc>
        <w:tc>
          <w:tcPr>
            <w:tcW w:w="172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&amp; Principal Position</w:t>
            </w:r>
          </w:p>
        </w:tc>
        <w:tc>
          <w:tcPr>
            <w:tcW w:w="12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Benefits</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Reimbursements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Jonas Prising</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30,288</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44,454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74,742</w:t>
            </w: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CEO</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Michael J. Van Handel</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36,297</w:t>
            </w:r>
          </w:p>
        </w:tc>
        <w:tc>
          <w:tcPr>
            <w:tcW w:w="140" w:type="dxa"/>
            <w:vAlign w:val="bottom"/>
          </w:tcPr>
          <w:p>
            <w:pPr>
              <w:spacing w:after="0"/>
              <w:rPr>
                <w:sz w:val="20"/>
                <w:szCs w:val="20"/>
                <w:color w:val="auto"/>
              </w:rPr>
            </w:pPr>
          </w:p>
        </w:tc>
        <w:tc>
          <w:tcPr>
            <w:tcW w:w="1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38,523</w:t>
            </w:r>
          </w:p>
        </w:tc>
        <w:tc>
          <w:tcPr>
            <w:tcW w:w="100" w:type="dxa"/>
            <w:vAlign w:val="bottom"/>
          </w:tcPr>
          <w:p>
            <w:pPr>
              <w:spacing w:after="0"/>
              <w:rPr>
                <w:sz w:val="20"/>
                <w:szCs w:val="20"/>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74,820</w:t>
            </w:r>
          </w:p>
        </w:tc>
        <w:tc>
          <w:tcPr>
            <w:tcW w:w="0" w:type="dxa"/>
            <w:vAlign w:val="bottom"/>
          </w:tcPr>
          <w:p>
            <w:pPr>
              <w:spacing w:after="0"/>
              <w:rPr>
                <w:sz w:val="1"/>
                <w:szCs w:val="1"/>
                <w:color w:val="auto"/>
              </w:rPr>
            </w:pPr>
          </w:p>
        </w:tc>
      </w:tr>
      <w:tr>
        <w:trPr>
          <w:trHeight w:val="257"/>
        </w:trPr>
        <w:tc>
          <w:tcPr>
            <w:tcW w:w="3900" w:type="dxa"/>
            <w:vAlign w:val="bottom"/>
          </w:tcPr>
          <w:p>
            <w:pPr>
              <w:ind w:left="200"/>
              <w:spacing w:after="0"/>
              <w:rPr>
                <w:sz w:val="20"/>
                <w:szCs w:val="20"/>
                <w:color w:val="auto"/>
              </w:rPr>
            </w:pPr>
            <w:r>
              <w:rPr>
                <w:rFonts w:ascii="Arial" w:cs="Arial" w:eastAsia="Arial" w:hAnsi="Arial"/>
                <w:sz w:val="16"/>
                <w:szCs w:val="16"/>
                <w:color w:val="auto"/>
              </w:rPr>
              <w:t>CFO</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Darryl Green</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31,944(4)</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15,485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47,429</w:t>
            </w: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President &amp; COO</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Ram Chandrashekar</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91,574(5)</w:t>
            </w:r>
          </w:p>
        </w:tc>
        <w:tc>
          <w:tcPr>
            <w:tcW w:w="140" w:type="dxa"/>
            <w:vAlign w:val="bottom"/>
          </w:tcPr>
          <w:p>
            <w:pPr>
              <w:spacing w:after="0"/>
              <w:rPr>
                <w:sz w:val="20"/>
                <w:szCs w:val="20"/>
                <w:color w:val="auto"/>
              </w:rPr>
            </w:pPr>
          </w:p>
        </w:tc>
        <w:tc>
          <w:tcPr>
            <w:tcW w:w="1720" w:type="dxa"/>
            <w:vAlign w:val="bottom"/>
            <w:gridSpan w:val="2"/>
          </w:tcPr>
          <w:p>
            <w:pPr>
              <w:ind w:left="420"/>
              <w:spacing w:after="0"/>
              <w:rPr>
                <w:sz w:val="20"/>
                <w:szCs w:val="20"/>
                <w:color w:val="auto"/>
              </w:rPr>
            </w:pPr>
            <w:r>
              <w:rPr>
                <w:rFonts w:ascii="Arial" w:cs="Arial" w:eastAsia="Arial" w:hAnsi="Arial"/>
                <w:sz w:val="16"/>
                <w:szCs w:val="16"/>
                <w:color w:val="auto"/>
              </w:rPr>
              <w:t>— (6)</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10,186</w:t>
            </w:r>
          </w:p>
        </w:tc>
        <w:tc>
          <w:tcPr>
            <w:tcW w:w="100" w:type="dxa"/>
            <w:vAlign w:val="bottom"/>
          </w:tcPr>
          <w:p>
            <w:pPr>
              <w:spacing w:after="0"/>
              <w:rPr>
                <w:sz w:val="20"/>
                <w:szCs w:val="20"/>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101,760</w:t>
            </w:r>
          </w:p>
        </w:tc>
        <w:tc>
          <w:tcPr>
            <w:tcW w:w="0" w:type="dxa"/>
            <w:vAlign w:val="bottom"/>
          </w:tcPr>
          <w:p>
            <w:pPr>
              <w:spacing w:after="0"/>
              <w:rPr>
                <w:sz w:val="1"/>
                <w:szCs w:val="1"/>
                <w:color w:val="auto"/>
              </w:rPr>
            </w:pPr>
          </w:p>
        </w:tc>
      </w:tr>
      <w:tr>
        <w:trPr>
          <w:trHeight w:val="253"/>
        </w:trPr>
        <w:tc>
          <w:tcPr>
            <w:tcW w:w="3900" w:type="dxa"/>
            <w:vAlign w:val="bottom"/>
          </w:tcPr>
          <w:p>
            <w:pPr>
              <w:ind w:left="200"/>
              <w:spacing w:after="0"/>
              <w:rPr>
                <w:sz w:val="20"/>
                <w:szCs w:val="20"/>
                <w:color w:val="auto"/>
              </w:rPr>
            </w:pPr>
            <w:r>
              <w:rPr>
                <w:rFonts w:ascii="Arial" w:cs="Arial" w:eastAsia="Arial" w:hAnsi="Arial"/>
                <w:sz w:val="16"/>
                <w:szCs w:val="16"/>
                <w:color w:val="auto"/>
                <w:w w:val="96"/>
              </w:rPr>
              <w:t>EVP, Operational Excellence &amp; IT and President, Asia</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0"/>
              <w:spacing w:after="0"/>
              <w:rPr>
                <w:sz w:val="20"/>
                <w:szCs w:val="20"/>
                <w:color w:val="auto"/>
              </w:rPr>
            </w:pPr>
            <w:r>
              <w:rPr>
                <w:rFonts w:ascii="Arial" w:cs="Arial" w:eastAsia="Arial" w:hAnsi="Arial"/>
                <w:sz w:val="16"/>
                <w:szCs w:val="16"/>
                <w:color w:val="auto"/>
              </w:rPr>
              <w:t>Pacific Middle East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Mara E. Swan</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34,909</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36,523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71,432</w:t>
            </w: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EVP, Global Strategy and Talent</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Jeffrey A. Joerres</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31,012</w:t>
            </w:r>
          </w:p>
        </w:tc>
        <w:tc>
          <w:tcPr>
            <w:tcW w:w="140" w:type="dxa"/>
            <w:vAlign w:val="bottom"/>
          </w:tcPr>
          <w:p>
            <w:pPr>
              <w:spacing w:after="0"/>
              <w:rPr>
                <w:sz w:val="20"/>
                <w:szCs w:val="20"/>
                <w:color w:val="auto"/>
              </w:rPr>
            </w:pPr>
          </w:p>
        </w:tc>
        <w:tc>
          <w:tcPr>
            <w:tcW w:w="1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47,277</w:t>
            </w:r>
          </w:p>
        </w:tc>
        <w:tc>
          <w:tcPr>
            <w:tcW w:w="100" w:type="dxa"/>
            <w:vAlign w:val="bottom"/>
          </w:tcPr>
          <w:p>
            <w:pPr>
              <w:spacing w:after="0"/>
              <w:rPr>
                <w:sz w:val="20"/>
                <w:szCs w:val="20"/>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78,289</w:t>
            </w:r>
          </w:p>
        </w:tc>
        <w:tc>
          <w:tcPr>
            <w:tcW w:w="0" w:type="dxa"/>
            <w:vAlign w:val="bottom"/>
          </w:tcPr>
          <w:p>
            <w:pPr>
              <w:spacing w:after="0"/>
              <w:rPr>
                <w:sz w:val="1"/>
                <w:szCs w:val="1"/>
                <w:color w:val="auto"/>
              </w:rPr>
            </w:pPr>
          </w:p>
        </w:tc>
      </w:tr>
      <w:tr>
        <w:trPr>
          <w:trHeight w:val="257"/>
        </w:trPr>
        <w:tc>
          <w:tcPr>
            <w:tcW w:w="3900" w:type="dxa"/>
            <w:vAlign w:val="bottom"/>
          </w:tcPr>
          <w:p>
            <w:pPr>
              <w:ind w:left="220"/>
              <w:spacing w:after="0"/>
              <w:rPr>
                <w:sz w:val="20"/>
                <w:szCs w:val="20"/>
                <w:color w:val="auto"/>
              </w:rPr>
            </w:pPr>
            <w:r>
              <w:rPr>
                <w:rFonts w:ascii="Arial" w:cs="Arial" w:eastAsia="Arial" w:hAnsi="Arial"/>
                <w:sz w:val="16"/>
                <w:szCs w:val="16"/>
                <w:color w:val="auto"/>
              </w:rPr>
              <w:t>Former Executive Chairman</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98425</wp:posOffset>
            </wp:positionV>
            <wp:extent cx="114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28" w:lineRule="exact"/>
        <w:rPr>
          <w:sz w:val="20"/>
          <w:szCs w:val="20"/>
          <w:color w:val="auto"/>
        </w:rPr>
      </w:pPr>
    </w:p>
    <w:p>
      <w:pPr>
        <w:ind w:left="500" w:right="600" w:hanging="492"/>
        <w:spacing w:after="0" w:line="308"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as otherwise indicated, these amounts include the value attributable to each executive’s participation in ManpowerGroup’s company car program, auto insurance, life insurance premiums paid and/or the value of financial services paid for by ManpowerGroup.</w:t>
      </w:r>
    </w:p>
    <w:p>
      <w:pPr>
        <w:spacing w:after="0" w:line="92"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right="220" w:hanging="492"/>
        <w:spacing w:after="0" w:line="31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contributions were made by ManpowerGroup on behalf of the executive officers under the terms of the Nonqualified Savings Plan, other than Mr. Chandrashekar.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92" w:lineRule="exact"/>
        <w:rPr>
          <w:rFonts w:ascii="Arial" w:cs="Arial" w:eastAsia="Arial" w:hAnsi="Arial"/>
          <w:sz w:val="16"/>
          <w:szCs w:val="16"/>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$25,806 of this amount reflects the lease and maintenance payments associated with Mr. Green's automobile.</w:t>
      </w:r>
    </w:p>
    <w:p>
      <w:pPr>
        <w:spacing w:after="0" w:line="171" w:lineRule="exact"/>
        <w:rPr>
          <w:rFonts w:ascii="Arial" w:cs="Arial" w:eastAsia="Arial" w:hAnsi="Arial"/>
          <w:sz w:val="18"/>
          <w:szCs w:val="18"/>
          <w:color w:val="auto"/>
        </w:rPr>
      </w:pPr>
    </w:p>
    <w:p>
      <w:pPr>
        <w:ind w:left="500" w:right="20" w:hanging="492"/>
        <w:spacing w:after="0" w:line="30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the amounts described above in footnote (1), this amount reflects tax preparation services, $27,447 for a car service for a portion of the year as well as the lease and maintenance payments associated with Mr. Chandrashekar's car and $46,939 for round-trip airfare from Asia to the US for members of Mr. Chandrashekar's family. These items have been translated at an exchange rate for SGD of .70490 (in U.S. Dollars) which was the exchange rate in effect on December 31, 2015. These benefits are paid to Mr. Chandrashekar in connection with his assignment to Singapore.</w:t>
      </w:r>
    </w:p>
    <w:p>
      <w:pPr>
        <w:spacing w:after="0" w:line="100"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Chandrashekar is entitled to tax payments for compensation he received in 2013-2015 in connection with the time spent in the United States as part of his roles and responsibilities. Due to a delay in the timing of the completion of Mr. Chandrashekar's tax returns, no tax payments were made in 2015 for compensation during this period.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All</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gridSpan w:val="6"/>
            <w:vMerge w:val="restart"/>
          </w:tcPr>
          <w:p>
            <w:pPr>
              <w:jc w:val="center"/>
              <w:ind w:right="80"/>
              <w:spacing w:after="0"/>
              <w:rPr>
                <w:sz w:val="20"/>
                <w:szCs w:val="20"/>
                <w:color w:val="auto"/>
              </w:rPr>
            </w:pPr>
            <w:r>
              <w:rPr>
                <w:rFonts w:ascii="Arial" w:cs="Arial" w:eastAsia="Arial" w:hAnsi="Arial"/>
                <w:sz w:val="13"/>
                <w:szCs w:val="13"/>
                <w:b w:val="1"/>
                <w:bCs w:val="1"/>
                <w:color w:val="auto"/>
                <w:w w:val="88"/>
              </w:rPr>
              <w:t>Estimated Future Payouts</w:t>
            </w:r>
          </w:p>
        </w:tc>
        <w:tc>
          <w:tcPr>
            <w:tcW w:w="258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All Other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25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gridSpan w:val="6"/>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580" w:type="dxa"/>
            <w:vAlign w:val="bottom"/>
            <w:gridSpan w:val="6"/>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25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7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Exercise</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7"/>
              </w:rPr>
              <w:t>Plan Awards(1)</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7"/>
              </w:rPr>
              <w:t>Plan Awards(2)</w:t>
            </w: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vMerge w:val="continue"/>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w w:val="87"/>
              </w:rPr>
              <w:t>of</w:t>
            </w:r>
          </w:p>
        </w:tc>
        <w:tc>
          <w:tcPr>
            <w:tcW w:w="102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w w:val="96"/>
              </w:rPr>
              <w:t>Number of</w:t>
            </w:r>
          </w:p>
        </w:tc>
        <w:tc>
          <w:tcPr>
            <w:tcW w:w="78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w w:val="95"/>
              </w:rPr>
              <w:t>or Base</w:t>
            </w:r>
          </w:p>
        </w:tc>
        <w:tc>
          <w:tcPr>
            <w:tcW w:w="7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1"/>
              </w:rPr>
              <w:t>Stock</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2"/>
              </w:rPr>
              <w:t>Shares</w:t>
            </w: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3"/>
              </w:rPr>
              <w:t>Securities</w:t>
            </w:r>
          </w:p>
        </w:tc>
        <w:tc>
          <w:tcPr>
            <w:tcW w:w="7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Price of</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of Stock</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Grant</w:t>
            </w:r>
          </w:p>
        </w:tc>
        <w:tc>
          <w:tcPr>
            <w:tcW w:w="1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Threshold</w:t>
            </w:r>
          </w:p>
        </w:tc>
        <w:tc>
          <w:tcPr>
            <w:tcW w:w="9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Target</w:t>
            </w:r>
          </w:p>
        </w:tc>
        <w:tc>
          <w:tcPr>
            <w:tcW w:w="10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Maximum</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Threshold</w:t>
            </w:r>
          </w:p>
        </w:tc>
        <w:tc>
          <w:tcPr>
            <w:tcW w:w="100" w:type="dxa"/>
            <w:vAlign w:val="bottom"/>
          </w:tcPr>
          <w:p>
            <w:pPr>
              <w:spacing w:after="0"/>
              <w:rPr>
                <w:sz w:val="11"/>
                <w:szCs w:val="11"/>
                <w:color w:val="auto"/>
              </w:rPr>
            </w:pPr>
          </w:p>
        </w:tc>
        <w:tc>
          <w:tcPr>
            <w:tcW w:w="90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Target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9"/>
              </w:rPr>
              <w:t>Maximum</w:t>
            </w: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or Units</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Options</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74"/>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1"/>
              </w:rPr>
              <w:t>Name &amp; Principal Position</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($)(5)</w:t>
            </w:r>
          </w:p>
        </w:tc>
        <w:tc>
          <w:tcPr>
            <w:tcW w:w="0" w:type="dxa"/>
            <w:vAlign w:val="bottom"/>
          </w:tcPr>
          <w:p>
            <w:pPr>
              <w:spacing w:after="0"/>
              <w:rPr>
                <w:sz w:val="1"/>
                <w:szCs w:val="1"/>
                <w:color w:val="auto"/>
              </w:rPr>
            </w:pPr>
          </w:p>
        </w:tc>
      </w:tr>
      <w:tr>
        <w:trPr>
          <w:trHeight w:val="241"/>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Jonas Prising</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412,500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1,650,000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3,300,000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CEO</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21,983</w:t>
            </w:r>
          </w:p>
        </w:tc>
        <w:tc>
          <w:tcPr>
            <w:tcW w:w="78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43,966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87,932</w:t>
            </w:r>
          </w:p>
        </w:tc>
        <w:tc>
          <w:tcPr>
            <w:tcW w:w="12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3,384,063</w:t>
            </w:r>
          </w:p>
        </w:tc>
        <w:tc>
          <w:tcPr>
            <w:tcW w:w="0" w:type="dxa"/>
            <w:vAlign w:val="bottom"/>
          </w:tcPr>
          <w:p>
            <w:pPr>
              <w:spacing w:after="0"/>
              <w:rPr>
                <w:sz w:val="1"/>
                <w:szCs w:val="1"/>
                <w:color w:val="auto"/>
              </w:rPr>
            </w:pPr>
          </w:p>
        </w:tc>
      </w:tr>
      <w:tr>
        <w:trPr>
          <w:trHeight w:val="81"/>
        </w:trPr>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14,656</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1,128,072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52,078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1,128,009</w:t>
            </w:r>
          </w:p>
        </w:tc>
        <w:tc>
          <w:tcPr>
            <w:tcW w:w="0" w:type="dxa"/>
            <w:vAlign w:val="bottom"/>
          </w:tcPr>
          <w:p>
            <w:pPr>
              <w:spacing w:after="0"/>
              <w:rPr>
                <w:sz w:val="1"/>
                <w:szCs w:val="1"/>
                <w:color w:val="auto"/>
              </w:rPr>
            </w:pPr>
          </w:p>
        </w:tc>
      </w:tr>
      <w:tr>
        <w:trPr>
          <w:trHeight w:val="178"/>
        </w:trPr>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540" w:type="dxa"/>
            <w:vAlign w:val="bottom"/>
          </w:tcPr>
          <w:p>
            <w:pPr>
              <w:ind w:left="40"/>
              <w:spacing w:after="0"/>
              <w:rPr>
                <w:sz w:val="20"/>
                <w:szCs w:val="20"/>
                <w:color w:val="auto"/>
              </w:rPr>
            </w:pPr>
            <w:r>
              <w:rPr>
                <w:rFonts w:ascii="Arial" w:cs="Arial" w:eastAsia="Arial" w:hAnsi="Arial"/>
                <w:sz w:val="13"/>
                <w:szCs w:val="13"/>
                <w:color w:val="auto"/>
              </w:rPr>
              <w:t>Michael J. Van Handel</w:t>
            </w: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165,000</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660,000</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1,320,000</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540" w:type="dxa"/>
            <w:vAlign w:val="bottom"/>
          </w:tcPr>
          <w:p>
            <w:pPr>
              <w:ind w:left="120"/>
              <w:spacing w:after="0"/>
              <w:rPr>
                <w:sz w:val="20"/>
                <w:szCs w:val="20"/>
                <w:color w:val="auto"/>
              </w:rPr>
            </w:pPr>
            <w:r>
              <w:rPr>
                <w:rFonts w:ascii="Arial" w:cs="Arial" w:eastAsia="Arial" w:hAnsi="Arial"/>
                <w:sz w:val="13"/>
                <w:szCs w:val="13"/>
                <w:color w:val="auto"/>
              </w:rPr>
              <w:t>CFO</w:t>
            </w:r>
          </w:p>
        </w:tc>
        <w:tc>
          <w:tcPr>
            <w:tcW w:w="920" w:type="dxa"/>
            <w:vAlign w:val="bottom"/>
            <w:gridSpan w:val="2"/>
            <w:vMerge w:val="restart"/>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10,134</w:t>
            </w:r>
          </w:p>
        </w:tc>
        <w:tc>
          <w:tcPr>
            <w:tcW w:w="7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20,268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40,536</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1,560,028</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57"/>
              <w:spacing w:after="0"/>
              <w:rPr>
                <w:sz w:val="20"/>
                <w:szCs w:val="20"/>
                <w:color w:val="auto"/>
              </w:rPr>
            </w:pPr>
            <w:r>
              <w:rPr>
                <w:rFonts w:ascii="Arial" w:cs="Arial" w:eastAsia="Arial" w:hAnsi="Arial"/>
                <w:sz w:val="13"/>
                <w:szCs w:val="13"/>
                <w:color w:val="auto"/>
              </w:rPr>
              <w:t>6,756</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520,009</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24,008</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76.97</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520,013</w:t>
            </w:r>
          </w:p>
        </w:tc>
        <w:tc>
          <w:tcPr>
            <w:tcW w:w="0" w:type="dxa"/>
            <w:vAlign w:val="bottom"/>
          </w:tcPr>
          <w:p>
            <w:pPr>
              <w:spacing w:after="0"/>
              <w:rPr>
                <w:sz w:val="1"/>
                <w:szCs w:val="1"/>
                <w:color w:val="auto"/>
              </w:rPr>
            </w:pPr>
          </w:p>
        </w:tc>
      </w:tr>
      <w:tr>
        <w:trPr>
          <w:trHeight w:val="178"/>
        </w:trPr>
        <w:tc>
          <w:tcPr>
            <w:tcW w:w="154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Darryl Green</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200,000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800,000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1,600,000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President &amp;</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13,642</w:t>
            </w:r>
          </w:p>
        </w:tc>
        <w:tc>
          <w:tcPr>
            <w:tcW w:w="78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27,284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54,568</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2,100,049</w:t>
            </w:r>
          </w:p>
        </w:tc>
        <w:tc>
          <w:tcPr>
            <w:tcW w:w="0" w:type="dxa"/>
            <w:vAlign w:val="bottom"/>
          </w:tcPr>
          <w:p>
            <w:pPr>
              <w:spacing w:after="0"/>
              <w:rPr>
                <w:sz w:val="1"/>
                <w:szCs w:val="1"/>
                <w:color w:val="auto"/>
              </w:rPr>
            </w:pPr>
          </w:p>
        </w:tc>
      </w:tr>
      <w:tr>
        <w:trPr>
          <w:trHeight w:val="106"/>
        </w:trPr>
        <w:tc>
          <w:tcPr>
            <w:tcW w:w="15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COO</w:t>
            </w: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9,095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700,042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32,318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700,008</w:t>
            </w:r>
          </w:p>
        </w:tc>
        <w:tc>
          <w:tcPr>
            <w:tcW w:w="0" w:type="dxa"/>
            <w:vAlign w:val="bottom"/>
          </w:tcPr>
          <w:p>
            <w:pPr>
              <w:spacing w:after="0"/>
              <w:rPr>
                <w:sz w:val="1"/>
                <w:szCs w:val="1"/>
                <w:color w:val="auto"/>
              </w:rPr>
            </w:pPr>
          </w:p>
        </w:tc>
      </w:tr>
      <w:tr>
        <w:trPr>
          <w:trHeight w:val="178"/>
        </w:trPr>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540" w:type="dxa"/>
            <w:vAlign w:val="bottom"/>
          </w:tcPr>
          <w:p>
            <w:pPr>
              <w:ind w:left="40"/>
              <w:spacing w:after="0"/>
              <w:rPr>
                <w:sz w:val="20"/>
                <w:szCs w:val="20"/>
                <w:color w:val="auto"/>
              </w:rPr>
            </w:pPr>
            <w:r>
              <w:rPr>
                <w:rFonts w:ascii="Arial" w:cs="Arial" w:eastAsia="Arial" w:hAnsi="Arial"/>
                <w:sz w:val="13"/>
                <w:szCs w:val="13"/>
                <w:color w:val="auto"/>
              </w:rPr>
              <w:t>Ram Chandrashekar</w:t>
            </w: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142,008</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426,026</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852,052</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540" w:type="dxa"/>
            <w:vAlign w:val="bottom"/>
          </w:tcPr>
          <w:p>
            <w:pPr>
              <w:ind w:left="120"/>
              <w:spacing w:after="0"/>
              <w:rPr>
                <w:sz w:val="20"/>
                <w:szCs w:val="20"/>
                <w:color w:val="auto"/>
              </w:rPr>
            </w:pPr>
            <w:r>
              <w:rPr>
                <w:rFonts w:ascii="Arial" w:cs="Arial" w:eastAsia="Arial" w:hAnsi="Arial"/>
                <w:sz w:val="13"/>
                <w:szCs w:val="13"/>
                <w:color w:val="auto"/>
              </w:rPr>
              <w:t>EVP, Operational</w:t>
            </w:r>
          </w:p>
        </w:tc>
        <w:tc>
          <w:tcPr>
            <w:tcW w:w="920" w:type="dxa"/>
            <w:vAlign w:val="bottom"/>
            <w:gridSpan w:val="2"/>
            <w:vMerge w:val="restart"/>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5,457</w:t>
            </w:r>
          </w:p>
        </w:tc>
        <w:tc>
          <w:tcPr>
            <w:tcW w:w="7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10,914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21,828</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840,051</w:t>
            </w:r>
          </w:p>
        </w:tc>
        <w:tc>
          <w:tcPr>
            <w:tcW w:w="0" w:type="dxa"/>
            <w:vAlign w:val="bottom"/>
          </w:tcPr>
          <w:p>
            <w:pPr>
              <w:spacing w:after="0"/>
              <w:rPr>
                <w:sz w:val="1"/>
                <w:szCs w:val="1"/>
                <w:color w:val="auto"/>
              </w:rPr>
            </w:pPr>
          </w:p>
        </w:tc>
      </w:tr>
      <w:tr>
        <w:trPr>
          <w:trHeight w:val="106"/>
        </w:trPr>
        <w:tc>
          <w:tcPr>
            <w:tcW w:w="15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Excellence &amp; IT and</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5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tcPr>
          <w:p>
            <w:pPr>
              <w:ind w:left="120"/>
              <w:spacing w:after="0" w:line="135" w:lineRule="exact"/>
              <w:rPr>
                <w:sz w:val="20"/>
                <w:szCs w:val="20"/>
                <w:color w:val="auto"/>
              </w:rPr>
            </w:pPr>
            <w:r>
              <w:rPr>
                <w:rFonts w:ascii="Arial" w:cs="Arial" w:eastAsia="Arial" w:hAnsi="Arial"/>
                <w:sz w:val="13"/>
                <w:szCs w:val="13"/>
                <w:color w:val="auto"/>
              </w:rPr>
              <w:t>President Asia Pacific</w:t>
            </w:r>
          </w:p>
        </w:tc>
        <w:tc>
          <w:tcPr>
            <w:tcW w:w="920" w:type="dxa"/>
            <w:vAlign w:val="bottom"/>
            <w:gridSpan w:val="2"/>
            <w:vMerge w:val="restart"/>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3,638</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280,017</w:t>
            </w:r>
          </w:p>
        </w:tc>
        <w:tc>
          <w:tcPr>
            <w:tcW w:w="0" w:type="dxa"/>
            <w:vAlign w:val="bottom"/>
          </w:tcPr>
          <w:p>
            <w:pPr>
              <w:spacing w:after="0"/>
              <w:rPr>
                <w:sz w:val="1"/>
                <w:szCs w:val="1"/>
                <w:color w:val="auto"/>
              </w:rPr>
            </w:pPr>
          </w:p>
        </w:tc>
      </w:tr>
      <w:tr>
        <w:trPr>
          <w:trHeight w:val="106"/>
        </w:trPr>
        <w:tc>
          <w:tcPr>
            <w:tcW w:w="1540" w:type="dxa"/>
            <w:vAlign w:val="bottom"/>
            <w:vMerge w:val="restart"/>
          </w:tcPr>
          <w:p>
            <w:pPr>
              <w:ind w:left="120"/>
              <w:spacing w:after="0"/>
              <w:rPr>
                <w:sz w:val="20"/>
                <w:szCs w:val="20"/>
                <w:color w:val="auto"/>
              </w:rPr>
            </w:pPr>
            <w:r>
              <w:rPr>
                <w:rFonts w:ascii="Arial" w:cs="Arial" w:eastAsia="Arial" w:hAnsi="Arial"/>
                <w:sz w:val="13"/>
                <w:szCs w:val="13"/>
                <w:color w:val="auto"/>
              </w:rPr>
              <w:t>Middle East</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40" w:type="dxa"/>
            <w:vAlign w:val="bottom"/>
            <w:vMerge w:val="continue"/>
          </w:tcPr>
          <w:p>
            <w:pPr>
              <w:spacing w:after="0"/>
              <w:rPr>
                <w:sz w:val="4"/>
                <w:szCs w:val="4"/>
                <w:color w:val="auto"/>
              </w:rPr>
            </w:pPr>
          </w:p>
        </w:tc>
        <w:tc>
          <w:tcPr>
            <w:tcW w:w="920" w:type="dxa"/>
            <w:vAlign w:val="bottom"/>
            <w:gridSpan w:val="2"/>
            <w:vMerge w:val="restart"/>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4"/>
                <w:szCs w:val="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4"/>
                <w:szCs w:val="4"/>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4"/>
                <w:szCs w:val="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12,928</w:t>
            </w:r>
          </w:p>
        </w:tc>
        <w:tc>
          <w:tcPr>
            <w:tcW w:w="120" w:type="dxa"/>
            <w:vAlign w:val="bottom"/>
          </w:tcPr>
          <w:p>
            <w:pPr>
              <w:spacing w:after="0"/>
              <w:rPr>
                <w:sz w:val="4"/>
                <w:szCs w:val="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76.97</w:t>
            </w:r>
          </w:p>
        </w:tc>
        <w:tc>
          <w:tcPr>
            <w:tcW w:w="120" w:type="dxa"/>
            <w:vAlign w:val="bottom"/>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280,020</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92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Mara E. Swan</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140,000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420,000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840,000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EVP, Global Strategy and</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4,678</w:t>
            </w:r>
          </w:p>
        </w:tc>
        <w:tc>
          <w:tcPr>
            <w:tcW w:w="78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9,355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18,710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720,054</w:t>
            </w:r>
          </w:p>
        </w:tc>
        <w:tc>
          <w:tcPr>
            <w:tcW w:w="0" w:type="dxa"/>
            <w:vAlign w:val="bottom"/>
          </w:tcPr>
          <w:p>
            <w:pPr>
              <w:spacing w:after="0"/>
              <w:rPr>
                <w:sz w:val="1"/>
                <w:szCs w:val="1"/>
                <w:color w:val="auto"/>
              </w:rPr>
            </w:pPr>
          </w:p>
        </w:tc>
      </w:tr>
      <w:tr>
        <w:trPr>
          <w:trHeight w:val="106"/>
        </w:trPr>
        <w:tc>
          <w:tcPr>
            <w:tcW w:w="15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Talent</w:t>
            </w: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3,119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240,069</w:t>
            </w:r>
          </w:p>
        </w:tc>
        <w:tc>
          <w:tcPr>
            <w:tcW w:w="0" w:type="dxa"/>
            <w:vAlign w:val="bottom"/>
          </w:tcPr>
          <w:p>
            <w:pPr>
              <w:spacing w:after="0"/>
              <w:rPr>
                <w:sz w:val="1"/>
                <w:szCs w:val="1"/>
                <w:color w:val="auto"/>
              </w:rPr>
            </w:pPr>
          </w:p>
        </w:tc>
      </w:tr>
      <w:tr>
        <w:trPr>
          <w:trHeight w:val="286"/>
        </w:trPr>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9"/>
              </w:rPr>
              <w:t>2/10/2015</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11,081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240,014</w:t>
            </w:r>
          </w:p>
        </w:tc>
        <w:tc>
          <w:tcPr>
            <w:tcW w:w="0" w:type="dxa"/>
            <w:vAlign w:val="bottom"/>
          </w:tcPr>
          <w:p>
            <w:pPr>
              <w:spacing w:after="0"/>
              <w:rPr>
                <w:sz w:val="1"/>
                <w:szCs w:val="1"/>
                <w:color w:val="auto"/>
              </w:rPr>
            </w:pPr>
          </w:p>
        </w:tc>
      </w:tr>
      <w:tr>
        <w:trPr>
          <w:trHeight w:val="416"/>
        </w:trPr>
        <w:tc>
          <w:tcPr>
            <w:tcW w:w="1540" w:type="dxa"/>
            <w:vAlign w:val="bottom"/>
          </w:tcPr>
          <w:p>
            <w:pPr>
              <w:ind w:left="40"/>
              <w:spacing w:after="0"/>
              <w:rPr>
                <w:sz w:val="20"/>
                <w:szCs w:val="20"/>
                <w:color w:val="auto"/>
              </w:rPr>
            </w:pPr>
            <w:r>
              <w:rPr>
                <w:rFonts w:ascii="Arial" w:cs="Arial" w:eastAsia="Arial" w:hAnsi="Arial"/>
                <w:sz w:val="13"/>
                <w:szCs w:val="13"/>
                <w:color w:val="auto"/>
              </w:rPr>
              <w:t>Jeffrey A. Joerres</w:t>
            </w: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225,000</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1,125,000</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540" w:type="dxa"/>
            <w:vAlign w:val="bottom"/>
          </w:tcPr>
          <w:p>
            <w:pPr>
              <w:ind w:left="120"/>
              <w:spacing w:after="0"/>
              <w:rPr>
                <w:sz w:val="20"/>
                <w:szCs w:val="20"/>
                <w:color w:val="auto"/>
              </w:rPr>
            </w:pPr>
            <w:r>
              <w:rPr>
                <w:rFonts w:ascii="Arial" w:cs="Arial" w:eastAsia="Arial" w:hAnsi="Arial"/>
                <w:sz w:val="13"/>
                <w:szCs w:val="13"/>
                <w:color w:val="auto"/>
              </w:rPr>
              <w:t>Former</w:t>
            </w:r>
          </w:p>
        </w:tc>
        <w:tc>
          <w:tcPr>
            <w:tcW w:w="920" w:type="dxa"/>
            <w:vAlign w:val="bottom"/>
            <w:gridSpan w:val="2"/>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20,167</w:t>
            </w:r>
          </w:p>
        </w:tc>
        <w:tc>
          <w:tcPr>
            <w:tcW w:w="780" w:type="dxa"/>
            <w:vAlign w:val="bottom"/>
            <w:gridSpan w:val="2"/>
          </w:tcPr>
          <w:p>
            <w:pPr>
              <w:jc w:val="right"/>
              <w:ind w:right="57"/>
              <w:spacing w:after="0"/>
              <w:rPr>
                <w:sz w:val="20"/>
                <w:szCs w:val="20"/>
                <w:color w:val="auto"/>
              </w:rPr>
            </w:pPr>
            <w:r>
              <w:rPr>
                <w:rFonts w:ascii="Arial" w:cs="Arial" w:eastAsia="Arial" w:hAnsi="Arial"/>
                <w:sz w:val="13"/>
                <w:szCs w:val="13"/>
                <w:color w:val="auto"/>
              </w:rPr>
              <w:t>40,334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80,668</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3,104,508</w:t>
            </w:r>
          </w:p>
        </w:tc>
        <w:tc>
          <w:tcPr>
            <w:tcW w:w="0" w:type="dxa"/>
            <w:vAlign w:val="bottom"/>
          </w:tcPr>
          <w:p>
            <w:pPr>
              <w:spacing w:after="0"/>
              <w:rPr>
                <w:sz w:val="1"/>
                <w:szCs w:val="1"/>
                <w:color w:val="auto"/>
              </w:rPr>
            </w:pPr>
          </w:p>
        </w:tc>
      </w:tr>
      <w:tr>
        <w:trPr>
          <w:trHeight w:val="160"/>
        </w:trPr>
        <w:tc>
          <w:tcPr>
            <w:tcW w:w="1540" w:type="dxa"/>
            <w:vAlign w:val="bottom"/>
          </w:tcPr>
          <w:p>
            <w:pPr>
              <w:ind w:left="120"/>
              <w:spacing w:after="0"/>
              <w:rPr>
                <w:sz w:val="20"/>
                <w:szCs w:val="20"/>
                <w:color w:val="auto"/>
              </w:rPr>
            </w:pPr>
            <w:r>
              <w:rPr>
                <w:rFonts w:ascii="Arial" w:cs="Arial" w:eastAsia="Arial" w:hAnsi="Arial"/>
                <w:sz w:val="13"/>
                <w:szCs w:val="13"/>
                <w:color w:val="auto"/>
              </w:rPr>
              <w:t>Executive Chairman</w:t>
            </w:r>
          </w:p>
        </w:tc>
        <w:tc>
          <w:tcPr>
            <w:tcW w:w="920" w:type="dxa"/>
            <w:vAlign w:val="bottom"/>
            <w:gridSpan w:val="2"/>
            <w:vMerge w:val="restart"/>
          </w:tcPr>
          <w:p>
            <w:pPr>
              <w:ind w:left="380"/>
              <w:spacing w:after="0"/>
              <w:rPr>
                <w:sz w:val="20"/>
                <w:szCs w:val="20"/>
                <w:color w:val="auto"/>
              </w:rPr>
            </w:pPr>
            <w:r>
              <w:rPr>
                <w:rFonts w:ascii="Arial" w:cs="Arial" w:eastAsia="Arial" w:hAnsi="Arial"/>
                <w:sz w:val="13"/>
                <w:szCs w:val="13"/>
                <w:color w:val="auto"/>
                <w:w w:val="89"/>
              </w:rPr>
              <w:t>2/10/2015</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17,286</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1,330,503</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114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79" w:lineRule="exact"/>
        <w:rPr>
          <w:sz w:val="20"/>
          <w:szCs w:val="20"/>
          <w:color w:val="auto"/>
        </w:rPr>
      </w:pPr>
    </w:p>
    <w:p>
      <w:pPr>
        <w:ind w:left="500" w:right="140" w:hanging="492"/>
        <w:spacing w:after="0" w:line="259"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These amounts represent the threshold, target, and maximum annual cash incentive awards for the NEOs using the scorecard approach the Committee used in exercising negative discretion under the Pool Plan. Prior to any exercise of negative discretion, the maximum amount payable to the NEOs under the Pool Plan is the lesser of a shareholder approved maximum of $5.0 million or a percentage of the award pool, which varies by executive officer. See page </w:t>
      </w:r>
      <w:hyperlink w:anchor="page50">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pool allocation for each executive officer.</w:t>
      </w:r>
    </w:p>
    <w:p>
      <w:pPr>
        <w:spacing w:after="0" w:line="24"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that could be earned related to the performance share units granted in 2015 under the 2011 Equity Incentive Plan.</w:t>
      </w:r>
    </w:p>
    <w:p>
      <w:pPr>
        <w:spacing w:after="0" w:line="8"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represent the number of restricted stock units granted in 2015 under the 2011 Equity Incentive Plan.</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2015 under the 2011 Equity Incentive Plan.</w:t>
      </w:r>
    </w:p>
    <w:p>
      <w:pPr>
        <w:spacing w:after="0" w:line="63"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2015 that are reported in this column have been computed in accordance with FASB ASC Topic 718.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Agreements and Arrangements</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February 2014, ManpowerGroup entered into a compensation agreement and severance agreement with Mr. Van Handel that replaced his prior agreements, which expired in February 2014. The term under his compensation and severance agreements will expire on the first to occur of (1) the date two years after the occurrence of a change of control of ManpowerGroup or (2) February 20, 2017, if no such change of control occurs before February 20, 2017. Under the compensation agreement for Mr. Van Handel, he is entitled to receive a base salary of $660,000, as may be increased from time to time by ManpowerGroup and is entitled to receive incentive compensation in accordance with an annual incentive plan approved and administered by the Committee. In addition, Mr. Van Handel is eligible for all benefits generally available to the senior executives of ManpowerGroup, subject to and on a basis consistent with the terms, conditions and overall administration of such benefits.</w:t>
      </w:r>
    </w:p>
    <w:p>
      <w:pPr>
        <w:spacing w:after="0" w:line="178" w:lineRule="exact"/>
        <w:rPr>
          <w:sz w:val="20"/>
          <w:szCs w:val="20"/>
          <w:color w:val="auto"/>
        </w:rPr>
      </w:pPr>
    </w:p>
    <w:p>
      <w:pPr>
        <w:ind w:right="400" w:firstLine="486"/>
        <w:spacing w:after="0" w:line="288" w:lineRule="auto"/>
        <w:rPr>
          <w:sz w:val="20"/>
          <w:szCs w:val="20"/>
          <w:color w:val="auto"/>
        </w:rPr>
      </w:pPr>
      <w:r>
        <w:rPr>
          <w:rFonts w:ascii="Arial" w:cs="Arial" w:eastAsia="Arial" w:hAnsi="Arial"/>
          <w:sz w:val="16"/>
          <w:szCs w:val="16"/>
          <w:color w:val="auto"/>
        </w:rPr>
        <w:t>In February 2014, ManpowerGroup entered into a compensation agreement and severance agreement with Mr. Joerres that replaced his prior agreements. Mr. Joerres’s compensation agreement was further amended on May 1, 2014 and again on February 10, 2015 to reflect decreases in his base salary. The term under the agreements for Mr. Joerres was the same expiration as Mr. Van Handel's agreements. Under the compensation agreement for</w:t>
      </w:r>
    </w:p>
    <w:p>
      <w:pPr>
        <w:ind w:right="40"/>
        <w:spacing w:after="0" w:line="302" w:lineRule="auto"/>
        <w:rPr>
          <w:sz w:val="20"/>
          <w:szCs w:val="20"/>
          <w:color w:val="auto"/>
        </w:rPr>
      </w:pPr>
      <w:r>
        <w:rPr>
          <w:rFonts w:ascii="Arial" w:cs="Arial" w:eastAsia="Arial" w:hAnsi="Arial"/>
          <w:sz w:val="16"/>
          <w:szCs w:val="16"/>
          <w:color w:val="auto"/>
        </w:rPr>
        <w:t>Mr. Joerres, as amended February 10, 2015, he was entitled to receive a base salary of $900,000 and to receive incentive compensation in accordance with an annual incentive plan approved and administered by the Committee. In addition, Mr. Joerres was eligible for all benefits generally available to the senior executives of ManpowerGroup, subject to and on a basis consistent with the terms, conditions and overall administration of such benefits.</w:t>
      </w:r>
    </w:p>
    <w:p>
      <w:pPr>
        <w:spacing w:after="0" w:line="15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severance agreements with Mr. Van Handel and Mr. Joerres are described in further detail in the section entitled “Termination of Employment and Change of Control Arrangements” following the Nonqualified Deferred Compensation Table. The annual incentive plan for each of them is described in further detail in the Compensation Discussion and Analysis included in this proxy statement.</w:t>
      </w:r>
    </w:p>
    <w:p>
      <w:pPr>
        <w:spacing w:after="0" w:line="18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compensation agreements for Mr. Van Handel and Mr. Joerres also contain nondisclosure provisions that are effective during the term of the executive's employment with ManpowerGroup and during the two-year period following the termination of executive's employment with ManpowerGroup, and nonsolicitation provisions that are effective during the term of the executive's employment with ManpowerGroup and during the one-year period following the termination of the executive's employment with ManpowerGroup.</w:t>
      </w:r>
    </w:p>
    <w:p>
      <w:pPr>
        <w:spacing w:after="0" w:line="18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Mr. Prising, Mr. Green, Mr. Chandrashekar and Ms. Swan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88"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In connection with his assignment in Singapore as Executive Vice President, Operational Excellence and IT, and President, Asia Pacific Middle East, Mr. Chandrashekar also receives certain benefits. These include a car, return visit expenses to India for his family, a visit to the United States for his family and tax equalization payments related to any compensation earned by him for the time required to be spent in the United States as part of his role.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1"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Incentive Awards</w:t>
      </w:r>
    </w:p>
    <w:p>
      <w:pPr>
        <w:spacing w:after="0" w:line="229" w:lineRule="exact"/>
        <w:rPr>
          <w:sz w:val="20"/>
          <w:szCs w:val="20"/>
          <w:color w:val="auto"/>
        </w:rPr>
      </w:pPr>
    </w:p>
    <w:p>
      <w:pPr>
        <w:ind w:right="40" w:firstLine="486"/>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following tables illustrate the achievement of the performance targets in relation to the payment of the 2015 Annual Incentive Awards. The awards are reflected in the Summary Compensation Table on page </w:t>
      </w:r>
      <w:hyperlink w:anchor="page63">
        <w:r>
          <w:rPr>
            <w:rFonts w:ascii="Arial" w:cs="Arial" w:eastAsia="Arial" w:hAnsi="Arial"/>
            <w:sz w:val="17"/>
            <w:szCs w:val="17"/>
            <w:u w:val="single" w:color="auto"/>
            <w:color w:val="0000EE"/>
          </w:rPr>
          <w:t>61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under the heading “Non-Equity Incentive Plan Compensation.”</w:t>
      </w:r>
    </w:p>
    <w:p>
      <w:pPr>
        <w:spacing w:after="0" w:line="14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2015, ManpowerGroup’s EPS in constant currency was $6.21 (compared to $5.30 at threshold, $5.85 at target and $6.85 at outstanding) and ROIC in constant currency was 15.7% (compared to 13.5% at threshold, 15.0% at target and 17.0% at outstanding).</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For 2015, the Committee exercised negative discretion, and utilized a lower EPS figure of $6.08, rather than $6.21, in calculating annual incentive compensation. This adjustment excluded from the EPS calculation the benefit of significant share repurchases the company completed in 2015, except to the extent necessary to offset dilution resulting from shares issued under equity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5360" w:type="dxa"/>
            <w:vAlign w:val="bottom"/>
            <w:gridSpan w:val="6"/>
          </w:tcPr>
          <w:p>
            <w:pPr>
              <w:jc w:val="center"/>
              <w:ind w:left="1050"/>
              <w:spacing w:after="0"/>
              <w:rPr>
                <w:sz w:val="20"/>
                <w:szCs w:val="20"/>
                <w:color w:val="auto"/>
              </w:rPr>
            </w:pPr>
            <w:r>
              <w:rPr>
                <w:rFonts w:ascii="Arial" w:cs="Arial" w:eastAsia="Arial" w:hAnsi="Arial"/>
                <w:sz w:val="18"/>
                <w:szCs w:val="18"/>
                <w:b w:val="1"/>
                <w:bCs w:val="1"/>
                <w:color w:val="auto"/>
                <w:w w:val="91"/>
              </w:rPr>
              <w:t>Jonas Prising — 2015 Annual Incentive Calculation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68"/>
        </w:trPr>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0"/>
              </w:rPr>
              <w:t>Performance</w:t>
            </w: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of 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2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1"/>
              </w:rPr>
              <w:t>Level</w:t>
            </w: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4"/>
              </w:rPr>
              <w:t>Earned</w:t>
            </w:r>
          </w:p>
        </w:tc>
      </w:tr>
      <w:tr>
        <w:trPr>
          <w:trHeight w:val="27"/>
        </w:trPr>
        <w:tc>
          <w:tcPr>
            <w:tcW w:w="24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811,800</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ROIC Goal</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4"/>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891,000</w:t>
            </w:r>
          </w:p>
        </w:tc>
      </w:tr>
      <w:tr>
        <w:trPr>
          <w:trHeight w:val="27"/>
        </w:trPr>
        <w:tc>
          <w:tcPr>
            <w:tcW w:w="2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597,200</w:t>
            </w:r>
          </w:p>
        </w:tc>
      </w:tr>
      <w:tr>
        <w:trPr>
          <w:trHeight w:val="243"/>
        </w:trPr>
        <w:tc>
          <w:tcPr>
            <w:tcW w:w="2460" w:type="dxa"/>
            <w:vAlign w:val="bottom"/>
          </w:tcPr>
          <w:p>
            <w:pPr>
              <w:ind w:left="440"/>
              <w:spacing w:after="0"/>
              <w:rPr>
                <w:sz w:val="20"/>
                <w:szCs w:val="20"/>
                <w:color w:val="auto"/>
              </w:rPr>
            </w:pPr>
            <w:r>
              <w:rPr>
                <w:rFonts w:ascii="Arial" w:cs="Arial" w:eastAsia="Arial" w:hAnsi="Arial"/>
                <w:sz w:val="18"/>
                <w:szCs w:val="18"/>
                <w:color w:val="auto"/>
              </w:rPr>
              <w:t>Total Incentive</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2,300,000</w:t>
            </w:r>
          </w:p>
        </w:tc>
      </w:tr>
      <w:tr>
        <w:trPr>
          <w:trHeight w:val="405"/>
        </w:trPr>
        <w:tc>
          <w:tcPr>
            <w:tcW w:w="2460" w:type="dxa"/>
            <w:vAlign w:val="bottom"/>
          </w:tcPr>
          <w:p>
            <w:pPr>
              <w:spacing w:after="0"/>
              <w:rPr>
                <w:sz w:val="24"/>
                <w:szCs w:val="24"/>
                <w:color w:val="auto"/>
              </w:rPr>
            </w:pPr>
          </w:p>
        </w:tc>
        <w:tc>
          <w:tcPr>
            <w:tcW w:w="70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2"/>
              </w:rPr>
              <w:t>Michael J. Van Handel — 2015 Annual Incentive Calculation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8"/>
        </w:trPr>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0"/>
              </w:rPr>
              <w:t>Performance</w:t>
            </w: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of 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2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1"/>
              </w:rPr>
              <w:t>Level</w:t>
            </w: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4"/>
              </w:rPr>
              <w:t>Earned</w:t>
            </w:r>
          </w:p>
        </w:tc>
      </w:tr>
      <w:tr>
        <w:trPr>
          <w:trHeight w:val="27"/>
        </w:trPr>
        <w:tc>
          <w:tcPr>
            <w:tcW w:w="24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324,720</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ROIC Goal</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4"/>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356,400</w:t>
            </w:r>
          </w:p>
        </w:tc>
      </w:tr>
      <w:tr>
        <w:trPr>
          <w:trHeight w:val="27"/>
        </w:trPr>
        <w:tc>
          <w:tcPr>
            <w:tcW w:w="2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820"/>
              <w:spacing w:after="0"/>
              <w:rPr>
                <w:sz w:val="20"/>
                <w:szCs w:val="20"/>
                <w:color w:val="auto"/>
              </w:rPr>
            </w:pPr>
            <w:r>
              <w:rPr>
                <w:rFonts w:ascii="Arial" w:cs="Arial" w:eastAsia="Arial" w:hAnsi="Arial"/>
                <w:sz w:val="18"/>
                <w:szCs w:val="18"/>
                <w:color w:val="auto"/>
              </w:rPr>
              <w:t>Above Target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238,880</w:t>
            </w:r>
          </w:p>
        </w:tc>
      </w:tr>
      <w:tr>
        <w:trPr>
          <w:trHeight w:val="243"/>
        </w:trPr>
        <w:tc>
          <w:tcPr>
            <w:tcW w:w="2460" w:type="dxa"/>
            <w:vAlign w:val="bottom"/>
          </w:tcPr>
          <w:p>
            <w:pPr>
              <w:ind w:left="440"/>
              <w:spacing w:after="0"/>
              <w:rPr>
                <w:sz w:val="20"/>
                <w:szCs w:val="20"/>
                <w:color w:val="auto"/>
              </w:rPr>
            </w:pPr>
            <w:r>
              <w:rPr>
                <w:rFonts w:ascii="Arial" w:cs="Arial" w:eastAsia="Arial" w:hAnsi="Arial"/>
                <w:sz w:val="18"/>
                <w:szCs w:val="18"/>
                <w:color w:val="auto"/>
              </w:rPr>
              <w:t>Total Incentive</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920,000</w:t>
            </w:r>
          </w:p>
        </w:tc>
      </w:tr>
      <w:tr>
        <w:trPr>
          <w:trHeight w:val="405"/>
        </w:trPr>
        <w:tc>
          <w:tcPr>
            <w:tcW w:w="2460" w:type="dxa"/>
            <w:vAlign w:val="bottom"/>
          </w:tcPr>
          <w:p>
            <w:pPr>
              <w:spacing w:after="0"/>
              <w:rPr>
                <w:sz w:val="24"/>
                <w:szCs w:val="24"/>
                <w:color w:val="auto"/>
              </w:rPr>
            </w:pPr>
          </w:p>
        </w:tc>
        <w:tc>
          <w:tcPr>
            <w:tcW w:w="5360" w:type="dxa"/>
            <w:vAlign w:val="bottom"/>
            <w:gridSpan w:val="6"/>
          </w:tcPr>
          <w:p>
            <w:pPr>
              <w:jc w:val="center"/>
              <w:ind w:left="1050"/>
              <w:spacing w:after="0"/>
              <w:rPr>
                <w:sz w:val="20"/>
                <w:szCs w:val="20"/>
                <w:color w:val="auto"/>
              </w:rPr>
            </w:pPr>
            <w:r>
              <w:rPr>
                <w:rFonts w:ascii="Arial" w:cs="Arial" w:eastAsia="Arial" w:hAnsi="Arial"/>
                <w:sz w:val="18"/>
                <w:szCs w:val="18"/>
                <w:b w:val="1"/>
                <w:bCs w:val="1"/>
                <w:color w:val="auto"/>
                <w:w w:val="92"/>
              </w:rPr>
              <w:t>Darryl Green — 2015 Annual Incentive Calculation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8"/>
        </w:trPr>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ind w:left="460"/>
              <w:spacing w:after="0"/>
              <w:rPr>
                <w:sz w:val="20"/>
                <w:szCs w:val="20"/>
                <w:color w:val="auto"/>
              </w:rPr>
            </w:pPr>
            <w:r>
              <w:rPr>
                <w:rFonts w:ascii="Arial" w:cs="Arial" w:eastAsia="Arial" w:hAnsi="Arial"/>
                <w:sz w:val="18"/>
                <w:szCs w:val="18"/>
                <w:b w:val="1"/>
                <w:bCs w:val="1"/>
                <w:color w:val="auto"/>
              </w:rPr>
              <w:t>Performance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34"/>
        </w:trPr>
        <w:tc>
          <w:tcPr>
            <w:tcW w:w="2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ind w:left="760"/>
              <w:spacing w:after="0"/>
              <w:rPr>
                <w:sz w:val="20"/>
                <w:szCs w:val="20"/>
                <w:color w:val="auto"/>
              </w:rPr>
            </w:pPr>
            <w:r>
              <w:rPr>
                <w:rFonts w:ascii="Arial" w:cs="Arial" w:eastAsia="Arial" w:hAnsi="Arial"/>
                <w:sz w:val="18"/>
                <w:szCs w:val="18"/>
                <w:b w:val="1"/>
                <w:bCs w:val="1"/>
                <w:color w:val="auto"/>
              </w:rPr>
              <w:t>Level</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Earned</w:t>
            </w:r>
          </w:p>
        </w:tc>
      </w:tr>
      <w:tr>
        <w:trPr>
          <w:trHeight w:val="27"/>
        </w:trPr>
        <w:tc>
          <w:tcPr>
            <w:tcW w:w="24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920"/>
              <w:spacing w:after="0"/>
              <w:rPr>
                <w:sz w:val="20"/>
                <w:szCs w:val="20"/>
                <w:color w:val="auto"/>
              </w:rPr>
            </w:pPr>
            <w:r>
              <w:rPr>
                <w:rFonts w:ascii="Arial" w:cs="Arial" w:eastAsia="Arial" w:hAnsi="Arial"/>
                <w:sz w:val="18"/>
                <w:szCs w:val="18"/>
                <w:color w:val="auto"/>
              </w:rPr>
              <w:t>Above Target</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393,600</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ROIC Goal</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4"/>
          </w:tcPr>
          <w:p>
            <w:pPr>
              <w:ind w:left="920"/>
              <w:spacing w:after="0"/>
              <w:rPr>
                <w:sz w:val="20"/>
                <w:szCs w:val="20"/>
                <w:color w:val="auto"/>
              </w:rPr>
            </w:pPr>
            <w:r>
              <w:rPr>
                <w:rFonts w:ascii="Arial" w:cs="Arial" w:eastAsia="Arial" w:hAnsi="Arial"/>
                <w:sz w:val="18"/>
                <w:szCs w:val="18"/>
                <w:color w:val="auto"/>
              </w:rPr>
              <w:t>Above Target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432,000</w:t>
            </w:r>
          </w:p>
        </w:tc>
      </w:tr>
      <w:tr>
        <w:trPr>
          <w:trHeight w:val="27"/>
        </w:trPr>
        <w:tc>
          <w:tcPr>
            <w:tcW w:w="2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920"/>
              <w:spacing w:after="0"/>
              <w:rPr>
                <w:sz w:val="20"/>
                <w:szCs w:val="20"/>
                <w:color w:val="auto"/>
              </w:rPr>
            </w:pPr>
            <w:r>
              <w:rPr>
                <w:rFonts w:ascii="Arial" w:cs="Arial" w:eastAsia="Arial" w:hAnsi="Arial"/>
                <w:sz w:val="18"/>
                <w:szCs w:val="18"/>
                <w:color w:val="auto"/>
              </w:rPr>
              <w:t>Above Target</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279,400</w:t>
            </w:r>
          </w:p>
        </w:tc>
      </w:tr>
      <w:tr>
        <w:trPr>
          <w:trHeight w:val="243"/>
        </w:trPr>
        <w:tc>
          <w:tcPr>
            <w:tcW w:w="2460" w:type="dxa"/>
            <w:vAlign w:val="bottom"/>
          </w:tcPr>
          <w:p>
            <w:pPr>
              <w:ind w:left="440"/>
              <w:spacing w:after="0"/>
              <w:rPr>
                <w:sz w:val="20"/>
                <w:szCs w:val="20"/>
                <w:color w:val="auto"/>
              </w:rPr>
            </w:pPr>
            <w:r>
              <w:rPr>
                <w:rFonts w:ascii="Arial" w:cs="Arial" w:eastAsia="Arial" w:hAnsi="Arial"/>
                <w:sz w:val="18"/>
                <w:szCs w:val="18"/>
                <w:color w:val="auto"/>
              </w:rPr>
              <w:t>Total Incentive</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1,105,000</w:t>
            </w:r>
          </w:p>
        </w:tc>
      </w:tr>
      <w:tr>
        <w:trPr>
          <w:trHeight w:val="648"/>
        </w:trPr>
        <w:tc>
          <w:tcPr>
            <w:tcW w:w="2460" w:type="dxa"/>
            <w:vAlign w:val="bottom"/>
          </w:tcPr>
          <w:p>
            <w:pPr>
              <w:spacing w:after="0"/>
              <w:rPr>
                <w:sz w:val="24"/>
                <w:szCs w:val="24"/>
                <w:color w:val="auto"/>
              </w:rPr>
            </w:pPr>
          </w:p>
        </w:tc>
        <w:tc>
          <w:tcPr>
            <w:tcW w:w="48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0"/>
        </w:trPr>
        <w:tc>
          <w:tcPr>
            <w:tcW w:w="13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4"/>
          </w:tcPr>
          <w:p>
            <w:pPr>
              <w:ind w:left="820"/>
              <w:spacing w:after="0"/>
              <w:rPr>
                <w:sz w:val="20"/>
                <w:szCs w:val="20"/>
                <w:color w:val="auto"/>
              </w:rPr>
            </w:pPr>
            <w:r>
              <w:rPr>
                <w:rFonts w:ascii="Arial" w:cs="Arial" w:eastAsia="Arial" w:hAnsi="Arial"/>
                <w:sz w:val="18"/>
                <w:szCs w:val="18"/>
                <w:b w:val="1"/>
                <w:bCs w:val="1"/>
                <w:color w:val="auto"/>
              </w:rPr>
              <w:t>Ram Chandrashekar — 2015 Annual Incentive Calculation(1)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8"/>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left="450"/>
              <w:spacing w:after="0"/>
              <w:rPr>
                <w:sz w:val="20"/>
                <w:szCs w:val="20"/>
                <w:color w:val="auto"/>
              </w:rPr>
            </w:pPr>
            <w:r>
              <w:rPr>
                <w:rFonts w:ascii="Arial" w:cs="Arial" w:eastAsia="Arial" w:hAnsi="Arial"/>
                <w:sz w:val="18"/>
                <w:szCs w:val="18"/>
                <w:b w:val="1"/>
                <w:bCs w:val="1"/>
                <w:color w:val="auto"/>
                <w:w w:val="86"/>
              </w:rPr>
              <w:t>Percentage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4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of 2015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34"/>
        </w:trPr>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14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Salary</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Earned</w:t>
            </w:r>
          </w:p>
        </w:tc>
      </w:tr>
      <w:tr>
        <w:trPr>
          <w:trHeight w:val="27"/>
        </w:trPr>
        <w:tc>
          <w:tcPr>
            <w:tcW w:w="1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AOUP of APME Goal</w:t>
            </w:r>
          </w:p>
        </w:tc>
        <w:tc>
          <w:tcPr>
            <w:tcW w:w="29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Above Threshold</w:t>
            </w: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77,537</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EPS Goal</w:t>
            </w:r>
          </w:p>
        </w:tc>
        <w:tc>
          <w:tcPr>
            <w:tcW w:w="294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Above Target</w:t>
            </w: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104,802</w:t>
            </w:r>
          </w:p>
        </w:tc>
      </w:tr>
      <w:tr>
        <w:trPr>
          <w:trHeight w:val="27"/>
        </w:trPr>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ROIC Goal</w:t>
            </w:r>
          </w:p>
        </w:tc>
        <w:tc>
          <w:tcPr>
            <w:tcW w:w="29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Above Target</w:t>
            </w: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115,027</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Operating Objectives</w:t>
            </w:r>
          </w:p>
        </w:tc>
        <w:tc>
          <w:tcPr>
            <w:tcW w:w="294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Above Target</w:t>
            </w: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162,742</w:t>
            </w:r>
          </w:p>
        </w:tc>
      </w:tr>
      <w:tr>
        <w:trPr>
          <w:trHeight w:val="27"/>
        </w:trPr>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Incentive</w:t>
            </w:r>
          </w:p>
        </w:tc>
        <w:tc>
          <w:tcPr>
            <w:tcW w:w="29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460,108</w:t>
            </w:r>
          </w:p>
        </w:tc>
      </w:tr>
      <w:tr>
        <w:trPr>
          <w:trHeight w:val="27"/>
        </w:trPr>
        <w:tc>
          <w:tcPr>
            <w:tcW w:w="1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500" w:right="680" w:hanging="492"/>
        <w:spacing w:after="0" w:line="26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Chandrashekar’s incentive is paid in SGD and has been translated above at an exchange rate of 0.789017 (in U.S. Dollars), which was the exchange rate on February 11, 2014, the date Mr. Chandrashekar was promoted to Executive Vice President, Operational Excellence &amp; IT and President, Asia Pacific Middle East.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Mara E. Swan — 2015 Annual Incentive Calculation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2015</w:t>
            </w:r>
          </w:p>
        </w:tc>
        <w:tc>
          <w:tcPr>
            <w:tcW w:w="3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r>
      <w:tr>
        <w:trPr>
          <w:trHeight w:val="234"/>
        </w:trPr>
        <w:tc>
          <w:tcPr>
            <w:tcW w:w="556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Salary</w:t>
            </w:r>
          </w:p>
        </w:tc>
        <w:tc>
          <w:tcPr>
            <w:tcW w:w="3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Earned</w:t>
            </w:r>
          </w:p>
        </w:tc>
      </w:tr>
      <w:tr>
        <w:trPr>
          <w:trHeight w:val="27"/>
        </w:trPr>
        <w:tc>
          <w:tcPr>
            <w:tcW w:w="55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20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Above Target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206,640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ROIC Goal</w:t>
            </w:r>
          </w:p>
        </w:tc>
        <w:tc>
          <w:tcPr>
            <w:tcW w:w="2040" w:type="dxa"/>
            <w:vAlign w:val="bottom"/>
            <w:gridSpan w:val="2"/>
          </w:tcPr>
          <w:p>
            <w:pPr>
              <w:ind w:left="920"/>
              <w:spacing w:after="0"/>
              <w:rPr>
                <w:sz w:val="20"/>
                <w:szCs w:val="20"/>
                <w:color w:val="auto"/>
              </w:rPr>
            </w:pPr>
            <w:r>
              <w:rPr>
                <w:rFonts w:ascii="Arial" w:cs="Arial" w:eastAsia="Arial" w:hAnsi="Arial"/>
                <w:sz w:val="18"/>
                <w:szCs w:val="18"/>
                <w:color w:val="auto"/>
              </w:rPr>
              <w:t>Above Target</w:t>
            </w:r>
          </w:p>
        </w:tc>
        <w:tc>
          <w:tcPr>
            <w:tcW w:w="20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226,800</w:t>
            </w:r>
          </w:p>
        </w:tc>
      </w:tr>
      <w:tr>
        <w:trPr>
          <w:trHeight w:val="27"/>
        </w:trPr>
        <w:tc>
          <w:tcPr>
            <w:tcW w:w="5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20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Above Target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146,560</w:t>
            </w: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Total Incentive</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580,000</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2015 Annual Incentive Calculation</w:t>
      </w:r>
    </w:p>
    <w:p>
      <w:pPr>
        <w:spacing w:after="0" w:line="243" w:lineRule="exact"/>
        <w:rPr>
          <w:sz w:val="20"/>
          <w:szCs w:val="20"/>
          <w:color w:val="auto"/>
        </w:rPr>
      </w:pPr>
    </w:p>
    <w:p>
      <w:pPr>
        <w:ind w:right="180" w:firstLine="648"/>
        <w:spacing w:after="0" w:line="270" w:lineRule="auto"/>
        <w:rPr>
          <w:sz w:val="20"/>
          <w:szCs w:val="20"/>
          <w:color w:val="auto"/>
        </w:rPr>
      </w:pPr>
      <w:r>
        <w:rPr>
          <w:rFonts w:ascii="Arial" w:cs="Arial" w:eastAsia="Arial" w:hAnsi="Arial"/>
          <w:sz w:val="18"/>
          <w:szCs w:val="18"/>
          <w:color w:val="auto"/>
        </w:rPr>
        <w:t>As Mr. Joerres retired on December 30, 2015, under the terms of the Pool Plan, he would not have been eligible to receive any annual incentive for 2015, as his employment did not include the last day of the fiscal year. However, in light of Mr. Joerres's retirement and his service throughout 2015, the Committee approved payment to Mr. Joerres of his full annual incentive for 2015</w:t>
      </w:r>
      <w:r>
        <w:rPr>
          <w:rFonts w:ascii="Arial" w:cs="Arial" w:eastAsia="Arial" w:hAnsi="Arial"/>
          <w:sz w:val="19"/>
          <w:szCs w:val="19"/>
          <w:color w:val="auto"/>
        </w:rPr>
        <w:t>,</w:t>
      </w:r>
      <w:r>
        <w:rPr>
          <w:rFonts w:ascii="Arial" w:cs="Arial" w:eastAsia="Arial" w:hAnsi="Arial"/>
          <w:sz w:val="18"/>
          <w:szCs w:val="18"/>
          <w:color w:val="auto"/>
        </w:rPr>
        <w:t xml:space="preserve"> based on actual performance results for the objectives first approved for him in February 2015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Percentage of</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34"/>
        </w:trPr>
        <w:tc>
          <w:tcPr>
            <w:tcW w:w="566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Salary</w:t>
            </w:r>
          </w:p>
        </w:tc>
        <w:tc>
          <w:tcPr>
            <w:tcW w:w="30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Earned</w:t>
            </w:r>
          </w:p>
        </w:tc>
      </w:tr>
      <w:tr>
        <w:trPr>
          <w:trHeight w:val="27"/>
        </w:trPr>
        <w:tc>
          <w:tcPr>
            <w:tcW w:w="56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Goal</w:t>
            </w:r>
          </w:p>
        </w:tc>
        <w:tc>
          <w:tcPr>
            <w:tcW w:w="20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9"/>
              </w:rPr>
              <w:t>Above Target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553,500</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ROIC Goal</w:t>
            </w:r>
          </w:p>
        </w:tc>
        <w:tc>
          <w:tcPr>
            <w:tcW w:w="2040" w:type="dxa"/>
            <w:vAlign w:val="bottom"/>
            <w:gridSpan w:val="2"/>
          </w:tcPr>
          <w:p>
            <w:pPr>
              <w:ind w:left="940"/>
              <w:spacing w:after="0"/>
              <w:rPr>
                <w:sz w:val="20"/>
                <w:szCs w:val="20"/>
                <w:color w:val="auto"/>
              </w:rPr>
            </w:pPr>
            <w:r>
              <w:rPr>
                <w:rFonts w:ascii="Arial" w:cs="Arial" w:eastAsia="Arial" w:hAnsi="Arial"/>
                <w:sz w:val="18"/>
                <w:szCs w:val="18"/>
                <w:color w:val="auto"/>
                <w:w w:val="99"/>
              </w:rPr>
              <w:t>Above Target</w:t>
            </w:r>
          </w:p>
        </w:tc>
        <w:tc>
          <w:tcPr>
            <w:tcW w:w="20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607,500</w:t>
            </w:r>
          </w:p>
        </w:tc>
      </w:tr>
      <w:tr>
        <w:trPr>
          <w:trHeight w:val="27"/>
        </w:trPr>
        <w:tc>
          <w:tcPr>
            <w:tcW w:w="5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Objectives</w:t>
            </w:r>
          </w:p>
        </w:tc>
        <w:tc>
          <w:tcPr>
            <w:tcW w:w="20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9"/>
              </w:rPr>
              <w:t>Above Target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402,750</w:t>
            </w:r>
          </w:p>
        </w:tc>
      </w:tr>
      <w:tr>
        <w:trPr>
          <w:trHeight w:val="243"/>
        </w:trPr>
        <w:tc>
          <w:tcPr>
            <w:tcW w:w="5660" w:type="dxa"/>
            <w:vAlign w:val="bottom"/>
          </w:tcPr>
          <w:p>
            <w:pPr>
              <w:ind w:left="440"/>
              <w:spacing w:after="0"/>
              <w:rPr>
                <w:sz w:val="20"/>
                <w:szCs w:val="20"/>
                <w:color w:val="auto"/>
              </w:rPr>
            </w:pPr>
            <w:r>
              <w:rPr>
                <w:rFonts w:ascii="Arial" w:cs="Arial" w:eastAsia="Arial" w:hAnsi="Arial"/>
                <w:sz w:val="18"/>
                <w:szCs w:val="18"/>
                <w:color w:val="auto"/>
              </w:rPr>
              <w:t>Total Incentive</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1,563,750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2011 Equity Incentive Plan</w:t>
      </w:r>
    </w:p>
    <w:p>
      <w:pPr>
        <w:spacing w:after="0" w:line="22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ManpowerGroup made grants of stock options to all of the executive officers under the 2011 Equity Incentive Plan in February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Mr. Joerres who did not receive stock options in 2015. The stock options granted in 2015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08"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80" w:firstLine="486"/>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color w:val="auto"/>
        </w:rPr>
        <w:t>. ManpowerGroup made grants of performance share units to all of the executive officers under the 2011 Equity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Plan in February of 2015. Each executive officer received a performance share unit grant that will vest if the relevant performance goal of average Operating Profit Margin Percentage is met for the three-year performance period. See page </w:t>
      </w:r>
      <w:hyperlink w:anchor="page56">
        <w:r>
          <w:rPr>
            <w:rFonts w:ascii="Arial" w:cs="Arial" w:eastAsia="Arial" w:hAnsi="Arial"/>
            <w:sz w:val="18"/>
            <w:szCs w:val="18"/>
            <w:u w:val="single" w:color="auto"/>
            <w:color w:val="0000EE"/>
          </w:rPr>
          <w:t>54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description of the goals established by the Committee for the 2015 performance share unit grant.</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executive officer upon the vesting of the performance share units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in February 2015 have a three-year cliff vest and are earned as long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87" w:lineRule="exact"/>
        <w:rPr>
          <w:sz w:val="20"/>
          <w:szCs w:val="20"/>
          <w:color w:val="auto"/>
        </w:rPr>
      </w:pPr>
    </w:p>
    <w:p>
      <w:pPr>
        <w:ind w:left="500"/>
        <w:spacing w:after="0"/>
        <w:tabs>
          <w:tab w:leader="none" w:pos="1740" w:val="left"/>
        </w:tabs>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ManpowerGroup did not make any career shares grants in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1"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Option Awards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4"/>
          </w:tcPr>
          <w:p>
            <w:pPr>
              <w:jc w:val="right"/>
              <w:ind w:right="617"/>
              <w:spacing w:after="0"/>
              <w:rPr>
                <w:sz w:val="20"/>
                <w:szCs w:val="20"/>
                <w:color w:val="auto"/>
              </w:rPr>
            </w:pPr>
            <w:r>
              <w:rPr>
                <w:rFonts w:ascii="Arial" w:cs="Arial" w:eastAsia="Arial" w:hAnsi="Arial"/>
                <w:sz w:val="12"/>
                <w:szCs w:val="12"/>
                <w:b w:val="1"/>
                <w:bCs w:val="1"/>
                <w:color w:val="auto"/>
                <w:w w:val="93"/>
              </w:rPr>
              <w:t>Stock Awards</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97"/>
              <w:spacing w:after="0"/>
              <w:rPr>
                <w:sz w:val="20"/>
                <w:szCs w:val="20"/>
                <w:color w:val="auto"/>
              </w:rPr>
            </w:pPr>
            <w:r>
              <w:rPr>
                <w:rFonts w:ascii="Arial" w:cs="Arial" w:eastAsia="Arial" w:hAnsi="Arial"/>
                <w:sz w:val="12"/>
                <w:szCs w:val="12"/>
                <w:b w:val="1"/>
                <w:bCs w:val="1"/>
                <w:color w:val="auto"/>
                <w:w w:val="87"/>
              </w:rPr>
              <w:t>Equity</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Incentive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94"/>
              </w:rPr>
              <w:t>Plan</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8"/>
              </w:rPr>
              <w:t>Awards:</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8"/>
              </w:rPr>
              <w:t>Number</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Equity</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Number</w:t>
            </w:r>
          </w:p>
        </w:tc>
        <w:tc>
          <w:tcPr>
            <w:tcW w:w="320" w:type="dxa"/>
            <w:vAlign w:val="bottom"/>
          </w:tcPr>
          <w:p>
            <w:pPr>
              <w:spacing w:after="0"/>
              <w:rPr>
                <w:sz w:val="11"/>
                <w:szCs w:val="11"/>
                <w:color w:val="auto"/>
              </w:rPr>
            </w:pPr>
          </w:p>
        </w:tc>
        <w:tc>
          <w:tcPr>
            <w:tcW w:w="70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7"/>
              </w:rPr>
              <w:t>Value</w:t>
            </w: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70"/>
              </w:rPr>
              <w:t>of</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Incentive</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7"/>
              </w:rPr>
              <w:t>of</w:t>
            </w: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4"/>
              </w:rPr>
              <w:t>of Shares</w:t>
            </w: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6"/>
              </w:rPr>
              <w:t>Unearned</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Plan</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4"/>
              </w:rPr>
              <w:t>Shares</w:t>
            </w: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8"/>
              </w:rPr>
              <w:t>or Units</w:t>
            </w: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2"/>
              </w:rPr>
              <w:t>Shares,</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Equity Incentive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37"/>
              <w:spacing w:after="0" w:line="135" w:lineRule="exact"/>
              <w:rPr>
                <w:sz w:val="20"/>
                <w:szCs w:val="20"/>
                <w:color w:val="auto"/>
              </w:rPr>
            </w:pPr>
            <w:r>
              <w:rPr>
                <w:rFonts w:ascii="Arial" w:cs="Arial" w:eastAsia="Arial" w:hAnsi="Arial"/>
                <w:sz w:val="12"/>
                <w:szCs w:val="12"/>
                <w:b w:val="1"/>
                <w:bCs w:val="1"/>
                <w:color w:val="auto"/>
                <w:w w:val="89"/>
              </w:rPr>
              <w:t>Number of</w:t>
            </w:r>
          </w:p>
        </w:tc>
        <w:tc>
          <w:tcPr>
            <w:tcW w:w="28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89"/>
              </w:rPr>
              <w:t>Number 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Awards: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8"/>
              </w:rPr>
              <w:t>or Units</w:t>
            </w:r>
          </w:p>
        </w:tc>
        <w:tc>
          <w:tcPr>
            <w:tcW w:w="320" w:type="dxa"/>
            <w:vAlign w:val="bottom"/>
          </w:tcPr>
          <w:p>
            <w:pPr>
              <w:spacing w:after="0"/>
              <w:rPr>
                <w:sz w:val="11"/>
                <w:szCs w:val="11"/>
                <w:color w:val="auto"/>
              </w:rPr>
            </w:pPr>
          </w:p>
        </w:tc>
        <w:tc>
          <w:tcPr>
            <w:tcW w:w="700" w:type="dxa"/>
            <w:vAlign w:val="bottom"/>
            <w:gridSpan w:val="2"/>
          </w:tcPr>
          <w:p>
            <w:pPr>
              <w:jc w:val="center"/>
              <w:ind w:right="257"/>
              <w:spacing w:after="0" w:line="135" w:lineRule="exact"/>
              <w:rPr>
                <w:sz w:val="20"/>
                <w:szCs w:val="20"/>
                <w:color w:val="auto"/>
              </w:rPr>
            </w:pPr>
            <w:r>
              <w:rPr>
                <w:rFonts w:ascii="Arial" w:cs="Arial" w:eastAsia="Arial" w:hAnsi="Arial"/>
                <w:sz w:val="12"/>
                <w:szCs w:val="12"/>
                <w:b w:val="1"/>
                <w:bCs w:val="1"/>
                <w:color w:val="auto"/>
                <w:w w:val="87"/>
              </w:rPr>
              <w:t>of</w:t>
            </w: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0"/>
              </w:rPr>
              <w:t>Units, or</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Plan Awards:</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17"/>
              <w:spacing w:after="0" w:line="135" w:lineRule="exact"/>
              <w:rPr>
                <w:sz w:val="20"/>
                <w:szCs w:val="20"/>
                <w:color w:val="auto"/>
              </w:rPr>
            </w:pPr>
            <w:r>
              <w:rPr>
                <w:rFonts w:ascii="Arial" w:cs="Arial" w:eastAsia="Arial" w:hAnsi="Arial"/>
                <w:sz w:val="12"/>
                <w:szCs w:val="12"/>
                <w:b w:val="1"/>
                <w:bCs w:val="1"/>
                <w:color w:val="auto"/>
                <w:w w:val="83"/>
              </w:rPr>
              <w:t>Securities</w:t>
            </w:r>
          </w:p>
        </w:tc>
        <w:tc>
          <w:tcPr>
            <w:tcW w:w="28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87"/>
              </w:rPr>
              <w:t>Securities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Number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4"/>
              </w:rPr>
              <w:t>of Stock</w:t>
            </w:r>
          </w:p>
        </w:tc>
        <w:tc>
          <w:tcPr>
            <w:tcW w:w="320" w:type="dxa"/>
            <w:vAlign w:val="bottom"/>
          </w:tcPr>
          <w:p>
            <w:pPr>
              <w:spacing w:after="0"/>
              <w:rPr>
                <w:sz w:val="11"/>
                <w:szCs w:val="11"/>
                <w:color w:val="auto"/>
              </w:rPr>
            </w:pPr>
          </w:p>
        </w:tc>
        <w:tc>
          <w:tcPr>
            <w:tcW w:w="70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5"/>
              </w:rPr>
              <w:t>Stock</w:t>
            </w: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7"/>
              </w:rPr>
              <w:t>Other</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Market or Payout</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17"/>
              <w:spacing w:after="0" w:line="135" w:lineRule="exact"/>
              <w:rPr>
                <w:sz w:val="20"/>
                <w:szCs w:val="20"/>
                <w:color w:val="auto"/>
              </w:rPr>
            </w:pPr>
            <w:r>
              <w:rPr>
                <w:rFonts w:ascii="Arial" w:cs="Arial" w:eastAsia="Arial" w:hAnsi="Arial"/>
                <w:sz w:val="12"/>
                <w:szCs w:val="12"/>
                <w:b w:val="1"/>
                <w:bCs w:val="1"/>
                <w:color w:val="auto"/>
                <w:w w:val="89"/>
              </w:rPr>
              <w:t>Underlying</w:t>
            </w:r>
          </w:p>
        </w:tc>
        <w:tc>
          <w:tcPr>
            <w:tcW w:w="2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9"/>
              </w:rPr>
              <w:t>Underlying</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3"/>
              </w:rPr>
              <w:t>Securities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ind w:right="257"/>
              <w:spacing w:after="0" w:line="135" w:lineRule="exact"/>
              <w:rPr>
                <w:sz w:val="20"/>
                <w:szCs w:val="20"/>
                <w:color w:val="auto"/>
              </w:rPr>
            </w:pPr>
            <w:r>
              <w:rPr>
                <w:rFonts w:ascii="Arial" w:cs="Arial" w:eastAsia="Arial" w:hAnsi="Arial"/>
                <w:sz w:val="12"/>
                <w:szCs w:val="12"/>
                <w:b w:val="1"/>
                <w:bCs w:val="1"/>
                <w:color w:val="auto"/>
                <w:w w:val="90"/>
              </w:rPr>
              <w:t>that</w:t>
            </w:r>
          </w:p>
        </w:tc>
        <w:tc>
          <w:tcPr>
            <w:tcW w:w="320" w:type="dxa"/>
            <w:vAlign w:val="bottom"/>
          </w:tcPr>
          <w:p>
            <w:pPr>
              <w:spacing w:after="0"/>
              <w:rPr>
                <w:sz w:val="11"/>
                <w:szCs w:val="11"/>
                <w:color w:val="auto"/>
              </w:rPr>
            </w:pPr>
          </w:p>
        </w:tc>
        <w:tc>
          <w:tcPr>
            <w:tcW w:w="70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90"/>
              </w:rPr>
              <w:t>that</w:t>
            </w: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5"/>
              </w:rPr>
              <w:t>Rights</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Value of Unearned</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4"/>
              </w:rPr>
              <w:t>Unexercised</w:t>
            </w:r>
          </w:p>
        </w:tc>
        <w:tc>
          <w:tcPr>
            <w:tcW w:w="28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86"/>
              </w:rPr>
              <w:t>Unexercised</w:t>
            </w:r>
          </w:p>
        </w:tc>
        <w:tc>
          <w:tcPr>
            <w:tcW w:w="180" w:type="dxa"/>
            <w:vAlign w:val="bottom"/>
          </w:tcPr>
          <w:p>
            <w:pPr>
              <w:spacing w:after="0"/>
              <w:rPr>
                <w:sz w:val="11"/>
                <w:szCs w:val="11"/>
                <w:color w:val="auto"/>
              </w:rPr>
            </w:pPr>
          </w:p>
        </w:tc>
        <w:tc>
          <w:tcPr>
            <w:tcW w:w="1240" w:type="dxa"/>
            <w:vAlign w:val="bottom"/>
            <w:gridSpan w:val="3"/>
          </w:tcPr>
          <w:p>
            <w:pPr>
              <w:jc w:val="center"/>
              <w:ind w:left="182"/>
              <w:spacing w:after="0" w:line="135" w:lineRule="exact"/>
              <w:rPr>
                <w:sz w:val="20"/>
                <w:szCs w:val="20"/>
                <w:color w:val="auto"/>
              </w:rPr>
            </w:pPr>
            <w:r>
              <w:rPr>
                <w:rFonts w:ascii="Arial" w:cs="Arial" w:eastAsia="Arial" w:hAnsi="Arial"/>
                <w:sz w:val="12"/>
                <w:szCs w:val="12"/>
                <w:b w:val="1"/>
                <w:bCs w:val="1"/>
                <w:color w:val="auto"/>
                <w:w w:val="89"/>
              </w:rPr>
              <w:t>Underlying</w:t>
            </w:r>
          </w:p>
        </w:tc>
        <w:tc>
          <w:tcPr>
            <w:tcW w:w="40" w:type="dxa"/>
            <w:vAlign w:val="bottom"/>
          </w:tcPr>
          <w:p>
            <w:pPr>
              <w:spacing w:after="0"/>
              <w:rPr>
                <w:sz w:val="11"/>
                <w:szCs w:val="11"/>
                <w:color w:val="auto"/>
              </w:rPr>
            </w:pPr>
          </w:p>
        </w:tc>
        <w:tc>
          <w:tcPr>
            <w:tcW w:w="760" w:type="dxa"/>
            <w:vAlign w:val="bottom"/>
            <w:gridSpan w:val="2"/>
          </w:tcPr>
          <w:p>
            <w:pPr>
              <w:jc w:val="center"/>
              <w:ind w:right="237"/>
              <w:spacing w:after="0" w:line="135" w:lineRule="exact"/>
              <w:rPr>
                <w:sz w:val="20"/>
                <w:szCs w:val="20"/>
                <w:color w:val="auto"/>
              </w:rPr>
            </w:pPr>
            <w:r>
              <w:rPr>
                <w:rFonts w:ascii="Arial" w:cs="Arial" w:eastAsia="Arial" w:hAnsi="Arial"/>
                <w:sz w:val="12"/>
                <w:szCs w:val="12"/>
                <w:b w:val="1"/>
                <w:bCs w:val="1"/>
                <w:color w:val="auto"/>
                <w:w w:val="87"/>
              </w:rPr>
              <w:t>Option</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90"/>
              </w:rPr>
              <w:t>Have</w:t>
            </w:r>
          </w:p>
        </w:tc>
        <w:tc>
          <w:tcPr>
            <w:tcW w:w="320" w:type="dxa"/>
            <w:vAlign w:val="bottom"/>
          </w:tcPr>
          <w:p>
            <w:pPr>
              <w:spacing w:after="0"/>
              <w:rPr>
                <w:sz w:val="11"/>
                <w:szCs w:val="11"/>
                <w:color w:val="auto"/>
              </w:rPr>
            </w:pPr>
          </w:p>
        </w:tc>
        <w:tc>
          <w:tcPr>
            <w:tcW w:w="700" w:type="dxa"/>
            <w:vAlign w:val="bottom"/>
            <w:gridSpan w:val="2"/>
          </w:tcPr>
          <w:p>
            <w:pPr>
              <w:jc w:val="center"/>
              <w:ind w:right="257"/>
              <w:spacing w:after="0" w:line="135" w:lineRule="exact"/>
              <w:rPr>
                <w:sz w:val="20"/>
                <w:szCs w:val="20"/>
                <w:color w:val="auto"/>
              </w:rPr>
            </w:pPr>
            <w:r>
              <w:rPr>
                <w:rFonts w:ascii="Arial" w:cs="Arial" w:eastAsia="Arial" w:hAnsi="Arial"/>
                <w:sz w:val="12"/>
                <w:szCs w:val="12"/>
                <w:b w:val="1"/>
                <w:bCs w:val="1"/>
                <w:color w:val="auto"/>
                <w:w w:val="90"/>
              </w:rPr>
              <w:t>Have</w:t>
            </w: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8"/>
              </w:rPr>
              <w:t>that Have</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5"/>
              </w:rPr>
              <w:t>Shares, Units, or</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17"/>
              <w:spacing w:after="0" w:line="135" w:lineRule="exact"/>
              <w:rPr>
                <w:sz w:val="20"/>
                <w:szCs w:val="20"/>
                <w:color w:val="auto"/>
              </w:rPr>
            </w:pPr>
            <w:r>
              <w:rPr>
                <w:rFonts w:ascii="Arial" w:cs="Arial" w:eastAsia="Arial" w:hAnsi="Arial"/>
                <w:sz w:val="12"/>
                <w:szCs w:val="12"/>
                <w:b w:val="1"/>
                <w:bCs w:val="1"/>
                <w:color w:val="auto"/>
                <w:w w:val="88"/>
              </w:rPr>
              <w:t>Options</w:t>
            </w:r>
          </w:p>
        </w:tc>
        <w:tc>
          <w:tcPr>
            <w:tcW w:w="2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1"/>
                <w:szCs w:val="11"/>
                <w:color w:val="auto"/>
              </w:rPr>
            </w:pPr>
          </w:p>
        </w:tc>
        <w:tc>
          <w:tcPr>
            <w:tcW w:w="1240" w:type="dxa"/>
            <w:vAlign w:val="bottom"/>
            <w:gridSpan w:val="3"/>
          </w:tcPr>
          <w:p>
            <w:pPr>
              <w:jc w:val="center"/>
              <w:ind w:left="182"/>
              <w:spacing w:after="0" w:line="135" w:lineRule="exact"/>
              <w:rPr>
                <w:sz w:val="20"/>
                <w:szCs w:val="20"/>
                <w:color w:val="auto"/>
              </w:rPr>
            </w:pPr>
            <w:r>
              <w:rPr>
                <w:rFonts w:ascii="Arial" w:cs="Arial" w:eastAsia="Arial" w:hAnsi="Arial"/>
                <w:sz w:val="12"/>
                <w:szCs w:val="12"/>
                <w:b w:val="1"/>
                <w:bCs w:val="1"/>
                <w:color w:val="auto"/>
                <w:w w:val="84"/>
              </w:rPr>
              <w:t>Unexercised</w:t>
            </w:r>
          </w:p>
        </w:tc>
        <w:tc>
          <w:tcPr>
            <w:tcW w:w="40" w:type="dxa"/>
            <w:vAlign w:val="bottom"/>
          </w:tcPr>
          <w:p>
            <w:pPr>
              <w:spacing w:after="0"/>
              <w:rPr>
                <w:sz w:val="11"/>
                <w:szCs w:val="11"/>
                <w:color w:val="auto"/>
              </w:rPr>
            </w:pPr>
          </w:p>
        </w:tc>
        <w:tc>
          <w:tcPr>
            <w:tcW w:w="76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4"/>
              </w:rPr>
              <w:t>Exercise</w:t>
            </w:r>
          </w:p>
        </w:tc>
        <w:tc>
          <w:tcPr>
            <w:tcW w:w="20" w:type="dxa"/>
            <w:vAlign w:val="bottom"/>
          </w:tcPr>
          <w:p>
            <w:pPr>
              <w:spacing w:after="0"/>
              <w:rPr>
                <w:sz w:val="11"/>
                <w:szCs w:val="11"/>
                <w:color w:val="auto"/>
              </w:rPr>
            </w:pPr>
          </w:p>
        </w:tc>
        <w:tc>
          <w:tcPr>
            <w:tcW w:w="11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auto"/>
                <w:w w:val="92"/>
              </w:rPr>
              <w:t>Option</w:t>
            </w:r>
          </w:p>
        </w:tc>
        <w:tc>
          <w:tcPr>
            <w:tcW w:w="340" w:type="dxa"/>
            <w:vAlign w:val="bottom"/>
          </w:tcPr>
          <w:p>
            <w:pPr>
              <w:spacing w:after="0"/>
              <w:rPr>
                <w:sz w:val="11"/>
                <w:szCs w:val="11"/>
                <w:color w:val="auto"/>
              </w:rPr>
            </w:pPr>
          </w:p>
        </w:tc>
        <w:tc>
          <w:tcPr>
            <w:tcW w:w="68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9"/>
              </w:rPr>
              <w:t>Not</w:t>
            </w:r>
          </w:p>
        </w:tc>
        <w:tc>
          <w:tcPr>
            <w:tcW w:w="320" w:type="dxa"/>
            <w:vAlign w:val="bottom"/>
          </w:tcPr>
          <w:p>
            <w:pPr>
              <w:spacing w:after="0"/>
              <w:rPr>
                <w:sz w:val="11"/>
                <w:szCs w:val="11"/>
                <w:color w:val="auto"/>
              </w:rPr>
            </w:pPr>
          </w:p>
        </w:tc>
        <w:tc>
          <w:tcPr>
            <w:tcW w:w="700" w:type="dxa"/>
            <w:vAlign w:val="bottom"/>
            <w:gridSpan w:val="2"/>
          </w:tcPr>
          <w:p>
            <w:pPr>
              <w:jc w:val="center"/>
              <w:ind w:right="257"/>
              <w:spacing w:after="0" w:line="135" w:lineRule="exact"/>
              <w:rPr>
                <w:sz w:val="20"/>
                <w:szCs w:val="20"/>
                <w:color w:val="auto"/>
              </w:rPr>
            </w:pPr>
            <w:r>
              <w:rPr>
                <w:rFonts w:ascii="Arial" w:cs="Arial" w:eastAsia="Arial" w:hAnsi="Arial"/>
                <w:sz w:val="12"/>
                <w:szCs w:val="12"/>
                <w:b w:val="1"/>
                <w:bCs w:val="1"/>
                <w:color w:val="auto"/>
                <w:w w:val="89"/>
              </w:rPr>
              <w:t>Not</w:t>
            </w: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99"/>
              </w:rPr>
              <w:t>Not</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Other Rights that</w:t>
            </w:r>
          </w:p>
        </w:tc>
        <w:tc>
          <w:tcPr>
            <w:tcW w:w="0" w:type="dxa"/>
            <w:vAlign w:val="bottom"/>
          </w:tcPr>
          <w:p>
            <w:pPr>
              <w:spacing w:after="0"/>
              <w:rPr>
                <w:sz w:val="1"/>
                <w:szCs w:val="1"/>
                <w:color w:val="auto"/>
              </w:rPr>
            </w:pPr>
          </w:p>
        </w:tc>
      </w:tr>
      <w:tr>
        <w:trPr>
          <w:trHeight w:val="135"/>
        </w:trPr>
        <w:tc>
          <w:tcPr>
            <w:tcW w:w="162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Name &amp; Principal</w:t>
            </w:r>
          </w:p>
        </w:tc>
        <w:tc>
          <w:tcPr>
            <w:tcW w:w="980" w:type="dxa"/>
            <w:vAlign w:val="bottom"/>
            <w:gridSpan w:val="3"/>
          </w:tcPr>
          <w:p>
            <w:pPr>
              <w:jc w:val="center"/>
              <w:ind w:left="338"/>
              <w:spacing w:after="0" w:line="135" w:lineRule="exact"/>
              <w:rPr>
                <w:sz w:val="20"/>
                <w:szCs w:val="20"/>
                <w:color w:val="auto"/>
              </w:rPr>
            </w:pPr>
            <w:r>
              <w:rPr>
                <w:rFonts w:ascii="Arial" w:cs="Arial" w:eastAsia="Arial" w:hAnsi="Arial"/>
                <w:sz w:val="12"/>
                <w:szCs w:val="12"/>
                <w:b w:val="1"/>
                <w:bCs w:val="1"/>
                <w:color w:val="auto"/>
                <w:w w:val="95"/>
              </w:rPr>
              <w:t>(#)</w:t>
            </w:r>
          </w:p>
        </w:tc>
        <w:tc>
          <w:tcPr>
            <w:tcW w:w="300" w:type="dxa"/>
            <w:vAlign w:val="bottom"/>
          </w:tcPr>
          <w:p>
            <w:pPr>
              <w:spacing w:after="0"/>
              <w:rPr>
                <w:sz w:val="11"/>
                <w:szCs w:val="11"/>
                <w:color w:val="auto"/>
              </w:rPr>
            </w:pPr>
          </w:p>
        </w:tc>
        <w:tc>
          <w:tcPr>
            <w:tcW w:w="980" w:type="dxa"/>
            <w:vAlign w:val="bottom"/>
            <w:gridSpan w:val="2"/>
          </w:tcPr>
          <w:p>
            <w:pPr>
              <w:jc w:val="center"/>
              <w:ind w:left="218"/>
              <w:spacing w:after="0" w:line="135" w:lineRule="exact"/>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Unearned</w:t>
            </w:r>
          </w:p>
        </w:tc>
        <w:tc>
          <w:tcPr>
            <w:tcW w:w="40" w:type="dxa"/>
            <w:vAlign w:val="bottom"/>
          </w:tcPr>
          <w:p>
            <w:pPr>
              <w:spacing w:after="0"/>
              <w:rPr>
                <w:sz w:val="11"/>
                <w:szCs w:val="11"/>
                <w:color w:val="auto"/>
              </w:rPr>
            </w:pPr>
          </w:p>
        </w:tc>
        <w:tc>
          <w:tcPr>
            <w:tcW w:w="76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8"/>
              </w:rPr>
              <w:t>Price</w:t>
            </w:r>
          </w:p>
        </w:tc>
        <w:tc>
          <w:tcPr>
            <w:tcW w:w="20" w:type="dxa"/>
            <w:vAlign w:val="bottom"/>
          </w:tcPr>
          <w:p>
            <w:pPr>
              <w:spacing w:after="0"/>
              <w:rPr>
                <w:sz w:val="11"/>
                <w:szCs w:val="11"/>
                <w:color w:val="auto"/>
              </w:rPr>
            </w:pPr>
          </w:p>
        </w:tc>
        <w:tc>
          <w:tcPr>
            <w:tcW w:w="1100" w:type="dxa"/>
            <w:vAlign w:val="bottom"/>
            <w:gridSpan w:val="3"/>
          </w:tcPr>
          <w:p>
            <w:pPr>
              <w:jc w:val="center"/>
              <w:ind w:right="400"/>
              <w:spacing w:after="0" w:line="135" w:lineRule="exact"/>
              <w:rPr>
                <w:sz w:val="20"/>
                <w:szCs w:val="20"/>
                <w:color w:val="auto"/>
              </w:rPr>
            </w:pPr>
            <w:r>
              <w:rPr>
                <w:rFonts w:ascii="Arial" w:cs="Arial" w:eastAsia="Arial" w:hAnsi="Arial"/>
                <w:sz w:val="12"/>
                <w:szCs w:val="12"/>
                <w:b w:val="1"/>
                <w:bCs w:val="1"/>
                <w:color w:val="auto"/>
                <w:w w:val="91"/>
              </w:rPr>
              <w:t>Expiration</w:t>
            </w:r>
          </w:p>
        </w:tc>
        <w:tc>
          <w:tcPr>
            <w:tcW w:w="340" w:type="dxa"/>
            <w:vAlign w:val="bottom"/>
          </w:tcPr>
          <w:p>
            <w:pPr>
              <w:spacing w:after="0"/>
              <w:rPr>
                <w:sz w:val="11"/>
                <w:szCs w:val="11"/>
                <w:color w:val="auto"/>
              </w:rPr>
            </w:pPr>
          </w:p>
        </w:tc>
        <w:tc>
          <w:tcPr>
            <w:tcW w:w="68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6"/>
              </w:rPr>
              <w:t>Vested</w:t>
            </w:r>
          </w:p>
        </w:tc>
        <w:tc>
          <w:tcPr>
            <w:tcW w:w="320" w:type="dxa"/>
            <w:vAlign w:val="bottom"/>
          </w:tcPr>
          <w:p>
            <w:pPr>
              <w:spacing w:after="0"/>
              <w:rPr>
                <w:sz w:val="11"/>
                <w:szCs w:val="11"/>
                <w:color w:val="auto"/>
              </w:rPr>
            </w:pPr>
          </w:p>
        </w:tc>
        <w:tc>
          <w:tcPr>
            <w:tcW w:w="70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1"/>
              </w:rPr>
              <w:t>Vested</w:t>
            </w:r>
          </w:p>
        </w:tc>
        <w:tc>
          <w:tcPr>
            <w:tcW w:w="38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1"/>
              </w:rPr>
              <w:t>Vested</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6"/>
              </w:rPr>
              <w:t>Have Not Vested</w:t>
            </w:r>
          </w:p>
        </w:tc>
        <w:tc>
          <w:tcPr>
            <w:tcW w:w="0" w:type="dxa"/>
            <w:vAlign w:val="bottom"/>
          </w:tcPr>
          <w:p>
            <w:pPr>
              <w:spacing w:after="0"/>
              <w:rPr>
                <w:sz w:val="1"/>
                <w:szCs w:val="1"/>
                <w:color w:val="auto"/>
              </w:rPr>
            </w:pPr>
          </w:p>
        </w:tc>
      </w:tr>
      <w:tr>
        <w:trPr>
          <w:trHeight w:val="130"/>
        </w:trPr>
        <w:tc>
          <w:tcPr>
            <w:tcW w:w="162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rPr>
              <w:t>Position</w:t>
            </w:r>
          </w:p>
        </w:tc>
        <w:tc>
          <w:tcPr>
            <w:tcW w:w="120" w:type="dxa"/>
            <w:vAlign w:val="bottom"/>
          </w:tcPr>
          <w:p>
            <w:pPr>
              <w:spacing w:after="0"/>
              <w:rPr>
                <w:sz w:val="11"/>
                <w:szCs w:val="11"/>
                <w:color w:val="auto"/>
              </w:rPr>
            </w:pPr>
          </w:p>
        </w:tc>
        <w:tc>
          <w:tcPr>
            <w:tcW w:w="116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86"/>
              </w:rPr>
              <w:t>Exercisable</w:t>
            </w:r>
          </w:p>
        </w:tc>
        <w:tc>
          <w:tcPr>
            <w:tcW w:w="1000" w:type="dxa"/>
            <w:vAlign w:val="bottom"/>
            <w:gridSpan w:val="3"/>
          </w:tcPr>
          <w:p>
            <w:pPr>
              <w:jc w:val="center"/>
              <w:ind w:left="198"/>
              <w:spacing w:after="0" w:line="130" w:lineRule="exact"/>
              <w:rPr>
                <w:sz w:val="20"/>
                <w:szCs w:val="20"/>
                <w:color w:val="auto"/>
              </w:rPr>
            </w:pPr>
            <w:r>
              <w:rPr>
                <w:rFonts w:ascii="Arial" w:cs="Arial" w:eastAsia="Arial" w:hAnsi="Arial"/>
                <w:sz w:val="12"/>
                <w:szCs w:val="12"/>
                <w:b w:val="1"/>
                <w:bCs w:val="1"/>
                <w:color w:val="auto"/>
                <w:w w:val="85"/>
              </w:rPr>
              <w:t>Unexercisable</w:t>
            </w:r>
          </w:p>
        </w:tc>
        <w:tc>
          <w:tcPr>
            <w:tcW w:w="180" w:type="dxa"/>
            <w:vAlign w:val="bottom"/>
          </w:tcPr>
          <w:p>
            <w:pPr>
              <w:spacing w:after="0"/>
              <w:rPr>
                <w:sz w:val="11"/>
                <w:szCs w:val="11"/>
                <w:color w:val="auto"/>
              </w:rPr>
            </w:pPr>
          </w:p>
        </w:tc>
        <w:tc>
          <w:tcPr>
            <w:tcW w:w="1240" w:type="dxa"/>
            <w:vAlign w:val="bottom"/>
            <w:gridSpan w:val="3"/>
          </w:tcPr>
          <w:p>
            <w:pPr>
              <w:jc w:val="center"/>
              <w:ind w:left="182"/>
              <w:spacing w:after="0" w:line="130" w:lineRule="exact"/>
              <w:rPr>
                <w:sz w:val="20"/>
                <w:szCs w:val="20"/>
                <w:color w:val="auto"/>
              </w:rPr>
            </w:pPr>
            <w:r>
              <w:rPr>
                <w:rFonts w:ascii="Arial" w:cs="Arial" w:eastAsia="Arial" w:hAnsi="Arial"/>
                <w:sz w:val="12"/>
                <w:szCs w:val="12"/>
                <w:b w:val="1"/>
                <w:bCs w:val="1"/>
                <w:color w:val="auto"/>
                <w:w w:val="88"/>
              </w:rPr>
              <w:t>Options (#)</w:t>
            </w:r>
          </w:p>
        </w:tc>
        <w:tc>
          <w:tcPr>
            <w:tcW w:w="800" w:type="dxa"/>
            <w:vAlign w:val="bottom"/>
            <w:gridSpan w:val="3"/>
          </w:tcPr>
          <w:p>
            <w:pPr>
              <w:jc w:val="center"/>
              <w:ind w:right="237"/>
              <w:spacing w:after="0" w:line="130" w:lineRule="exact"/>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1"/>
                <w:szCs w:val="11"/>
                <w:color w:val="auto"/>
              </w:rPr>
            </w:pPr>
          </w:p>
        </w:tc>
        <w:tc>
          <w:tcPr>
            <w:tcW w:w="1100" w:type="dxa"/>
            <w:vAlign w:val="bottom"/>
            <w:gridSpan w:val="3"/>
          </w:tcPr>
          <w:p>
            <w:pPr>
              <w:jc w:val="center"/>
              <w:ind w:right="460"/>
              <w:spacing w:after="0" w:line="130" w:lineRule="exact"/>
              <w:rPr>
                <w:sz w:val="20"/>
                <w:szCs w:val="20"/>
                <w:color w:val="auto"/>
              </w:rPr>
            </w:pPr>
            <w:r>
              <w:rPr>
                <w:rFonts w:ascii="Arial" w:cs="Arial" w:eastAsia="Arial" w:hAnsi="Arial"/>
                <w:sz w:val="12"/>
                <w:szCs w:val="12"/>
                <w:b w:val="1"/>
                <w:bCs w:val="1"/>
                <w:color w:val="auto"/>
                <w:w w:val="92"/>
              </w:rPr>
              <w:t>Date</w:t>
            </w:r>
          </w:p>
        </w:tc>
        <w:tc>
          <w:tcPr>
            <w:tcW w:w="1020" w:type="dxa"/>
            <w:vAlign w:val="bottom"/>
            <w:gridSpan w:val="3"/>
          </w:tcPr>
          <w:p>
            <w:pPr>
              <w:jc w:val="right"/>
              <w:ind w:right="257"/>
              <w:spacing w:after="0" w:line="130" w:lineRule="exact"/>
              <w:rPr>
                <w:sz w:val="20"/>
                <w:szCs w:val="20"/>
                <w:color w:val="auto"/>
              </w:rPr>
            </w:pPr>
            <w:r>
              <w:rPr>
                <w:rFonts w:ascii="Arial" w:cs="Arial" w:eastAsia="Arial" w:hAnsi="Arial"/>
                <w:sz w:val="12"/>
                <w:szCs w:val="12"/>
                <w:b w:val="1"/>
                <w:bCs w:val="1"/>
                <w:color w:val="auto"/>
              </w:rPr>
              <w:t>(#)(1)</w:t>
            </w:r>
          </w:p>
        </w:tc>
        <w:tc>
          <w:tcPr>
            <w:tcW w:w="1020" w:type="dxa"/>
            <w:vAlign w:val="bottom"/>
            <w:gridSpan w:val="3"/>
          </w:tcPr>
          <w:p>
            <w:pPr>
              <w:jc w:val="right"/>
              <w:ind w:right="277"/>
              <w:spacing w:after="0" w:line="130" w:lineRule="exact"/>
              <w:rPr>
                <w:sz w:val="20"/>
                <w:szCs w:val="20"/>
                <w:color w:val="auto"/>
              </w:rPr>
            </w:pPr>
            <w:r>
              <w:rPr>
                <w:rFonts w:ascii="Arial" w:cs="Arial" w:eastAsia="Arial" w:hAnsi="Arial"/>
                <w:sz w:val="12"/>
                <w:szCs w:val="12"/>
                <w:b w:val="1"/>
                <w:bCs w:val="1"/>
                <w:color w:val="auto"/>
              </w:rPr>
              <w:t>($)(2)</w:t>
            </w:r>
          </w:p>
        </w:tc>
        <w:tc>
          <w:tcPr>
            <w:tcW w:w="1100" w:type="dxa"/>
            <w:vAlign w:val="bottom"/>
            <w:gridSpan w:val="3"/>
          </w:tcPr>
          <w:p>
            <w:pPr>
              <w:jc w:val="right"/>
              <w:ind w:right="297"/>
              <w:spacing w:after="0" w:line="130" w:lineRule="exact"/>
              <w:rPr>
                <w:sz w:val="20"/>
                <w:szCs w:val="20"/>
                <w:color w:val="auto"/>
              </w:rPr>
            </w:pPr>
            <w:r>
              <w:rPr>
                <w:rFonts w:ascii="Arial" w:cs="Arial" w:eastAsia="Arial" w:hAnsi="Arial"/>
                <w:sz w:val="12"/>
                <w:szCs w:val="12"/>
                <w:b w:val="1"/>
                <w:bCs w:val="1"/>
                <w:color w:val="auto"/>
              </w:rPr>
              <w:t>(#)(3)</w:t>
            </w:r>
          </w:p>
        </w:tc>
        <w:tc>
          <w:tcPr>
            <w:tcW w:w="1040" w:type="dxa"/>
            <w:vAlign w:val="bottom"/>
            <w:gridSpan w:val="3"/>
          </w:tcPr>
          <w:p>
            <w:pPr>
              <w:ind w:left="440"/>
              <w:spacing w:after="0" w:line="130" w:lineRule="exact"/>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Jonas Prising</w:t>
            </w:r>
          </w:p>
        </w:tc>
        <w:tc>
          <w:tcPr>
            <w:tcW w:w="1280" w:type="dxa"/>
            <w:vAlign w:val="bottom"/>
            <w:gridSpan w:val="4"/>
            <w:shd w:val="clear" w:color="auto" w:fill="CCEEFF"/>
          </w:tcPr>
          <w:p>
            <w:pPr>
              <w:jc w:val="right"/>
              <w:ind w:right="57"/>
              <w:spacing w:after="0"/>
              <w:rPr>
                <w:sz w:val="20"/>
                <w:szCs w:val="20"/>
                <w:color w:val="auto"/>
              </w:rPr>
            </w:pPr>
            <w:r>
              <w:rPr>
                <w:rFonts w:ascii="Arial" w:cs="Arial" w:eastAsia="Arial" w:hAnsi="Arial"/>
                <w:sz w:val="13"/>
                <w:szCs w:val="13"/>
                <w:color w:val="auto"/>
              </w:rPr>
              <w:t>30,000</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$56.64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2/20/2018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CEO</w:t>
            </w:r>
          </w:p>
        </w:tc>
        <w:tc>
          <w:tcPr>
            <w:tcW w:w="120" w:type="dxa"/>
            <w:vAlign w:val="bottom"/>
            <w:shd w:val="clear" w:color="auto" w:fill="CCEEFF"/>
          </w:tcPr>
          <w:p>
            <w:pPr>
              <w:spacing w:after="0"/>
              <w:rPr>
                <w:sz w:val="16"/>
                <w:szCs w:val="16"/>
                <w:color w:val="auto"/>
              </w:rPr>
            </w:pPr>
          </w:p>
        </w:tc>
        <w:tc>
          <w:tcPr>
            <w:tcW w:w="116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22,000</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$53.01</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2/18/2020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6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gridSpan w:val="3"/>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800" w:type="dxa"/>
            <w:vAlign w:val="bottom"/>
            <w:gridSpan w:val="3"/>
            <w:vMerge w:val="continue"/>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9,934</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$67.12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2/16/2021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12,609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4,203</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(4)</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$44.81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2/15/2022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12,441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12,442</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(5)</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$52.55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2/13/2023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3,920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11,761</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(6)</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$76.13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2/11/2024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6,627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19,883</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(7)</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$82.24</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5/1/2024</w:t>
            </w: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52,078</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(8)</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$76.97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2/10/2025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16,191 (10)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$1,364,739</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5,972 (9)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$503,380</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29,859 (16)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$2,516,815</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5,423 (11)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$457,105</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9,035 (13)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$761,560</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14,930 (15)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$1,258,450</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31,526 (17)</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w w:val="89"/>
              </w:rPr>
              <w:t>$2,657,327</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52,530 (17)</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w w:val="89"/>
              </w:rPr>
              <w:t>$4,427,754</w:t>
            </w: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87,932 (19)</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w w:val="86"/>
              </w:rPr>
              <w:t>$7,411,788</w:t>
            </w:r>
          </w:p>
        </w:tc>
        <w:tc>
          <w:tcPr>
            <w:tcW w:w="0" w:type="dxa"/>
            <w:vAlign w:val="bottom"/>
          </w:tcPr>
          <w:p>
            <w:pPr>
              <w:spacing w:after="0"/>
              <w:rPr>
                <w:sz w:val="1"/>
                <w:szCs w:val="1"/>
                <w:color w:val="auto"/>
              </w:rPr>
            </w:pPr>
          </w:p>
        </w:tc>
      </w:tr>
      <w:tr>
        <w:trPr>
          <w:trHeight w:val="97"/>
        </w:trPr>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20" w:type="dxa"/>
            <w:vAlign w:val="bottom"/>
            <w:gridSpan w:val="3"/>
          </w:tcPr>
          <w:p>
            <w:pPr>
              <w:ind w:left="40"/>
              <w:spacing w:after="0"/>
              <w:rPr>
                <w:sz w:val="20"/>
                <w:szCs w:val="20"/>
                <w:color w:val="auto"/>
              </w:rPr>
            </w:pPr>
            <w:r>
              <w:rPr>
                <w:rFonts w:ascii="Arial" w:cs="Arial" w:eastAsia="Arial" w:hAnsi="Arial"/>
                <w:sz w:val="13"/>
                <w:szCs w:val="13"/>
                <w:color w:val="auto"/>
              </w:rPr>
              <w:t>Michael J. Van Handel</w:t>
            </w:r>
          </w:p>
        </w:tc>
        <w:tc>
          <w:tcPr>
            <w:tcW w:w="1280" w:type="dxa"/>
            <w:vAlign w:val="bottom"/>
            <w:gridSpan w:val="4"/>
          </w:tcPr>
          <w:p>
            <w:pPr>
              <w:jc w:val="right"/>
              <w:ind w:right="57"/>
              <w:spacing w:after="0"/>
              <w:rPr>
                <w:sz w:val="20"/>
                <w:szCs w:val="20"/>
                <w:color w:val="auto"/>
              </w:rPr>
            </w:pPr>
            <w:r>
              <w:rPr>
                <w:rFonts w:ascii="Arial" w:cs="Arial" w:eastAsia="Arial" w:hAnsi="Arial"/>
                <w:sz w:val="13"/>
                <w:szCs w:val="13"/>
                <w:color w:val="auto"/>
              </w:rPr>
              <w:t>51,000</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$53.01</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2/18/2020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620" w:type="dxa"/>
            <w:vAlign w:val="bottom"/>
            <w:gridSpan w:val="3"/>
          </w:tcPr>
          <w:p>
            <w:pPr>
              <w:ind w:left="180"/>
              <w:spacing w:after="0"/>
              <w:rPr>
                <w:sz w:val="20"/>
                <w:szCs w:val="20"/>
                <w:color w:val="auto"/>
              </w:rPr>
            </w:pPr>
            <w:r>
              <w:rPr>
                <w:rFonts w:ascii="Arial" w:cs="Arial" w:eastAsia="Arial" w:hAnsi="Arial"/>
                <w:sz w:val="13"/>
                <w:szCs w:val="13"/>
                <w:color w:val="auto"/>
              </w:rPr>
              <w:t>CFO</w:t>
            </w:r>
          </w:p>
        </w:tc>
        <w:tc>
          <w:tcPr>
            <w:tcW w:w="1280" w:type="dxa"/>
            <w:vAlign w:val="bottom"/>
            <w:gridSpan w:val="4"/>
            <w:vMerge w:val="restart"/>
          </w:tcPr>
          <w:p>
            <w:pPr>
              <w:jc w:val="right"/>
              <w:ind w:right="57"/>
              <w:spacing w:after="0"/>
              <w:rPr>
                <w:sz w:val="20"/>
                <w:szCs w:val="20"/>
                <w:color w:val="auto"/>
              </w:rPr>
            </w:pPr>
            <w:r>
              <w:rPr>
                <w:rFonts w:ascii="Arial" w:cs="Arial" w:eastAsia="Arial" w:hAnsi="Arial"/>
                <w:sz w:val="13"/>
                <w:szCs w:val="13"/>
                <w:color w:val="auto"/>
              </w:rPr>
              <w:t>24,835</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16"/>
                <w:szCs w:val="16"/>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$67.12</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color w:val="auto"/>
              </w:rPr>
              <w:t>2/16/2021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9,553</w:t>
            </w: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5"/>
              </w:rPr>
              <w:t>(4)</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$44.81</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2/15/2022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20,736</w:t>
            </w: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5"/>
              </w:rPr>
              <w:t>(5)</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$52.55</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2/13/2023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gridSpan w:val="4"/>
          </w:tcPr>
          <w:p>
            <w:pPr>
              <w:jc w:val="right"/>
              <w:ind w:right="57"/>
              <w:spacing w:after="0"/>
              <w:rPr>
                <w:sz w:val="20"/>
                <w:szCs w:val="20"/>
                <w:color w:val="auto"/>
              </w:rPr>
            </w:pPr>
            <w:r>
              <w:rPr>
                <w:rFonts w:ascii="Arial" w:cs="Arial" w:eastAsia="Arial" w:hAnsi="Arial"/>
                <w:sz w:val="13"/>
                <w:szCs w:val="13"/>
                <w:color w:val="auto"/>
              </w:rPr>
              <w:t>5,096</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15,289</w:t>
            </w: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5"/>
              </w:rPr>
              <w:t>(6)</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$76.13</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2/11/2024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24,008</w:t>
            </w: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5"/>
              </w:rPr>
              <w:t>(8)</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$76.97</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2/10/2025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9,953 (9)</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$838,938</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7,050 (11)</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$594,245</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6,883 (15)</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$580,168</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7"/>
              <w:spacing w:after="0"/>
              <w:rPr>
                <w:sz w:val="20"/>
                <w:szCs w:val="20"/>
                <w:color w:val="auto"/>
              </w:rPr>
            </w:pPr>
            <w:r>
              <w:rPr>
                <w:rFonts w:ascii="Arial" w:cs="Arial" w:eastAsia="Arial" w:hAnsi="Arial"/>
                <w:sz w:val="13"/>
                <w:szCs w:val="13"/>
                <w:color w:val="auto"/>
              </w:rPr>
              <w:t>40,984 (17)</w:t>
            </w:r>
          </w:p>
        </w:tc>
        <w:tc>
          <w:tcPr>
            <w:tcW w:w="1040" w:type="dxa"/>
            <w:vAlign w:val="bottom"/>
            <w:gridSpan w:val="3"/>
          </w:tcPr>
          <w:p>
            <w:pPr>
              <w:ind w:left="440"/>
              <w:spacing w:after="0"/>
              <w:rPr>
                <w:sz w:val="20"/>
                <w:szCs w:val="20"/>
                <w:color w:val="auto"/>
              </w:rPr>
            </w:pPr>
            <w:r>
              <w:rPr>
                <w:rFonts w:ascii="Arial" w:cs="Arial" w:eastAsia="Arial" w:hAnsi="Arial"/>
                <w:sz w:val="13"/>
                <w:szCs w:val="13"/>
                <w:color w:val="auto"/>
                <w:w w:val="89"/>
              </w:rPr>
              <w:t>$3,454,541</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7"/>
              <w:spacing w:after="0"/>
              <w:rPr>
                <w:sz w:val="20"/>
                <w:szCs w:val="20"/>
                <w:color w:val="auto"/>
              </w:rPr>
            </w:pPr>
            <w:r>
              <w:rPr>
                <w:rFonts w:ascii="Arial" w:cs="Arial" w:eastAsia="Arial" w:hAnsi="Arial"/>
                <w:sz w:val="13"/>
                <w:szCs w:val="13"/>
                <w:color w:val="auto"/>
              </w:rPr>
              <w:t>40,536 (19)</w:t>
            </w:r>
          </w:p>
        </w:tc>
        <w:tc>
          <w:tcPr>
            <w:tcW w:w="1040" w:type="dxa"/>
            <w:vAlign w:val="bottom"/>
            <w:gridSpan w:val="3"/>
          </w:tcPr>
          <w:p>
            <w:pPr>
              <w:ind w:left="440"/>
              <w:spacing w:after="0"/>
              <w:rPr>
                <w:sz w:val="20"/>
                <w:szCs w:val="20"/>
                <w:color w:val="auto"/>
              </w:rPr>
            </w:pPr>
            <w:r>
              <w:rPr>
                <w:rFonts w:ascii="Arial" w:cs="Arial" w:eastAsia="Arial" w:hAnsi="Arial"/>
                <w:sz w:val="13"/>
                <w:szCs w:val="13"/>
                <w:color w:val="auto"/>
                <w:w w:val="89"/>
              </w:rPr>
              <w:t>$3,416,779</w:t>
            </w: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Darryl Green</w:t>
            </w:r>
          </w:p>
        </w:tc>
        <w:tc>
          <w:tcPr>
            <w:tcW w:w="1280" w:type="dxa"/>
            <w:vAlign w:val="bottom"/>
            <w:gridSpan w:val="4"/>
            <w:shd w:val="clear" w:color="auto" w:fill="CCEEFF"/>
          </w:tcPr>
          <w:p>
            <w:pPr>
              <w:jc w:val="right"/>
              <w:ind w:right="57"/>
              <w:spacing w:after="0"/>
              <w:rPr>
                <w:sz w:val="20"/>
                <w:szCs w:val="20"/>
                <w:color w:val="auto"/>
              </w:rPr>
            </w:pPr>
            <w:r>
              <w:rPr>
                <w:rFonts w:ascii="Arial" w:cs="Arial" w:eastAsia="Arial" w:hAnsi="Arial"/>
                <w:sz w:val="13"/>
                <w:szCs w:val="13"/>
                <w:color w:val="auto"/>
              </w:rPr>
              <w:t>20,000</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$93.24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5/28/2017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President &amp; COO</w:t>
            </w:r>
          </w:p>
        </w:tc>
        <w:tc>
          <w:tcPr>
            <w:tcW w:w="120" w:type="dxa"/>
            <w:vAlign w:val="bottom"/>
            <w:shd w:val="clear" w:color="auto" w:fill="CCEEFF"/>
          </w:tcPr>
          <w:p>
            <w:pPr>
              <w:spacing w:after="0"/>
              <w:rPr>
                <w:sz w:val="16"/>
                <w:szCs w:val="16"/>
                <w:color w:val="auto"/>
              </w:rPr>
            </w:pPr>
          </w:p>
        </w:tc>
        <w:tc>
          <w:tcPr>
            <w:tcW w:w="116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18,875</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$67.12</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2/16/2021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6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gridSpan w:val="3"/>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800" w:type="dxa"/>
            <w:vAlign w:val="bottom"/>
            <w:gridSpan w:val="3"/>
            <w:vMerge w:val="continue"/>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4,203</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(4)</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$44.81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2/15/2022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12,441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12,442</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(5)</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$52.55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2/13/2023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3,920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11,761</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(6)</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$76.13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2/11/2024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2,761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8,285</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(7)</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$82.24</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5/1/2024</w:t>
            </w: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32,318</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(8)</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$76.97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2/10/2025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5,972 (9)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$503,380</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5,423 (11)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$457,105</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3,764 (13)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$317,268</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9,265 (15)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$780,947</w:t>
            </w: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31,526 (17)</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w w:val="89"/>
              </w:rPr>
              <w:t>$2,657,327</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21,888 (17)</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w w:val="89"/>
              </w:rPr>
              <w:t>$1,844,940</w:t>
            </w: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54,568 (19)</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w w:val="89"/>
              </w:rPr>
              <w:t>$4,599,537</w:t>
            </w:r>
          </w:p>
        </w:tc>
        <w:tc>
          <w:tcPr>
            <w:tcW w:w="0" w:type="dxa"/>
            <w:vAlign w:val="bottom"/>
          </w:tcPr>
          <w:p>
            <w:pPr>
              <w:spacing w:after="0"/>
              <w:rPr>
                <w:sz w:val="1"/>
                <w:szCs w:val="1"/>
                <w:color w:val="auto"/>
              </w:rPr>
            </w:pPr>
          </w:p>
        </w:tc>
      </w:tr>
      <w:tr>
        <w:trPr>
          <w:trHeight w:val="97"/>
        </w:trPr>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Option Awards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4"/>
          </w:tcPr>
          <w:p>
            <w:pPr>
              <w:jc w:val="right"/>
              <w:ind w:right="617"/>
              <w:spacing w:after="0"/>
              <w:rPr>
                <w:sz w:val="20"/>
                <w:szCs w:val="20"/>
                <w:color w:val="auto"/>
              </w:rPr>
            </w:pPr>
            <w:r>
              <w:rPr>
                <w:rFonts w:ascii="Arial" w:cs="Arial" w:eastAsia="Arial" w:hAnsi="Arial"/>
                <w:sz w:val="12"/>
                <w:szCs w:val="12"/>
                <w:b w:val="1"/>
                <w:bCs w:val="1"/>
                <w:color w:val="auto"/>
                <w:w w:val="93"/>
              </w:rPr>
              <w:t>Stock Awards</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97"/>
              <w:spacing w:after="0"/>
              <w:rPr>
                <w:sz w:val="20"/>
                <w:szCs w:val="20"/>
                <w:color w:val="auto"/>
              </w:rPr>
            </w:pPr>
            <w:r>
              <w:rPr>
                <w:rFonts w:ascii="Arial" w:cs="Arial" w:eastAsia="Arial" w:hAnsi="Arial"/>
                <w:sz w:val="12"/>
                <w:szCs w:val="12"/>
                <w:b w:val="1"/>
                <w:bCs w:val="1"/>
                <w:color w:val="auto"/>
                <w:w w:val="87"/>
              </w:rPr>
              <w:t>Equity</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92"/>
              </w:rPr>
              <w:t>Incentive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94"/>
              </w:rPr>
              <w:t>Plan</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3"/>
          </w:tcPr>
          <w:p>
            <w:pPr>
              <w:jc w:val="center"/>
              <w:ind w:right="77"/>
              <w:spacing w:after="0" w:line="135" w:lineRule="exact"/>
              <w:rPr>
                <w:sz w:val="20"/>
                <w:szCs w:val="20"/>
                <w:color w:val="auto"/>
              </w:rPr>
            </w:pPr>
            <w:r>
              <w:rPr>
                <w:rFonts w:ascii="Arial" w:cs="Arial" w:eastAsia="Arial" w:hAnsi="Arial"/>
                <w:sz w:val="12"/>
                <w:szCs w:val="12"/>
                <w:b w:val="1"/>
                <w:bCs w:val="1"/>
                <w:color w:val="auto"/>
                <w:w w:val="88"/>
              </w:rPr>
              <w:t>Awards:</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tcPr>
          <w:p>
            <w:pPr>
              <w:jc w:val="center"/>
              <w:ind w:right="157"/>
              <w:spacing w:after="0" w:line="135" w:lineRule="exact"/>
              <w:rPr>
                <w:sz w:val="20"/>
                <w:szCs w:val="20"/>
                <w:color w:val="auto"/>
              </w:rPr>
            </w:pPr>
            <w:r>
              <w:rPr>
                <w:rFonts w:ascii="Arial" w:cs="Arial" w:eastAsia="Arial" w:hAnsi="Arial"/>
                <w:sz w:val="12"/>
                <w:szCs w:val="12"/>
                <w:b w:val="1"/>
                <w:bCs w:val="1"/>
                <w:color w:val="auto"/>
                <w:w w:val="98"/>
              </w:rPr>
              <w:t>Market</w:t>
            </w: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88"/>
              </w:rPr>
              <w:t>Number</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Equity</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117"/>
              <w:spacing w:after="0" w:line="135" w:lineRule="exact"/>
              <w:rPr>
                <w:sz w:val="20"/>
                <w:szCs w:val="20"/>
                <w:color w:val="auto"/>
              </w:rPr>
            </w:pPr>
            <w:r>
              <w:rPr>
                <w:rFonts w:ascii="Arial" w:cs="Arial" w:eastAsia="Arial" w:hAnsi="Arial"/>
                <w:sz w:val="12"/>
                <w:szCs w:val="12"/>
                <w:b w:val="1"/>
                <w:bCs w:val="1"/>
                <w:color w:val="auto"/>
                <w:w w:val="92"/>
              </w:rPr>
              <w:t>Number</w:t>
            </w:r>
          </w:p>
        </w:tc>
        <w:tc>
          <w:tcPr>
            <w:tcW w:w="240" w:type="dxa"/>
            <w:vAlign w:val="bottom"/>
          </w:tcPr>
          <w:p>
            <w:pPr>
              <w:spacing w:after="0"/>
              <w:rPr>
                <w:sz w:val="11"/>
                <w:szCs w:val="11"/>
                <w:color w:val="auto"/>
              </w:rPr>
            </w:pPr>
          </w:p>
        </w:tc>
        <w:tc>
          <w:tcPr>
            <w:tcW w:w="840" w:type="dxa"/>
            <w:vAlign w:val="bottom"/>
            <w:gridSpan w:val="2"/>
          </w:tcPr>
          <w:p>
            <w:pPr>
              <w:jc w:val="center"/>
              <w:ind w:right="417"/>
              <w:spacing w:after="0" w:line="135" w:lineRule="exact"/>
              <w:rPr>
                <w:sz w:val="20"/>
                <w:szCs w:val="20"/>
                <w:color w:val="auto"/>
              </w:rPr>
            </w:pPr>
            <w:r>
              <w:rPr>
                <w:rFonts w:ascii="Arial" w:cs="Arial" w:eastAsia="Arial" w:hAnsi="Arial"/>
                <w:sz w:val="12"/>
                <w:szCs w:val="12"/>
                <w:b w:val="1"/>
                <w:bCs w:val="1"/>
                <w:color w:val="auto"/>
                <w:w w:val="87"/>
              </w:rPr>
              <w:t>Value</w:t>
            </w: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70"/>
              </w:rPr>
              <w:t>of</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Incentive</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357"/>
              <w:spacing w:after="0" w:line="135" w:lineRule="exact"/>
              <w:rPr>
                <w:sz w:val="20"/>
                <w:szCs w:val="20"/>
                <w:color w:val="auto"/>
              </w:rPr>
            </w:pPr>
            <w:r>
              <w:rPr>
                <w:rFonts w:ascii="Arial" w:cs="Arial" w:eastAsia="Arial" w:hAnsi="Arial"/>
                <w:sz w:val="12"/>
                <w:szCs w:val="12"/>
                <w:b w:val="1"/>
                <w:bCs w:val="1"/>
                <w:color w:val="auto"/>
                <w:w w:val="87"/>
              </w:rPr>
              <w:t>of</w:t>
            </w:r>
          </w:p>
        </w:tc>
        <w:tc>
          <w:tcPr>
            <w:tcW w:w="1080" w:type="dxa"/>
            <w:vAlign w:val="bottom"/>
            <w:gridSpan w:val="3"/>
          </w:tcPr>
          <w:p>
            <w:pPr>
              <w:jc w:val="center"/>
              <w:ind w:right="157"/>
              <w:spacing w:after="0" w:line="135" w:lineRule="exact"/>
              <w:rPr>
                <w:sz w:val="20"/>
                <w:szCs w:val="20"/>
                <w:color w:val="auto"/>
              </w:rPr>
            </w:pPr>
            <w:r>
              <w:rPr>
                <w:rFonts w:ascii="Arial" w:cs="Arial" w:eastAsia="Arial" w:hAnsi="Arial"/>
                <w:sz w:val="12"/>
                <w:szCs w:val="12"/>
                <w:b w:val="1"/>
                <w:bCs w:val="1"/>
                <w:color w:val="auto"/>
                <w:w w:val="84"/>
              </w:rPr>
              <w:t>of Shares</w:t>
            </w: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86"/>
              </w:rPr>
              <w:t>Unearned</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Plan</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357"/>
              <w:spacing w:after="0" w:line="135" w:lineRule="exact"/>
              <w:rPr>
                <w:sz w:val="20"/>
                <w:szCs w:val="20"/>
                <w:color w:val="auto"/>
              </w:rPr>
            </w:pPr>
            <w:r>
              <w:rPr>
                <w:rFonts w:ascii="Arial" w:cs="Arial" w:eastAsia="Arial" w:hAnsi="Arial"/>
                <w:sz w:val="12"/>
                <w:szCs w:val="12"/>
                <w:b w:val="1"/>
                <w:bCs w:val="1"/>
                <w:color w:val="auto"/>
                <w:w w:val="84"/>
              </w:rPr>
              <w:t>Shares</w:t>
            </w:r>
          </w:p>
        </w:tc>
        <w:tc>
          <w:tcPr>
            <w:tcW w:w="1080" w:type="dxa"/>
            <w:vAlign w:val="bottom"/>
            <w:gridSpan w:val="3"/>
          </w:tcPr>
          <w:p>
            <w:pPr>
              <w:jc w:val="center"/>
              <w:ind w:right="177"/>
              <w:spacing w:after="0" w:line="135" w:lineRule="exact"/>
              <w:rPr>
                <w:sz w:val="20"/>
                <w:szCs w:val="20"/>
                <w:color w:val="auto"/>
              </w:rPr>
            </w:pPr>
            <w:r>
              <w:rPr>
                <w:rFonts w:ascii="Arial" w:cs="Arial" w:eastAsia="Arial" w:hAnsi="Arial"/>
                <w:sz w:val="12"/>
                <w:szCs w:val="12"/>
                <w:b w:val="1"/>
                <w:bCs w:val="1"/>
                <w:color w:val="auto"/>
                <w:w w:val="88"/>
              </w:rPr>
              <w:t>or Units</w:t>
            </w: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82"/>
              </w:rPr>
              <w:t>Shares,</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Equity Incentive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jc w:val="center"/>
              <w:ind w:right="300"/>
              <w:spacing w:after="0" w:line="135" w:lineRule="exact"/>
              <w:rPr>
                <w:sz w:val="20"/>
                <w:szCs w:val="20"/>
                <w:color w:val="auto"/>
              </w:rPr>
            </w:pPr>
            <w:r>
              <w:rPr>
                <w:rFonts w:ascii="Arial" w:cs="Arial" w:eastAsia="Arial" w:hAnsi="Arial"/>
                <w:sz w:val="12"/>
                <w:szCs w:val="12"/>
                <w:b w:val="1"/>
                <w:bCs w:val="1"/>
                <w:color w:val="auto"/>
                <w:w w:val="89"/>
              </w:rPr>
              <w:t>Number of</w:t>
            </w:r>
          </w:p>
        </w:tc>
        <w:tc>
          <w:tcPr>
            <w:tcW w:w="280" w:type="dxa"/>
            <w:vAlign w:val="bottom"/>
          </w:tcPr>
          <w:p>
            <w:pPr>
              <w:spacing w:after="0"/>
              <w:rPr>
                <w:sz w:val="11"/>
                <w:szCs w:val="11"/>
                <w:color w:val="auto"/>
              </w:rPr>
            </w:pPr>
          </w:p>
        </w:tc>
        <w:tc>
          <w:tcPr>
            <w:tcW w:w="900" w:type="dxa"/>
            <w:vAlign w:val="bottom"/>
            <w:gridSpan w:val="2"/>
          </w:tcPr>
          <w:p>
            <w:pPr>
              <w:jc w:val="center"/>
              <w:ind w:right="137"/>
              <w:spacing w:after="0" w:line="135" w:lineRule="exact"/>
              <w:rPr>
                <w:sz w:val="20"/>
                <w:szCs w:val="20"/>
                <w:color w:val="auto"/>
              </w:rPr>
            </w:pPr>
            <w:r>
              <w:rPr>
                <w:rFonts w:ascii="Arial" w:cs="Arial" w:eastAsia="Arial" w:hAnsi="Arial"/>
                <w:sz w:val="12"/>
                <w:szCs w:val="12"/>
                <w:b w:val="1"/>
                <w:bCs w:val="1"/>
                <w:color w:val="auto"/>
                <w:w w:val="89"/>
              </w:rPr>
              <w:t>Number of</w:t>
            </w: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Awards: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97"/>
              <w:spacing w:after="0" w:line="135" w:lineRule="exact"/>
              <w:rPr>
                <w:sz w:val="20"/>
                <w:szCs w:val="20"/>
                <w:color w:val="auto"/>
              </w:rPr>
            </w:pPr>
            <w:r>
              <w:rPr>
                <w:rFonts w:ascii="Arial" w:cs="Arial" w:eastAsia="Arial" w:hAnsi="Arial"/>
                <w:sz w:val="12"/>
                <w:szCs w:val="12"/>
                <w:b w:val="1"/>
                <w:bCs w:val="1"/>
                <w:color w:val="auto"/>
                <w:w w:val="88"/>
              </w:rPr>
              <w:t>or Units</w:t>
            </w:r>
          </w:p>
        </w:tc>
        <w:tc>
          <w:tcPr>
            <w:tcW w:w="240" w:type="dxa"/>
            <w:vAlign w:val="bottom"/>
          </w:tcPr>
          <w:p>
            <w:pPr>
              <w:spacing w:after="0"/>
              <w:rPr>
                <w:sz w:val="11"/>
                <w:szCs w:val="11"/>
                <w:color w:val="auto"/>
              </w:rPr>
            </w:pPr>
          </w:p>
        </w:tc>
        <w:tc>
          <w:tcPr>
            <w:tcW w:w="840" w:type="dxa"/>
            <w:vAlign w:val="bottom"/>
            <w:gridSpan w:val="2"/>
          </w:tcPr>
          <w:p>
            <w:pPr>
              <w:jc w:val="center"/>
              <w:ind w:right="397"/>
              <w:spacing w:after="0" w:line="135" w:lineRule="exact"/>
              <w:rPr>
                <w:sz w:val="20"/>
                <w:szCs w:val="20"/>
                <w:color w:val="auto"/>
              </w:rPr>
            </w:pPr>
            <w:r>
              <w:rPr>
                <w:rFonts w:ascii="Arial" w:cs="Arial" w:eastAsia="Arial" w:hAnsi="Arial"/>
                <w:sz w:val="12"/>
                <w:szCs w:val="12"/>
                <w:b w:val="1"/>
                <w:bCs w:val="1"/>
                <w:color w:val="auto"/>
                <w:w w:val="87"/>
              </w:rPr>
              <w:t>of</w:t>
            </w: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90"/>
              </w:rPr>
              <w:t>Units, or</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Plan Awards:</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83"/>
              </w:rPr>
              <w:t>Securities</w:t>
            </w:r>
          </w:p>
        </w:tc>
        <w:tc>
          <w:tcPr>
            <w:tcW w:w="280" w:type="dxa"/>
            <w:vAlign w:val="bottom"/>
          </w:tcPr>
          <w:p>
            <w:pPr>
              <w:spacing w:after="0"/>
              <w:rPr>
                <w:sz w:val="11"/>
                <w:szCs w:val="11"/>
                <w:color w:val="auto"/>
              </w:rPr>
            </w:pPr>
          </w:p>
        </w:tc>
        <w:tc>
          <w:tcPr>
            <w:tcW w:w="900" w:type="dxa"/>
            <w:vAlign w:val="bottom"/>
            <w:gridSpan w:val="2"/>
          </w:tcPr>
          <w:p>
            <w:pPr>
              <w:jc w:val="center"/>
              <w:ind w:right="137"/>
              <w:spacing w:after="0" w:line="135" w:lineRule="exact"/>
              <w:rPr>
                <w:sz w:val="20"/>
                <w:szCs w:val="20"/>
                <w:color w:val="auto"/>
              </w:rPr>
            </w:pPr>
            <w:r>
              <w:rPr>
                <w:rFonts w:ascii="Arial" w:cs="Arial" w:eastAsia="Arial" w:hAnsi="Arial"/>
                <w:sz w:val="12"/>
                <w:szCs w:val="12"/>
                <w:b w:val="1"/>
                <w:bCs w:val="1"/>
                <w:color w:val="auto"/>
                <w:w w:val="87"/>
              </w:rPr>
              <w:t>Securities</w:t>
            </w: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Number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97"/>
              <w:spacing w:after="0" w:line="135" w:lineRule="exact"/>
              <w:rPr>
                <w:sz w:val="20"/>
                <w:szCs w:val="20"/>
                <w:color w:val="auto"/>
              </w:rPr>
            </w:pPr>
            <w:r>
              <w:rPr>
                <w:rFonts w:ascii="Arial" w:cs="Arial" w:eastAsia="Arial" w:hAnsi="Arial"/>
                <w:sz w:val="12"/>
                <w:szCs w:val="12"/>
                <w:b w:val="1"/>
                <w:bCs w:val="1"/>
                <w:color w:val="auto"/>
                <w:w w:val="84"/>
              </w:rPr>
              <w:t>of Stock</w:t>
            </w:r>
          </w:p>
        </w:tc>
        <w:tc>
          <w:tcPr>
            <w:tcW w:w="240" w:type="dxa"/>
            <w:vAlign w:val="bottom"/>
          </w:tcPr>
          <w:p>
            <w:pPr>
              <w:spacing w:after="0"/>
              <w:rPr>
                <w:sz w:val="11"/>
                <w:szCs w:val="11"/>
                <w:color w:val="auto"/>
              </w:rPr>
            </w:pPr>
          </w:p>
        </w:tc>
        <w:tc>
          <w:tcPr>
            <w:tcW w:w="840" w:type="dxa"/>
            <w:vAlign w:val="bottom"/>
            <w:gridSpan w:val="2"/>
          </w:tcPr>
          <w:p>
            <w:pPr>
              <w:jc w:val="center"/>
              <w:ind w:right="417"/>
              <w:spacing w:after="0" w:line="135" w:lineRule="exact"/>
              <w:rPr>
                <w:sz w:val="20"/>
                <w:szCs w:val="20"/>
                <w:color w:val="auto"/>
              </w:rPr>
            </w:pPr>
            <w:r>
              <w:rPr>
                <w:rFonts w:ascii="Arial" w:cs="Arial" w:eastAsia="Arial" w:hAnsi="Arial"/>
                <w:sz w:val="12"/>
                <w:szCs w:val="12"/>
                <w:b w:val="1"/>
                <w:bCs w:val="1"/>
                <w:color w:val="auto"/>
                <w:w w:val="85"/>
              </w:rPr>
              <w:t>Stock</w:t>
            </w: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7"/>
              </w:rPr>
              <w:t>Other</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Market or Payout</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Underlying</w:t>
            </w:r>
          </w:p>
        </w:tc>
        <w:tc>
          <w:tcPr>
            <w:tcW w:w="280" w:type="dxa"/>
            <w:vAlign w:val="bottom"/>
          </w:tcPr>
          <w:p>
            <w:pPr>
              <w:spacing w:after="0"/>
              <w:rPr>
                <w:sz w:val="11"/>
                <w:szCs w:val="11"/>
                <w:color w:val="auto"/>
              </w:rPr>
            </w:pPr>
          </w:p>
        </w:tc>
        <w:tc>
          <w:tcPr>
            <w:tcW w:w="900" w:type="dxa"/>
            <w:vAlign w:val="bottom"/>
            <w:gridSpan w:val="2"/>
          </w:tcPr>
          <w:p>
            <w:pPr>
              <w:jc w:val="center"/>
              <w:ind w:right="117"/>
              <w:spacing w:after="0" w:line="135" w:lineRule="exact"/>
              <w:rPr>
                <w:sz w:val="20"/>
                <w:szCs w:val="20"/>
                <w:color w:val="auto"/>
              </w:rPr>
            </w:pPr>
            <w:r>
              <w:rPr>
                <w:rFonts w:ascii="Arial" w:cs="Arial" w:eastAsia="Arial" w:hAnsi="Arial"/>
                <w:sz w:val="12"/>
                <w:szCs w:val="12"/>
                <w:b w:val="1"/>
                <w:bCs w:val="1"/>
                <w:color w:val="auto"/>
                <w:w w:val="89"/>
              </w:rPr>
              <w:t>Underlying</w:t>
            </w:r>
          </w:p>
        </w:tc>
        <w:tc>
          <w:tcPr>
            <w:tcW w:w="46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3"/>
              </w:rPr>
              <w:t>Securities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337"/>
              <w:spacing w:after="0" w:line="135" w:lineRule="exact"/>
              <w:rPr>
                <w:sz w:val="20"/>
                <w:szCs w:val="20"/>
                <w:color w:val="auto"/>
              </w:rPr>
            </w:pPr>
            <w:r>
              <w:rPr>
                <w:rFonts w:ascii="Arial" w:cs="Arial" w:eastAsia="Arial" w:hAnsi="Arial"/>
                <w:sz w:val="12"/>
                <w:szCs w:val="12"/>
                <w:b w:val="1"/>
                <w:bCs w:val="1"/>
                <w:color w:val="auto"/>
                <w:w w:val="90"/>
              </w:rPr>
              <w:t>that</w:t>
            </w:r>
          </w:p>
        </w:tc>
        <w:tc>
          <w:tcPr>
            <w:tcW w:w="240" w:type="dxa"/>
            <w:vAlign w:val="bottom"/>
          </w:tcPr>
          <w:p>
            <w:pPr>
              <w:spacing w:after="0"/>
              <w:rPr>
                <w:sz w:val="11"/>
                <w:szCs w:val="11"/>
                <w:color w:val="auto"/>
              </w:rPr>
            </w:pPr>
          </w:p>
        </w:tc>
        <w:tc>
          <w:tcPr>
            <w:tcW w:w="840" w:type="dxa"/>
            <w:vAlign w:val="bottom"/>
            <w:gridSpan w:val="2"/>
          </w:tcPr>
          <w:p>
            <w:pPr>
              <w:jc w:val="center"/>
              <w:ind w:right="417"/>
              <w:spacing w:after="0" w:line="135" w:lineRule="exact"/>
              <w:rPr>
                <w:sz w:val="20"/>
                <w:szCs w:val="20"/>
                <w:color w:val="auto"/>
              </w:rPr>
            </w:pPr>
            <w:r>
              <w:rPr>
                <w:rFonts w:ascii="Arial" w:cs="Arial" w:eastAsia="Arial" w:hAnsi="Arial"/>
                <w:sz w:val="12"/>
                <w:szCs w:val="12"/>
                <w:b w:val="1"/>
                <w:bCs w:val="1"/>
                <w:color w:val="auto"/>
                <w:w w:val="90"/>
              </w:rPr>
              <w:t>that</w:t>
            </w: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5"/>
              </w:rPr>
              <w:t>Rights</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Value of Unearned</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84"/>
              </w:rPr>
              <w:t>Unexercised</w:t>
            </w:r>
          </w:p>
        </w:tc>
        <w:tc>
          <w:tcPr>
            <w:tcW w:w="280" w:type="dxa"/>
            <w:vAlign w:val="bottom"/>
          </w:tcPr>
          <w:p>
            <w:pPr>
              <w:spacing w:after="0"/>
              <w:rPr>
                <w:sz w:val="11"/>
                <w:szCs w:val="11"/>
                <w:color w:val="auto"/>
              </w:rPr>
            </w:pPr>
          </w:p>
        </w:tc>
        <w:tc>
          <w:tcPr>
            <w:tcW w:w="900" w:type="dxa"/>
            <w:vAlign w:val="bottom"/>
            <w:gridSpan w:val="2"/>
          </w:tcPr>
          <w:p>
            <w:pPr>
              <w:jc w:val="center"/>
              <w:ind w:right="137"/>
              <w:spacing w:after="0" w:line="135" w:lineRule="exact"/>
              <w:rPr>
                <w:sz w:val="20"/>
                <w:szCs w:val="20"/>
                <w:color w:val="auto"/>
              </w:rPr>
            </w:pPr>
            <w:r>
              <w:rPr>
                <w:rFonts w:ascii="Arial" w:cs="Arial" w:eastAsia="Arial" w:hAnsi="Arial"/>
                <w:sz w:val="12"/>
                <w:szCs w:val="12"/>
                <w:b w:val="1"/>
                <w:bCs w:val="1"/>
                <w:color w:val="auto"/>
                <w:w w:val="86"/>
              </w:rPr>
              <w:t>Unexercised</w:t>
            </w:r>
          </w:p>
        </w:tc>
        <w:tc>
          <w:tcPr>
            <w:tcW w:w="1240" w:type="dxa"/>
            <w:vAlign w:val="bottom"/>
            <w:gridSpan w:val="3"/>
          </w:tcPr>
          <w:p>
            <w:pPr>
              <w:jc w:val="center"/>
              <w:ind w:left="182"/>
              <w:spacing w:after="0" w:line="135" w:lineRule="exact"/>
              <w:rPr>
                <w:sz w:val="20"/>
                <w:szCs w:val="20"/>
                <w:color w:val="auto"/>
              </w:rPr>
            </w:pPr>
            <w:r>
              <w:rPr>
                <w:rFonts w:ascii="Arial" w:cs="Arial" w:eastAsia="Arial" w:hAnsi="Arial"/>
                <w:sz w:val="12"/>
                <w:szCs w:val="12"/>
                <w:b w:val="1"/>
                <w:bCs w:val="1"/>
                <w:color w:val="auto"/>
                <w:w w:val="89"/>
              </w:rPr>
              <w:t>Underlying</w:t>
            </w:r>
          </w:p>
        </w:tc>
        <w:tc>
          <w:tcPr>
            <w:tcW w:w="40" w:type="dxa"/>
            <w:vAlign w:val="bottom"/>
          </w:tcPr>
          <w:p>
            <w:pPr>
              <w:spacing w:after="0"/>
              <w:rPr>
                <w:sz w:val="11"/>
                <w:szCs w:val="11"/>
                <w:color w:val="auto"/>
              </w:rPr>
            </w:pPr>
          </w:p>
        </w:tc>
        <w:tc>
          <w:tcPr>
            <w:tcW w:w="760" w:type="dxa"/>
            <w:vAlign w:val="bottom"/>
            <w:gridSpan w:val="2"/>
          </w:tcPr>
          <w:p>
            <w:pPr>
              <w:jc w:val="center"/>
              <w:ind w:right="237"/>
              <w:spacing w:after="0" w:line="135" w:lineRule="exact"/>
              <w:rPr>
                <w:sz w:val="20"/>
                <w:szCs w:val="20"/>
                <w:color w:val="auto"/>
              </w:rPr>
            </w:pPr>
            <w:r>
              <w:rPr>
                <w:rFonts w:ascii="Arial" w:cs="Arial" w:eastAsia="Arial" w:hAnsi="Arial"/>
                <w:sz w:val="12"/>
                <w:szCs w:val="12"/>
                <w:b w:val="1"/>
                <w:bCs w:val="1"/>
                <w:color w:val="auto"/>
                <w:w w:val="87"/>
              </w:rPr>
              <w:t>Option</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357"/>
              <w:spacing w:after="0" w:line="135" w:lineRule="exact"/>
              <w:rPr>
                <w:sz w:val="20"/>
                <w:szCs w:val="20"/>
                <w:color w:val="auto"/>
              </w:rPr>
            </w:pPr>
            <w:r>
              <w:rPr>
                <w:rFonts w:ascii="Arial" w:cs="Arial" w:eastAsia="Arial" w:hAnsi="Arial"/>
                <w:sz w:val="12"/>
                <w:szCs w:val="12"/>
                <w:b w:val="1"/>
                <w:bCs w:val="1"/>
                <w:color w:val="auto"/>
                <w:w w:val="90"/>
              </w:rPr>
              <w:t>Have</w:t>
            </w:r>
          </w:p>
        </w:tc>
        <w:tc>
          <w:tcPr>
            <w:tcW w:w="240" w:type="dxa"/>
            <w:vAlign w:val="bottom"/>
          </w:tcPr>
          <w:p>
            <w:pPr>
              <w:spacing w:after="0"/>
              <w:rPr>
                <w:sz w:val="11"/>
                <w:szCs w:val="11"/>
                <w:color w:val="auto"/>
              </w:rPr>
            </w:pPr>
          </w:p>
        </w:tc>
        <w:tc>
          <w:tcPr>
            <w:tcW w:w="840" w:type="dxa"/>
            <w:vAlign w:val="bottom"/>
            <w:gridSpan w:val="2"/>
          </w:tcPr>
          <w:p>
            <w:pPr>
              <w:jc w:val="center"/>
              <w:ind w:right="397"/>
              <w:spacing w:after="0" w:line="135" w:lineRule="exact"/>
              <w:rPr>
                <w:sz w:val="20"/>
                <w:szCs w:val="20"/>
                <w:color w:val="auto"/>
              </w:rPr>
            </w:pPr>
            <w:r>
              <w:rPr>
                <w:rFonts w:ascii="Arial" w:cs="Arial" w:eastAsia="Arial" w:hAnsi="Arial"/>
                <w:sz w:val="12"/>
                <w:szCs w:val="12"/>
                <w:b w:val="1"/>
                <w:bCs w:val="1"/>
                <w:color w:val="auto"/>
                <w:w w:val="90"/>
              </w:rPr>
              <w:t>Have</w:t>
            </w:r>
          </w:p>
        </w:tc>
        <w:tc>
          <w:tcPr>
            <w:tcW w:w="960" w:type="dxa"/>
            <w:vAlign w:val="bottom"/>
            <w:gridSpan w:val="3"/>
          </w:tcPr>
          <w:p>
            <w:pPr>
              <w:jc w:val="center"/>
              <w:ind w:right="57"/>
              <w:spacing w:after="0" w:line="135" w:lineRule="exact"/>
              <w:rPr>
                <w:sz w:val="20"/>
                <w:szCs w:val="20"/>
                <w:color w:val="auto"/>
              </w:rPr>
            </w:pPr>
            <w:r>
              <w:rPr>
                <w:rFonts w:ascii="Arial" w:cs="Arial" w:eastAsia="Arial" w:hAnsi="Arial"/>
                <w:sz w:val="12"/>
                <w:szCs w:val="12"/>
                <w:b w:val="1"/>
                <w:bCs w:val="1"/>
                <w:color w:val="auto"/>
                <w:w w:val="88"/>
              </w:rPr>
              <w:t>that Have</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5"/>
              </w:rPr>
              <w:t>Shares, Units, or</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Options</w:t>
            </w:r>
          </w:p>
        </w:tc>
        <w:tc>
          <w:tcPr>
            <w:tcW w:w="280" w:type="dxa"/>
            <w:vAlign w:val="bottom"/>
          </w:tcPr>
          <w:p>
            <w:pPr>
              <w:spacing w:after="0"/>
              <w:rPr>
                <w:sz w:val="11"/>
                <w:szCs w:val="11"/>
                <w:color w:val="auto"/>
              </w:rPr>
            </w:pPr>
          </w:p>
        </w:tc>
        <w:tc>
          <w:tcPr>
            <w:tcW w:w="900" w:type="dxa"/>
            <w:vAlign w:val="bottom"/>
            <w:gridSpan w:val="2"/>
          </w:tcPr>
          <w:p>
            <w:pPr>
              <w:jc w:val="center"/>
              <w:ind w:right="117"/>
              <w:spacing w:after="0" w:line="135" w:lineRule="exact"/>
              <w:rPr>
                <w:sz w:val="20"/>
                <w:szCs w:val="20"/>
                <w:color w:val="auto"/>
              </w:rPr>
            </w:pPr>
            <w:r>
              <w:rPr>
                <w:rFonts w:ascii="Arial" w:cs="Arial" w:eastAsia="Arial" w:hAnsi="Arial"/>
                <w:sz w:val="12"/>
                <w:szCs w:val="12"/>
                <w:b w:val="1"/>
                <w:bCs w:val="1"/>
                <w:color w:val="auto"/>
                <w:w w:val="88"/>
              </w:rPr>
              <w:t>Options</w:t>
            </w:r>
          </w:p>
        </w:tc>
        <w:tc>
          <w:tcPr>
            <w:tcW w:w="1240" w:type="dxa"/>
            <w:vAlign w:val="bottom"/>
            <w:gridSpan w:val="3"/>
          </w:tcPr>
          <w:p>
            <w:pPr>
              <w:jc w:val="center"/>
              <w:ind w:left="182"/>
              <w:spacing w:after="0" w:line="135" w:lineRule="exact"/>
              <w:rPr>
                <w:sz w:val="20"/>
                <w:szCs w:val="20"/>
                <w:color w:val="auto"/>
              </w:rPr>
            </w:pPr>
            <w:r>
              <w:rPr>
                <w:rFonts w:ascii="Arial" w:cs="Arial" w:eastAsia="Arial" w:hAnsi="Arial"/>
                <w:sz w:val="12"/>
                <w:szCs w:val="12"/>
                <w:b w:val="1"/>
                <w:bCs w:val="1"/>
                <w:color w:val="auto"/>
                <w:w w:val="84"/>
              </w:rPr>
              <w:t>Unexercised</w:t>
            </w:r>
          </w:p>
        </w:tc>
        <w:tc>
          <w:tcPr>
            <w:tcW w:w="40" w:type="dxa"/>
            <w:vAlign w:val="bottom"/>
          </w:tcPr>
          <w:p>
            <w:pPr>
              <w:spacing w:after="0"/>
              <w:rPr>
                <w:sz w:val="11"/>
                <w:szCs w:val="11"/>
                <w:color w:val="auto"/>
              </w:rPr>
            </w:pPr>
          </w:p>
        </w:tc>
        <w:tc>
          <w:tcPr>
            <w:tcW w:w="76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4"/>
              </w:rPr>
              <w:t>Exercise</w:t>
            </w:r>
          </w:p>
        </w:tc>
        <w:tc>
          <w:tcPr>
            <w:tcW w:w="20" w:type="dxa"/>
            <w:vAlign w:val="bottom"/>
          </w:tcPr>
          <w:p>
            <w:pPr>
              <w:spacing w:after="0"/>
              <w:rPr>
                <w:sz w:val="11"/>
                <w:szCs w:val="11"/>
                <w:color w:val="auto"/>
              </w:rPr>
            </w:pPr>
          </w:p>
        </w:tc>
        <w:tc>
          <w:tcPr>
            <w:tcW w:w="1200" w:type="dxa"/>
            <w:vAlign w:val="bottom"/>
            <w:gridSpan w:val="3"/>
          </w:tcPr>
          <w:p>
            <w:pPr>
              <w:jc w:val="center"/>
              <w:ind w:right="560"/>
              <w:spacing w:after="0" w:line="135" w:lineRule="exact"/>
              <w:rPr>
                <w:sz w:val="20"/>
                <w:szCs w:val="20"/>
                <w:color w:val="auto"/>
              </w:rPr>
            </w:pPr>
            <w:r>
              <w:rPr>
                <w:rFonts w:ascii="Arial" w:cs="Arial" w:eastAsia="Arial" w:hAnsi="Arial"/>
                <w:sz w:val="12"/>
                <w:szCs w:val="12"/>
                <w:b w:val="1"/>
                <w:bCs w:val="1"/>
                <w:color w:val="auto"/>
                <w:w w:val="92"/>
              </w:rPr>
              <w:t>Option</w:t>
            </w:r>
          </w:p>
        </w:tc>
        <w:tc>
          <w:tcPr>
            <w:tcW w:w="240" w:type="dxa"/>
            <w:vAlign w:val="bottom"/>
          </w:tcPr>
          <w:p>
            <w:pPr>
              <w:spacing w:after="0"/>
              <w:rPr>
                <w:sz w:val="11"/>
                <w:szCs w:val="11"/>
                <w:color w:val="auto"/>
              </w:rPr>
            </w:pPr>
          </w:p>
        </w:tc>
        <w:tc>
          <w:tcPr>
            <w:tcW w:w="760" w:type="dxa"/>
            <w:vAlign w:val="bottom"/>
            <w:gridSpan w:val="2"/>
          </w:tcPr>
          <w:p>
            <w:pPr>
              <w:jc w:val="center"/>
              <w:ind w:right="357"/>
              <w:spacing w:after="0" w:line="135" w:lineRule="exact"/>
              <w:rPr>
                <w:sz w:val="20"/>
                <w:szCs w:val="20"/>
                <w:color w:val="auto"/>
              </w:rPr>
            </w:pPr>
            <w:r>
              <w:rPr>
                <w:rFonts w:ascii="Arial" w:cs="Arial" w:eastAsia="Arial" w:hAnsi="Arial"/>
                <w:sz w:val="12"/>
                <w:szCs w:val="12"/>
                <w:b w:val="1"/>
                <w:bCs w:val="1"/>
                <w:color w:val="auto"/>
                <w:w w:val="89"/>
              </w:rPr>
              <w:t>Not</w:t>
            </w:r>
          </w:p>
        </w:tc>
        <w:tc>
          <w:tcPr>
            <w:tcW w:w="240" w:type="dxa"/>
            <w:vAlign w:val="bottom"/>
          </w:tcPr>
          <w:p>
            <w:pPr>
              <w:spacing w:after="0"/>
              <w:rPr>
                <w:sz w:val="11"/>
                <w:szCs w:val="11"/>
                <w:color w:val="auto"/>
              </w:rPr>
            </w:pPr>
          </w:p>
        </w:tc>
        <w:tc>
          <w:tcPr>
            <w:tcW w:w="840" w:type="dxa"/>
            <w:vAlign w:val="bottom"/>
            <w:gridSpan w:val="2"/>
          </w:tcPr>
          <w:p>
            <w:pPr>
              <w:jc w:val="center"/>
              <w:ind w:right="397"/>
              <w:spacing w:after="0" w:line="135" w:lineRule="exact"/>
              <w:rPr>
                <w:sz w:val="20"/>
                <w:szCs w:val="20"/>
                <w:color w:val="auto"/>
              </w:rPr>
            </w:pPr>
            <w:r>
              <w:rPr>
                <w:rFonts w:ascii="Arial" w:cs="Arial" w:eastAsia="Arial" w:hAnsi="Arial"/>
                <w:sz w:val="12"/>
                <w:szCs w:val="12"/>
                <w:b w:val="1"/>
                <w:bCs w:val="1"/>
                <w:color w:val="auto"/>
                <w:w w:val="89"/>
              </w:rPr>
              <w:t>Not</w:t>
            </w: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99"/>
              </w:rPr>
              <w:t>Not</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Other Rights that</w:t>
            </w:r>
          </w:p>
        </w:tc>
        <w:tc>
          <w:tcPr>
            <w:tcW w:w="0" w:type="dxa"/>
            <w:vAlign w:val="bottom"/>
          </w:tcPr>
          <w:p>
            <w:pPr>
              <w:spacing w:after="0"/>
              <w:rPr>
                <w:sz w:val="1"/>
                <w:szCs w:val="1"/>
                <w:color w:val="auto"/>
              </w:rPr>
            </w:pPr>
          </w:p>
        </w:tc>
      </w:tr>
      <w:tr>
        <w:trPr>
          <w:trHeight w:val="135"/>
        </w:trPr>
        <w:tc>
          <w:tcPr>
            <w:tcW w:w="162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Name &amp; Principal</w:t>
            </w:r>
          </w:p>
        </w:tc>
        <w:tc>
          <w:tcPr>
            <w:tcW w:w="980" w:type="dxa"/>
            <w:vAlign w:val="bottom"/>
            <w:gridSpan w:val="3"/>
          </w:tcPr>
          <w:p>
            <w:pPr>
              <w:jc w:val="center"/>
              <w:ind w:left="338"/>
              <w:spacing w:after="0" w:line="135" w:lineRule="exact"/>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left="218"/>
              <w:spacing w:after="0" w:line="135" w:lineRule="exact"/>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Unearned</w:t>
            </w:r>
          </w:p>
        </w:tc>
        <w:tc>
          <w:tcPr>
            <w:tcW w:w="40" w:type="dxa"/>
            <w:vAlign w:val="bottom"/>
          </w:tcPr>
          <w:p>
            <w:pPr>
              <w:spacing w:after="0"/>
              <w:rPr>
                <w:sz w:val="11"/>
                <w:szCs w:val="11"/>
                <w:color w:val="auto"/>
              </w:rPr>
            </w:pPr>
          </w:p>
        </w:tc>
        <w:tc>
          <w:tcPr>
            <w:tcW w:w="760" w:type="dxa"/>
            <w:vAlign w:val="bottom"/>
            <w:gridSpan w:val="2"/>
          </w:tcPr>
          <w:p>
            <w:pPr>
              <w:jc w:val="center"/>
              <w:ind w:right="277"/>
              <w:spacing w:after="0" w:line="135" w:lineRule="exact"/>
              <w:rPr>
                <w:sz w:val="20"/>
                <w:szCs w:val="20"/>
                <w:color w:val="auto"/>
              </w:rPr>
            </w:pPr>
            <w:r>
              <w:rPr>
                <w:rFonts w:ascii="Arial" w:cs="Arial" w:eastAsia="Arial" w:hAnsi="Arial"/>
                <w:sz w:val="12"/>
                <w:szCs w:val="12"/>
                <w:b w:val="1"/>
                <w:bCs w:val="1"/>
                <w:color w:val="auto"/>
                <w:w w:val="88"/>
              </w:rPr>
              <w:t>Price</w:t>
            </w:r>
          </w:p>
        </w:tc>
        <w:tc>
          <w:tcPr>
            <w:tcW w:w="20" w:type="dxa"/>
            <w:vAlign w:val="bottom"/>
          </w:tcPr>
          <w:p>
            <w:pPr>
              <w:spacing w:after="0"/>
              <w:rPr>
                <w:sz w:val="11"/>
                <w:szCs w:val="11"/>
                <w:color w:val="auto"/>
              </w:rPr>
            </w:pPr>
          </w:p>
        </w:tc>
        <w:tc>
          <w:tcPr>
            <w:tcW w:w="12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auto"/>
                <w:w w:val="91"/>
              </w:rPr>
              <w:t>Expiration</w:t>
            </w:r>
          </w:p>
        </w:tc>
        <w:tc>
          <w:tcPr>
            <w:tcW w:w="240" w:type="dxa"/>
            <w:vAlign w:val="bottom"/>
          </w:tcPr>
          <w:p>
            <w:pPr>
              <w:spacing w:after="0"/>
              <w:rPr>
                <w:sz w:val="11"/>
                <w:szCs w:val="11"/>
                <w:color w:val="auto"/>
              </w:rPr>
            </w:pPr>
          </w:p>
        </w:tc>
        <w:tc>
          <w:tcPr>
            <w:tcW w:w="760" w:type="dxa"/>
            <w:vAlign w:val="bottom"/>
            <w:gridSpan w:val="2"/>
          </w:tcPr>
          <w:p>
            <w:pPr>
              <w:jc w:val="center"/>
              <w:ind w:right="357"/>
              <w:spacing w:after="0" w:line="135" w:lineRule="exact"/>
              <w:rPr>
                <w:sz w:val="20"/>
                <w:szCs w:val="20"/>
                <w:color w:val="auto"/>
              </w:rPr>
            </w:pPr>
            <w:r>
              <w:rPr>
                <w:rFonts w:ascii="Arial" w:cs="Arial" w:eastAsia="Arial" w:hAnsi="Arial"/>
                <w:sz w:val="12"/>
                <w:szCs w:val="12"/>
                <w:b w:val="1"/>
                <w:bCs w:val="1"/>
                <w:color w:val="auto"/>
                <w:w w:val="86"/>
              </w:rPr>
              <w:t>Vested</w:t>
            </w:r>
          </w:p>
        </w:tc>
        <w:tc>
          <w:tcPr>
            <w:tcW w:w="240" w:type="dxa"/>
            <w:vAlign w:val="bottom"/>
          </w:tcPr>
          <w:p>
            <w:pPr>
              <w:spacing w:after="0"/>
              <w:rPr>
                <w:sz w:val="11"/>
                <w:szCs w:val="11"/>
                <w:color w:val="auto"/>
              </w:rPr>
            </w:pPr>
          </w:p>
        </w:tc>
        <w:tc>
          <w:tcPr>
            <w:tcW w:w="840" w:type="dxa"/>
            <w:vAlign w:val="bottom"/>
            <w:gridSpan w:val="2"/>
          </w:tcPr>
          <w:p>
            <w:pPr>
              <w:jc w:val="center"/>
              <w:ind w:right="417"/>
              <w:spacing w:after="0" w:line="135" w:lineRule="exact"/>
              <w:rPr>
                <w:sz w:val="20"/>
                <w:szCs w:val="20"/>
                <w:color w:val="auto"/>
              </w:rPr>
            </w:pPr>
            <w:r>
              <w:rPr>
                <w:rFonts w:ascii="Arial" w:cs="Arial" w:eastAsia="Arial" w:hAnsi="Arial"/>
                <w:sz w:val="12"/>
                <w:szCs w:val="12"/>
                <w:b w:val="1"/>
                <w:bCs w:val="1"/>
                <w:color w:val="auto"/>
                <w:w w:val="81"/>
              </w:rPr>
              <w:t>Vested</w:t>
            </w:r>
          </w:p>
        </w:tc>
        <w:tc>
          <w:tcPr>
            <w:tcW w:w="240" w:type="dxa"/>
            <w:vAlign w:val="bottom"/>
          </w:tcPr>
          <w:p>
            <w:pPr>
              <w:spacing w:after="0"/>
              <w:rPr>
                <w:sz w:val="11"/>
                <w:szCs w:val="11"/>
                <w:color w:val="auto"/>
              </w:rPr>
            </w:pPr>
          </w:p>
        </w:tc>
        <w:tc>
          <w:tcPr>
            <w:tcW w:w="720" w:type="dxa"/>
            <w:vAlign w:val="bottom"/>
            <w:gridSpan w:val="2"/>
          </w:tcPr>
          <w:p>
            <w:pPr>
              <w:jc w:val="center"/>
              <w:ind w:right="297"/>
              <w:spacing w:after="0" w:line="135" w:lineRule="exact"/>
              <w:rPr>
                <w:sz w:val="20"/>
                <w:szCs w:val="20"/>
                <w:color w:val="auto"/>
              </w:rPr>
            </w:pPr>
            <w:r>
              <w:rPr>
                <w:rFonts w:ascii="Arial" w:cs="Arial" w:eastAsia="Arial" w:hAnsi="Arial"/>
                <w:sz w:val="12"/>
                <w:szCs w:val="12"/>
                <w:b w:val="1"/>
                <w:bCs w:val="1"/>
                <w:color w:val="auto"/>
                <w:w w:val="81"/>
              </w:rPr>
              <w:t>Vested</w:t>
            </w:r>
          </w:p>
        </w:tc>
        <w:tc>
          <w:tcPr>
            <w:tcW w:w="10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6"/>
              </w:rPr>
              <w:t>Have Not Vested</w:t>
            </w:r>
          </w:p>
        </w:tc>
        <w:tc>
          <w:tcPr>
            <w:tcW w:w="0" w:type="dxa"/>
            <w:vAlign w:val="bottom"/>
          </w:tcPr>
          <w:p>
            <w:pPr>
              <w:spacing w:after="0"/>
              <w:rPr>
                <w:sz w:val="1"/>
                <w:szCs w:val="1"/>
                <w:color w:val="auto"/>
              </w:rPr>
            </w:pPr>
          </w:p>
        </w:tc>
      </w:tr>
      <w:tr>
        <w:trPr>
          <w:trHeight w:val="130"/>
        </w:trPr>
        <w:tc>
          <w:tcPr>
            <w:tcW w:w="162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rPr>
              <w:t>Position</w:t>
            </w:r>
          </w:p>
        </w:tc>
        <w:tc>
          <w:tcPr>
            <w:tcW w:w="120" w:type="dxa"/>
            <w:vAlign w:val="bottom"/>
          </w:tcPr>
          <w:p>
            <w:pPr>
              <w:spacing w:after="0"/>
              <w:rPr>
                <w:sz w:val="11"/>
                <w:szCs w:val="11"/>
                <w:color w:val="auto"/>
              </w:rPr>
            </w:pPr>
          </w:p>
        </w:tc>
        <w:tc>
          <w:tcPr>
            <w:tcW w:w="1160" w:type="dxa"/>
            <w:vAlign w:val="bottom"/>
            <w:gridSpan w:val="4"/>
          </w:tcPr>
          <w:p>
            <w:pPr>
              <w:jc w:val="center"/>
              <w:ind w:right="20"/>
              <w:spacing w:after="0" w:line="130" w:lineRule="exact"/>
              <w:rPr>
                <w:sz w:val="20"/>
                <w:szCs w:val="20"/>
                <w:color w:val="auto"/>
              </w:rPr>
            </w:pPr>
            <w:r>
              <w:rPr>
                <w:rFonts w:ascii="Arial" w:cs="Arial" w:eastAsia="Arial" w:hAnsi="Arial"/>
                <w:sz w:val="12"/>
                <w:szCs w:val="12"/>
                <w:b w:val="1"/>
                <w:bCs w:val="1"/>
                <w:color w:val="auto"/>
                <w:w w:val="86"/>
              </w:rPr>
              <w:t>Exercisable</w:t>
            </w:r>
          </w:p>
        </w:tc>
        <w:tc>
          <w:tcPr>
            <w:tcW w:w="1180" w:type="dxa"/>
            <w:vAlign w:val="bottom"/>
            <w:gridSpan w:val="3"/>
          </w:tcPr>
          <w:p>
            <w:pPr>
              <w:jc w:val="center"/>
              <w:ind w:left="18"/>
              <w:spacing w:after="0" w:line="130" w:lineRule="exact"/>
              <w:rPr>
                <w:sz w:val="20"/>
                <w:szCs w:val="20"/>
                <w:color w:val="auto"/>
              </w:rPr>
            </w:pPr>
            <w:r>
              <w:rPr>
                <w:rFonts w:ascii="Arial" w:cs="Arial" w:eastAsia="Arial" w:hAnsi="Arial"/>
                <w:sz w:val="12"/>
                <w:szCs w:val="12"/>
                <w:b w:val="1"/>
                <w:bCs w:val="1"/>
                <w:color w:val="auto"/>
                <w:w w:val="85"/>
              </w:rPr>
              <w:t>Unexercisable</w:t>
            </w:r>
          </w:p>
        </w:tc>
        <w:tc>
          <w:tcPr>
            <w:tcW w:w="1240" w:type="dxa"/>
            <w:vAlign w:val="bottom"/>
            <w:gridSpan w:val="3"/>
          </w:tcPr>
          <w:p>
            <w:pPr>
              <w:jc w:val="center"/>
              <w:ind w:left="182"/>
              <w:spacing w:after="0" w:line="130" w:lineRule="exact"/>
              <w:rPr>
                <w:sz w:val="20"/>
                <w:szCs w:val="20"/>
                <w:color w:val="auto"/>
              </w:rPr>
            </w:pPr>
            <w:r>
              <w:rPr>
                <w:rFonts w:ascii="Arial" w:cs="Arial" w:eastAsia="Arial" w:hAnsi="Arial"/>
                <w:sz w:val="12"/>
                <w:szCs w:val="12"/>
                <w:b w:val="1"/>
                <w:bCs w:val="1"/>
                <w:color w:val="auto"/>
                <w:w w:val="88"/>
              </w:rPr>
              <w:t>Options (#)</w:t>
            </w:r>
          </w:p>
        </w:tc>
        <w:tc>
          <w:tcPr>
            <w:tcW w:w="800" w:type="dxa"/>
            <w:vAlign w:val="bottom"/>
            <w:gridSpan w:val="3"/>
          </w:tcPr>
          <w:p>
            <w:pPr>
              <w:jc w:val="center"/>
              <w:ind w:right="237"/>
              <w:spacing w:after="0" w:line="130" w:lineRule="exact"/>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1"/>
                <w:szCs w:val="11"/>
                <w:color w:val="auto"/>
              </w:rPr>
            </w:pPr>
          </w:p>
        </w:tc>
        <w:tc>
          <w:tcPr>
            <w:tcW w:w="1200" w:type="dxa"/>
            <w:vAlign w:val="bottom"/>
            <w:gridSpan w:val="3"/>
          </w:tcPr>
          <w:p>
            <w:pPr>
              <w:jc w:val="center"/>
              <w:ind w:right="560"/>
              <w:spacing w:after="0" w:line="130" w:lineRule="exact"/>
              <w:rPr>
                <w:sz w:val="20"/>
                <w:szCs w:val="20"/>
                <w:color w:val="auto"/>
              </w:rPr>
            </w:pPr>
            <w:r>
              <w:rPr>
                <w:rFonts w:ascii="Arial" w:cs="Arial" w:eastAsia="Arial" w:hAnsi="Arial"/>
                <w:sz w:val="12"/>
                <w:szCs w:val="12"/>
                <w:b w:val="1"/>
                <w:bCs w:val="1"/>
                <w:color w:val="auto"/>
                <w:w w:val="92"/>
              </w:rPr>
              <w:t>Date</w:t>
            </w:r>
          </w:p>
        </w:tc>
        <w:tc>
          <w:tcPr>
            <w:tcW w:w="1000" w:type="dxa"/>
            <w:vAlign w:val="bottom"/>
            <w:gridSpan w:val="3"/>
          </w:tcPr>
          <w:p>
            <w:pPr>
              <w:jc w:val="right"/>
              <w:ind w:right="337"/>
              <w:spacing w:after="0" w:line="130" w:lineRule="exact"/>
              <w:rPr>
                <w:sz w:val="20"/>
                <w:szCs w:val="20"/>
                <w:color w:val="auto"/>
              </w:rPr>
            </w:pPr>
            <w:r>
              <w:rPr>
                <w:rFonts w:ascii="Arial" w:cs="Arial" w:eastAsia="Arial" w:hAnsi="Arial"/>
                <w:sz w:val="12"/>
                <w:szCs w:val="12"/>
                <w:b w:val="1"/>
                <w:bCs w:val="1"/>
                <w:color w:val="auto"/>
              </w:rPr>
              <w:t>(#)(1)</w:t>
            </w:r>
          </w:p>
        </w:tc>
        <w:tc>
          <w:tcPr>
            <w:tcW w:w="1080" w:type="dxa"/>
            <w:vAlign w:val="bottom"/>
            <w:gridSpan w:val="3"/>
          </w:tcPr>
          <w:p>
            <w:pPr>
              <w:jc w:val="right"/>
              <w:ind w:right="417"/>
              <w:spacing w:after="0" w:line="130" w:lineRule="exact"/>
              <w:rPr>
                <w:sz w:val="20"/>
                <w:szCs w:val="20"/>
                <w:color w:val="auto"/>
              </w:rPr>
            </w:pPr>
            <w:r>
              <w:rPr>
                <w:rFonts w:ascii="Arial" w:cs="Arial" w:eastAsia="Arial" w:hAnsi="Arial"/>
                <w:sz w:val="12"/>
                <w:szCs w:val="12"/>
                <w:b w:val="1"/>
                <w:bCs w:val="1"/>
                <w:color w:val="auto"/>
              </w:rPr>
              <w:t>($)(2)</w:t>
            </w:r>
          </w:p>
        </w:tc>
        <w:tc>
          <w:tcPr>
            <w:tcW w:w="960" w:type="dxa"/>
            <w:vAlign w:val="bottom"/>
            <w:gridSpan w:val="3"/>
          </w:tcPr>
          <w:p>
            <w:pPr>
              <w:jc w:val="right"/>
              <w:ind w:right="297"/>
              <w:spacing w:after="0" w:line="130" w:lineRule="exact"/>
              <w:rPr>
                <w:sz w:val="20"/>
                <w:szCs w:val="20"/>
                <w:color w:val="auto"/>
              </w:rPr>
            </w:pPr>
            <w:r>
              <w:rPr>
                <w:rFonts w:ascii="Arial" w:cs="Arial" w:eastAsia="Arial" w:hAnsi="Arial"/>
                <w:sz w:val="12"/>
                <w:szCs w:val="12"/>
                <w:b w:val="1"/>
                <w:bCs w:val="1"/>
                <w:color w:val="auto"/>
              </w:rPr>
              <w:t>(#)(3)</w:t>
            </w:r>
          </w:p>
        </w:tc>
        <w:tc>
          <w:tcPr>
            <w:tcW w:w="1040" w:type="dxa"/>
            <w:vAlign w:val="bottom"/>
            <w:gridSpan w:val="3"/>
          </w:tcPr>
          <w:p>
            <w:pPr>
              <w:jc w:val="right"/>
              <w:ind w:right="257"/>
              <w:spacing w:after="0" w:line="130" w:lineRule="exact"/>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Ram Chandrashekar</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3,045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$67.12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2/16/2021</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6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EVP, Operational</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1,048 (4)</w:t>
            </w: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$44.81</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2/15/2022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1620" w:type="dxa"/>
            <w:vAlign w:val="bottom"/>
            <w:gridSpan w:val="3"/>
            <w:vMerge w:val="restart"/>
            <w:shd w:val="clear" w:color="auto" w:fill="CCEEFF"/>
          </w:tcPr>
          <w:p>
            <w:pPr>
              <w:ind w:left="180"/>
              <w:spacing w:after="0" w:line="135" w:lineRule="exact"/>
              <w:rPr>
                <w:sz w:val="20"/>
                <w:szCs w:val="20"/>
                <w:color w:val="auto"/>
              </w:rPr>
            </w:pPr>
            <w:r>
              <w:rPr>
                <w:rFonts w:ascii="Arial" w:cs="Arial" w:eastAsia="Arial" w:hAnsi="Arial"/>
                <w:sz w:val="13"/>
                <w:szCs w:val="13"/>
                <w:color w:val="auto"/>
              </w:rPr>
              <w:t>Excellence &amp; IT and</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1180" w:type="dxa"/>
            <w:vAlign w:val="bottom"/>
            <w:gridSpan w:val="3"/>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0" w:type="dxa"/>
            <w:vAlign w:val="bottom"/>
            <w:gridSpan w:val="3"/>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620" w:type="dxa"/>
            <w:vAlign w:val="bottom"/>
            <w:gridSpan w:val="3"/>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President, Asia Pacific</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3,318 (5)</w:t>
            </w:r>
          </w:p>
        </w:tc>
        <w:tc>
          <w:tcPr>
            <w:tcW w:w="4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$52.55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2/13/2023</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162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Middle East</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gridSpan w:val="3"/>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0" w:type="dxa"/>
            <w:vAlign w:val="bottom"/>
            <w:gridSpan w:val="3"/>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2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8,233 (6)</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$76.13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2/11/2024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12,928 (8)</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$76.97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2/10/2025</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1,593 (9)</w:t>
            </w:r>
          </w:p>
        </w:tc>
        <w:tc>
          <w:tcPr>
            <w:tcW w:w="108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$134,274</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3,796 (11)</w:t>
            </w:r>
          </w:p>
        </w:tc>
        <w:tc>
          <w:tcPr>
            <w:tcW w:w="108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$319,965</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6,778 (14)</w:t>
            </w:r>
          </w:p>
        </w:tc>
        <w:tc>
          <w:tcPr>
            <w:tcW w:w="108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$571,318</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3,706 (15)</w:t>
            </w:r>
          </w:p>
        </w:tc>
        <w:tc>
          <w:tcPr>
            <w:tcW w:w="108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$312,379</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9,436 (18)</w:t>
            </w:r>
          </w:p>
        </w:tc>
        <w:tc>
          <w:tcPr>
            <w:tcW w:w="108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$795,360</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22,068 (17)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$1,860,112</w:t>
            </w: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21,828 (19)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$1,839,882</w:t>
            </w:r>
          </w:p>
        </w:tc>
        <w:tc>
          <w:tcPr>
            <w:tcW w:w="0" w:type="dxa"/>
            <w:vAlign w:val="bottom"/>
          </w:tcPr>
          <w:p>
            <w:pPr>
              <w:spacing w:after="0"/>
              <w:rPr>
                <w:sz w:val="1"/>
                <w:szCs w:val="1"/>
                <w:color w:val="auto"/>
              </w:rPr>
            </w:pPr>
          </w:p>
        </w:tc>
      </w:tr>
      <w:tr>
        <w:trPr>
          <w:trHeight w:val="97"/>
        </w:trPr>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20" w:type="dxa"/>
            <w:vAlign w:val="bottom"/>
            <w:gridSpan w:val="3"/>
          </w:tcPr>
          <w:p>
            <w:pPr>
              <w:ind w:left="40"/>
              <w:spacing w:after="0"/>
              <w:rPr>
                <w:sz w:val="20"/>
                <w:szCs w:val="20"/>
                <w:color w:val="auto"/>
              </w:rPr>
            </w:pPr>
            <w:r>
              <w:rPr>
                <w:rFonts w:ascii="Arial" w:cs="Arial" w:eastAsia="Arial" w:hAnsi="Arial"/>
                <w:sz w:val="13"/>
                <w:szCs w:val="13"/>
                <w:color w:val="auto"/>
              </w:rPr>
              <w:t>Mara E. Swan</w:t>
            </w:r>
          </w:p>
        </w:tc>
        <w:tc>
          <w:tcPr>
            <w:tcW w:w="1280" w:type="dxa"/>
            <w:vAlign w:val="bottom"/>
            <w:gridSpan w:val="5"/>
          </w:tcPr>
          <w:p>
            <w:pPr>
              <w:jc w:val="right"/>
              <w:ind w:right="120"/>
              <w:spacing w:after="0"/>
              <w:rPr>
                <w:sz w:val="20"/>
                <w:szCs w:val="20"/>
                <w:color w:val="auto"/>
              </w:rPr>
            </w:pPr>
            <w:r>
              <w:rPr>
                <w:rFonts w:ascii="Arial" w:cs="Arial" w:eastAsia="Arial" w:hAnsi="Arial"/>
                <w:sz w:val="13"/>
                <w:szCs w:val="13"/>
                <w:color w:val="auto"/>
              </w:rPr>
              <w:t>20,000</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$53.01</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2/18/2020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620" w:type="dxa"/>
            <w:vAlign w:val="bottom"/>
            <w:gridSpan w:val="3"/>
          </w:tcPr>
          <w:p>
            <w:pPr>
              <w:ind w:left="180"/>
              <w:spacing w:after="0"/>
              <w:rPr>
                <w:sz w:val="20"/>
                <w:szCs w:val="20"/>
                <w:color w:val="auto"/>
              </w:rPr>
            </w:pPr>
            <w:r>
              <w:rPr>
                <w:rFonts w:ascii="Arial" w:cs="Arial" w:eastAsia="Arial" w:hAnsi="Arial"/>
                <w:sz w:val="13"/>
                <w:szCs w:val="13"/>
                <w:color w:val="auto"/>
                <w:w w:val="95"/>
              </w:rPr>
              <w:t>EVP, Global Strategy and</w:t>
            </w:r>
          </w:p>
        </w:tc>
        <w:tc>
          <w:tcPr>
            <w:tcW w:w="1160" w:type="dxa"/>
            <w:vAlign w:val="bottom"/>
            <w:gridSpan w:val="4"/>
            <w:vMerge w:val="restart"/>
          </w:tcPr>
          <w:p>
            <w:pPr>
              <w:jc w:val="right"/>
              <w:spacing w:after="0"/>
              <w:rPr>
                <w:sz w:val="20"/>
                <w:szCs w:val="20"/>
                <w:color w:val="auto"/>
              </w:rPr>
            </w:pPr>
            <w:r>
              <w:rPr>
                <w:rFonts w:ascii="Arial" w:cs="Arial" w:eastAsia="Arial" w:hAnsi="Arial"/>
                <w:sz w:val="13"/>
                <w:szCs w:val="13"/>
                <w:color w:val="auto"/>
              </w:rPr>
              <w:t>7,451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$67.12</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color w:val="auto"/>
              </w:rPr>
              <w:t>2/16/2021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1620" w:type="dxa"/>
            <w:vAlign w:val="bottom"/>
            <w:gridSpan w:val="3"/>
            <w:vMerge w:val="restart"/>
          </w:tcPr>
          <w:p>
            <w:pPr>
              <w:ind w:left="180"/>
              <w:spacing w:after="0"/>
              <w:rPr>
                <w:sz w:val="20"/>
                <w:szCs w:val="20"/>
                <w:color w:val="auto"/>
              </w:rPr>
            </w:pPr>
            <w:r>
              <w:rPr>
                <w:rFonts w:ascii="Arial" w:cs="Arial" w:eastAsia="Arial" w:hAnsi="Arial"/>
                <w:sz w:val="13"/>
                <w:szCs w:val="13"/>
                <w:color w:val="auto"/>
              </w:rPr>
              <w:t>Talent</w:t>
            </w:r>
          </w:p>
        </w:tc>
        <w:tc>
          <w:tcPr>
            <w:tcW w:w="11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3"/>
                <w:szCs w:val="13"/>
                <w:color w:val="auto"/>
              </w:rPr>
              <w:t>10,316</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3,439 (4)</w:t>
            </w:r>
          </w:p>
        </w:tc>
        <w:tc>
          <w:tcPr>
            <w:tcW w:w="46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$44.81</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2/15/2022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gridSpan w:val="4"/>
          </w:tcPr>
          <w:p>
            <w:pPr>
              <w:jc w:val="right"/>
              <w:spacing w:after="0"/>
              <w:rPr>
                <w:sz w:val="20"/>
                <w:szCs w:val="20"/>
                <w:color w:val="auto"/>
              </w:rPr>
            </w:pPr>
            <w:r>
              <w:rPr>
                <w:rFonts w:ascii="Arial" w:cs="Arial" w:eastAsia="Arial" w:hAnsi="Arial"/>
                <w:sz w:val="13"/>
                <w:szCs w:val="13"/>
                <w:color w:val="auto"/>
              </w:rPr>
              <w:t>9,124</w:t>
            </w:r>
          </w:p>
        </w:tc>
        <w:tc>
          <w:tcPr>
            <w:tcW w:w="1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9,124 (5)</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$52.55</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2/13/2023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gridSpan w:val="4"/>
          </w:tcPr>
          <w:p>
            <w:pPr>
              <w:jc w:val="right"/>
              <w:spacing w:after="0"/>
              <w:rPr>
                <w:sz w:val="20"/>
                <w:szCs w:val="20"/>
                <w:color w:val="auto"/>
              </w:rPr>
            </w:pPr>
            <w:r>
              <w:rPr>
                <w:rFonts w:ascii="Arial" w:cs="Arial" w:eastAsia="Arial" w:hAnsi="Arial"/>
                <w:sz w:val="13"/>
                <w:szCs w:val="13"/>
                <w:color w:val="auto"/>
              </w:rPr>
              <w:t>2,352</w:t>
            </w:r>
          </w:p>
        </w:tc>
        <w:tc>
          <w:tcPr>
            <w:tcW w:w="1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7,057 (6)</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$76.13</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2/11/2024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11,081 (8)</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tcPr>
          <w:p>
            <w:pPr>
              <w:jc w:val="right"/>
              <w:ind w:right="57"/>
              <w:spacing w:after="0"/>
              <w:rPr>
                <w:sz w:val="20"/>
                <w:szCs w:val="20"/>
                <w:color w:val="auto"/>
              </w:rPr>
            </w:pPr>
            <w:r>
              <w:rPr>
                <w:rFonts w:ascii="Arial" w:cs="Arial" w:eastAsia="Arial" w:hAnsi="Arial"/>
                <w:sz w:val="13"/>
                <w:szCs w:val="13"/>
                <w:color w:val="auto"/>
              </w:rPr>
              <w:t>$76.97</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2/10/2025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17"/>
              <w:spacing w:after="0"/>
              <w:rPr>
                <w:sz w:val="20"/>
                <w:szCs w:val="20"/>
                <w:color w:val="auto"/>
              </w:rPr>
            </w:pPr>
            <w:r>
              <w:rPr>
                <w:rFonts w:ascii="Arial" w:cs="Arial" w:eastAsia="Arial" w:hAnsi="Arial"/>
                <w:sz w:val="13"/>
                <w:szCs w:val="13"/>
                <w:color w:val="auto"/>
              </w:rPr>
              <w:t>16,191 (10)</w:t>
            </w:r>
          </w:p>
        </w:tc>
        <w:tc>
          <w:tcPr>
            <w:tcW w:w="1080" w:type="dxa"/>
            <w:vAlign w:val="bottom"/>
            <w:gridSpan w:val="3"/>
          </w:tcPr>
          <w:p>
            <w:pPr>
              <w:jc w:val="right"/>
              <w:ind w:right="117"/>
              <w:spacing w:after="0"/>
              <w:rPr>
                <w:sz w:val="20"/>
                <w:szCs w:val="20"/>
                <w:color w:val="auto"/>
              </w:rPr>
            </w:pPr>
            <w:r>
              <w:rPr>
                <w:rFonts w:ascii="Arial" w:cs="Arial" w:eastAsia="Arial" w:hAnsi="Arial"/>
                <w:sz w:val="13"/>
                <w:szCs w:val="13"/>
                <w:color w:val="auto"/>
              </w:rPr>
              <w:t>$1,364,739</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17"/>
              <w:spacing w:after="0"/>
              <w:rPr>
                <w:sz w:val="20"/>
                <w:szCs w:val="20"/>
                <w:color w:val="auto"/>
              </w:rPr>
            </w:pPr>
            <w:r>
              <w:rPr>
                <w:rFonts w:ascii="Arial" w:cs="Arial" w:eastAsia="Arial" w:hAnsi="Arial"/>
                <w:sz w:val="13"/>
                <w:szCs w:val="13"/>
                <w:color w:val="auto"/>
              </w:rPr>
              <w:t>4,380 (9)</w:t>
            </w:r>
          </w:p>
        </w:tc>
        <w:tc>
          <w:tcPr>
            <w:tcW w:w="1080" w:type="dxa"/>
            <w:vAlign w:val="bottom"/>
            <w:gridSpan w:val="3"/>
          </w:tcPr>
          <w:p>
            <w:pPr>
              <w:jc w:val="right"/>
              <w:ind w:right="117"/>
              <w:spacing w:after="0"/>
              <w:rPr>
                <w:sz w:val="20"/>
                <w:szCs w:val="20"/>
                <w:color w:val="auto"/>
              </w:rPr>
            </w:pPr>
            <w:r>
              <w:rPr>
                <w:rFonts w:ascii="Arial" w:cs="Arial" w:eastAsia="Arial" w:hAnsi="Arial"/>
                <w:sz w:val="13"/>
                <w:szCs w:val="13"/>
                <w:color w:val="auto"/>
              </w:rPr>
              <w:t>$369,190</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17"/>
              <w:spacing w:after="0"/>
              <w:rPr>
                <w:sz w:val="20"/>
                <w:szCs w:val="20"/>
                <w:color w:val="auto"/>
              </w:rPr>
            </w:pPr>
            <w:r>
              <w:rPr>
                <w:rFonts w:ascii="Arial" w:cs="Arial" w:eastAsia="Arial" w:hAnsi="Arial"/>
                <w:sz w:val="13"/>
                <w:szCs w:val="13"/>
                <w:color w:val="auto"/>
              </w:rPr>
              <w:t>3,254 (11)</w:t>
            </w:r>
          </w:p>
        </w:tc>
        <w:tc>
          <w:tcPr>
            <w:tcW w:w="1080" w:type="dxa"/>
            <w:vAlign w:val="bottom"/>
            <w:gridSpan w:val="3"/>
          </w:tcPr>
          <w:p>
            <w:pPr>
              <w:jc w:val="right"/>
              <w:ind w:right="117"/>
              <w:spacing w:after="0"/>
              <w:rPr>
                <w:sz w:val="20"/>
                <w:szCs w:val="20"/>
                <w:color w:val="auto"/>
              </w:rPr>
            </w:pPr>
            <w:r>
              <w:rPr>
                <w:rFonts w:ascii="Arial" w:cs="Arial" w:eastAsia="Arial" w:hAnsi="Arial"/>
                <w:sz w:val="13"/>
                <w:szCs w:val="13"/>
                <w:color w:val="auto"/>
              </w:rPr>
              <w:t>$274,280</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17"/>
              <w:spacing w:after="0"/>
              <w:rPr>
                <w:sz w:val="20"/>
                <w:szCs w:val="20"/>
                <w:color w:val="auto"/>
              </w:rPr>
            </w:pPr>
            <w:r>
              <w:rPr>
                <w:rFonts w:ascii="Arial" w:cs="Arial" w:eastAsia="Arial" w:hAnsi="Arial"/>
                <w:sz w:val="13"/>
                <w:szCs w:val="13"/>
                <w:color w:val="auto"/>
              </w:rPr>
              <w:t>6,778 (14)</w:t>
            </w:r>
          </w:p>
        </w:tc>
        <w:tc>
          <w:tcPr>
            <w:tcW w:w="1080" w:type="dxa"/>
            <w:vAlign w:val="bottom"/>
            <w:gridSpan w:val="3"/>
          </w:tcPr>
          <w:p>
            <w:pPr>
              <w:jc w:val="right"/>
              <w:ind w:right="117"/>
              <w:spacing w:after="0"/>
              <w:rPr>
                <w:sz w:val="20"/>
                <w:szCs w:val="20"/>
                <w:color w:val="auto"/>
              </w:rPr>
            </w:pPr>
            <w:r>
              <w:rPr>
                <w:rFonts w:ascii="Arial" w:cs="Arial" w:eastAsia="Arial" w:hAnsi="Arial"/>
                <w:sz w:val="13"/>
                <w:szCs w:val="13"/>
                <w:color w:val="auto"/>
              </w:rPr>
              <w:t>$571,318</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17"/>
              <w:spacing w:after="0"/>
              <w:rPr>
                <w:sz w:val="20"/>
                <w:szCs w:val="20"/>
                <w:color w:val="auto"/>
              </w:rPr>
            </w:pPr>
            <w:r>
              <w:rPr>
                <w:rFonts w:ascii="Arial" w:cs="Arial" w:eastAsia="Arial" w:hAnsi="Arial"/>
                <w:sz w:val="13"/>
                <w:szCs w:val="13"/>
                <w:color w:val="auto"/>
              </w:rPr>
              <w:t>3,177 (15)</w:t>
            </w:r>
          </w:p>
        </w:tc>
        <w:tc>
          <w:tcPr>
            <w:tcW w:w="1080" w:type="dxa"/>
            <w:vAlign w:val="bottom"/>
            <w:gridSpan w:val="3"/>
          </w:tcPr>
          <w:p>
            <w:pPr>
              <w:jc w:val="right"/>
              <w:ind w:right="117"/>
              <w:spacing w:after="0"/>
              <w:rPr>
                <w:sz w:val="20"/>
                <w:szCs w:val="20"/>
                <w:color w:val="auto"/>
              </w:rPr>
            </w:pPr>
            <w:r>
              <w:rPr>
                <w:rFonts w:ascii="Arial" w:cs="Arial" w:eastAsia="Arial" w:hAnsi="Arial"/>
                <w:sz w:val="13"/>
                <w:szCs w:val="13"/>
                <w:color w:val="auto"/>
              </w:rPr>
              <w:t>$267,789</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7"/>
              <w:spacing w:after="0"/>
              <w:rPr>
                <w:sz w:val="20"/>
                <w:szCs w:val="20"/>
                <w:color w:val="auto"/>
              </w:rPr>
            </w:pPr>
            <w:r>
              <w:rPr>
                <w:rFonts w:ascii="Arial" w:cs="Arial" w:eastAsia="Arial" w:hAnsi="Arial"/>
                <w:sz w:val="13"/>
                <w:szCs w:val="13"/>
                <w:color w:val="auto"/>
              </w:rPr>
              <w:t>18,916 (17)</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$1,594,430</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7"/>
              <w:spacing w:after="0"/>
              <w:rPr>
                <w:sz w:val="20"/>
                <w:szCs w:val="20"/>
                <w:color w:val="auto"/>
              </w:rPr>
            </w:pPr>
            <w:r>
              <w:rPr>
                <w:rFonts w:ascii="Arial" w:cs="Arial" w:eastAsia="Arial" w:hAnsi="Arial"/>
                <w:sz w:val="13"/>
                <w:szCs w:val="13"/>
                <w:color w:val="auto"/>
              </w:rPr>
              <w:t>18,710 (19)</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$1,577,066</w:t>
            </w: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Jeffrey A. Joerres</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115,000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$76.30</w:t>
            </w: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12/30/2018</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6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Former Executive</w:t>
            </w:r>
          </w:p>
        </w:tc>
        <w:tc>
          <w:tcPr>
            <w:tcW w:w="120" w:type="dxa"/>
            <w:vAlign w:val="bottom"/>
            <w:shd w:val="clear" w:color="auto" w:fill="CCEEFF"/>
          </w:tcPr>
          <w:p>
            <w:pPr>
              <w:spacing w:after="0"/>
              <w:rPr>
                <w:sz w:val="14"/>
                <w:szCs w:val="14"/>
                <w:color w:val="auto"/>
              </w:rPr>
            </w:pPr>
          </w:p>
        </w:tc>
        <w:tc>
          <w:tcPr>
            <w:tcW w:w="11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69,537</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$67.12</w:t>
            </w:r>
          </w:p>
        </w:tc>
        <w:tc>
          <w:tcPr>
            <w:tcW w:w="12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12/30/2018</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162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Chairman</w:t>
            </w:r>
          </w:p>
        </w:tc>
        <w:tc>
          <w:tcPr>
            <w:tcW w:w="12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0" w:type="dxa"/>
            <w:vAlign w:val="bottom"/>
            <w:gridSpan w:val="3"/>
            <w:vMerge w:val="continue"/>
            <w:shd w:val="clear" w:color="auto" w:fill="CCEEFF"/>
          </w:tcPr>
          <w:p>
            <w:pPr>
              <w:spacing w:after="0"/>
              <w:rPr>
                <w:sz w:val="9"/>
                <w:szCs w:val="9"/>
                <w:color w:val="auto"/>
              </w:rPr>
            </w:pPr>
          </w:p>
        </w:tc>
        <w:tc>
          <w:tcPr>
            <w:tcW w:w="1220" w:type="dxa"/>
            <w:vAlign w:val="bottom"/>
            <w:gridSpan w:val="4"/>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2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26,745 (20)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$44.81</w:t>
            </w: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12/30/2018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30,413 (20)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$52.55</w:t>
            </w: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12/30/2018</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62,721 (20)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8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$76.13</w:t>
            </w: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12/30/2018</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126,102 (17)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$10,629,137</w:t>
            </w:r>
          </w:p>
        </w:tc>
        <w:tc>
          <w:tcPr>
            <w:tcW w:w="0" w:type="dxa"/>
            <w:vAlign w:val="bottom"/>
          </w:tcPr>
          <w:p>
            <w:pPr>
              <w:spacing w:after="0"/>
              <w:rPr>
                <w:sz w:val="1"/>
                <w:szCs w:val="1"/>
                <w:color w:val="auto"/>
              </w:rPr>
            </w:pPr>
          </w:p>
        </w:tc>
      </w:tr>
      <w:tr>
        <w:trPr>
          <w:trHeight w:val="286"/>
        </w:trPr>
        <w:tc>
          <w:tcPr>
            <w:tcW w:w="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800,668 (19)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$6,799,506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143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90"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career shares or earned but unvested performance share units.</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Value based on the closing price of $84.29 on December 31, 2015.</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remaining unvested options vested on February 15,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50% of the remaining unvested options vested on February 13, 2016 and the remaining unvested options are scheduled to vest on February 13, 2017.</w:t>
      </w:r>
    </w:p>
    <w:p>
      <w:pPr>
        <w:spacing w:after="0" w:line="194" w:lineRule="exact"/>
        <w:rPr>
          <w:rFonts w:ascii="Arial" w:cs="Arial" w:eastAsia="Arial" w:hAnsi="Arial"/>
          <w:sz w:val="16"/>
          <w:szCs w:val="16"/>
          <w:color w:val="auto"/>
        </w:rPr>
      </w:pPr>
    </w:p>
    <w:p>
      <w:pPr>
        <w:ind w:left="500" w:right="240" w:hanging="49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11, 2016, and 33% of the remaining unvested options are scheduled to vest on each of February 11, 2017 and 2018.</w:t>
      </w:r>
    </w:p>
    <w:p>
      <w:pPr>
        <w:spacing w:after="0" w:line="116"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33% of the unvested options are scheduled to vest on each of May 1, 2016, 2017 and 2018.</w:t>
      </w:r>
    </w:p>
    <w:p>
      <w:pPr>
        <w:spacing w:after="0" w:line="171"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25% of the unvested options vested on February 10, 2016 and 25% of the remaining unvested options are scheduled to vest on each of February 10, 2017, 2018, and 2019.</w:t>
      </w:r>
    </w:p>
    <w:p>
      <w:pPr>
        <w:spacing w:after="0" w:line="116"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restricted stock units vested on February 13, 2016.</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career shares vested on February 16, 2016.</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11, 2017.</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13, 2018.</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Restricted stock units scheduled to vest on May 1, 2017.</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Career shares scheduled to vest on February 11, 2018.</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10, 2018.</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Career shares scheduled to vest on February 13, 2018.</w:t>
      </w:r>
    </w:p>
    <w:p>
      <w:pPr>
        <w:spacing w:after="0" w:line="171"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shares, reported at the outstanding level, scheduled to vest in February 2017 if the committee certifies that the performance targets are achieved as of December 31, 2016.</w:t>
      </w:r>
    </w:p>
    <w:p>
      <w:pPr>
        <w:spacing w:after="0" w:line="116"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Committee certified that the performance target was achieved as of December 31, 2015. These shares will be payable on July 1, 2016.</w:t>
      </w:r>
    </w:p>
    <w:p>
      <w:pPr>
        <w:spacing w:after="0" w:line="182" w:lineRule="exact"/>
        <w:rPr>
          <w:rFonts w:ascii="Arial" w:cs="Arial" w:eastAsia="Arial" w:hAnsi="Arial"/>
          <w:sz w:val="17"/>
          <w:szCs w:val="17"/>
          <w:color w:val="auto"/>
        </w:rPr>
      </w:pPr>
    </w:p>
    <w:p>
      <w:pPr>
        <w:ind w:left="500" w:right="120" w:hanging="49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shares, reported at the outstanding level, scheduled to vest in February 2018 if the committee certifies that the performance targets are achieved as of December 31, 2017.</w:t>
      </w:r>
    </w:p>
    <w:p>
      <w:pPr>
        <w:spacing w:after="0" w:line="116"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options fully vested upon Mr. Joerres's retirement on December 30, 2015.</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121"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1156"/>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6"/>
                <w:szCs w:val="16"/>
                <w:color w:val="auto"/>
              </w:rPr>
            </w:pPr>
          </w:p>
        </w:tc>
        <w:tc>
          <w:tcPr>
            <w:tcW w:w="21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2"/>
              </w:rPr>
              <w:t>Stock Awards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Value Realized on</w:t>
            </w:r>
          </w:p>
        </w:tc>
        <w:tc>
          <w:tcPr>
            <w:tcW w:w="216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840" w:type="dxa"/>
            <w:vAlign w:val="bottom"/>
            <w:gridSpan w:val="2"/>
            <w:vMerge w:val="continue"/>
          </w:tcPr>
          <w:p>
            <w:pPr>
              <w:spacing w:after="0"/>
              <w:rPr>
                <w:sz w:val="12"/>
                <w:szCs w:val="12"/>
                <w:color w:val="auto"/>
              </w:rPr>
            </w:pPr>
          </w:p>
        </w:tc>
        <w:tc>
          <w:tcPr>
            <w:tcW w:w="2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&amp; Principal Position</w:t>
            </w: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2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Vesting</w:t>
            </w: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4360" w:type="dxa"/>
            <w:vAlign w:val="bottom"/>
            <w:gridSpan w:val="3"/>
            <w:vMerge w:val="continue"/>
          </w:tcPr>
          <w:p>
            <w:pPr>
              <w:spacing w:after="0"/>
              <w:rPr>
                <w:sz w:val="13"/>
                <w:szCs w:val="13"/>
                <w:color w:val="auto"/>
              </w:rPr>
            </w:pPr>
          </w:p>
        </w:tc>
        <w:tc>
          <w:tcPr>
            <w:tcW w:w="1720" w:type="dxa"/>
            <w:vAlign w:val="bottom"/>
            <w:gridSpan w:val="2"/>
          </w:tcPr>
          <w:p>
            <w:pPr>
              <w:jc w:val="center"/>
              <w:ind w:left="33"/>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76"/>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1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44,000</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798,224</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15,140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1,253,729</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CEO</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Michael J. Van Handel</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105,287</w:t>
            </w:r>
          </w:p>
        </w:tc>
        <w:tc>
          <w:tcPr>
            <w:tcW w:w="1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3,267,248</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28,353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2,331,348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CFO</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1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59,609</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1,789,118</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15,140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1,253,729</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President &amp; COO</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Ram Chandrashekar</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13,960</w:t>
            </w:r>
          </w:p>
        </w:tc>
        <w:tc>
          <w:tcPr>
            <w:tcW w:w="1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458,004</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494,125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w w:val="96"/>
              </w:rPr>
              <w:t>EVP, Operational Excellence &amp; IT and President, Asia</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Pacific Middle East</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Mara E. Swan</w:t>
            </w:r>
          </w:p>
        </w:tc>
        <w:tc>
          <w:tcPr>
            <w:tcW w:w="1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760,973</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11,540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953,302</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EVP, Global Strategy and Talent</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Jeffrey A. Joerres (2)</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445,157</w:t>
            </w:r>
          </w:p>
        </w:tc>
        <w:tc>
          <w:tcPr>
            <w:tcW w:w="1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16,976,071</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145,320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12,167,570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Former Executive Chairman</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vesting of RSUs and PSUs as follows:</w:t>
      </w:r>
    </w:p>
    <w:p>
      <w:pPr>
        <w:spacing w:after="0" w:line="15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20" w:type="dxa"/>
            <w:vAlign w:val="bottom"/>
            <w:gridSpan w:val="2"/>
            <w:vMerge w:val="continue"/>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RSUs</w:t>
            </w:r>
          </w:p>
        </w:tc>
        <w:tc>
          <w:tcPr>
            <w:tcW w:w="108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Prising</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11,702</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Ram Chandrashekar</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3,435</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Mara E. Swan</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4,213</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Jeffrey A. Joerres</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98,697</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80" w:hanging="492"/>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total stock awards vested for Mr. Joerres, 65,932 RSUs and 46,623 PSUs vested upon his retirement on December 30, 2015. In accordance with Section 409A of the Internal Revenue Code, these will not be distributed to Mr. Joerres until July 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in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Present Value of</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Years</w:t>
            </w:r>
          </w:p>
        </w:tc>
        <w:tc>
          <w:tcPr>
            <w:tcW w:w="17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Credited</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Plan Name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Service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Benefit</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58"/>
        </w:trPr>
        <w:tc>
          <w:tcPr>
            <w:tcW w:w="45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Name &amp; Principal Position</w:t>
            </w:r>
          </w:p>
        </w:tc>
        <w:tc>
          <w:tcPr>
            <w:tcW w:w="220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CEO</w:t>
            </w:r>
          </w:p>
        </w:tc>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Michael J. Van Handel</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 Pension Plans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123,156</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CFO</w:t>
            </w: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President &amp; COO</w:t>
            </w:r>
          </w:p>
        </w:tc>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Ram Chandrashekar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EVP, Operational Excellence &amp; IT and President, Asia</w:t>
            </w: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Pacific Middle East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Mara E. Swan</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EVP, Global Strategy and Talent</w:t>
            </w:r>
          </w:p>
        </w:tc>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Jeffrey A. Joerres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 Pension Plans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102,989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Former Executive Chairman</w:t>
            </w: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85725</wp:posOffset>
            </wp:positionV>
            <wp:extent cx="114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ind w:left="500" w:right="60" w:hanging="492"/>
        <w:spacing w:after="0" w:line="302" w:lineRule="auto"/>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Mr. Van Handel, present value has been calculated as of December 31, 2015 assuming a 4.24% discount rate and retirement occurring at age 65, as well as applying the RP-2006 Mortality Table with the MP-2015 Projection Scale, as required for plan financial reporting purposes. For Mr. Joerres, present value has been calculated as of December 31, 2015 assuming a 4.24% discount rate and retirement occurring at his actual retirement age of 56, as well as applying the RP-2006 Mortality Table with the MP-2015 Projection Scale, as required for plan financial reporting purposes.</w:t>
      </w:r>
    </w:p>
    <w:p>
      <w:pPr>
        <w:spacing w:after="0" w:line="15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Mr. Joerres and Mr. Van Handel are each entitled to pension benefits under the U.S. pension plans.</w:t>
      </w:r>
    </w:p>
    <w:p>
      <w:pPr>
        <w:spacing w:after="0" w:line="18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 Currently, only Mr. Joerres and Mr. Van Handel are eligible for early retirement under the U.S. pension plans. The early retirement benefit under the U.S. pension plans is the normal retirement benefit, reduced by 5/12 of 1% for each month that the participant retired prior to his or her normal retirement 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Executive</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Registrant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Earnings</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 2015</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 2015</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2015</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240" w:type="dxa"/>
            <w:vAlign w:val="bottom"/>
          </w:tcPr>
          <w:p>
            <w:pPr>
              <w:jc w:val="right"/>
              <w:ind w:right="398"/>
              <w:spacing w:after="0" w:line="149" w:lineRule="exact"/>
              <w:rPr>
                <w:sz w:val="20"/>
                <w:szCs w:val="20"/>
                <w:color w:val="auto"/>
              </w:rPr>
            </w:pPr>
            <w:r>
              <w:rPr>
                <w:rFonts w:ascii="Arial" w:cs="Arial" w:eastAsia="Arial" w:hAnsi="Arial"/>
                <w:sz w:val="14"/>
                <w:szCs w:val="14"/>
                <w:b w:val="1"/>
                <w:bCs w:val="1"/>
                <w:color w:val="auto"/>
              </w:rPr>
              <w:t>2015</w:t>
            </w:r>
          </w:p>
        </w:tc>
      </w:tr>
      <w:tr>
        <w:trPr>
          <w:trHeight w:val="148"/>
        </w:trPr>
        <w:tc>
          <w:tcPr>
            <w:tcW w:w="33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Name &amp; Principal Position</w:t>
            </w:r>
          </w:p>
        </w:tc>
        <w:tc>
          <w:tcPr>
            <w:tcW w:w="1360" w:type="dxa"/>
            <w:vAlign w:val="bottom"/>
            <w:gridSpan w:val="2"/>
          </w:tcPr>
          <w:p>
            <w:pPr>
              <w:ind w:left="480"/>
              <w:spacing w:after="0" w:line="148" w:lineRule="exact"/>
              <w:rPr>
                <w:sz w:val="20"/>
                <w:szCs w:val="20"/>
                <w:color w:val="auto"/>
              </w:rPr>
            </w:pPr>
            <w:r>
              <w:rPr>
                <w:rFonts w:ascii="Arial" w:cs="Arial" w:eastAsia="Arial" w:hAnsi="Arial"/>
                <w:sz w:val="14"/>
                <w:szCs w:val="14"/>
                <w:b w:val="1"/>
                <w:bCs w:val="1"/>
                <w:color w:val="auto"/>
              </w:rPr>
              <w:t>Plan</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240" w:type="dxa"/>
            <w:vAlign w:val="bottom"/>
          </w:tcPr>
          <w:p>
            <w:pPr>
              <w:jc w:val="right"/>
              <w:ind w:right="378"/>
              <w:spacing w:after="0" w:line="148" w:lineRule="exact"/>
              <w:rPr>
                <w:sz w:val="20"/>
                <w:szCs w:val="20"/>
                <w:color w:val="auto"/>
              </w:rPr>
            </w:pPr>
            <w:r>
              <w:rPr>
                <w:rFonts w:ascii="Arial" w:cs="Arial" w:eastAsia="Arial" w:hAnsi="Arial"/>
                <w:sz w:val="14"/>
                <w:szCs w:val="14"/>
                <w:b w:val="1"/>
                <w:bCs w:val="1"/>
                <w:color w:val="auto"/>
              </w:rPr>
              <w:t>($)(2)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Jonas Prising</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NQSP</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44,454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1,757,290</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CEO</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Michael J. Van Handel</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NQSP</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63,410</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2,662,357</w:t>
            </w:r>
          </w:p>
        </w:tc>
      </w:tr>
      <w:tr>
        <w:trPr>
          <w:trHeight w:val="270"/>
        </w:trPr>
        <w:tc>
          <w:tcPr>
            <w:tcW w:w="40" w:type="dxa"/>
            <w:vAlign w:val="bottom"/>
          </w:tcPr>
          <w:p>
            <w:pPr>
              <w:spacing w:after="0"/>
              <w:rPr>
                <w:sz w:val="23"/>
                <w:szCs w:val="23"/>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CFO</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PBDC</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21,076</w:t>
            </w: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685,531</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Darryl Green</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NQSP</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15,485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20,480</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President &amp; COO</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Ram Chandrashekar</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NQSP</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56"/>
        </w:trPr>
        <w:tc>
          <w:tcPr>
            <w:tcW w:w="40" w:type="dxa"/>
            <w:vAlign w:val="bottom"/>
          </w:tcPr>
          <w:p>
            <w:pPr>
              <w:spacing w:after="0"/>
              <w:rPr>
                <w:sz w:val="22"/>
                <w:szCs w:val="22"/>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EVP, Operational Excellence &amp; IT and</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President, Asia Pacific Middle East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Mara E. Swan</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NQSP</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36,523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910,397</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EVP, Global Strategy and Talent</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Jeffrey A. Joerres</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NQSP</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47,277</w:t>
            </w: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5,780,877</w:t>
            </w:r>
          </w:p>
        </w:tc>
      </w:tr>
      <w:tr>
        <w:trPr>
          <w:trHeight w:val="270"/>
        </w:trPr>
        <w:tc>
          <w:tcPr>
            <w:tcW w:w="40" w:type="dxa"/>
            <w:vAlign w:val="bottom"/>
          </w:tcPr>
          <w:p>
            <w:pPr>
              <w:spacing w:after="0"/>
              <w:rPr>
                <w:sz w:val="23"/>
                <w:szCs w:val="23"/>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Former Executive Chairman</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PBDC(3)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40,215</w:t>
            </w: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1,308,022</w:t>
            </w:r>
          </w:p>
        </w:tc>
      </w:tr>
      <w:tr>
        <w:trPr>
          <w:trHeight w:val="270"/>
        </w:trPr>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Equity Plan(4)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9,627,955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(37,017)</w:t>
            </w: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9,590,938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85725</wp:posOffset>
            </wp:positionV>
            <wp:extent cx="1143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jc w:val="both"/>
        <w:ind w:left="500" w:right="60" w:hanging="492"/>
        <w:spacing w:after="0" w:line="279"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amounts reflect contributions made by the executive officers from their 2015 salary, which amounts were also included in the salary column for each executive officer in the Summary Compensation Table. Of the amounts disclosed in this column for the Nonqualified Savings Plan, the following contributions are attributable to a portion of the 2014 annual incentive, which was disclosed in the 2014 Summary Compensation Table: Mr. Prising — $39,846; Mr. Van Handel — $43,908, Ms. Swan — $39,218; and Mr. Joerres — $40,977.</w:t>
      </w:r>
    </w:p>
    <w:p>
      <w:pPr>
        <w:spacing w:after="0" w:line="9" w:lineRule="exact"/>
        <w:rPr>
          <w:rFonts w:ascii="Arial" w:cs="Arial" w:eastAsia="Arial" w:hAnsi="Arial"/>
          <w:sz w:val="17"/>
          <w:szCs w:val="17"/>
          <w:color w:val="auto"/>
        </w:rPr>
      </w:pPr>
    </w:p>
    <w:p>
      <w:pPr>
        <w:ind w:left="500" w:right="60" w:hanging="492"/>
        <w:spacing w:after="0" w:line="290"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Of the amounts disclosed in this column for the Nonqualified Savings Plan, the following amounts were previously reported in the Summary Compensation Table in either 2015 or prior to 2015: Mr. Prising — $1,112,449; Mr. Van Handel — $1,331,511; Mr. Green — $19,735; Ms. Swan — $233,714; and Mr. Joerres — $2,940,031.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 — $873,190; and Mr. Van Handel — $457,638. The difference between the amounts disclosed in this footnote and the amounts disclosed in the above column for the Performance-Based Deferred Compensation Plan reflect earnings on the contributions.</w:t>
      </w:r>
    </w:p>
    <w:p>
      <w:pPr>
        <w:spacing w:after="0" w:line="4" w:lineRule="exact"/>
        <w:rPr>
          <w:rFonts w:ascii="Arial" w:cs="Arial" w:eastAsia="Arial" w:hAnsi="Arial"/>
          <w:sz w:val="16"/>
          <w:szCs w:val="16"/>
          <w:color w:val="auto"/>
        </w:rPr>
      </w:pPr>
    </w:p>
    <w:p>
      <w:pPr>
        <w:ind w:left="500" w:right="140" w:hanging="492"/>
        <w:spacing w:after="0" w:line="27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Joerres elected to receive a lump-sum payment of his performance-based deferred compensation balance. In accordance with Section 409A of the Internal Revenue Code, payment to Mr. Joerres is subject to a 6-month delay and will be distributed in July, 2016.</w:t>
      </w:r>
    </w:p>
    <w:p>
      <w:pPr>
        <w:spacing w:after="0" w:line="8" w:lineRule="exact"/>
        <w:rPr>
          <w:rFonts w:ascii="Arial" w:cs="Arial" w:eastAsia="Arial" w:hAnsi="Arial"/>
          <w:sz w:val="18"/>
          <w:szCs w:val="18"/>
          <w:color w:val="auto"/>
        </w:rPr>
      </w:pPr>
    </w:p>
    <w:p>
      <w:pPr>
        <w:ind w:left="500" w:right="60" w:hanging="492"/>
        <w:spacing w:after="0" w:line="25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These amounts reflect the value of restricted stock units and performance share units from the 2011 Equity Incentive Plan of ManpowerGroup Inc. that vested upon Mr. Joerres's retirement on December 30, 2015. The difference between the value disclosed in the Aggregate Balance at December 31, 2015 column and what was previously reported in the Summary Compensation Table is the change in value between the grant date of the shares and December 31, 2015, dividend equivalents earned on the restricted stock units and the ultimate payout level of the performance share units. Similar to his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00" w:right="40"/>
        <w:spacing w:after="0" w:line="324" w:lineRule="auto"/>
        <w:rPr>
          <w:sz w:val="20"/>
          <w:szCs w:val="20"/>
          <w:color w:val="auto"/>
        </w:rPr>
      </w:pPr>
      <w:r>
        <w:rPr>
          <w:rFonts w:ascii="Arial" w:cs="Arial" w:eastAsia="Arial" w:hAnsi="Arial"/>
          <w:sz w:val="18"/>
          <w:szCs w:val="18"/>
          <w:color w:val="auto"/>
        </w:rPr>
        <w:t>performance-based deferred compensation balance, in accordance with Section 409A of the Internal Revenue Code, the distribution of these shares are subject to a 6-month delay and will be distributed in July,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2015</w:t>
      </w:r>
    </w:p>
    <w:p>
      <w:pPr>
        <w:spacing w:after="0" w:line="22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Nonqualified Savings Plan, certain executives, including the NEOs, may defer a portion of their salary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 awards. Salary deferral elections must be made by the executive officers before December 31 of the year prior to the year in which it will be earned. Incentive deferral elections are made by the executive officers in June of each year for the incentive they will earn during such year. The executive officers are permitted to defer up to 50% of their salary and 50% of their annual incentive under the plan. Pursuant to the plan, the executive officers, as well as all other plan participants, may receive a matching amount of 50% of the deferrals they have made during the year, up to a maximum of 6% of their annual compensation. In addition, pursuant to the plan, ManpowerGroup may make a discretionary profit sharing contribution to participants in the plan. During 2015, ManpowerGroup made a profit sharing contribution equal to 2% of base salary for each NEO who participated in the plan in 2014 (based on 2014 salary). ManpowerGroup’s contributions to a participant’s account under the plan (both matching contributions and profit sharing contributions) are not fully vested until a participant has at least five years of credited service with ManpowerGroup. All of the executive officers who participate in the plan were fully vested in their matching contributions and profit sharing contributions as of December 31, 2015.</w:t>
      </w:r>
    </w:p>
    <w:p>
      <w:pPr>
        <w:spacing w:after="0" w:line="165" w:lineRule="exact"/>
        <w:rPr>
          <w:sz w:val="20"/>
          <w:szCs w:val="20"/>
          <w:color w:val="auto"/>
        </w:rPr>
      </w:pPr>
    </w:p>
    <w:p>
      <w:pPr>
        <w:jc w:val="both"/>
        <w:ind w:right="420" w:firstLine="486"/>
        <w:spacing w:after="0" w:line="286" w:lineRule="auto"/>
        <w:rPr>
          <w:sz w:val="20"/>
          <w:szCs w:val="20"/>
          <w:color w:val="auto"/>
        </w:rPr>
      </w:pPr>
      <w:r>
        <w:rPr>
          <w:rFonts w:ascii="Arial" w:cs="Arial" w:eastAsia="Arial" w:hAnsi="Arial"/>
          <w:sz w:val="17"/>
          <w:szCs w:val="17"/>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of Fund</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Annual Return</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Mainstay Epoch US All Cap IS</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Vanguard Total Stock Market Index Investor Share Fund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0.42 %</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Dodge &amp; Cox International Stock</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Vanguard Total International Stock AD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 Rowe Price Institutional Global Focused Growth Equity</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1.44 %</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2005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2010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2015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2020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2025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2030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2035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2040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2045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2050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2055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Freedom 2060 Fund</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Freedom Income Fund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Fidelity Short Term Bond</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0.67 %</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Vanguard Total Bond Market Index Fund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0.41 %</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Prudential Total Return Bond Fund Class Q</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0.09 %</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Fidelity Money Market Trust Retirement Government Fund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0.02 %</w:t>
            </w:r>
          </w:p>
        </w:tc>
      </w:tr>
    </w:tbl>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in three, five or ten annual installments, as elected by the executive officers in accordance with the plan rules.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b w:val="1"/>
          <w:bCs w:val="1"/>
          <w:i w:val="1"/>
          <w:iCs w:val="1"/>
          <w:color w:val="auto"/>
        </w:rPr>
        <w:t>Performance-Based Deferred Compensation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Joerres and Mr. Van Handel have participated in the Senior Management Performance-Based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Compensation Plan, earning deferred compensation upon the achievement of earnings per share and economic profit goals in 2004 and 2005. Though the plan was frozen in February 2006, the executives continued to accrue earnings on such amounts in accordance with the plan. Specifically, the plan allows the Committee to determine the rate of return from time to time. Currently, the rate of return is equal to the effective yield on ten-year Treasury notes plus 100 basis points at the beginning of each year. A detailed discussion regarding the vesting conditions that entitle an executive to benefits under this plan can be found in the narrative accompanying the Post-Termination Benefits and Change of Control Tables below. Participants will receive any vested benefits under this plan upon their termination of employment, payable in cash or shares of ManpowerGroup’s common stock (in ManpowerGroup’s sole discretion), in a lump sum or in such number of annual installments as elected by the participant in accordance with the plan rules. Upon a change of control, the participants receive a distribution of such benefits in a lump sum.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Except for the table for the former Executive Chairman, the tables following the descriptions of these arrangements illustrate the amount of enhanced benefits the NEOs would receive under all such arrangements if ManpowerGroup terminated their employment on December 31, 2015 for the reasons specified within the tables. None of the tables illustrate the value of any vested benefits payable to the NEOs upon a termination of employment (i.e., vested equity awards, or vested balances accrued under the Nonqualified Savings Plan or Performance-Based Deferred Compensation Plan), nor does any table other than the table for the former Executive Chairman illustrate the value of any enhanced benefits upon retirement of an NEO who was not eligible for retirement treatment as of December 31, 2015 with respect to any of their unvested benefits. As of December 31, 2015, only Mr. Van Handel and Ms. Swan were eligible for retirement treatment under certain of their outstanding awards. The tables below assume that in a “change of control,” the acquiring or surviving company would have assumed all unvested equity awards.</w:t>
      </w:r>
    </w:p>
    <w:p>
      <w:pPr>
        <w:spacing w:after="0" w:line="168" w:lineRule="exact"/>
        <w:rPr>
          <w:sz w:val="20"/>
          <w:szCs w:val="20"/>
          <w:color w:val="auto"/>
        </w:rPr>
      </w:pPr>
    </w:p>
    <w:p>
      <w:pPr>
        <w:ind w:firstLine="486"/>
        <w:spacing w:after="0" w:line="274" w:lineRule="auto"/>
        <w:rPr>
          <w:sz w:val="20"/>
          <w:szCs w:val="20"/>
          <w:color w:val="auto"/>
        </w:rPr>
      </w:pPr>
      <w:r>
        <w:rPr>
          <w:rFonts w:ascii="Arial" w:cs="Arial" w:eastAsia="Arial" w:hAnsi="Arial"/>
          <w:sz w:val="17"/>
          <w:szCs w:val="17"/>
          <w:b w:val="1"/>
          <w:bCs w:val="1"/>
          <w:i w:val="1"/>
          <w:iCs w:val="1"/>
          <w:color w:val="auto"/>
        </w:rPr>
        <w:t>Executive Chairman’s Retirement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Joerres served in the capacity of Executive Chairman until his retirement on December 30, 2015. The table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former Executive Chairman which follows the descriptions of the below arrangements illustrates the benefits he became entitled to receive upon retirement. The table does not illustrate the value of any benefits other than under the Performance-Based Deferred Compensation Plan that may have been payable to him upon retirement but were otherwise vested prior to his retirement (i.e., vested equity awards or vested balances accrued under the Nonqualified Savings Plan). Due to Mr. Joerres's retirement, the description of the treatment of the arrangements below upon a change of control or termination of employment other than retirement does not apply to him following his retirement.</w:t>
      </w:r>
    </w:p>
    <w:p>
      <w:pPr>
        <w:spacing w:after="0" w:line="17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Severance agreements. </w:t>
      </w:r>
      <w:r>
        <w:rPr>
          <w:rFonts w:ascii="Arial" w:cs="Arial" w:eastAsia="Arial" w:hAnsi="Arial"/>
          <w:sz w:val="18"/>
          <w:szCs w:val="18"/>
          <w:color w:val="auto"/>
        </w:rPr>
        <w:t>Under the severance agreements, upon the involuntary termination of the NEO’s employment (other than for cause,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salary and annual incentive. The caps described above do not apply in the event of a change of control. All severance payments under the NEOs’ agreements will generally be paid in a lump sum on the 30</w:t>
      </w:r>
      <w:r>
        <w:rPr>
          <w:rFonts w:ascii="Arial" w:cs="Arial" w:eastAsia="Arial" w:hAnsi="Arial"/>
          <w:sz w:val="14"/>
          <w:szCs w:val="14"/>
          <w:color w:val="auto"/>
        </w:rPr>
        <w:t>th</w:t>
      </w:r>
      <w:r>
        <w:rPr>
          <w:rFonts w:ascii="Arial" w:cs="Arial" w:eastAsia="Arial" w:hAnsi="Arial"/>
          <w:sz w:val="16"/>
          <w:szCs w:val="16"/>
          <w:color w:val="auto"/>
        </w:rPr>
        <w:t xml:space="preserve">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6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2 years after a change of control. In addition, under the severance agreements with Mr. Prising, Mr. Van Handel and Ms. Swan, good reason is triggered by a relocation to a new principal office that is in excess of 50 miles from the NEO’s prior principal office.</w:t>
      </w:r>
    </w:p>
    <w:p>
      <w:pPr>
        <w:spacing w:after="0" w:line="18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 The non-competition agreement with Mr. Van Handel does not provide for this exception, such that he is bound for the one-year period following the termination of his employment for any reason.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Under the severance agreements, upon the NEO’s (i) involuntary termination (other than for cause), (ii) voluntary termination for good reason or</w:t>
      </w:r>
    </w:p>
    <w:p>
      <w:pPr>
        <w:spacing w:after="0" w:line="35" w:lineRule="exact"/>
        <w:rPr>
          <w:sz w:val="20"/>
          <w:szCs w:val="20"/>
          <w:color w:val="auto"/>
        </w:rPr>
      </w:pPr>
    </w:p>
    <w:p>
      <w:pPr>
        <w:ind w:right="180" w:firstLine="8"/>
        <w:spacing w:after="0" w:line="268" w:lineRule="auto"/>
        <w:tabs>
          <w:tab w:leader="none" w:pos="3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agreements with Mr. Prising and Mr. Van Handel.</w:t>
      </w:r>
    </w:p>
    <w:p>
      <w:pPr>
        <w:spacing w:after="0" w:line="1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Effective as of October 29, 2015, the Company entered into a new severance agreement with Mr. Chandrashekar replacing his prior severance agreement that was scheduled to expire November 15, 2015. This severance agreement replaces his previous severance agreement dated as of February 12, 2012. The new severance agreement contains terms substantially similar to the severance agreement that the Company entered into with Ms. Swan in February 2015. The new severance agreement expires on the first to occur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firstLine="8"/>
        <w:spacing w:after="0" w:line="277"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two years after the occurrence of a change of control of the Company or (2) October 29, 2018 if no such change of control occurs before October 29, 2018.</w:t>
      </w:r>
    </w:p>
    <w:p>
      <w:pPr>
        <w:spacing w:after="0" w:line="170"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During 2015, the Company was party to a severance agreement with Mr. Joerres which was substantially similar to the severance agreement with Mr. Prising. However, due to Mr. Joerres's retirement on December 30, 2015, that agreement expired and no amounts were due to him under the severance agreement. Mr. Joerres is bound by the terms of the non-competition provisions in the severance agreement for a period of one-year following his retirement.</w:t>
      </w:r>
    </w:p>
    <w:p>
      <w:pPr>
        <w:spacing w:after="0" w:line="143" w:lineRule="exact"/>
        <w:rPr>
          <w:sz w:val="20"/>
          <w:szCs w:val="20"/>
          <w:color w:val="auto"/>
        </w:rPr>
      </w:pPr>
    </w:p>
    <w:p>
      <w:pPr>
        <w:jc w:val="both"/>
        <w:ind w:right="40" w:firstLine="486"/>
        <w:spacing w:after="0" w:line="303" w:lineRule="auto"/>
        <w:rPr>
          <w:sz w:val="20"/>
          <w:szCs w:val="20"/>
          <w:color w:val="auto"/>
        </w:rPr>
      </w:pPr>
      <w:r>
        <w:rPr>
          <w:rFonts w:ascii="Arial" w:cs="Arial" w:eastAsia="Arial" w:hAnsi="Arial"/>
          <w:sz w:val="16"/>
          <w:szCs w:val="16"/>
          <w:b w:val="1"/>
          <w:bCs w:val="1"/>
          <w:i w:val="1"/>
          <w:iCs w:val="1"/>
          <w:color w:val="auto"/>
        </w:rPr>
        <w:t>Annual Cash Incentive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February 2016, the Committee approved an amendment to the Pool Plan so that any participant who retires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age 55 with 10 years of service) would be entitled to a pro-rata portion of their annual incentive for that year, based on actual performance. Prior to the amendment, a participant who retired prior to December 31 of a given year would not be eligible for any incentive for that year, unless otherwise determined by the Committee. This amendment was not applicable to any 2015 awards and accordingly, such pro-rated bonuses are not illustrated in the tables below.</w:t>
      </w:r>
    </w:p>
    <w:p>
      <w:pPr>
        <w:spacing w:after="0" w:line="15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As of December 31, 2015, each of the NEOs (other than Mr. Joerres) held unvested stock options granted under the 2011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Under the terms of the stock option 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in 2012 and later, unvested options also immediately vest upon the NEO’s “retirement.” Here, retirement means the termination of the NEO’s employment on or after age 55 and the NEO has completed 10 years of service with ManpowerGroup. Mr. Joerres’s unvested stock options vested on his retirement on December 30, 2015.</w:t>
      </w:r>
    </w:p>
    <w:p>
      <w:pPr>
        <w:spacing w:after="0" w:line="16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i w:val="1"/>
          <w:iCs w:val="1"/>
          <w:color w:val="auto"/>
        </w:rPr>
        <w:t>Restricted stock units and career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December 31, 2015, the NEOs (other than Mr. Joerres) held unvested restricted stock units or career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(restricted stock or restricted stock units that vest completely on a single date several years into the future, for example, four, five or six years) granted under the 2003 Equity Incentive Plan or the 2011 Equity Incentive Plan. A NEO will become fully vested in his or her restricted stock units or career shares upon a termination of employment due to death or disability. For any career shares granted in 2011 and all restricted stock units held by the NEOs, a NEO will become fully vested in his or her restricted stock units or career shares upon a termination of employment due to the NEO’s retirement. For these awards, “retirement” generally means the termination of the NEO’s employment on or after age 55 if the NEO has completed 10 years of service with ManpowerGroup. Mr. Joerres’s unvested restricted stock units vested on his retirement on December 30, 2015. For career share grants made in 2013 or later, such shares do not vest upon retirement. Upon a change of control, the restricted stock units or career shares shall vest according to the same terms as described above for stock options.</w:t>
      </w:r>
    </w:p>
    <w:p>
      <w:pPr>
        <w:spacing w:after="0" w:line="178"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For career shares granted in 2011, in the event of the NEO’s involuntary termination of employment (other than for cause) or a voluntary termination for good reason, the NEO will become vested in a pro-rata number of shares based upon the number of days that have elapsed during the vesting period prior to such a termination of employment. Cause and good reason generally have the same meaning as in the NEO’s severance agreements. Career shares granted in 2013 or later are forfeited upon the NEO’s involuntary termination of employment or a voluntary termination for good reason.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1"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b w:val="1"/>
          <w:bCs w:val="1"/>
          <w:i w:val="1"/>
          <w:iCs w:val="1"/>
          <w:color w:val="auto"/>
        </w:rPr>
        <w:t>Performance share units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December 31, 2015, all NEOs held outstanding performance share units granted under the 2011 Equity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Generally, under these awards, upon a NEO’s 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For the 2014 and 2015 awards of performance share units to Mr. Joerres and Mr. Van Handel, upon their retirement (here, employment termination after age 55 with 10 years of completed service), an involuntary termination of their employment (other than for cause) or a voluntary termination of employment for good reason, they are entitled to receive the full number of shares payable under the award at the end of the performance period, based on actual results at the end of the performance period. In addition, for the outstanding grants of performance shares held by Mr. Joerres and Mr. Van Handel from 2013 any earned performance share units under such awards (where the number earned is based on actual performance results) which are unvested would become fully vested if any of the events mentioned in the prior sentence occur. Mr. Joerres's unvested performance share units from 2013 vested on his retirement on December 30, 2015. For each NEO other than Mr. Joerres and Mr. Van Handel, the shares are forfeited upon an involuntary termination of employment or a voluntary employment termination for good reason prior to the end of the performance period. Cause and good reason under Mr. Joerres's and Mr. Van Handel's performance share unit agreements generally has the same meaning as in their severance agreements.</w:t>
      </w:r>
    </w:p>
    <w:p>
      <w:pPr>
        <w:spacing w:after="0" w:line="18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Generally, upon the death or disability of an NEO during the performance period, the NEO is entitled to receive the target amount of shares. Upon the death or disability of an NEO after the performance period but before the performance share units have vested, the NEO is entitled to receive the number of shares earned based on the actual results at the end of the performance period.</w:t>
      </w:r>
    </w:p>
    <w:p>
      <w:pPr>
        <w:spacing w:after="0" w:line="18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In the event of a change of control of ManpowerGroup, if the NEO’s employment were terminated prior to the end of the vesting period for such awards (either by Manpower Group other than for cause or by the NEO for good reason), the NEO generally would be entitled to accelerated vesting of any unpaid performance share units, where the total number of shares payable under the award will be based on either the actual performance at the end of the applicable performance period, or, if the change of control were to occur prior to the end of the applicable performance period, based on an amount determined by the committee.</w:t>
      </w:r>
    </w:p>
    <w:p>
      <w:pPr>
        <w:spacing w:after="0" w:line="188"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Under Mr. Chandrashekar’s special performance share unit agreement awarded to him in 2013, which does not vest until July 2016, he will not be entitled to accelerated vesting, in any event, of his unvested performance share units.</w:t>
      </w:r>
    </w:p>
    <w:p>
      <w:pPr>
        <w:spacing w:after="0" w:line="16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7"/>
          <w:szCs w:val="17"/>
          <w:b w:val="1"/>
          <w:bCs w:val="1"/>
          <w:i w:val="1"/>
          <w:iCs w:val="1"/>
          <w:color w:val="auto"/>
        </w:rPr>
        <w:t>Performance-Based Deferred Compensation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benefits payable to Mr. Joerres and Mr. Van Handel under the Senior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Performance-Based Deferred Compensation Plan that was frozen in February 2006 vest upon a change of control, upon an NEO’s “retirement” or early retirement, as determined by the Committee, or upon an NEO’s termination of employment due to death or disability. For purposes of this plan, “retirement” means an NEO has reached age 62 or has reached age 50 and has completed 15 years of service with ManpowerGroup. Mr. Joerres and Mr. Van Handel are eligible to receive this benefit by virtue of having reached age 50 and completed 15 years of service by the end of 2015.</w:t>
      </w:r>
    </w:p>
    <w:p>
      <w:pPr>
        <w:spacing w:after="0" w:line="168" w:lineRule="exact"/>
        <w:rPr>
          <w:sz w:val="20"/>
          <w:szCs w:val="20"/>
          <w:color w:val="auto"/>
        </w:rPr>
      </w:pPr>
    </w:p>
    <w:p>
      <w:pPr>
        <w:ind w:right="260" w:firstLine="486"/>
        <w:spacing w:after="0" w:line="298"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disability or retirement. For purposes of this plan, “retirement” means an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would not receive any enhanced benefit upon their death, disability or retirement.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CEO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Involuntary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Double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Trigger</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or Good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(COC +</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3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140" w:type="dxa"/>
            <w:vAlign w:val="bottom"/>
            <w:vMerge w:val="restart"/>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Reason – no</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Termination)</w:t>
            </w:r>
          </w:p>
        </w:tc>
        <w:tc>
          <w:tcPr>
            <w:tcW w:w="1340" w:type="dxa"/>
            <w:vAlign w:val="bottom"/>
            <w:gridSpan w:val="2"/>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92"/>
        </w:trPr>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COC($)</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 ($)</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Cause($)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Severance Payment(3)</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2,750,000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8,250,000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000" w:type="dxa"/>
            <w:vAlign w:val="bottom"/>
            <w:gridSpan w:val="3"/>
          </w:tcPr>
          <w:p>
            <w:pPr>
              <w:ind w:left="40"/>
              <w:spacing w:after="0"/>
              <w:rPr>
                <w:sz w:val="20"/>
                <w:szCs w:val="20"/>
                <w:color w:val="auto"/>
              </w:rPr>
            </w:pPr>
            <w:r>
              <w:rPr>
                <w:rFonts w:ascii="Arial" w:cs="Arial" w:eastAsia="Arial" w:hAnsi="Arial"/>
                <w:sz w:val="16"/>
                <w:szCs w:val="16"/>
                <w:color w:val="auto"/>
              </w:rPr>
              <w:t>Prorated Incentive(4)</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1,650,000</w:t>
            </w:r>
          </w:p>
        </w:tc>
        <w:tc>
          <w:tcPr>
            <w:tcW w:w="12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1,650,000</w:t>
            </w: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2,032,800</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1,650,000</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Options(5)</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697,573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697,573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697,573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000" w:type="dxa"/>
            <w:vAlign w:val="bottom"/>
            <w:gridSpan w:val="3"/>
          </w:tcPr>
          <w:p>
            <w:pPr>
              <w:ind w:left="40"/>
              <w:spacing w:after="0"/>
              <w:rPr>
                <w:sz w:val="20"/>
                <w:szCs w:val="20"/>
                <w:color w:val="auto"/>
              </w:rPr>
            </w:pPr>
            <w:r>
              <w:rPr>
                <w:rFonts w:ascii="Arial" w:cs="Arial" w:eastAsia="Arial" w:hAnsi="Arial"/>
                <w:sz w:val="16"/>
                <w:szCs w:val="16"/>
                <w:color w:val="auto"/>
              </w:rPr>
              <w:t>Performance Share Units(6)</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8,090,584</w:t>
            </w:r>
          </w:p>
        </w:tc>
        <w:tc>
          <w:tcPr>
            <w:tcW w:w="12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8,090,584</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8,090,584</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Stock Units/ Career Shares(7)</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6,862,049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6,862,049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1,329,612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6,862,049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000" w:type="dxa"/>
            <w:vAlign w:val="bottom"/>
            <w:gridSpan w:val="3"/>
          </w:tcPr>
          <w:p>
            <w:pPr>
              <w:ind w:left="40"/>
              <w:spacing w:after="0"/>
              <w:rPr>
                <w:sz w:val="20"/>
                <w:szCs w:val="20"/>
                <w:color w:val="auto"/>
              </w:rPr>
            </w:pPr>
            <w:r>
              <w:rPr>
                <w:rFonts w:ascii="Arial" w:cs="Arial" w:eastAsia="Arial" w:hAnsi="Arial"/>
                <w:sz w:val="16"/>
                <w:szCs w:val="16"/>
                <w:color w:val="auto"/>
              </w:rPr>
              <w:t>Health Benefits</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23,197</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35,055</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17,300,206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17,300,206</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6,135,609</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25,585,261</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 2017.</w:t>
      </w:r>
    </w:p>
    <w:p>
      <w:pPr>
        <w:spacing w:after="0" w:line="63"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9" w:lineRule="exact"/>
        <w:rPr>
          <w:rFonts w:ascii="Arial" w:cs="Arial" w:eastAsia="Arial" w:hAnsi="Arial"/>
          <w:sz w:val="18"/>
          <w:szCs w:val="18"/>
          <w:color w:val="auto"/>
        </w:rPr>
      </w:pPr>
    </w:p>
    <w:p>
      <w:pPr>
        <w:ind w:left="500" w:right="60" w:hanging="492"/>
        <w:spacing w:after="0" w:line="264"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of the severance payment under Mr. Prising’s severance agreement is equal to his annual base salary at the highest rate in effect during the terms of the agreement (here, $1,100,000) and his target bonus for the year of the termination (here, $1,650,000). In a double-trigger scenario, the amount of his severance payment is multiplied by three.</w:t>
      </w:r>
    </w:p>
    <w:p>
      <w:pPr>
        <w:spacing w:after="0" w:line="19" w:lineRule="exact"/>
        <w:rPr>
          <w:rFonts w:ascii="Arial" w:cs="Arial" w:eastAsia="Arial" w:hAnsi="Arial"/>
          <w:sz w:val="18"/>
          <w:szCs w:val="18"/>
          <w:color w:val="auto"/>
        </w:rPr>
      </w:pPr>
    </w:p>
    <w:p>
      <w:pPr>
        <w:ind w:left="500" w:right="40" w:hanging="492"/>
        <w:spacing w:after="0" w:line="272"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case of his involuntary termination (other than for cause) or voluntary termination for good reason, the amount of the prorated incentive payable to Mr. Prising under his severance agreement is based on the actual incentive earned for 2015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2015, immediately before the incentive was earned, so as not to understate the potential value of the benefit upon the applicable termination of employment. Note that an incentive amount has also been reported as 2015 compensation for Mr. Prising in the Summary Compensation Table, as well as in the Grants of Plan-Based Awards Table.</w:t>
      </w:r>
    </w:p>
    <w:p>
      <w:pPr>
        <w:spacing w:after="0" w:line="15" w:lineRule="exact"/>
        <w:rPr>
          <w:rFonts w:ascii="Arial" w:cs="Arial" w:eastAsia="Arial" w:hAnsi="Arial"/>
          <w:sz w:val="17"/>
          <w:szCs w:val="17"/>
          <w:color w:val="auto"/>
        </w:rPr>
      </w:pPr>
    </w:p>
    <w:p>
      <w:pPr>
        <w:ind w:left="500" w:right="460" w:hanging="492"/>
        <w:spacing w:after="0" w:line="277"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2015 ($84.29) and the exercise price of each unvested stock option held by Mr. Prising on such date.</w:t>
      </w:r>
    </w:p>
    <w:p>
      <w:pPr>
        <w:spacing w:after="0" w:line="8" w:lineRule="exact"/>
        <w:rPr>
          <w:rFonts w:ascii="Arial" w:cs="Arial" w:eastAsia="Arial" w:hAnsi="Arial"/>
          <w:sz w:val="18"/>
          <w:szCs w:val="18"/>
          <w:color w:val="auto"/>
        </w:rPr>
      </w:pPr>
    </w:p>
    <w:p>
      <w:pPr>
        <w:ind w:left="500" w:right="80" w:hanging="492"/>
        <w:spacing w:after="0" w:line="290"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(2013, 2014 and 2015 grants) using the closing stock price on December 31, 2015 ($84.29). In the case of a change of control, the payout is shown based on the number of shares earned based on actual performance in 2013 and assuming the Committee will determine the amount of shares earned relating to the 2014 and 2015 awards will equal the target award. In the case of a death or disability, the payout is shown based on the number of shares earned based on actual performance in 2013 and the target awards for 2014 and 2015. Although 50 percent of the performance share units for the 2013 grant vested on December 31, 2015, the values shown in the table above were calculated to illustrate the value of vesting in the event of an applicable termination occurring on December 31, 2015, immediately before vesting, and includes the performance shares that vested on that date so as not to understate the potential value of an acceleration upon the applicable termination of employment.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right="240" w:hanging="492"/>
        <w:spacing w:after="0" w:line="277"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value of any unvested restricted stock and restricted stock units is illustrated here by measuring the value of the number of shares payable under unvested awards using the closing stock price on December 31, 2015 ($84.29).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Involuntary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Double</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Trigger</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or Good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(COC +</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Disability($)</w:t>
            </w:r>
          </w:p>
        </w:tc>
        <w:tc>
          <w:tcPr>
            <w:tcW w:w="120" w:type="dxa"/>
            <w:vAlign w:val="bottom"/>
            <w:vMerge w:val="restart"/>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Retirement ($)</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92"/>
        </w:trPr>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COC($)</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Cause($)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Severance Payment(3)</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1,320,000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3,960,000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Prorated Incentive(4)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660,000</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660,000</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813,120</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660,000</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Options(5)</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1,335,810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1,335,810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1,335,810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1,335,810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Performance Share Units(6)</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4,839,165</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4,839,165</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8,274,825</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4,839,165</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8,274,825</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Restricted Stock Units/ Career</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Shares(7)</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2,013,351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2,013,351</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2,013,351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2,013,351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Health Benefits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27,853</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42,091</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Performance-Based Deferred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Compensation</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685,531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685,531</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685,531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685,531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Pension Benefits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118,422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9,533,857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9,533,857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10,435,798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13,535,948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12,427,939</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 of Mr. Van Handel’s severance agreement expires on February 20, 2017.</w:t>
      </w:r>
    </w:p>
    <w:p>
      <w:pPr>
        <w:spacing w:after="0" w:line="63"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9" w:lineRule="exact"/>
        <w:rPr>
          <w:rFonts w:ascii="Arial" w:cs="Arial" w:eastAsia="Arial" w:hAnsi="Arial"/>
          <w:sz w:val="18"/>
          <w:szCs w:val="18"/>
          <w:color w:val="auto"/>
        </w:rPr>
      </w:pPr>
    </w:p>
    <w:p>
      <w:pPr>
        <w:ind w:left="500" w:right="180" w:hanging="492"/>
        <w:spacing w:after="0" w:line="264"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of the severance payment under Mr. Van Handel’s severance agreement is equal to his annual base salary at the highest rate in effect during the term of the agreement (here, $660,000) and his target incentive (here, $660,000). In a double-trigger scenario, the amount of his severance payment is multiplied by three.</w:t>
      </w:r>
    </w:p>
    <w:p>
      <w:pPr>
        <w:spacing w:after="0" w:line="19" w:lineRule="exact"/>
        <w:rPr>
          <w:rFonts w:ascii="Arial" w:cs="Arial" w:eastAsia="Arial" w:hAnsi="Arial"/>
          <w:sz w:val="18"/>
          <w:szCs w:val="18"/>
          <w:color w:val="auto"/>
        </w:rPr>
      </w:pPr>
    </w:p>
    <w:p>
      <w:pPr>
        <w:ind w:left="500" w:right="40" w:hanging="492"/>
        <w:spacing w:after="0" w:line="272"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the case of his involuntary termination (other than for cause) or voluntary termination for good reason, the amount of the prorated incentive payable to Mr. Van Handel under his severance agreement is based on the actual incentive earned for 2015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2015, immediately before the incentive was earned, so as not to understate the potential value of the benefit upon the applicable termination of employment. Note that an incentive amount has also been reported as 2015 compensation for Mr. Van Handel in the Summary Compensation Table, as well as in the Grants of Plan-Based Awards Table.</w:t>
      </w:r>
    </w:p>
    <w:p>
      <w:pPr>
        <w:spacing w:after="0" w:line="15" w:lineRule="exact"/>
        <w:rPr>
          <w:rFonts w:ascii="Arial" w:cs="Arial" w:eastAsia="Arial" w:hAnsi="Arial"/>
          <w:sz w:val="17"/>
          <w:szCs w:val="17"/>
          <w:color w:val="auto"/>
        </w:rPr>
      </w:pPr>
    </w:p>
    <w:p>
      <w:pPr>
        <w:ind w:left="500" w:right="460" w:hanging="492"/>
        <w:spacing w:after="0" w:line="277"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2015 ($84.29) and the exercise price of each unvested stock option held by Mr. Van Handel on such date.</w:t>
      </w:r>
    </w:p>
    <w:p>
      <w:pPr>
        <w:spacing w:after="0" w:line="8" w:lineRule="exact"/>
        <w:rPr>
          <w:rFonts w:ascii="Arial" w:cs="Arial" w:eastAsia="Arial" w:hAnsi="Arial"/>
          <w:sz w:val="18"/>
          <w:szCs w:val="18"/>
          <w:color w:val="auto"/>
        </w:rPr>
      </w:pPr>
    </w:p>
    <w:p>
      <w:pPr>
        <w:ind w:left="500" w:right="80" w:hanging="492"/>
        <w:spacing w:after="0" w:line="264"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outstanding awards (2013, 2014 and 2015 grants) using the closing stock price on December 31, 2015 ($84.29). In the case of a change of control, the payout is shown based on the number of shares earned based on actual performance in 2013 and assuming the Committee will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00"/>
        <w:spacing w:after="0" w:line="301" w:lineRule="auto"/>
        <w:rPr>
          <w:sz w:val="20"/>
          <w:szCs w:val="20"/>
          <w:color w:val="auto"/>
        </w:rPr>
      </w:pPr>
      <w:r>
        <w:rPr>
          <w:rFonts w:ascii="Arial" w:cs="Arial" w:eastAsia="Arial" w:hAnsi="Arial"/>
          <w:sz w:val="18"/>
          <w:szCs w:val="18"/>
          <w:color w:val="auto"/>
        </w:rPr>
        <w:t>determine the amount of shares earned relating to the 2014 and 2015 awards will equal the target award. In the case of a death or disability, the payout is shown based on the number of shares earned based on actual performance in 2013 and the target awards for 2014 and 2015. In the case of retirement, involuntary termination, or voluntary termination for good reason, the payout is shown based on the number of shares earned based on actual performance in 2013 and assuming actual performance for the 2014 and 2015 awards at the outstanding performance level, respectively. Although 50 percent of the performance share units for the 2013 grant vested on December 31, 2015, the values shown in the table above were calculated to illustrate the value of vesting in the event of an applicable termination occurring on December 31, 2015, immediately before vesting, and includes the performance shares that vested on that date so as not to understate the potential value of an acceleration upon the applicable termination of employment.</w:t>
      </w:r>
    </w:p>
    <w:p>
      <w:pPr>
        <w:spacing w:after="0" w:line="3" w:lineRule="exact"/>
        <w:rPr>
          <w:sz w:val="20"/>
          <w:szCs w:val="20"/>
          <w:color w:val="auto"/>
        </w:rPr>
      </w:pPr>
    </w:p>
    <w:p>
      <w:pPr>
        <w:ind w:left="500" w:hanging="492"/>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any unvested restricted stock units is illustrated here by measuring the value of the number of shares payable under unvested awards using the closing stock price on December 31, 2015 ($84.29).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President and COO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Involuntary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Double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Trigger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or Good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(COC +</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2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Voluntary($)</w:t>
            </w:r>
          </w:p>
        </w:tc>
        <w:tc>
          <w:tcPr>
            <w:tcW w:w="0" w:type="dxa"/>
            <w:vAlign w:val="bottom"/>
          </w:tcPr>
          <w:p>
            <w:pPr>
              <w:spacing w:after="0"/>
              <w:rPr>
                <w:sz w:val="1"/>
                <w:szCs w:val="1"/>
                <w:color w:val="auto"/>
              </w:rPr>
            </w:pPr>
          </w:p>
        </w:tc>
      </w:tr>
      <w:tr>
        <w:trPr>
          <w:trHeight w:val="192"/>
        </w:trPr>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COC($)</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 ($)</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Cause($)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Severance Payment(3)</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1,600,000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3,200,000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Prorated Incentive(4)</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985,600</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Options(5)</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910,365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910,365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910,365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Performance Share Units(6)</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5,393,051</w:t>
            </w:r>
          </w:p>
        </w:tc>
        <w:tc>
          <w:tcPr>
            <w:tcW w:w="120" w:type="dxa"/>
            <w:vAlign w:val="bottom"/>
          </w:tcPr>
          <w:p>
            <w:pPr>
              <w:spacing w:after="0"/>
              <w:rPr>
                <w:sz w:val="20"/>
                <w:szCs w:val="20"/>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5,393,051</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5,393,051</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Stock Units/Career Shares(7)</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2,058,699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2,058,699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2,058,699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Health Benefits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24,612</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37,194</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Outplacement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4"/>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Totals</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9,162,115</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9,162,115</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2,635,212</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12,424,309</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2016.</w:t>
      </w:r>
    </w:p>
    <w:p>
      <w:pPr>
        <w:spacing w:after="0" w:line="63"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9" w:lineRule="exact"/>
        <w:rPr>
          <w:rFonts w:ascii="Arial" w:cs="Arial" w:eastAsia="Arial" w:hAnsi="Arial"/>
          <w:sz w:val="18"/>
          <w:szCs w:val="18"/>
          <w:color w:val="auto"/>
        </w:rPr>
      </w:pPr>
    </w:p>
    <w:p>
      <w:pPr>
        <w:ind w:left="500" w:right="20" w:hanging="492"/>
        <w:spacing w:after="0" w:line="264"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$800,000) and his target annual incentive for the fiscal year in which the termination occurs (here, $800,000). In a double-trigger scenario, the amount of his severance payment is multiplied by two.</w:t>
      </w:r>
    </w:p>
    <w:p>
      <w:pPr>
        <w:spacing w:after="0" w:line="19" w:lineRule="exact"/>
        <w:rPr>
          <w:rFonts w:ascii="Arial" w:cs="Arial" w:eastAsia="Arial" w:hAnsi="Arial"/>
          <w:sz w:val="18"/>
          <w:szCs w:val="18"/>
          <w:color w:val="auto"/>
        </w:rPr>
      </w:pPr>
    </w:p>
    <w:p>
      <w:pPr>
        <w:ind w:left="500" w:right="40" w:hanging="492"/>
        <w:spacing w:after="0" w:line="255"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2015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2015, immediately before the incentive was earned, so as not to understate the potential value of the benefit upon the applicable termination of employment. Note that an incentive amount has also been reported as 2015 compensation for him in the Summary Compensation Table, as well as in the Grants of Plan-Based Awards Table.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right="460" w:hanging="492"/>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2015 ($84.29) and the exercise price of each unvested stock option held by Mr. Green on such date.</w:t>
      </w:r>
    </w:p>
    <w:p>
      <w:pPr>
        <w:spacing w:after="0" w:line="8" w:lineRule="exact"/>
        <w:rPr>
          <w:rFonts w:ascii="Arial" w:cs="Arial" w:eastAsia="Arial" w:hAnsi="Arial"/>
          <w:sz w:val="18"/>
          <w:szCs w:val="18"/>
          <w:color w:val="auto"/>
        </w:rPr>
      </w:pPr>
    </w:p>
    <w:p>
      <w:pPr>
        <w:ind w:left="500" w:right="80" w:hanging="492"/>
        <w:spacing w:after="0" w:line="290"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(2013, 2014 and 2015 grants) using the closing stock price on December 31, 2015 ($84.29). In the case of a change of control, the payout is shown based on the number of shares earned based on actual performance in 2013 and assuming the Committee will determine the amount of shares earned relating to the 2014 and 2015 awards will equal the target award. In the case of a death or disability, the payout is shown based on the number of shares earned based on actual performance in 2013 and the target awards for 2014 and 2015. Although 50 percent of the performance share units for the 2013 grant vested on December 31, 2015, the values shown in the table above were calculated to illustrate the value of vesting in the event of an applicable termination occurring on December 31, 2015, immediately before vesting, and includes the performance shares that vested on that date so as not to understate the potential value of an acceleration upon the applicable termination of employment.</w:t>
      </w:r>
    </w:p>
    <w:p>
      <w:pPr>
        <w:spacing w:after="0" w:line="4" w:lineRule="exact"/>
        <w:rPr>
          <w:rFonts w:ascii="Arial" w:cs="Arial" w:eastAsia="Arial" w:hAnsi="Arial"/>
          <w:sz w:val="16"/>
          <w:szCs w:val="16"/>
          <w:color w:val="auto"/>
        </w:rPr>
      </w:pPr>
    </w:p>
    <w:p>
      <w:pPr>
        <w:ind w:left="500" w:right="400" w:hanging="492"/>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2015 ($84.29).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 Chandrashekar, EVP, Operational Excellence and IT and President, Asia Pacific Middle East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Involuntary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Double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Trigger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or Good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(COC +</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Termination)</w:t>
            </w:r>
          </w:p>
        </w:tc>
        <w:tc>
          <w:tcPr>
            <w:tcW w:w="102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Voluntary($)</w:t>
            </w:r>
          </w:p>
        </w:tc>
        <w:tc>
          <w:tcPr>
            <w:tcW w:w="0" w:type="dxa"/>
            <w:vAlign w:val="bottom"/>
          </w:tcPr>
          <w:p>
            <w:pPr>
              <w:spacing w:after="0"/>
              <w:rPr>
                <w:sz w:val="1"/>
                <w:szCs w:val="1"/>
                <w:color w:val="auto"/>
              </w:rPr>
            </w:pPr>
          </w:p>
        </w:tc>
      </w:tr>
      <w:tr>
        <w:trPr>
          <w:trHeight w:val="192"/>
        </w:trPr>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COC($)</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 ($)</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Cause($)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Severance Payment(3)</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994,061</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1,988,122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Prorated Incentive(4)</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426,026</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426,026</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382,571</w:t>
            </w:r>
          </w:p>
        </w:tc>
        <w:tc>
          <w:tcPr>
            <w:tcW w:w="120" w:type="dxa"/>
            <w:vAlign w:val="bottom"/>
          </w:tcPr>
          <w:p>
            <w:pPr>
              <w:spacing w:after="0"/>
              <w:rPr>
                <w:sz w:val="20"/>
                <w:szCs w:val="20"/>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426,026</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Options(5)</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308,503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308,503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308,503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Performance Share Units(6)</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1,962,271</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1,962,271</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1,962,271</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8"/>
              </w:rPr>
              <w:t>Restricted Stock Units/Career Shares(7)</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1,337,935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1,337,935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1,337,935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Outplacement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4,034,735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4,034,735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1,401,632</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6,047,857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180" w:hanging="492"/>
        <w:spacing w:after="0" w:line="298" w:lineRule="auto"/>
        <w:tabs>
          <w:tab w:leader="none" w:pos="5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 October 29, 2015, ManpowerGroup entered into a severance agreement with Mr. Chandrashekar that replaced his previous agreement, which was scheduled to expire on November 15, 2015. The term of Mr. Chandrashekar’s severance agreement expires on October 29, 2018.</w:t>
      </w:r>
    </w:p>
    <w:p>
      <w:pPr>
        <w:ind w:left="500" w:right="100" w:hanging="492"/>
        <w:spacing w:after="0" w:line="264"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9" w:lineRule="exact"/>
        <w:rPr>
          <w:rFonts w:ascii="Arial" w:cs="Arial" w:eastAsia="Arial" w:hAnsi="Arial"/>
          <w:sz w:val="18"/>
          <w:szCs w:val="18"/>
          <w:color w:val="auto"/>
        </w:rPr>
      </w:pPr>
    </w:p>
    <w:p>
      <w:pPr>
        <w:ind w:left="500" w:right="260" w:hanging="492"/>
        <w:spacing w:after="0" w:line="286" w:lineRule="auto"/>
        <w:tabs>
          <w:tab w:leader="none" w:pos="5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amount of the severance payment under Mr. Chandrashekar’s severance agreement is equal to his annual base salary at the highest rate in effect during the term of the agreement (here, $568,035) and his prorated target annual incentive for the fiscal year in which the termination occurs (here, $426,026). In a double-trigger scenario, the amount of his severance payment is multiplied by two.</w:t>
      </w:r>
    </w:p>
    <w:p>
      <w:pPr>
        <w:spacing w:after="0" w:line="3" w:lineRule="exact"/>
        <w:rPr>
          <w:rFonts w:ascii="Arial" w:cs="Arial" w:eastAsia="Arial" w:hAnsi="Arial"/>
          <w:sz w:val="17"/>
          <w:szCs w:val="17"/>
          <w:color w:val="auto"/>
        </w:rPr>
      </w:pPr>
    </w:p>
    <w:p>
      <w:pPr>
        <w:ind w:left="500" w:right="40" w:hanging="492"/>
        <w:spacing w:after="0" w:line="259"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2015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00" w:right="100"/>
        <w:spacing w:after="0" w:line="326" w:lineRule="auto"/>
        <w:rPr>
          <w:sz w:val="20"/>
          <w:szCs w:val="20"/>
          <w:color w:val="auto"/>
        </w:rPr>
      </w:pPr>
      <w:r>
        <w:rPr>
          <w:rFonts w:ascii="Arial" w:cs="Arial" w:eastAsia="Arial" w:hAnsi="Arial"/>
          <w:sz w:val="17"/>
          <w:szCs w:val="17"/>
          <w:color w:val="auto"/>
        </w:rPr>
        <w:t>as this table illustrates the effect of such a termination on December 31, 2015, immediately before the incentive was earned, so as not to understate the potential value of the benefit upon the applicable termination of employment. Note that an incentive amount has also been reported as 2015 compensation for him in the Summary Compensation Table, as well as in the Grants of Plan-Based Awards Table.</w:t>
      </w:r>
    </w:p>
    <w:p>
      <w:pPr>
        <w:ind w:left="500" w:right="460" w:hanging="492"/>
        <w:spacing w:after="0" w:line="277"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2015 ($84.29) and the exercise price of each unvested stock option held by Mr. Chandrashekar on such date.</w:t>
      </w:r>
    </w:p>
    <w:p>
      <w:pPr>
        <w:spacing w:after="0" w:line="8" w:lineRule="exact"/>
        <w:rPr>
          <w:rFonts w:ascii="Arial" w:cs="Arial" w:eastAsia="Arial" w:hAnsi="Arial"/>
          <w:sz w:val="18"/>
          <w:szCs w:val="18"/>
          <w:color w:val="auto"/>
        </w:rPr>
      </w:pPr>
    </w:p>
    <w:p>
      <w:pPr>
        <w:ind w:left="500" w:right="80" w:hanging="492"/>
        <w:spacing w:after="0" w:line="270" w:lineRule="auto"/>
        <w:tabs>
          <w:tab w:leader="none" w:pos="5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value of performance share units is illustrated here by measuring the value of the number of shares payable under outstanding awards (2013, 2014 and 2015 grants) using the closing stock price on December 31, 2015 ($84.29). In the case of a change of control, the payout is shown based on the number of shares earned based on actual performance in 2013 and assuming the Committee will determine the amount of shares earned relating to the 2014 and 2015 awards will equal the target award. In the case of a death or disability, the payout is shown based on the number of shares earned based on actual performance in 2013 and the target awards for 2014 and 2015. Although 50 percent of the performance share units granted on February 13, 2013 vested on December 31, 2015, the values shown in the table above were calculated to illustrate the value of vesting in the event of an applicable termination occurring on December 31, 2015, immediately before vesting, and includes the performance shares that vested on that date so as not to understate the potential value of an acceleration upon the applicable termination of employment. In 2013, Mr. Chandrashekar received a special PSU grant, but he will not become vested in any amount of the performance share units under that grant for a termination of employment for any reason prior to July 2, 2016.</w:t>
      </w:r>
    </w:p>
    <w:p>
      <w:pPr>
        <w:spacing w:after="0" w:line="15" w:lineRule="exact"/>
        <w:rPr>
          <w:rFonts w:ascii="Arial" w:cs="Arial" w:eastAsia="Arial" w:hAnsi="Arial"/>
          <w:sz w:val="17"/>
          <w:szCs w:val="17"/>
          <w:color w:val="auto"/>
        </w:rPr>
      </w:pPr>
    </w:p>
    <w:p>
      <w:pPr>
        <w:ind w:left="500" w:right="400" w:hanging="492"/>
        <w:spacing w:after="0" w:line="277"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2015 ($84.29).</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Mara E. Swan, EVP, Global Strategy and Talent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Involuntary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Double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Trigger</w:t>
            </w: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or Good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(COC +</w:t>
            </w:r>
          </w:p>
        </w:tc>
        <w:tc>
          <w:tcPr>
            <w:tcW w:w="14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Disability($)</w:t>
            </w:r>
          </w:p>
        </w:tc>
        <w:tc>
          <w:tcPr>
            <w:tcW w:w="120" w:type="dxa"/>
            <w:vAlign w:val="bottom"/>
            <w:vMerge w:val="restart"/>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Retirement($)</w:t>
            </w:r>
          </w:p>
        </w:tc>
        <w:tc>
          <w:tcPr>
            <w:tcW w:w="10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Voluntary ($)</w:t>
            </w:r>
          </w:p>
        </w:tc>
        <w:tc>
          <w:tcPr>
            <w:tcW w:w="0" w:type="dxa"/>
            <w:vAlign w:val="bottom"/>
          </w:tcPr>
          <w:p>
            <w:pPr>
              <w:spacing w:after="0"/>
              <w:rPr>
                <w:sz w:val="1"/>
                <w:szCs w:val="1"/>
                <w:color w:val="auto"/>
              </w:rPr>
            </w:pPr>
          </w:p>
        </w:tc>
      </w:tr>
      <w:tr>
        <w:trPr>
          <w:trHeight w:val="192"/>
        </w:trPr>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COC($)</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 ($)</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Cause($)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Severance Payment(3)</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420" w:type="dxa"/>
            <w:vAlign w:val="bottom"/>
            <w:gridSpan w:val="3"/>
          </w:tcPr>
          <w:p>
            <w:pPr>
              <w:ind w:left="40"/>
              <w:spacing w:after="0"/>
              <w:rPr>
                <w:sz w:val="20"/>
                <w:szCs w:val="20"/>
                <w:color w:val="auto"/>
              </w:rPr>
            </w:pPr>
            <w:r>
              <w:rPr>
                <w:rFonts w:ascii="Arial" w:cs="Arial" w:eastAsia="Arial" w:hAnsi="Arial"/>
                <w:sz w:val="16"/>
                <w:szCs w:val="16"/>
                <w:color w:val="auto"/>
              </w:rPr>
              <w:t>Prorated Incentive(4)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420,000</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420,000</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517,440</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420,000</w:t>
            </w:r>
          </w:p>
        </w:tc>
        <w:tc>
          <w:tcPr>
            <w:tcW w:w="10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Options(5)</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564,066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564,066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564,066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564,066</w:t>
            </w:r>
          </w:p>
        </w:tc>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420" w:type="dxa"/>
            <w:vAlign w:val="bottom"/>
            <w:gridSpan w:val="3"/>
          </w:tcPr>
          <w:p>
            <w:pPr>
              <w:ind w:left="40"/>
              <w:spacing w:after="0"/>
              <w:rPr>
                <w:sz w:val="20"/>
                <w:szCs w:val="20"/>
                <w:color w:val="auto"/>
              </w:rPr>
            </w:pPr>
            <w:r>
              <w:rPr>
                <w:rFonts w:ascii="Arial" w:cs="Arial" w:eastAsia="Arial" w:hAnsi="Arial"/>
                <w:sz w:val="16"/>
                <w:szCs w:val="16"/>
                <w:color w:val="auto"/>
              </w:rPr>
              <w:t>Performance Share Units(6)</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2,203,332</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2,203,332</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2,203,332</w:t>
            </w:r>
          </w:p>
        </w:tc>
        <w:tc>
          <w:tcPr>
            <w:tcW w:w="10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2,206,226</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Restricted Stock Units/Career</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Shares(7)</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2,847,316</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2,847,316</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1,329,612</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2,847,316</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911,259</w:t>
            </w:r>
          </w:p>
        </w:tc>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420" w:type="dxa"/>
            <w:vAlign w:val="bottom"/>
            <w:gridSpan w:val="3"/>
          </w:tcPr>
          <w:p>
            <w:pPr>
              <w:ind w:left="40"/>
              <w:spacing w:after="0"/>
              <w:rPr>
                <w:sz w:val="20"/>
                <w:szCs w:val="20"/>
                <w:color w:val="auto"/>
              </w:rPr>
            </w:pPr>
            <w:r>
              <w:rPr>
                <w:rFonts w:ascii="Arial" w:cs="Arial" w:eastAsia="Arial" w:hAnsi="Arial"/>
                <w:sz w:val="16"/>
                <w:szCs w:val="16"/>
                <w:color w:val="auto"/>
              </w:rPr>
              <w:t>Health Benefits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24,612</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37,194</w:t>
            </w:r>
          </w:p>
        </w:tc>
        <w:tc>
          <w:tcPr>
            <w:tcW w:w="10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Outplacement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7"/>
        </w:trPr>
        <w:tc>
          <w:tcPr>
            <w:tcW w:w="2420" w:type="dxa"/>
            <w:vAlign w:val="bottom"/>
            <w:gridSpan w:val="3"/>
          </w:tcPr>
          <w:p>
            <w:pPr>
              <w:ind w:left="40"/>
              <w:spacing w:after="0"/>
              <w:rPr>
                <w:sz w:val="20"/>
                <w:szCs w:val="20"/>
                <w:color w:val="auto"/>
              </w:rPr>
            </w:pPr>
            <w:r>
              <w:rPr>
                <w:rFonts w:ascii="Arial" w:cs="Arial" w:eastAsia="Arial" w:hAnsi="Arial"/>
                <w:sz w:val="16"/>
                <w:szCs w:val="16"/>
                <w:color w:val="auto"/>
              </w:rPr>
              <w:t>Totals</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6,034,714</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6,034,714</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2,876,664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8,056,908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3,681,551</w:t>
            </w: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term of Ms. Swan’s severance agreement expires on February 10, 2018.</w:t>
      </w:r>
    </w:p>
    <w:p>
      <w:pPr>
        <w:spacing w:after="0" w:line="63"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9" w:lineRule="exact"/>
        <w:rPr>
          <w:rFonts w:ascii="Arial" w:cs="Arial" w:eastAsia="Arial" w:hAnsi="Arial"/>
          <w:sz w:val="18"/>
          <w:szCs w:val="18"/>
          <w:color w:val="auto"/>
        </w:rPr>
      </w:pPr>
    </w:p>
    <w:p>
      <w:pPr>
        <w:jc w:val="both"/>
        <w:ind w:left="500" w:right="80" w:hanging="492"/>
        <w:spacing w:after="0" w:line="264"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of the severance payment under Ms. Swan’s severance agreement is equal to her annual base salary at the highest rate in effect during the term of the agreement (here, $560,000) and her prorated target annual incentive for the fiscal year in which the termination occurs (here, $420,000). In a double-trigger scenario, the amount of her severance payment is multiplied by two.</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492"/>
        <w:spacing w:after="0" w:line="255"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her involuntary termination (other than for cause) or voluntary termination for good reason, the amount of the prorated incentive payable to her under her severance agreement is based on the actual incentive earned for 2015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2015, immediately before the incentive was earned, so as not to understate the potential value of the benefit upon the applicable termination of employment. Note that an incentive amount has also been reported as 2015 compensation for her in the Summary Compensation Table, as well as in the Grants of Plan-Based Awards Table.</w:t>
      </w:r>
    </w:p>
    <w:p>
      <w:pPr>
        <w:spacing w:after="0" w:line="27"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2015 ($84.29) and the exercise price of each unvested stock option held by Ms. Swan on such date.</w:t>
      </w:r>
    </w:p>
    <w:p>
      <w:pPr>
        <w:spacing w:after="0" w:line="8" w:lineRule="exact"/>
        <w:rPr>
          <w:rFonts w:ascii="Arial" w:cs="Arial" w:eastAsia="Arial" w:hAnsi="Arial"/>
          <w:sz w:val="18"/>
          <w:szCs w:val="18"/>
          <w:color w:val="auto"/>
        </w:rPr>
      </w:pPr>
    </w:p>
    <w:p>
      <w:pPr>
        <w:ind w:left="500" w:hanging="492"/>
        <w:spacing w:after="0" w:line="270" w:lineRule="auto"/>
        <w:tabs>
          <w:tab w:leader="none" w:pos="5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value of performance share units is illustrated here by measuring the value of the number of shares payable under outstanding awards (2013, 2014 and 2015 grants) using the closing stock price on December 31, 2015 ($84.29). In the case of a change of control, the payout is shown based on the number of shares earned based on actual performance in 2013 and assuming the Committee will determine the amount of shares earned relating to the 2014 and 2015 awards will equal the target award. In the case of a death or disability, the payout is shown based on the number of shares earned based on actual performance in 2013 and the target awards for 2014 and 2015. In the case of retirement, the payout is shown based on the number of shares earned based on actual performance in 2013 and assuming actual performance for the 2014 and 2015 awards at the outstanding performance level. Although 50 percent of the performance share units for the 2013 grant vested on December 31, 2015, the values shown in the table above were calculated to illustrate the value of vesting in the event of an applicable termination occurring on December 31, 2015, immediately before vesting, and includes the performance shares that vested on that date so as not to understate the potential value of an acceleration upon the applicable termination of employment.</w:t>
      </w:r>
    </w:p>
    <w:p>
      <w:pPr>
        <w:spacing w:after="0" w:line="15" w:lineRule="exact"/>
        <w:rPr>
          <w:rFonts w:ascii="Arial" w:cs="Arial" w:eastAsia="Arial" w:hAnsi="Arial"/>
          <w:sz w:val="17"/>
          <w:szCs w:val="17"/>
          <w:color w:val="auto"/>
        </w:rPr>
      </w:pPr>
    </w:p>
    <w:p>
      <w:pPr>
        <w:ind w:left="500" w:right="360" w:hanging="492"/>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2015 ($84.29).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20" w:type="dxa"/>
            <w:vAlign w:val="bottom"/>
            <w:gridSpan w:val="3"/>
          </w:tcPr>
          <w:p>
            <w:pPr>
              <w:jc w:val="right"/>
              <w:ind w:right="3188"/>
              <w:spacing w:after="0"/>
              <w:rPr>
                <w:sz w:val="20"/>
                <w:szCs w:val="20"/>
                <w:color w:val="auto"/>
              </w:rPr>
            </w:pPr>
            <w:r>
              <w:rPr>
                <w:rFonts w:ascii="Arial" w:cs="Arial" w:eastAsia="Arial" w:hAnsi="Arial"/>
                <w:sz w:val="18"/>
                <w:szCs w:val="18"/>
                <w:b w:val="1"/>
                <w:bCs w:val="1"/>
                <w:color w:val="auto"/>
                <w:w w:val="90"/>
              </w:rPr>
              <w:t>Retirement Benefits</w:t>
            </w:r>
          </w:p>
        </w:tc>
      </w:tr>
      <w:tr>
        <w:trPr>
          <w:trHeight w:val="473"/>
        </w:trPr>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Jeffrey A. Joerres, Former Executive Chairman (1)</w:t>
            </w: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820" w:type="dxa"/>
            <w:vAlign w:val="bottom"/>
            <w:gridSpan w:val="3"/>
          </w:tcPr>
          <w:p>
            <w:pPr>
              <w:jc w:val="right"/>
              <w:ind w:right="3148"/>
              <w:spacing w:after="0"/>
              <w:rPr>
                <w:sz w:val="20"/>
                <w:szCs w:val="20"/>
                <w:color w:val="auto"/>
              </w:rPr>
            </w:pPr>
            <w:r>
              <w:rPr>
                <w:rFonts w:ascii="Arial" w:cs="Arial" w:eastAsia="Arial" w:hAnsi="Arial"/>
                <w:sz w:val="14"/>
                <w:szCs w:val="14"/>
                <w:b w:val="1"/>
                <w:bCs w:val="1"/>
                <w:color w:val="auto"/>
                <w:w w:val="91"/>
              </w:rPr>
              <w:t>Benefits Upon Retirement</w:t>
            </w:r>
          </w:p>
        </w:tc>
      </w:tr>
      <w:tr>
        <w:trPr>
          <w:trHeight w:val="183"/>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Benefit</w:t>
            </w:r>
          </w:p>
        </w:tc>
        <w:tc>
          <w:tcPr>
            <w:tcW w:w="1600" w:type="dxa"/>
            <w:vAlign w:val="bottom"/>
            <w:tcBorders>
              <w:top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92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 ($)</w:t>
            </w:r>
          </w:p>
        </w:tc>
      </w:tr>
      <w:tr>
        <w:trPr>
          <w:trHeight w:val="21"/>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CCEEFF"/>
            </w:tcBorders>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Prorated Incentive(2)</w:t>
            </w:r>
          </w:p>
        </w:tc>
        <w:tc>
          <w:tcPr>
            <w:tcW w:w="4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1,563,750</w:t>
            </w:r>
          </w:p>
        </w:tc>
      </w:tr>
      <w:tr>
        <w:trPr>
          <w:trHeight w:val="224"/>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Options(3)</w:t>
            </w:r>
          </w:p>
        </w:tc>
        <w:tc>
          <w:tcPr>
            <w:tcW w:w="4820" w:type="dxa"/>
            <w:vAlign w:val="bottom"/>
            <w:gridSpan w:val="3"/>
          </w:tcPr>
          <w:p>
            <w:pPr>
              <w:jc w:val="right"/>
              <w:spacing w:after="0"/>
              <w:rPr>
                <w:sz w:val="20"/>
                <w:szCs w:val="20"/>
                <w:color w:val="auto"/>
              </w:rPr>
            </w:pPr>
            <w:r>
              <w:rPr>
                <w:rFonts w:ascii="Arial" w:cs="Arial" w:eastAsia="Arial" w:hAnsi="Arial"/>
                <w:sz w:val="16"/>
                <w:szCs w:val="16"/>
                <w:color w:val="auto"/>
              </w:rPr>
              <w:t>2,535,305</w:t>
            </w: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CCEEFF"/>
            </w:tcBorders>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Performance Share Units(4)</w:t>
            </w:r>
          </w:p>
        </w:tc>
        <w:tc>
          <w:tcPr>
            <w:tcW w:w="4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21,675,220</w:t>
            </w:r>
          </w:p>
        </w:tc>
      </w:tr>
      <w:tr>
        <w:trPr>
          <w:trHeight w:val="224"/>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Restricted Stock Units(5)</w:t>
            </w:r>
          </w:p>
        </w:tc>
        <w:tc>
          <w:tcPr>
            <w:tcW w:w="4820" w:type="dxa"/>
            <w:vAlign w:val="bottom"/>
            <w:gridSpan w:val="3"/>
          </w:tcPr>
          <w:p>
            <w:pPr>
              <w:jc w:val="right"/>
              <w:spacing w:after="0"/>
              <w:rPr>
                <w:sz w:val="20"/>
                <w:szCs w:val="20"/>
                <w:color w:val="auto"/>
              </w:rPr>
            </w:pPr>
            <w:r>
              <w:rPr>
                <w:rFonts w:ascii="Arial" w:cs="Arial" w:eastAsia="Arial" w:hAnsi="Arial"/>
                <w:sz w:val="16"/>
                <w:szCs w:val="16"/>
                <w:color w:val="auto"/>
              </w:rPr>
              <w:t>5,639,823</w:t>
            </w: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CCEEFF"/>
            </w:tcBorders>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Performance-Based Deferred Compensation</w:t>
            </w:r>
          </w:p>
        </w:tc>
        <w:tc>
          <w:tcPr>
            <w:tcW w:w="4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1,308,022</w:t>
            </w:r>
          </w:p>
        </w:tc>
      </w:tr>
      <w:tr>
        <w:trPr>
          <w:trHeight w:val="224"/>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Pension Benefits</w:t>
            </w:r>
          </w:p>
        </w:tc>
        <w:tc>
          <w:tcPr>
            <w:tcW w:w="4820" w:type="dxa"/>
            <w:vAlign w:val="bottom"/>
            <w:gridSpan w:val="3"/>
          </w:tcPr>
          <w:p>
            <w:pPr>
              <w:jc w:val="right"/>
              <w:spacing w:after="0"/>
              <w:rPr>
                <w:sz w:val="20"/>
                <w:szCs w:val="20"/>
                <w:color w:val="auto"/>
              </w:rPr>
            </w:pPr>
            <w:r>
              <w:rPr>
                <w:rFonts w:ascii="Arial" w:cs="Arial" w:eastAsia="Arial" w:hAnsi="Arial"/>
                <w:sz w:val="16"/>
                <w:szCs w:val="16"/>
                <w:color w:val="auto"/>
              </w:rPr>
              <w:t>102,989</w:t>
            </w:r>
          </w:p>
        </w:tc>
      </w:tr>
      <w:tr>
        <w:trPr>
          <w:trHeight w:val="33"/>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CCEEFF"/>
            </w:tcBorders>
          </w:tcPr>
          <w:p>
            <w:pPr>
              <w:spacing w:after="0"/>
              <w:rPr>
                <w:sz w:val="21"/>
                <w:szCs w:val="21"/>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Totals</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32,825,109</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920" w:type="dxa"/>
            <w:vAlign w:val="bottom"/>
          </w:tcPr>
          <w:p>
            <w:pPr>
              <w:spacing w:after="0"/>
              <w:rPr>
                <w:sz w:val="8"/>
                <w:szCs w:val="8"/>
                <w:color w:val="auto"/>
              </w:rPr>
            </w:pPr>
          </w:p>
        </w:tc>
      </w:tr>
    </w:tbl>
    <w:p>
      <w:pPr>
        <w:spacing w:after="0" w:line="80"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Joerres retired effective December 30, 2015.</w:t>
      </w:r>
    </w:p>
    <w:p>
      <w:pPr>
        <w:spacing w:after="0" w:line="63"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Board of Directors approved payment of the annual incentive to Mr. Joerres upon his retirement in an amount equal to his full incentive for 2015. Note that an incentive amount has also been reported as 2015 compensation for him in the Summary Compensation Table, as well as in the Grants of Plan-Based Awards Table.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21"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right="540" w:hanging="492"/>
        <w:spacing w:after="0" w:line="298" w:lineRule="auto"/>
        <w:tabs>
          <w:tab w:leader="none" w:pos="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value of stock options is illustrated here by measuring the difference between the closing stock price on the date of Mr. Joerres’s retirement, December 30, 2015 ($85.54), and the exercise price of each unvested stock option held by Mr. Joerres on such date.</w:t>
      </w:r>
    </w:p>
    <w:p>
      <w:pPr>
        <w:ind w:left="500" w:right="80" w:hanging="492"/>
        <w:spacing w:after="0" w:line="25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value of performance share units which Mr. Joerres became vested in upon his retirement on December 30, 2015 is illustrated here by measuring the value of the number of shares payable under outstanding awards (2013, 2014 and 2015 grants) using the closing stock price on December 30, 2015 ($85.54), even though such shares are not payable to him until a later date (July 1, 2016 for the 2013 PSUs and February 2017 and 2018 for the 2014 and 2015 PSUs, respectively). The payout is shown based on the number of shares earned based on actual performance in 2013 and assuming actual performance for the 2014 and 2015 awards at the outstanding level.</w:t>
      </w:r>
    </w:p>
    <w:p>
      <w:pPr>
        <w:spacing w:after="0" w:line="26" w:lineRule="exact"/>
        <w:rPr>
          <w:rFonts w:ascii="Arial" w:cs="Arial" w:eastAsia="Arial" w:hAnsi="Arial"/>
          <w:sz w:val="18"/>
          <w:szCs w:val="18"/>
          <w:color w:val="auto"/>
        </w:rPr>
      </w:pPr>
    </w:p>
    <w:p>
      <w:pPr>
        <w:ind w:left="500" w:right="240" w:hanging="492"/>
        <w:spacing w:after="0" w:line="264"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value of any unvested restricted stock and restricted stock units is illustrated here by measuring the value of the number of shares payable under unvested awards using the closing stock price on the date of Mr. Joerres’s retirement, December 30, 2015 ($85.54) even though shares under such awards are not payable to him until July 1, 2016.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2015</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Fees Earned or</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580" w:type="dxa"/>
            <w:vAlign w:val="bottom"/>
            <w:gridSpan w:val="2"/>
            <w:vMerge w:val="continue"/>
          </w:tcPr>
          <w:p>
            <w:pPr>
              <w:spacing w:after="0"/>
              <w:rPr>
                <w:sz w:val="12"/>
                <w:szCs w:val="12"/>
                <w:color w:val="auto"/>
              </w:rPr>
            </w:pPr>
          </w:p>
        </w:tc>
        <w:tc>
          <w:tcPr>
            <w:tcW w:w="15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6540" w:type="dxa"/>
            <w:vAlign w:val="bottom"/>
            <w:gridSpan w:val="3"/>
            <w:vMerge w:val="continue"/>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480" w:type="dxa"/>
            <w:vAlign w:val="bottom"/>
          </w:tcPr>
          <w:p>
            <w:pPr>
              <w:jc w:val="right"/>
              <w:ind w:right="493"/>
              <w:spacing w:after="0" w:line="158" w:lineRule="exact"/>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 J. Bolland (1)</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Gina R. Boswell</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Cari M. Dominguez</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144,312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234,312</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William Downe</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244,221</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244,221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F. Ferraro(2)</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Patricia Hemingway Hall</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144,312</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234,312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Roberto Mendoza</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162,251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252,251</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Ulice Payne, Jr.</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Read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135,085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225,085</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Elizabeth P. Sartain</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139,101</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229,101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R. Walter</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253,277</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Edward J. Zore</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137,819</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257,819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85725</wp:posOffset>
            </wp:positionV>
            <wp:extent cx="114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Bolland resigned from the Board of Directors on February 11, 2015.</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Ferraro was elected to the Board of Directors on January 1, 2016.</w:t>
      </w:r>
    </w:p>
    <w:p>
      <w:pPr>
        <w:spacing w:after="0" w:line="63"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19" w:lineRule="exact"/>
        <w:rPr>
          <w:rFonts w:ascii="Arial" w:cs="Arial" w:eastAsia="Arial" w:hAnsi="Arial"/>
          <w:sz w:val="18"/>
          <w:szCs w:val="18"/>
          <w:color w:val="auto"/>
        </w:rPr>
      </w:pPr>
    </w:p>
    <w:p>
      <w:pPr>
        <w:ind w:left="500" w:right="3220"/>
        <w:spacing w:after="0" w:line="352" w:lineRule="auto"/>
        <w:rPr>
          <w:rFonts w:ascii="Arial" w:cs="Arial" w:eastAsia="Arial" w:hAnsi="Arial"/>
          <w:sz w:val="18"/>
          <w:szCs w:val="18"/>
          <w:color w:val="auto"/>
        </w:rPr>
      </w:pPr>
      <w:r>
        <w:rPr>
          <w:rFonts w:ascii="Arial" w:cs="Arial" w:eastAsia="Arial" w:hAnsi="Arial"/>
          <w:sz w:val="16"/>
          <w:szCs w:val="16"/>
          <w:color w:val="auto"/>
        </w:rPr>
        <w:t>For Mr. Bolland, $15,534 attributable to the pro-rated annual grant of restricted stock (228 shares) in 2015. For Ms. Boswell, $135,000 attributable to the annual grant of restricted stock (1,980 shares) in 2015.</w:t>
      </w:r>
    </w:p>
    <w:p>
      <w:pPr>
        <w:ind w:left="500" w:right="160"/>
        <w:spacing w:after="0" w:line="277" w:lineRule="auto"/>
        <w:rPr>
          <w:rFonts w:ascii="Arial" w:cs="Arial" w:eastAsia="Arial" w:hAnsi="Arial"/>
          <w:sz w:val="18"/>
          <w:szCs w:val="18"/>
          <w:color w:val="auto"/>
        </w:rPr>
      </w:pPr>
      <w:r>
        <w:rPr>
          <w:rFonts w:ascii="Arial" w:cs="Arial" w:eastAsia="Arial" w:hAnsi="Arial"/>
          <w:sz w:val="18"/>
          <w:szCs w:val="18"/>
          <w:color w:val="auto"/>
        </w:rPr>
        <w:t>For Ms. Dominguez, $135,000 attributable to the annual grant of deferred stock (1,980 shares) and $9,312 attributable to deferred stock issued in lieu of dividends (109 shares) in 2015.</w:t>
      </w:r>
    </w:p>
    <w:p>
      <w:pPr>
        <w:spacing w:after="0" w:line="8" w:lineRule="exact"/>
        <w:rPr>
          <w:rFonts w:ascii="Arial" w:cs="Arial" w:eastAsia="Arial" w:hAnsi="Arial"/>
          <w:sz w:val="18"/>
          <w:szCs w:val="18"/>
          <w:color w:val="auto"/>
        </w:rPr>
      </w:pPr>
    </w:p>
    <w:p>
      <w:pPr>
        <w:ind w:left="500" w:right="320"/>
        <w:spacing w:after="0" w:line="298" w:lineRule="auto"/>
        <w:rPr>
          <w:rFonts w:ascii="Arial" w:cs="Arial" w:eastAsia="Arial" w:hAnsi="Arial"/>
          <w:sz w:val="18"/>
          <w:szCs w:val="18"/>
          <w:color w:val="auto"/>
        </w:rPr>
      </w:pPr>
      <w:r>
        <w:rPr>
          <w:rFonts w:ascii="Arial" w:cs="Arial" w:eastAsia="Arial" w:hAnsi="Arial"/>
          <w:sz w:val="17"/>
          <w:szCs w:val="17"/>
          <w:color w:val="auto"/>
        </w:rPr>
        <w:t>For Mr. Downe, $135,000 attributable to the annual grant of restricted stock (1,980 shares), $90,000 attributable to deferred stock granted in lieu of 100% of his annual retainer (1,053 shares) and $19,221 attributable to deferred stock issued in lieu of dividends (225 shares) in 2015.</w:t>
      </w:r>
    </w:p>
    <w:p>
      <w:pPr>
        <w:ind w:left="500" w:right="80"/>
        <w:spacing w:after="0" w:line="277" w:lineRule="auto"/>
        <w:rPr>
          <w:rFonts w:ascii="Arial" w:cs="Arial" w:eastAsia="Arial" w:hAnsi="Arial"/>
          <w:sz w:val="18"/>
          <w:szCs w:val="18"/>
          <w:color w:val="auto"/>
        </w:rPr>
      </w:pPr>
      <w:r>
        <w:rPr>
          <w:rFonts w:ascii="Arial" w:cs="Arial" w:eastAsia="Arial" w:hAnsi="Arial"/>
          <w:sz w:val="18"/>
          <w:szCs w:val="18"/>
          <w:color w:val="auto"/>
        </w:rPr>
        <w:t>For Ms. Hemingway Hall, $135,000 attributable to the annual grant of deferred stock (1,980 shares) and $9,312 attributable to deferred stock issued in lieu of dividends (109 shares) in 2015.</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For Mr. Mendoza, $135,000 attributable to the annual grant of deferred stock (1,980 shares), and $27,251 attributable to deferred stock issued in lieu of dividends (319 shares) in 2015.</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Mr. Payne, $135,000 attributable to the annual grant of restricted stock (1,980 shares) in 2015.</w:t>
      </w:r>
    </w:p>
    <w:p>
      <w:pPr>
        <w:spacing w:after="0" w:line="63" w:lineRule="exact"/>
        <w:rPr>
          <w:sz w:val="20"/>
          <w:szCs w:val="20"/>
          <w:color w:val="auto"/>
        </w:rPr>
      </w:pPr>
    </w:p>
    <w:p>
      <w:pPr>
        <w:ind w:left="500" w:right="600"/>
        <w:spacing w:after="0" w:line="277" w:lineRule="auto"/>
        <w:rPr>
          <w:sz w:val="20"/>
          <w:szCs w:val="20"/>
          <w:color w:val="auto"/>
        </w:rPr>
      </w:pPr>
      <w:r>
        <w:rPr>
          <w:rFonts w:ascii="Arial" w:cs="Arial" w:eastAsia="Arial" w:hAnsi="Arial"/>
          <w:sz w:val="18"/>
          <w:szCs w:val="18"/>
          <w:color w:val="auto"/>
        </w:rPr>
        <w:t>For Mr. Read, $135,000 attributable to the annual grant of restricted stock (1,980 shares) and $85 attributable to deferred stock issued in lieu of dividends (1 share) in 2015.</w:t>
      </w:r>
    </w:p>
    <w:p>
      <w:pPr>
        <w:spacing w:after="0" w:line="8"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For Ms. Sartain, $135,000 attributable to the annual grant of restricted stock (1,980 shares) and $4,101 attributable to deferred stock issued in lieu of dividends (48 shares) in 2015.</w:t>
      </w:r>
    </w:p>
    <w:p>
      <w:pPr>
        <w:spacing w:after="0" w:line="8" w:lineRule="exact"/>
        <w:rPr>
          <w:sz w:val="20"/>
          <w:szCs w:val="20"/>
          <w:color w:val="auto"/>
        </w:rPr>
      </w:pPr>
    </w:p>
    <w:p>
      <w:pPr>
        <w:ind w:left="500" w:right="420"/>
        <w:spacing w:after="0" w:line="317" w:lineRule="auto"/>
        <w:rPr>
          <w:sz w:val="20"/>
          <w:szCs w:val="20"/>
          <w:color w:val="auto"/>
        </w:rPr>
      </w:pPr>
      <w:r>
        <w:rPr>
          <w:rFonts w:ascii="Arial" w:cs="Arial" w:eastAsia="Arial" w:hAnsi="Arial"/>
          <w:sz w:val="16"/>
          <w:szCs w:val="16"/>
          <w:color w:val="auto"/>
        </w:rPr>
        <w:t>For Mr. Walter, $135,000 attributable to the annual grant of deferred stock (1,980 shares), $90,000 attributable to deferred stock granted in lieu of 100% of his annual retainer (1,053 shares) and $28,277 attributable to deferred stock issued in lieu of dividends (331 shares) in 2015.</w:t>
      </w:r>
    </w:p>
    <w:p>
      <w:pPr>
        <w:ind w:left="500" w:right="400"/>
        <w:spacing w:after="0" w:line="277" w:lineRule="auto"/>
        <w:rPr>
          <w:sz w:val="20"/>
          <w:szCs w:val="20"/>
          <w:color w:val="auto"/>
        </w:rPr>
      </w:pPr>
      <w:r>
        <w:rPr>
          <w:rFonts w:ascii="Arial" w:cs="Arial" w:eastAsia="Arial" w:hAnsi="Arial"/>
          <w:sz w:val="18"/>
          <w:szCs w:val="18"/>
          <w:color w:val="auto"/>
        </w:rPr>
        <w:t>For Mr. Zore, $135,000 attributable to the annual grant of restricted stock (1,980 shares) and $2,819 attributable to deferred stock issued in lieu of dividends (33 shares) in 2015.</w:t>
      </w:r>
    </w:p>
    <w:p>
      <w:pPr>
        <w:spacing w:after="0" w:line="8" w:lineRule="exact"/>
        <w:rPr>
          <w:sz w:val="20"/>
          <w:szCs w:val="20"/>
          <w:color w:val="auto"/>
        </w:rPr>
      </w:pPr>
    </w:p>
    <w:p>
      <w:pPr>
        <w:ind w:left="500" w:right="340"/>
        <w:spacing w:after="0" w:line="257" w:lineRule="auto"/>
        <w:rPr>
          <w:sz w:val="20"/>
          <w:szCs w:val="20"/>
          <w:color w:val="auto"/>
        </w:rPr>
      </w:pPr>
      <w:r>
        <w:rPr>
          <w:rFonts w:ascii="Arial" w:cs="Arial" w:eastAsia="Arial" w:hAnsi="Arial"/>
          <w:sz w:val="18"/>
          <w:szCs w:val="18"/>
          <w:color w:val="auto"/>
        </w:rPr>
        <w:t>As of December 31, 2015, the aggregate number of shares of deferred stock held by the non-employee directors was as follows: Mr. Bolland — 0; Ms. Boswell — 0; Ms. Dominguez — 5,819; Mr. Downe — 13,065; Mr. Ferraro — 0; Ms. Hemingway Hall — 6,915; Mr. Mendoza —17,020; Mr. Read — 76; Mr. Payne — 0; Ms. Sartain — 2,882; Mr. Walter — 18,681; and Mr. Zore — 1,754. All such shares of deferred stock were fully vested as of December 31, 2015. All shares of restricted stock granted to the non-employee directors in 2015 were fully vested as of December 31, 2015.</w:t>
      </w:r>
    </w:p>
    <w:p>
      <w:pPr>
        <w:spacing w:after="0" w:line="8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For 2015, the board of directors approved the compensation arrangement for non-employee directors described below. Non-employee directors were paid a cash retainer equal to $90,000 per year. The fee structure for committee chairs and the lead director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134620</wp:posOffset>
            </wp:positionV>
            <wp:extent cx="64401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40170" cy="171450"/>
                    </a:xfrm>
                    <a:prstGeom prst="rect">
                      <a:avLst/>
                    </a:prstGeom>
                    <a:noFill/>
                  </pic:spPr>
                </pic:pic>
              </a:graphicData>
            </a:graphic>
          </wp:anchor>
        </w:drawing>
      </w:r>
    </w:p>
    <w:p>
      <w:pPr>
        <w:spacing w:after="0" w:line="204" w:lineRule="exact"/>
        <w:rPr>
          <w:sz w:val="20"/>
          <w:szCs w:val="20"/>
          <w:color w:val="auto"/>
        </w:rPr>
      </w:pPr>
    </w:p>
    <w:p>
      <w:pPr>
        <w:ind w:left="1220" w:hanging="388"/>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15,000   Annual retainer for services as chair of the Nominating and Governance Committee</w:t>
      </w:r>
    </w:p>
    <w:p>
      <w:pPr>
        <w:spacing w:after="0" w:line="63" w:lineRule="exact"/>
        <w:rPr>
          <w:sz w:val="20"/>
          <w:szCs w:val="20"/>
          <w:color w:val="auto"/>
        </w:rPr>
      </w:pPr>
    </w:p>
    <w:p>
      <w:pPr>
        <w:ind w:left="1220" w:hanging="388"/>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20,000   Annual retainer for services as chair of the Audit or Executive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31750</wp:posOffset>
            </wp:positionV>
            <wp:extent cx="64401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40170" cy="171450"/>
                    </a:xfrm>
                    <a:prstGeom prst="rect">
                      <a:avLst/>
                    </a:prstGeom>
                    <a:noFill/>
                  </pic:spPr>
                </pic:pic>
              </a:graphicData>
            </a:graphic>
          </wp:anchor>
        </w:drawing>
      </w:r>
    </w:p>
    <w:p>
      <w:pPr>
        <w:spacing w:after="0" w:line="43" w:lineRule="exact"/>
        <w:rPr>
          <w:sz w:val="20"/>
          <w:szCs w:val="20"/>
          <w:color w:val="auto"/>
        </w:rPr>
      </w:pPr>
    </w:p>
    <w:p>
      <w:pPr>
        <w:ind w:left="1220" w:hanging="388"/>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25,000   Annual retainer for service as lead director of the corporation</w:t>
      </w:r>
    </w:p>
    <w:p>
      <w:pPr>
        <w:spacing w:after="0" w:line="63" w:lineRule="exact"/>
        <w:rPr>
          <w:sz w:val="20"/>
          <w:szCs w:val="20"/>
          <w:color w:val="auto"/>
        </w:rPr>
      </w:pPr>
    </w:p>
    <w:p>
      <w:pPr>
        <w:ind w:left="1220" w:hanging="388"/>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30,000   Annual retainer in the case where the lead director also serves as chair of one of the committees</w:t>
      </w:r>
    </w:p>
    <w:p>
      <w:pPr>
        <w:spacing w:after="0" w:line="14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2015, Mr. Downe and Mr. Walter elected to accept deferred stock in lieu of 100% of the annual cash retainer to which they were otherwise entitled.</w:t>
      </w:r>
    </w:p>
    <w:p>
      <w:pPr>
        <w:spacing w:after="0" w:line="166"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addition to the cash compensation (or elective deferred stock), each non-employee director received an annual grant of deferred stock. The grant was effective on the first day of 2015, and the number of shares granted equaled $135,000 divided by the closing sale price of a share of ManpowerGroup’s common stock on the last business day of the preceding year, or 1,980 shares of deferred stock for 2015.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board of directors has approved an amendment to the compensation program for non-employee directors effective as of January 1, 2016. The annual equity grant has been increased from $135,000 per year to $140,000 per year. The annual cash board retainer has been increased from $90,000 per year to $95,000 per year. There was no change to the fee structure for committee chairs and the lead director for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229"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or hold vested deferred stock or vested restricted stock equal in value to five times the 2015 annual cash retainer ($90,000 at January 1, 2015, for a total guideline of $450,000). The committee takes into account vested deferred and restricted stock in determining targeted ownership levels. The following table details each non-employee director’s stock ownership relative to the stock ownership guidelines: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 held(2)</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Date to</w:t>
            </w:r>
          </w:p>
        </w:tc>
        <w:tc>
          <w:tcPr>
            <w:tcW w:w="0" w:type="dxa"/>
            <w:vAlign w:val="bottom"/>
          </w:tcPr>
          <w:p>
            <w:pPr>
              <w:spacing w:after="0"/>
              <w:rPr>
                <w:sz w:val="1"/>
                <w:szCs w:val="1"/>
                <w:color w:val="auto"/>
              </w:rPr>
            </w:pPr>
          </w:p>
        </w:tc>
      </w:tr>
      <w:tr>
        <w:trPr>
          <w:trHeight w:val="149"/>
        </w:trPr>
        <w:tc>
          <w:tcPr>
            <w:tcW w:w="3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Number of shares(1)</w:t>
            </w:r>
          </w:p>
        </w:tc>
        <w:tc>
          <w:tcPr>
            <w:tcW w:w="1840" w:type="dxa"/>
            <w:vAlign w:val="bottom"/>
            <w:gridSpan w:val="2"/>
            <w:vMerge w:val="continue"/>
          </w:tcPr>
          <w:p>
            <w:pPr>
              <w:spacing w:after="0"/>
              <w:rPr>
                <w:sz w:val="12"/>
                <w:szCs w:val="12"/>
                <w:color w:val="auto"/>
              </w:rPr>
            </w:pPr>
          </w:p>
        </w:tc>
        <w:tc>
          <w:tcPr>
            <w:tcW w:w="1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Value of shares ($)(3)</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gridSpan w:val="4"/>
            <w:vMerge w:val="continue"/>
          </w:tcPr>
          <w:p>
            <w:pPr>
              <w:spacing w:after="0"/>
              <w:rPr>
                <w:sz w:val="13"/>
                <w:szCs w:val="13"/>
                <w:color w:val="auto"/>
              </w:rPr>
            </w:pP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720" w:type="dxa"/>
            <w:vAlign w:val="bottom"/>
          </w:tcPr>
          <w:p>
            <w:pPr>
              <w:jc w:val="right"/>
              <w:ind w:right="673"/>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2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Satisfy Guidelines (4)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Gina R. Boswell</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842,590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43"/>
        </w:trPr>
        <w:tc>
          <w:tcPr>
            <w:tcW w:w="3220" w:type="dxa"/>
            <w:vAlign w:val="bottom"/>
            <w:gridSpan w:val="4"/>
          </w:tcPr>
          <w:p>
            <w:pPr>
              <w:ind w:left="40"/>
              <w:spacing w:after="0"/>
              <w:rPr>
                <w:sz w:val="20"/>
                <w:szCs w:val="20"/>
                <w:color w:val="auto"/>
              </w:rPr>
            </w:pPr>
            <w:r>
              <w:rPr>
                <w:rFonts w:ascii="Arial" w:cs="Arial" w:eastAsia="Arial" w:hAnsi="Arial"/>
                <w:sz w:val="18"/>
                <w:szCs w:val="18"/>
                <w:color w:val="auto"/>
              </w:rPr>
              <w:t>Cari M. Dominguez</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16,184</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1,235,972</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William Downe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2,409,550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43"/>
        </w:trPr>
        <w:tc>
          <w:tcPr>
            <w:tcW w:w="3220" w:type="dxa"/>
            <w:vAlign w:val="bottom"/>
            <w:gridSpan w:val="4"/>
          </w:tcPr>
          <w:p>
            <w:pPr>
              <w:ind w:left="40"/>
              <w:spacing w:after="0"/>
              <w:rPr>
                <w:sz w:val="20"/>
                <w:szCs w:val="20"/>
                <w:color w:val="auto"/>
              </w:rPr>
            </w:pPr>
            <w:r>
              <w:rPr>
                <w:rFonts w:ascii="Arial" w:cs="Arial" w:eastAsia="Arial" w:hAnsi="Arial"/>
                <w:sz w:val="18"/>
                <w:szCs w:val="18"/>
                <w:color w:val="auto"/>
              </w:rPr>
              <w:t>John F. Ferraro</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5,894</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January 1, 2020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Patricia Hemingway Hall</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687,941</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43"/>
        </w:trPr>
        <w:tc>
          <w:tcPr>
            <w:tcW w:w="3220" w:type="dxa"/>
            <w:vAlign w:val="bottom"/>
            <w:gridSpan w:val="4"/>
          </w:tcPr>
          <w:p>
            <w:pPr>
              <w:ind w:left="40"/>
              <w:spacing w:after="0"/>
              <w:rPr>
                <w:sz w:val="20"/>
                <w:szCs w:val="20"/>
                <w:color w:val="auto"/>
              </w:rPr>
            </w:pPr>
            <w:r>
              <w:rPr>
                <w:rFonts w:ascii="Arial" w:cs="Arial" w:eastAsia="Arial" w:hAnsi="Arial"/>
                <w:sz w:val="18"/>
                <w:szCs w:val="18"/>
                <w:color w:val="auto"/>
              </w:rPr>
              <w:t>Roberto Mendoza</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17,339</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1,324,179</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Ulice Payne, Jr.</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1,064,827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43"/>
        </w:trPr>
        <w:tc>
          <w:tcPr>
            <w:tcW w:w="3220" w:type="dxa"/>
            <w:vAlign w:val="bottom"/>
            <w:gridSpan w:val="4"/>
          </w:tcPr>
          <w:p>
            <w:pPr>
              <w:ind w:left="40"/>
              <w:spacing w:after="0"/>
              <w:rPr>
                <w:sz w:val="20"/>
                <w:szCs w:val="20"/>
                <w:color w:val="auto"/>
              </w:rPr>
            </w:pPr>
            <w:r>
              <w:rPr>
                <w:rFonts w:ascii="Arial" w:cs="Arial" w:eastAsia="Arial" w:hAnsi="Arial"/>
                <w:sz w:val="18"/>
                <w:szCs w:val="18"/>
                <w:color w:val="auto"/>
              </w:rPr>
              <w:t>Paul Read</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157,093</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January 1, 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Elizabeth P. Sartain</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1,023,129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43"/>
        </w:trPr>
        <w:tc>
          <w:tcPr>
            <w:tcW w:w="3220" w:type="dxa"/>
            <w:vAlign w:val="bottom"/>
            <w:gridSpan w:val="4"/>
          </w:tcPr>
          <w:p>
            <w:pPr>
              <w:ind w:left="40"/>
              <w:spacing w:after="0"/>
              <w:rPr>
                <w:sz w:val="20"/>
                <w:szCs w:val="20"/>
                <w:color w:val="auto"/>
              </w:rPr>
            </w:pPr>
            <w:r>
              <w:rPr>
                <w:rFonts w:ascii="Arial" w:cs="Arial" w:eastAsia="Arial" w:hAnsi="Arial"/>
                <w:sz w:val="18"/>
                <w:szCs w:val="18"/>
                <w:color w:val="auto"/>
              </w:rPr>
              <w:t>John R. Walter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1,565,585</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Edward J. Zore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37,203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2,841,193</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108"/>
        </w:trPr>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20" w:hanging="492"/>
        <w:spacing w:after="0" w:line="259"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the number of shares held as of the record date, February 23, 2016 as follows:</w:t>
      </w:r>
    </w:p>
    <w:p>
      <w:pPr>
        <w:spacing w:after="0" w:line="17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For Ms. Boswell, 11,033 shares of common stock.</w:t>
      </w:r>
    </w:p>
    <w:p>
      <w:pPr>
        <w:spacing w:after="0" w:line="117" w:lineRule="exact"/>
        <w:rPr>
          <w:rFonts w:ascii="Arial" w:cs="Arial" w:eastAsia="Arial" w:hAnsi="Arial"/>
          <w:sz w:val="18"/>
          <w:szCs w:val="18"/>
          <w:color w:val="auto"/>
        </w:rPr>
      </w:pPr>
    </w:p>
    <w:p>
      <w:pPr>
        <w:ind w:left="500" w:right="3800"/>
        <w:spacing w:after="0" w:line="422" w:lineRule="auto"/>
        <w:rPr>
          <w:rFonts w:ascii="Arial" w:cs="Arial" w:eastAsia="Arial" w:hAnsi="Arial"/>
          <w:sz w:val="18"/>
          <w:szCs w:val="18"/>
          <w:color w:val="auto"/>
        </w:rPr>
      </w:pPr>
      <w:r>
        <w:rPr>
          <w:rFonts w:ascii="Arial" w:cs="Arial" w:eastAsia="Arial" w:hAnsi="Arial"/>
          <w:sz w:val="16"/>
          <w:szCs w:val="16"/>
          <w:color w:val="auto"/>
        </w:rPr>
        <w:t>For Ms. Dominguez, 12,845 shares of common stock and 3,339 shares of vested deferred stock. For Mr. Downe, 18,261 shares of common stock and 13,290 shares of vested deferred stock.</w:t>
      </w:r>
    </w:p>
    <w:p>
      <w:pPr>
        <w:spacing w:after="0" w:line="1" w:lineRule="exact"/>
        <w:rPr>
          <w:rFonts w:ascii="Arial" w:cs="Arial" w:eastAsia="Arial" w:hAnsi="Arial"/>
          <w:sz w:val="18"/>
          <w:szCs w:val="18"/>
          <w:color w:val="auto"/>
        </w:rPr>
      </w:pPr>
    </w:p>
    <w:p>
      <w:pPr>
        <w:ind w:left="500" w:right="3480"/>
        <w:spacing w:after="0" w:line="375" w:lineRule="auto"/>
        <w:rPr>
          <w:rFonts w:ascii="Arial" w:cs="Arial" w:eastAsia="Arial" w:hAnsi="Arial"/>
          <w:sz w:val="18"/>
          <w:szCs w:val="18"/>
          <w:color w:val="auto"/>
        </w:rPr>
      </w:pPr>
      <w:r>
        <w:rPr>
          <w:rFonts w:ascii="Arial" w:cs="Arial" w:eastAsia="Arial" w:hAnsi="Arial"/>
          <w:sz w:val="18"/>
          <w:szCs w:val="18"/>
          <w:color w:val="auto"/>
        </w:rPr>
        <w:t>For Ms. Hemingway Hall, 5,669 shares of common stock and 3,339 shares of vested deferred stock. For Mr. Mendoza, 17,339 shares of vested deferred stock.</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For Mr. Payne, 13,943 shares of common stock.</w:t>
      </w:r>
    </w:p>
    <w:p>
      <w:pPr>
        <w:spacing w:after="0" w:line="117" w:lineRule="exact"/>
        <w:rPr>
          <w:rFonts w:ascii="Arial" w:cs="Arial" w:eastAsia="Arial" w:hAnsi="Arial"/>
          <w:sz w:val="18"/>
          <w:szCs w:val="18"/>
          <w:color w:val="auto"/>
        </w:rPr>
      </w:pPr>
    </w:p>
    <w:p>
      <w:pPr>
        <w:ind w:left="500" w:right="4600"/>
        <w:spacing w:after="0" w:line="375" w:lineRule="auto"/>
        <w:rPr>
          <w:rFonts w:ascii="Arial" w:cs="Arial" w:eastAsia="Arial" w:hAnsi="Arial"/>
          <w:sz w:val="18"/>
          <w:szCs w:val="18"/>
          <w:color w:val="auto"/>
        </w:rPr>
      </w:pPr>
      <w:r>
        <w:rPr>
          <w:rFonts w:ascii="Arial" w:cs="Arial" w:eastAsia="Arial" w:hAnsi="Arial"/>
          <w:sz w:val="18"/>
          <w:szCs w:val="18"/>
          <w:color w:val="auto"/>
        </w:rPr>
        <w:t>For Mr. Read, 1,980 shares of common stock and 77 shares of vested deferred stock. For Ms. Sartain, 13,397 shares of common stock.</w:t>
      </w:r>
    </w:p>
    <w:p>
      <w:pPr>
        <w:spacing w:after="0" w:line="1" w:lineRule="exact"/>
        <w:rPr>
          <w:rFonts w:ascii="Arial" w:cs="Arial" w:eastAsia="Arial" w:hAnsi="Arial"/>
          <w:sz w:val="18"/>
          <w:szCs w:val="18"/>
          <w:color w:val="auto"/>
        </w:rPr>
      </w:pPr>
    </w:p>
    <w:p>
      <w:pPr>
        <w:ind w:left="500" w:right="4180"/>
        <w:spacing w:after="0" w:line="422" w:lineRule="auto"/>
        <w:rPr>
          <w:rFonts w:ascii="Arial" w:cs="Arial" w:eastAsia="Arial" w:hAnsi="Arial"/>
          <w:sz w:val="18"/>
          <w:szCs w:val="18"/>
          <w:color w:val="auto"/>
        </w:rPr>
      </w:pPr>
      <w:r>
        <w:rPr>
          <w:rFonts w:ascii="Arial" w:cs="Arial" w:eastAsia="Arial" w:hAnsi="Arial"/>
          <w:sz w:val="16"/>
          <w:szCs w:val="16"/>
          <w:color w:val="auto"/>
        </w:rPr>
        <w:t>For Mr. Walter, 6,075 shares of common stock and 14,425 shares of vested deferred stock. For Mr. Zore, 36,583 shares of common stock and 620 shares of vested deferred stock.</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price per share of ManpowerGroup common stock on February 23, 2016 of 76.37.</w:t>
      </w:r>
    </w:p>
    <w:p>
      <w:pPr>
        <w:spacing w:after="0" w:line="17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Non-employees directors in office as of January 1, 2015 must meet the ownership guidelines by January 1, 2018. Non-employee directors appointed after January 1, 2015 must meet the ownership guidelines the fourth anniversary of the date of appointment.</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121"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 xml:space="preserve">We have an audit committee that consists entirely of independent directors, each of whom meet the independence requirements set forth by the New York Stock Exchange. The board of directors has adopted a charter for the audit committee, which is available on our web site at </w:t>
      </w:r>
      <w:r>
        <w:rPr>
          <w:rFonts w:ascii="Arial" w:cs="Arial" w:eastAsia="Arial" w:hAnsi="Arial"/>
          <w:sz w:val="17"/>
          <w:szCs w:val="17"/>
          <w:u w:val="single" w:color="auto"/>
          <w:color w:val="auto"/>
        </w:rPr>
        <w:t>www.manpowergroup.com/about/corporategovernance.cfm</w:t>
      </w:r>
      <w:r>
        <w:rPr>
          <w:rFonts w:ascii="Arial" w:cs="Arial" w:eastAsia="Arial" w:hAnsi="Arial"/>
          <w:sz w:val="17"/>
          <w:szCs w:val="17"/>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an annual basis and recommends updates as necessary.</w:t>
      </w:r>
    </w:p>
    <w:p>
      <w:pPr>
        <w:spacing w:after="0" w:line="178"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In 2015,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166" w:lineRule="exact"/>
        <w:rPr>
          <w:sz w:val="20"/>
          <w:szCs w:val="20"/>
          <w:color w:val="auto"/>
        </w:rPr>
      </w:pPr>
    </w:p>
    <w:p>
      <w:pPr>
        <w:ind w:left="820" w:right="300" w:hanging="326"/>
        <w:spacing w:after="0" w:line="277" w:lineRule="auto"/>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2015, including the disclosures under "Management's Discussion and Analysis of Financial Condition and Results of Operations,"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operational risks,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risk matters including currency exposure, workers compensation, revenue recognition and technology and security risk,</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63"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compliance with our code of business conduct and ethics, our anti-corruption policy, including the Foreign Corrupt Practices Act and our policy on gifts, entertainment and sponsorships,</w:t>
      </w:r>
    </w:p>
    <w:p>
      <w:pPr>
        <w:spacing w:after="0" w:line="8"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audit committee met five times in private session with Deloitte &amp; Touche LLP and met five times in private session with the head of internal audit.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purpose of the private sessions is to allow the participants to raise any concerns they may have and to discuss other topics in a confidential setting.</w:t>
      </w:r>
    </w:p>
    <w:p>
      <w:pPr>
        <w:spacing w:after="0" w:line="222"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In addition to the meetings discussed above, the chair of the audit committee, and any other audit committee member who desired or was requested to participate, reviewed with management and our independent auditors our financial results for each quarter of 2015 prior to the quarterly release of earnings.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February 2016, the independent auditors and members of senior management reviewed and discussed the audited financial statements for the fiscal year ended December 31, 2015 with the audit committee, together with our disclosures under “Management’s Discussion and Analysis of Financial Condition and Results of Operations.” This discussion included, among other things:</w:t>
      </w:r>
    </w:p>
    <w:p>
      <w:pPr>
        <w:spacing w:after="0" w:line="87" w:lineRule="exact"/>
        <w:rPr>
          <w:sz w:val="20"/>
          <w:szCs w:val="20"/>
          <w:color w:val="auto"/>
        </w:rPr>
      </w:pPr>
    </w:p>
    <w:p>
      <w:pPr>
        <w:ind w:left="820" w:hanging="326"/>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on our financial statements, including the adoption of significant accounting pronouncements,</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86" w:lineRule="exact"/>
        <w:rPr>
          <w:rFonts w:ascii="Arial" w:cs="Arial" w:eastAsia="Arial" w:hAnsi="Arial"/>
          <w:sz w:val="16"/>
          <w:szCs w:val="16"/>
          <w:color w:val="auto"/>
        </w:rPr>
      </w:pPr>
    </w:p>
    <w:p>
      <w:pPr>
        <w:ind w:left="820" w:right="80" w:hanging="326"/>
        <w:spacing w:after="0" w:line="277" w:lineRule="auto"/>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matters required to be discussed by Public Company Accounting Oversight Board (“PCAOB”) Auditing Standard No. 16 “Communications with Audit Committees.”</w:t>
      </w:r>
    </w:p>
    <w:p>
      <w:pPr>
        <w:spacing w:after="0" w:line="8" w:lineRule="exact"/>
        <w:rPr>
          <w:rFonts w:ascii="Arial" w:cs="Arial" w:eastAsia="Arial" w:hAnsi="Arial"/>
          <w:sz w:val="18"/>
          <w:szCs w:val="18"/>
          <w:color w:val="auto"/>
        </w:rPr>
      </w:pPr>
    </w:p>
    <w:p>
      <w:pPr>
        <w:ind w:left="820" w:right="540" w:hanging="326"/>
        <w:spacing w:after="0" w:line="277" w:lineRule="auto"/>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8"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2015 and the independent auditors’ report with respect to the effectiveness of our internal control over financial reporting and management’s assessment of the effectiveness of our internal control over financial reporting.</w:t>
      </w:r>
    </w:p>
    <w:p>
      <w:pPr>
        <w:spacing w:after="0" w:line="1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7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2015 and 2014, which consist of the following:</w:t>
      </w:r>
    </w:p>
    <w:p>
      <w:pPr>
        <w:spacing w:after="0" w:line="170"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The aggregate fees billed for professional services rendered by Deloitte for the audit of our financial statements and attestation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of our internal control over financial reporting as of and for the year ended December 31, 2014 and the review of the financial statements included in our Quarterly Reports on Form 10-Q for 2014 approved by the audit committee were $5,330,000.</w:t>
      </w:r>
    </w:p>
    <w:p>
      <w:pPr>
        <w:spacing w:after="0" w:line="166" w:lineRule="exact"/>
        <w:rPr>
          <w:sz w:val="20"/>
          <w:szCs w:val="20"/>
          <w:color w:val="auto"/>
        </w:rPr>
      </w:pPr>
    </w:p>
    <w:p>
      <w:pPr>
        <w:ind w:right="160" w:firstLine="528"/>
        <w:spacing w:after="0" w:line="264"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2015 and the review of the financial statements included in our Quarterly Reports on Form 10-Q for 2015 approved by the audit committee were $5,492,000.</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$190,400 in 2014. These services consisted of 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due diligences procedures, auditing billing procedures for one of our foreign subsidiaries’ lines of business, consulting on local reporting standards, issuing an audit report related to the statement of educational expenses for flex workers for one our subsidiaries, auditing a benefit program as well as providing consents and other miscellaneous services.</w:t>
      </w:r>
    </w:p>
    <w:p>
      <w:pPr>
        <w:spacing w:after="0" w:line="187"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The aggregate fees billed by Deloitte for audit-related services were $158,000 in 2015. These services consisted of auditing billing procedures for one of our foreign subsidiaries’ lines of business, issuing an audit report related to the statement of educational expenses for flex workers for one our subsidiaries, auditing an opening balance sheet for an acquisition and providing a comfort letter in connection with a debt offering.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$699,000 in 2014. These services consisted of consultation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entity structuring and internal reorganizations, assistance with transfer pricing, assistance in the preparation and review of certain international tax returns, consultation regarding appropriate handling of items on the U.S. and international tax returns, assistance with tax audits and examinations as well as advice related to VAT and wage tax matters.</w:t>
      </w:r>
    </w:p>
    <w:p>
      <w:pPr>
        <w:spacing w:after="0" w:line="18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aggregate fees billed by Deloitte for tax services were $326,000 in 2015.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 transfer pricing study.</w:t>
      </w:r>
    </w:p>
    <w:p>
      <w:pPr>
        <w:spacing w:after="0" w:line="147"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The were no other fees and expenses billed by Deloitte to us in 2014 and 2015.</w:t>
      </w:r>
    </w:p>
    <w:p>
      <w:pPr>
        <w:spacing w:after="0" w:line="225"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i w:val="1"/>
          <w:iCs w:val="1"/>
          <w:color w:val="auto"/>
        </w:rPr>
        <w:t xml:space="preserve">Approval Procedures. </w:t>
      </w:r>
      <w:r>
        <w:rPr>
          <w:rFonts w:ascii="Arial" w:cs="Arial" w:eastAsia="Arial" w:hAnsi="Arial"/>
          <w:sz w:val="16"/>
          <w:szCs w:val="16"/>
          <w:color w:val="auto"/>
        </w:rPr>
        <w:t>We have a policy on services provided by the independent auditors that we review on an annual basis. The policy sets forth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6"/>
          <w:szCs w:val="16"/>
          <w:u w:val="single" w:color="auto"/>
          <w:color w:val="auto"/>
        </w:rPr>
        <w:t>www.manpowergroup.com/about/corporategovernance.cfm</w:t>
      </w:r>
      <w:r>
        <w:rPr>
          <w:rFonts w:ascii="Arial" w:cs="Arial" w:eastAsia="Arial" w:hAnsi="Arial"/>
          <w:sz w:val="16"/>
          <w:szCs w:val="16"/>
          <w:color w:val="auto"/>
        </w:rPr>
        <w:t>. Each of the services described under the headings “Audit-Related Fees” and “Tax Fees” was approved during 2014 and 2015 in accordance with the policy.</w:t>
      </w:r>
    </w:p>
    <w:p>
      <w:pPr>
        <w:spacing w:after="0" w:line="15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audit committee has also received the written disclosures and confirmation from Deloitte required by PCAOB Ethics and Independence Rule 3526 and discussed with Deloitte their independence. In particular, at each regular meeting during 2015 and at the meeting in February 2016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2015 audit, and believes that the provision of these services has not adversely affected the integrity of our audit and financial reporting processes.</w:t>
      </w:r>
    </w:p>
    <w:p>
      <w:pPr>
        <w:spacing w:after="0" w:line="178"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5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Gina R. Boswell,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Patricia A. Hemingway Hall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Roberto Mendoza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Ulice Payne, Jr.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Paul Read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 RATIFICATION OF INDEPENDENT AUDITORS</w:t>
      </w:r>
    </w:p>
    <w:p>
      <w:pPr>
        <w:spacing w:after="0" w:line="229"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2016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5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2016.</w:t>
      </w:r>
    </w:p>
    <w:p>
      <w:pPr>
        <w:spacing w:after="0" w:line="170"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2016. Abstentions and broker non-votes will not be counted as votes cast and, therefore, will have no impact on the approval of the proposal.</w:t>
      </w:r>
    </w:p>
    <w:p>
      <w:pPr>
        <w:spacing w:after="0" w:line="18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2016, and your proxy will be so voted unless you specify otherwise.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21"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ADVISORY VOTE ON APPROVAL OF THE COMPENSATION OF NAMED EXECUTIVE OFFICERS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83" w:lineRule="exact"/>
        <w:rPr>
          <w:sz w:val="20"/>
          <w:szCs w:val="20"/>
          <w:color w:val="auto"/>
        </w:rPr>
      </w:pPr>
    </w:p>
    <w:p>
      <w:pPr>
        <w:ind w:right="320" w:firstLine="486"/>
        <w:spacing w:after="0" w:line="347"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0"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ManpowerGroup derives over 84% of its revenues from outside the United States, with the largest portions coming from the company’s operating segments in Southern Europe (36%), Northern Europe (28%) and Asia Pacific Middle East (12%). Our business is truly global in nature and complexity, with over 27,000 employees and over 600,000 associates connected with clients worldwide on any given day. Our worldwide network serves global, multinational and local companies in 80 countries and territories. We placed approximately 3.4 million people in jobs in 2015, and provided a broad range of workforce solutions including recruitment and assessment, training and development, career management, outsourcing and workforce consulting.</w:t>
      </w:r>
    </w:p>
    <w:p>
      <w:pPr>
        <w:spacing w:after="0" w:line="15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8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(PSUs),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88"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w:t>
      </w:r>
      <w:r>
        <w:rPr>
          <w:rFonts w:ascii="Arial" w:cs="Arial" w:eastAsia="Arial" w:hAnsi="Arial"/>
          <w:sz w:val="15"/>
          <w:szCs w:val="15"/>
          <w:color w:val="auto"/>
        </w:rPr>
        <w:t>th</w:t>
      </w:r>
      <w:r>
        <w:rPr>
          <w:rFonts w:ascii="Arial" w:cs="Arial" w:eastAsia="Arial" w:hAnsi="Arial"/>
          <w:sz w:val="17"/>
          <w:szCs w:val="17"/>
          <w:color w:val="auto"/>
        </w:rPr>
        <w:t xml:space="preserve">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17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that measures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and return on invested capital for the year. Earnings per share focuses our executive officers on producing financial results that align with the interests of our shareholders, while return on invested capital incentivizes our executive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officers to manage our accounts receivable and other capital investments carefully in order to maximize capital deployed</w:t>
      </w:r>
      <w:r>
        <w:rPr>
          <w:rFonts w:ascii="Arial" w:cs="Arial" w:eastAsia="Arial" w:hAnsi="Arial"/>
          <w:sz w:val="18"/>
          <w:szCs w:val="18"/>
          <w:b w:val="1"/>
          <w:bCs w:val="1"/>
          <w:color w:val="auto"/>
        </w:rPr>
        <w:t>.</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performance metric, in this instance operating profit margin.</w:t>
      </w:r>
    </w:p>
    <w:p>
      <w:pPr>
        <w:spacing w:after="0" w:line="18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8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i w:val="1"/>
          <w:iCs w:val="1"/>
          <w:color w:val="auto"/>
        </w:rPr>
        <w:t>The board of directors recommends you vote FOR the proposal to approve the compensation of our named executive officers, and your proxy will be so voted unless you specify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w:t>
      </w:r>
    </w:p>
    <w:p>
      <w:pPr>
        <w:spacing w:after="0" w:line="229"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In accordance with our bylaws, nominations, other than by or at the direction of the board of directors, of candidates for election as directors at the 2017 annual meeting of shareholders must be received by us no earlier than December 4, 2016 and no later than February 2, 2017, and any other shareholder proposed business to be brought before the 2016 annual meeting of shareholders must be received by us no later than February 2, 2017.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2017 annual meeting of shareholders must be received by us at our principal executive offices by November 4, 2016.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2015 all filing requirements were met except for one Form 4 reporting one transaction for Mr. Payne, caused by a broker error which prevented its timely filing.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VOTING INFORMATION</w:t>
      </w:r>
    </w:p>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May 2, 2016. To vote over the Internet or by telephone, please refer to the instructions on the accompanying proxy card.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18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www.manpowergroup.com/investors/investors.cfm</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34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 xml:space="preserve">Richard Buchband, </w:t>
      </w: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MANPOWER</w:t>
      </w:r>
      <w:r>
        <w:rPr>
          <w:rFonts w:ascii="Arial" w:cs="Arial" w:eastAsia="Arial" w:hAnsi="Arial"/>
          <w:sz w:val="18"/>
          <w:szCs w:val="18"/>
          <w:b w:val="1"/>
          <w:bCs w:val="1"/>
          <w:u w:val="single" w:color="auto"/>
          <w:color w:val="FF0000"/>
        </w:rPr>
        <w:t>GROUP</w:t>
      </w:r>
      <w:r>
        <w:rPr>
          <w:rFonts w:ascii="Arial" w:cs="Arial" w:eastAsia="Arial" w:hAnsi="Arial"/>
          <w:sz w:val="18"/>
          <w:szCs w:val="18"/>
          <w:b w:val="1"/>
          <w:bCs w:val="1"/>
          <w:u w:val="single" w:color="auto"/>
          <w:color w:val="auto"/>
        </w:rPr>
        <w:t xml:space="preserv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SENIOR MANAGEMENT ANNUAL INCENTIVE POOL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(Effective January 1, 2012)</w:t>
      </w:r>
      <w:r>
        <w:rPr>
          <w:rFonts w:ascii="Arial" w:cs="Arial" w:eastAsia="Arial" w:hAnsi="Arial"/>
          <w:sz w:val="18"/>
          <w:szCs w:val="18"/>
          <w:b w:val="1"/>
          <w:bCs w:val="1"/>
          <w:color w:val="FF0000"/>
        </w:rPr>
        <w:t>(Amended and Restated as of 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-7620</wp:posOffset>
            </wp:positionV>
            <wp:extent cx="3701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014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38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Overview of the Plan</w:t>
      </w:r>
    </w:p>
    <w:p>
      <w:pPr>
        <w:spacing w:after="0" w:line="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purpose of the Plan is to provide certain senior executives of the Company, as designated by the Compensation Committee (referred to below as “Participants”), an annual incentive award payable in cash, thereby promoting the growth and financial success of the Company by motivating the Participants to achieve annual performance goals and objectives consistent with the Company’s business strategy . The plan is effective January 1, 2012 </w:t>
      </w:r>
      <w:r>
        <w:rPr>
          <w:rFonts w:ascii="Arial" w:cs="Arial" w:eastAsia="Arial" w:hAnsi="Arial"/>
          <w:sz w:val="18"/>
          <w:szCs w:val="18"/>
          <w:u w:val="single" w:color="auto"/>
          <w:color w:val="FF0000"/>
        </w:rPr>
        <w:t>and is</w:t>
      </w:r>
      <w:r>
        <w:rPr>
          <w:rFonts w:ascii="Arial" w:cs="Arial" w:eastAsia="Arial" w:hAnsi="Arial"/>
          <w:sz w:val="18"/>
          <w:szCs w:val="18"/>
          <w:color w:val="auto"/>
        </w:rPr>
        <w:t xml:space="preserve"> </w:t>
      </w:r>
      <w:r>
        <w:rPr>
          <w:rFonts w:ascii="Arial" w:cs="Arial" w:eastAsia="Arial" w:hAnsi="Arial"/>
          <w:sz w:val="18"/>
          <w:szCs w:val="18"/>
          <w:u w:val="single" w:color="auto"/>
          <w:color w:val="FF0000"/>
        </w:rPr>
        <w:t>hereby amended and restated on February 16, 2016</w:t>
      </w:r>
      <w:r>
        <w:rPr>
          <w:rFonts w:ascii="Arial" w:cs="Arial" w:eastAsia="Arial" w:hAnsi="Arial"/>
          <w:sz w:val="18"/>
          <w:szCs w:val="18"/>
          <w:color w:val="000000"/>
        </w:rPr>
        <w:t>. The bonuses payable under the Plan are intended to qualify as “performance-based compensation” under</w:t>
      </w:r>
      <w:r>
        <w:rPr>
          <w:rFonts w:ascii="Arial" w:cs="Arial" w:eastAsia="Arial" w:hAnsi="Arial"/>
          <w:sz w:val="18"/>
          <w:szCs w:val="18"/>
          <w:color w:val="FF0000"/>
        </w:rPr>
        <w:t xml:space="preserve"> </w:t>
      </w:r>
      <w:r>
        <w:rPr>
          <w:rFonts w:ascii="Arial" w:cs="Arial" w:eastAsia="Arial" w:hAnsi="Arial"/>
          <w:sz w:val="18"/>
          <w:szCs w:val="18"/>
          <w:color w:val="000000"/>
        </w:rPr>
        <w:t>Section 162(m) of the Code.</w:t>
      </w:r>
    </w:p>
    <w:p>
      <w:pPr>
        <w:spacing w:after="0" w:line="21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224"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Award - the bonus opportunity awarded to a Participant under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Affiliate - any subsidiary or other entity that is controlled (directly or indirectly) by the Company.</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Bonus Pool - an amount that may be established for the Company, all or a portion of which may be allocated among the Participants in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Compensation Committee - the Executive Compensation and Human Resources Committee of the Board of Directors of the Company.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3"/>
        </w:numPr>
        <w:rPr>
          <w:rFonts w:ascii="Arial" w:cs="Arial" w:eastAsia="Arial" w:hAnsi="Arial"/>
          <w:sz w:val="18"/>
          <w:szCs w:val="18"/>
          <w:u w:val="single" w:color="auto"/>
          <w:color w:val="FF0000"/>
        </w:rPr>
      </w:pPr>
      <w:r>
        <w:rPr>
          <w:rFonts w:ascii="Arial" w:cs="Arial" w:eastAsia="Arial" w:hAnsi="Arial"/>
          <w:sz w:val="18"/>
          <w:szCs w:val="18"/>
          <w:u w:val="single" w:color="auto"/>
          <w:color w:val="FF0000"/>
        </w:rPr>
        <w:t>Consolidated ManpowerGroup - the Company and its direct and indirect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strike w:val="1"/>
        </w:rPr>
        <w:t>(e)</w:t>
      </w:r>
    </w:p>
    <w:p>
      <w:pPr>
        <w:spacing w:after="0" w:line="23" w:lineRule="exact"/>
        <w:rPr>
          <w:sz w:val="20"/>
          <w:szCs w:val="20"/>
          <w:color w:val="auto"/>
        </w:rPr>
      </w:pPr>
    </w:p>
    <w:p>
      <w:pPr>
        <w:ind w:left="1300" w:right="660" w:hanging="644"/>
        <w:spacing w:after="0" w:line="261" w:lineRule="auto"/>
        <w:tabs>
          <w:tab w:leader="none" w:pos="1300" w:val="left"/>
        </w:tabs>
        <w:numPr>
          <w:ilvl w:val="0"/>
          <w:numId w:val="114"/>
        </w:numPr>
        <w:rPr>
          <w:rFonts w:ascii="Arial" w:cs="Arial" w:eastAsia="Arial" w:hAnsi="Arial"/>
          <w:sz w:val="18"/>
          <w:szCs w:val="18"/>
          <w:u w:val="single" w:color="auto"/>
          <w:color w:val="FF0000"/>
        </w:rPr>
      </w:pPr>
      <w:r>
        <w:rPr>
          <w:rFonts w:ascii="Arial" w:cs="Arial" w:eastAsia="Arial" w:hAnsi="Arial"/>
          <w:sz w:val="18"/>
          <w:szCs w:val="18"/>
          <w:color w:val="auto"/>
        </w:rPr>
        <w:t>Code - the Internal Revenue Code of 1986, as it may be amended from time to time, and any proposed, temporary or final Treasury Regulations promulgated thereunder.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strike w:val="1"/>
        </w:rPr>
        <w:t>(f)</w:t>
      </w:r>
    </w:p>
    <w:p>
      <w:pPr>
        <w:spacing w:after="0" w:line="23"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u w:val="single" w:color="auto"/>
          <w:color w:val="FF0000"/>
        </w:rPr>
      </w:pPr>
      <w:r>
        <w:rPr>
          <w:rFonts w:ascii="Arial" w:cs="Arial" w:eastAsia="Arial" w:hAnsi="Arial"/>
          <w:sz w:val="18"/>
          <w:szCs w:val="18"/>
          <w:color w:val="auto"/>
        </w:rPr>
        <w:t>Company - ManpowerGroup Inc., a Wisconsin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strike w:val="1"/>
        </w:rPr>
        <w:t>(g)</w:t>
      </w:r>
    </w:p>
    <w:p>
      <w:pPr>
        <w:spacing w:after="0" w:line="23" w:lineRule="exact"/>
        <w:rPr>
          <w:sz w:val="20"/>
          <w:szCs w:val="20"/>
          <w:color w:val="auto"/>
        </w:rPr>
      </w:pPr>
    </w:p>
    <w:p>
      <w:pPr>
        <w:ind w:left="1300" w:right="40" w:hanging="644"/>
        <w:spacing w:after="0" w:line="261" w:lineRule="auto"/>
        <w:tabs>
          <w:tab w:leader="none" w:pos="1300" w:val="left"/>
        </w:tabs>
        <w:numPr>
          <w:ilvl w:val="0"/>
          <w:numId w:val="116"/>
        </w:numPr>
        <w:rPr>
          <w:rFonts w:ascii="Arial" w:cs="Arial" w:eastAsia="Arial" w:hAnsi="Arial"/>
          <w:sz w:val="18"/>
          <w:szCs w:val="18"/>
          <w:u w:val="single" w:color="auto"/>
          <w:color w:val="FF0000"/>
        </w:rPr>
      </w:pPr>
      <w:r>
        <w:rPr>
          <w:rFonts w:ascii="Arial" w:cs="Arial" w:eastAsia="Arial" w:hAnsi="Arial"/>
          <w:sz w:val="18"/>
          <w:szCs w:val="18"/>
          <w:color w:val="auto"/>
        </w:rPr>
        <w:t>Disability -permanent and total disability, as defined in the Company’s long-term disability plan, or if no such plan is in effect, as defined in Code Section 22(e)(3).</w:t>
      </w:r>
    </w:p>
    <w:p>
      <w:pPr>
        <w:spacing w:after="0" w:line="184" w:lineRule="exact"/>
        <w:rPr>
          <w:sz w:val="20"/>
          <w:szCs w:val="20"/>
          <w:color w:val="auto"/>
        </w:rPr>
      </w:pPr>
    </w:p>
    <w:p>
      <w:pPr>
        <w:ind w:left="1040" w:hanging="384"/>
        <w:spacing w:after="0"/>
        <w:tabs>
          <w:tab w:leader="none" w:pos="1040" w:val="left"/>
        </w:tabs>
        <w:numPr>
          <w:ilvl w:val="0"/>
          <w:numId w:val="117"/>
        </w:numPr>
        <w:rPr>
          <w:rFonts w:ascii="Arial" w:cs="Arial" w:eastAsia="Arial" w:hAnsi="Arial"/>
          <w:sz w:val="18"/>
          <w:szCs w:val="18"/>
          <w:color w:val="EE2724"/>
          <w:strike w:val="1"/>
        </w:rPr>
      </w:pPr>
      <w:r>
        <w:rPr>
          <w:rFonts w:ascii="Arial" w:cs="Arial" w:eastAsia="Arial" w:hAnsi="Arial"/>
          <w:sz w:val="18"/>
          <w:szCs w:val="18"/>
          <w:color w:val="EE2724"/>
          <w:strike w:val="1"/>
        </w:rPr>
        <w:t>ManpowerGroup -- the Company and its direct and indirect subsidiaries.</w:t>
      </w:r>
    </w:p>
    <w:p>
      <w:pPr>
        <w:spacing w:after="0" w:line="225" w:lineRule="exact"/>
        <w:rPr>
          <w:rFonts w:ascii="Arial" w:cs="Arial" w:eastAsia="Arial" w:hAnsi="Arial"/>
          <w:sz w:val="18"/>
          <w:szCs w:val="18"/>
          <w:color w:val="EE2724"/>
          <w:strike w:val="1"/>
        </w:rPr>
      </w:pPr>
    </w:p>
    <w:p>
      <w:pPr>
        <w:ind w:left="1300" w:right="640" w:hanging="644"/>
        <w:spacing w:after="0" w:line="277"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Market Price - the closing sale price of a Share on the New York Stock Exchange;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a Share is not susceptible of valuation by the above method, the term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300" w:right="340"/>
        <w:spacing w:after="0" w:line="324" w:lineRule="auto"/>
        <w:rPr>
          <w:sz w:val="20"/>
          <w:szCs w:val="20"/>
          <w:color w:val="auto"/>
        </w:rPr>
      </w:pPr>
      <w:r>
        <w:rPr>
          <w:rFonts w:ascii="Arial" w:cs="Arial" w:eastAsia="Arial" w:hAnsi="Arial"/>
          <w:sz w:val="18"/>
          <w:szCs w:val="18"/>
          <w:color w:val="auto"/>
        </w:rPr>
        <w:t>Price” shall mean the fair market value of a Share as the Compensation Committee may determine in conformity with pertinent law and regulations of the Treasury Department.</w:t>
      </w:r>
    </w:p>
    <w:p>
      <w:pPr>
        <w:spacing w:after="0" w:line="143" w:lineRule="exact"/>
        <w:rPr>
          <w:sz w:val="20"/>
          <w:szCs w:val="20"/>
          <w:color w:val="auto"/>
        </w:rPr>
      </w:pPr>
    </w:p>
    <w:p>
      <w:pPr>
        <w:ind w:left="1300" w:right="460" w:hanging="644"/>
        <w:spacing w:after="0" w:line="27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Participant - any Company or Affiliate employee who is a corporate senior executive officer of the Company who is designated by the Compensation Committee (subject to Section 4 of Article I) to participate in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Plan - the Manpower</w:t>
      </w:r>
      <w:r>
        <w:rPr>
          <w:rFonts w:ascii="Arial" w:cs="Arial" w:eastAsia="Arial" w:hAnsi="Arial"/>
          <w:sz w:val="18"/>
          <w:szCs w:val="18"/>
          <w:u w:val="single" w:color="auto"/>
          <w:color w:val="EE2724"/>
        </w:rPr>
        <w:t>Group</w:t>
      </w:r>
      <w:r>
        <w:rPr>
          <w:rFonts w:ascii="Arial" w:cs="Arial" w:eastAsia="Arial" w:hAnsi="Arial"/>
          <w:sz w:val="18"/>
          <w:szCs w:val="18"/>
          <w:color w:val="auto"/>
        </w:rPr>
        <w:t xml:space="preserve"> Inc. Corporate Senior Management Annual Incentive Pool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Plan Year - each yearly period commencing on January 1st of each year during the term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u w:val="single" w:color="auto"/>
          <w:color w:val="EE2724"/>
        </w:rPr>
      </w:pPr>
      <w:r>
        <w:rPr>
          <w:rFonts w:ascii="Arial" w:cs="Arial" w:eastAsia="Arial" w:hAnsi="Arial"/>
          <w:sz w:val="18"/>
          <w:szCs w:val="18"/>
          <w:u w:val="single" w:color="auto"/>
          <w:color w:val="EE2724"/>
        </w:rPr>
        <w:t>Retirement - a termination of employment on or after a Participant has attained age 55 and has completed 10 years of Service.</w:t>
      </w:r>
    </w:p>
    <w:p>
      <w:pPr>
        <w:spacing w:after="0" w:line="225" w:lineRule="exact"/>
        <w:rPr>
          <w:rFonts w:ascii="Arial" w:cs="Arial" w:eastAsia="Arial" w:hAnsi="Arial"/>
          <w:sz w:val="18"/>
          <w:szCs w:val="18"/>
          <w:u w:val="single" w:color="auto"/>
          <w:color w:val="EE2724"/>
        </w:rPr>
      </w:pPr>
    </w:p>
    <w:p>
      <w:pPr>
        <w:ind w:left="1300" w:right="460" w:hanging="644"/>
        <w:spacing w:after="0" w:line="258" w:lineRule="auto"/>
        <w:tabs>
          <w:tab w:leader="none" w:pos="1300" w:val="left"/>
        </w:tabs>
        <w:numPr>
          <w:ilvl w:val="0"/>
          <w:numId w:val="118"/>
        </w:numPr>
        <w:rPr>
          <w:rFonts w:ascii="Arial" w:cs="Arial" w:eastAsia="Arial" w:hAnsi="Arial"/>
          <w:sz w:val="18"/>
          <w:szCs w:val="18"/>
          <w:u w:val="single" w:color="auto"/>
          <w:color w:val="EE2724"/>
        </w:rPr>
      </w:pPr>
      <w:r>
        <w:rPr>
          <w:rFonts w:ascii="Arial" w:cs="Arial" w:eastAsia="Arial" w:hAnsi="Arial"/>
          <w:sz w:val="18"/>
          <w:szCs w:val="18"/>
          <w:u w:val="single" w:color="auto"/>
          <w:color w:val="EE2724"/>
        </w:rPr>
        <w:t>Service - as to each Participant, the period beginning on the date he or she first becomes an employee of the Company or Affiliate and ending on the date he or she ceases to be an Employee of the Company or Affiliate.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EE2724"/>
          <w:strike w:val="1"/>
        </w:rPr>
        <w:t>(m)</w:t>
      </w:r>
    </w:p>
    <w:p>
      <w:pPr>
        <w:spacing w:after="0" w:line="9"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u w:val="single" w:color="auto"/>
          <w:color w:val="EE2724"/>
        </w:rPr>
      </w:pPr>
      <w:r>
        <w:rPr>
          <w:rFonts w:ascii="Arial" w:cs="Arial" w:eastAsia="Arial" w:hAnsi="Arial"/>
          <w:sz w:val="18"/>
          <w:szCs w:val="18"/>
          <w:color w:val="auto"/>
        </w:rPr>
        <w:t>Share - the $0.01 par value common stock of the Company.</w:t>
      </w:r>
    </w:p>
    <w:p>
      <w:pPr>
        <w:spacing w:after="0" w:line="23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Plan Administration</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Compensation Committee shall administer the Plan. The Compensation Committee is authorized to interpret the Plan, to adopt such rules and regulations, as it may from time to time deem necessary for the effective operation of the Plan, and to act upon all matters relating to the granting of Awards under the Plan. Any determination, interpretation, construction or other action made or taken pursuant to the provisions of the Plan by or on behalf of the Compensation Committee shall be final, binding and conclusive for all purposes and upon all persons including, without limitation, the Company and Participants and their respective successors in interest. In recognition of the requirements of Section 162(m) of the Code, the payment or distribution of any amount under the </w:t>
      </w:r>
      <w:r>
        <w:rPr>
          <w:rFonts w:ascii="Arial" w:cs="Arial" w:eastAsia="Arial" w:hAnsi="Arial"/>
          <w:sz w:val="18"/>
          <w:szCs w:val="18"/>
          <w:color w:val="EE2724"/>
          <w:strike w:val="1"/>
        </w:rPr>
        <w:t>annual bonus plan component</w:t>
      </w:r>
      <w:r>
        <w:rPr>
          <w:rFonts w:ascii="Arial" w:cs="Arial" w:eastAsia="Arial" w:hAnsi="Arial"/>
          <w:sz w:val="18"/>
          <w:szCs w:val="18"/>
          <w:u w:val="single" w:color="auto"/>
          <w:color w:val="EE2724"/>
        </w:rPr>
        <w:t>Plan</w:t>
      </w:r>
      <w:r>
        <w:rPr>
          <w:rFonts w:ascii="Arial" w:cs="Arial" w:eastAsia="Arial" w:hAnsi="Arial"/>
          <w:sz w:val="18"/>
          <w:szCs w:val="18"/>
          <w:color w:val="EE2724"/>
        </w:rPr>
        <w:t xml:space="preserve"> </w:t>
      </w:r>
      <w:r>
        <w:rPr>
          <w:rFonts w:ascii="Arial" w:cs="Arial" w:eastAsia="Arial" w:hAnsi="Arial"/>
          <w:sz w:val="18"/>
          <w:szCs w:val="18"/>
          <w:color w:val="000000"/>
        </w:rPr>
        <w:t>shall be subject to the prior certification by the Compensation Committee that the relevant performance goals have been</w:t>
      </w:r>
      <w:r>
        <w:rPr>
          <w:rFonts w:ascii="Arial" w:cs="Arial" w:eastAsia="Arial" w:hAnsi="Arial"/>
          <w:sz w:val="18"/>
          <w:szCs w:val="18"/>
          <w:color w:val="EE2724"/>
        </w:rPr>
        <w:t xml:space="preserve"> </w:t>
      </w:r>
      <w:r>
        <w:rPr>
          <w:rFonts w:ascii="Arial" w:cs="Arial" w:eastAsia="Arial" w:hAnsi="Arial"/>
          <w:sz w:val="18"/>
          <w:szCs w:val="18"/>
          <w:color w:val="000000"/>
        </w:rPr>
        <w:t>attained.</w:t>
      </w:r>
    </w:p>
    <w:p>
      <w:pPr>
        <w:spacing w:after="0" w:line="212"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Eligibility and Participation Guidelines</w:t>
      </w:r>
    </w:p>
    <w:p>
      <w:pPr>
        <w:spacing w:after="0" w:line="243"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Criteria for participation in the Plan:</w:t>
      </w:r>
    </w:p>
    <w:p>
      <w:pPr>
        <w:spacing w:after="0" w:line="23" w:lineRule="exact"/>
        <w:rPr>
          <w:rFonts w:ascii="Arial" w:cs="Arial" w:eastAsia="Arial" w:hAnsi="Arial"/>
          <w:sz w:val="18"/>
          <w:szCs w:val="18"/>
          <w:color w:val="auto"/>
        </w:rPr>
      </w:pPr>
    </w:p>
    <w:p>
      <w:pPr>
        <w:jc w:val="both"/>
        <w:ind w:left="1300" w:right="340"/>
        <w:spacing w:after="0" w:line="323" w:lineRule="auto"/>
        <w:rPr>
          <w:rFonts w:ascii="Arial" w:cs="Arial" w:eastAsia="Arial" w:hAnsi="Arial"/>
          <w:sz w:val="18"/>
          <w:szCs w:val="18"/>
          <w:color w:val="auto"/>
        </w:rPr>
      </w:pPr>
      <w:r>
        <w:rPr>
          <w:rFonts w:ascii="Arial" w:cs="Arial" w:eastAsia="Arial" w:hAnsi="Arial"/>
          <w:sz w:val="16"/>
          <w:szCs w:val="16"/>
          <w:color w:val="auto"/>
        </w:rPr>
        <w:t>In selecting Participants, the Compensation Committee shall take into account the degree to which the proposed Participant can have an impact on the short-term and long-term operating performance and growth of the Company and such other criteria as it deems relevant.</w:t>
      </w:r>
    </w:p>
    <w:p>
      <w:pPr>
        <w:spacing w:after="0" w:line="138" w:lineRule="exact"/>
        <w:rPr>
          <w:rFonts w:ascii="Arial" w:cs="Arial" w:eastAsia="Arial" w:hAnsi="Arial"/>
          <w:sz w:val="18"/>
          <w:szCs w:val="18"/>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Renewal of participation:</w:t>
      </w:r>
    </w:p>
    <w:p>
      <w:pPr>
        <w:spacing w:after="0" w:line="23" w:lineRule="exact"/>
        <w:rPr>
          <w:rFonts w:ascii="Arial" w:cs="Arial" w:eastAsia="Arial" w:hAnsi="Arial"/>
          <w:sz w:val="18"/>
          <w:szCs w:val="18"/>
          <w:color w:val="auto"/>
        </w:rPr>
      </w:pPr>
    </w:p>
    <w:p>
      <w:pPr>
        <w:ind w:left="1300" w:right="280"/>
        <w:spacing w:after="0" w:line="261" w:lineRule="auto"/>
        <w:rPr>
          <w:rFonts w:ascii="Arial" w:cs="Arial" w:eastAsia="Arial" w:hAnsi="Arial"/>
          <w:sz w:val="18"/>
          <w:szCs w:val="18"/>
          <w:color w:val="auto"/>
        </w:rPr>
      </w:pPr>
      <w:r>
        <w:rPr>
          <w:rFonts w:ascii="Arial" w:cs="Arial" w:eastAsia="Arial" w:hAnsi="Arial"/>
          <w:sz w:val="18"/>
          <w:szCs w:val="18"/>
          <w:color w:val="auto"/>
        </w:rPr>
        <w:t>The Compensation Committee reserves the right to remove any Plan Participant from the Plan at any time. Plan participation in one year does not guarantee participation in subsequent Plan Years.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II</w:t>
      </w:r>
    </w:p>
    <w:p>
      <w:pPr>
        <w:spacing w:after="0" w:line="104"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Awards</w:t>
      </w:r>
    </w:p>
    <w:p>
      <w:pPr>
        <w:spacing w:after="0" w:line="38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Performance Goals</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 later than 90 days after the beginning of any Plan Year, the Compensation Committee shall establish written objective performance goals; provided that the outcome is substantially uncertain at the time the Compensation Committee establishes the performance goals. The performance goals will be comprised of specified annual levels of one or more of the performance measures described in Section 2 of this Article II.</w:t>
      </w:r>
    </w:p>
    <w:p>
      <w:pPr>
        <w:spacing w:after="0" w:line="18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Performance Measures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shall use one or more of the following performance measures to establish objective performance goals under Section 1 of this Article II, which, where applicable (i) may be applied on an absolute or relative basis, (ii) may be valued on a growth or fixed basis, and (iii) may be applied on a Company-wide, business segment, or individual basis:</w:t>
      </w:r>
    </w:p>
    <w:p>
      <w:pPr>
        <w:spacing w:after="0" w:line="181"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Earnings per share diluted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Shareholder returns (either including or excluding dividends) over a specified period of time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Financial return ratios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Amount of expense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Economic profit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Gross profit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Gross profit margin percentage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Amount of indebtedness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Debt ratios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Earnings before interest, taxes, depreciation or amortization (or any combination thereof)</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Attainment by a Share of a specified Market Price for a specified period of time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Customer satisfaction survey results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 satisfaction survey results</w:t>
      </w:r>
    </w:p>
    <w:p>
      <w:pPr>
        <w:spacing w:after="0" w:line="9" w:lineRule="exact"/>
        <w:rPr>
          <w:rFonts w:ascii="Arial" w:cs="Arial" w:eastAsia="Arial" w:hAnsi="Arial"/>
          <w:sz w:val="18"/>
          <w:szCs w:val="18"/>
          <w:color w:val="auto"/>
        </w:rPr>
      </w:pPr>
    </w:p>
    <w:p>
      <w:pPr>
        <w:ind w:left="1300" w:right="180" w:hanging="644"/>
        <w:spacing w:after="0" w:line="290" w:lineRule="auto"/>
        <w:tabs>
          <w:tab w:leader="none" w:pos="13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Strategic business criteria, consisting of one or more objectives based on achieving specified revenue, market penetration, or geographic expansion goals, or cost targets, or goals relating to acquisitions or divestitures, or any combination of the foregoing</w:t>
      </w:r>
    </w:p>
    <w:p>
      <w:pPr>
        <w:spacing w:after="0" w:line="1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The Compensation Committee may specify any reasonable definition of the performance measures it uses at the time the performance goal is set. Such definitions may provide for reasonable adjustments and may include or exclude items, including but not limited to: </w:t>
      </w:r>
      <w:r>
        <w:rPr>
          <w:rFonts w:ascii="Arial" w:cs="Arial" w:eastAsia="Arial" w:hAnsi="Arial"/>
          <w:sz w:val="18"/>
          <w:szCs w:val="18"/>
          <w:color w:val="EE2724"/>
          <w:strike w:val="1"/>
        </w:rPr>
        <w:t>extraordinary,</w:t>
      </w:r>
      <w:r>
        <w:rPr>
          <w:rFonts w:ascii="Arial" w:cs="Arial" w:eastAsia="Arial" w:hAnsi="Arial"/>
          <w:sz w:val="18"/>
          <w:szCs w:val="18"/>
          <w:color w:val="auto"/>
        </w:rPr>
        <w:t xml:space="preserve"> unusual </w:t>
      </w:r>
      <w:r>
        <w:rPr>
          <w:rFonts w:ascii="Arial" w:cs="Arial" w:eastAsia="Arial" w:hAnsi="Arial"/>
          <w:sz w:val="18"/>
          <w:szCs w:val="18"/>
          <w:color w:val="EE2724"/>
          <w:strike w:val="1"/>
        </w:rPr>
        <w:t>or</w:t>
      </w:r>
      <w:r>
        <w:rPr>
          <w:rFonts w:ascii="Arial" w:cs="Arial" w:eastAsia="Arial" w:hAnsi="Arial"/>
          <w:sz w:val="18"/>
          <w:szCs w:val="18"/>
          <w:u w:val="single" w:color="auto"/>
          <w:color w:val="EE2724"/>
        </w:rPr>
        <w:t>gains</w:t>
      </w:r>
      <w:r>
        <w:rPr>
          <w:rFonts w:ascii="Arial" w:cs="Arial" w:eastAsia="Arial" w:hAnsi="Arial"/>
          <w:sz w:val="18"/>
          <w:szCs w:val="18"/>
          <w:color w:val="auto"/>
        </w:rPr>
        <w:t>; non-recurring gains; gains or losses on the sale of assets; changes in accounting principles or the application thereof; currency fluctuations, acquisitions, divestitures, or necessary financing activities; recapitalizations, including stock splits and dividends; expenses for restructuring activities; and other non-operating items.</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00"/>
          </w:cols>
          <w:pgMar w:left="240" w:top="121"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Award Opportunities</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Bonus amounts may be expressed as an individual Award amount for each Participant or as one or more Bonus Pools, all or a portion of which may be allocated to individual Participants. At the time the performance goals are established, the Compensation Committee shall establish an objective formula or standard for computing the amount of the bonus payable to each Participant if the performance goal is attained. If the bonus amount is to be derived from the amount allocated to one or more Bonus Pools, then (i) the percentage of each such Bonus Pool that may be allocated to each Participant must be stated as a specified share of such Bonus Pool or stated as a formula determining such share of the Bonus Pool(s); the total of such specified shares may not exceed 100% of the relevant Bonus Pool; and (iii) any discretion exercised by the Compensation Committee to decrease the bonus amount to any Participant under a Bonus Pool may not result in an increase of the bonus payable to any other Participant under such Bonus Pool or any other Bonus Pool that may be established for the Plan Year.</w:t>
      </w:r>
    </w:p>
    <w:p>
      <w:pPr>
        <w:spacing w:after="0" w:line="202"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Determination of Awards</w:t>
      </w:r>
    </w:p>
    <w:p>
      <w:pPr>
        <w:spacing w:after="0" w:line="2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Following the close of the Plan Year, the Compensation Committee shall determine the bonus amount earned by each Participant, if any, under this Article II, based on its assessment of whether the performance goals have been attained and its evaluation of a Participant’s individual performance. The Compensation Committee has the sole and absolute discretion to decrease, but not increase the amount of the bonus to each Participant. The maximum bonus amount any Participant will be entitled to receive for any Plan Year resulting from achievement of the performance goals under this Article II is $5,000,000.</w:t>
      </w:r>
    </w:p>
    <w:p>
      <w:pPr>
        <w:spacing w:after="0" w:line="17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Distribution of Awards</w:t>
      </w:r>
    </w:p>
    <w:p>
      <w:pPr>
        <w:spacing w:after="0" w:line="24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annual bonus amounts earned for the Plan Year under this Article II shall be distributed in cash as soon as possible after the amounts have been determined, between January 1 and March 15 of the Company’s fiscal year following the Plan Year during which the amounts were earned.</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Participants may elect to defer a portion of any annual bonus amounts under this Article II in accordance with the terms of the Company’s Nonqualified Savings Plan.</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III</w:t>
      </w:r>
    </w:p>
    <w:p>
      <w:pPr>
        <w:spacing w:after="0" w:line="10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Miscellaneous Provisions</w:t>
      </w:r>
    </w:p>
    <w:p>
      <w:pPr>
        <w:spacing w:after="0" w:line="38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Termination of Employment</w:t>
      </w:r>
    </w:p>
    <w:p>
      <w:pPr>
        <w:spacing w:after="0" w:line="243" w:lineRule="exact"/>
        <w:rPr>
          <w:sz w:val="20"/>
          <w:szCs w:val="20"/>
          <w:color w:val="auto"/>
        </w:rPr>
      </w:pPr>
    </w:p>
    <w:p>
      <w:pPr>
        <w:ind w:left="1300" w:right="260" w:hanging="644"/>
        <w:spacing w:after="0" w:line="258"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the relevant parties may otherwise agree, if a Participant’s employment terminates, the Participant will forfeit all rights to any bonus amounts under Article II of this Plan for the year in which termination occurs.</w:t>
      </w:r>
    </w:p>
    <w:p>
      <w:pPr>
        <w:spacing w:after="0" w:line="1" w:lineRule="exact"/>
        <w:rPr>
          <w:rFonts w:ascii="Arial" w:cs="Arial" w:eastAsia="Arial" w:hAnsi="Arial"/>
          <w:sz w:val="18"/>
          <w:szCs w:val="18"/>
          <w:color w:val="auto"/>
        </w:rPr>
      </w:pPr>
    </w:p>
    <w:p>
      <w:pPr>
        <w:ind w:left="1300" w:right="280" w:hanging="644"/>
        <w:spacing w:after="0" w:line="254"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Except as the relevant parties may otherwise agree, if a Participant’s employment terminates by reason of the Participant’s Disability or death </w:t>
      </w:r>
      <w:r>
        <w:rPr>
          <w:rFonts w:ascii="Arial" w:cs="Arial" w:eastAsia="Arial" w:hAnsi="Arial"/>
          <w:sz w:val="18"/>
          <w:szCs w:val="18"/>
          <w:u w:val="single" w:color="auto"/>
          <w:color w:val="EE2724"/>
        </w:rPr>
        <w:t>or Retirement</w:t>
      </w:r>
      <w:r>
        <w:rPr>
          <w:rFonts w:ascii="Arial" w:cs="Arial" w:eastAsia="Arial" w:hAnsi="Arial"/>
          <w:sz w:val="18"/>
          <w:szCs w:val="18"/>
          <w:color w:val="auto"/>
        </w:rPr>
        <w:t xml:space="preserve">, the Participant will be entitled to receive, for the year in which termination occurs, the bonus amounts otherwise determined under Article II of the Plan, but prorated for the actual number of days the Participant was employed by the </w:t>
      </w:r>
      <w:r>
        <w:rPr>
          <w:rFonts w:ascii="Arial" w:cs="Arial" w:eastAsia="Arial" w:hAnsi="Arial"/>
          <w:sz w:val="18"/>
          <w:szCs w:val="18"/>
          <w:color w:val="EE2724"/>
          <w:strike w:val="1"/>
        </w:rPr>
        <w:t>ManpowerGroup</w:t>
      </w:r>
      <w:r>
        <w:rPr>
          <w:rFonts w:ascii="Arial" w:cs="Arial" w:eastAsia="Arial" w:hAnsi="Arial"/>
          <w:sz w:val="18"/>
          <w:szCs w:val="18"/>
          <w:u w:val="single" w:color="auto"/>
          <w:color w:val="EE2724"/>
        </w:rPr>
        <w:t>Consolidated ManpowerGroup</w:t>
      </w:r>
      <w:r>
        <w:rPr>
          <w:rFonts w:ascii="Arial" w:cs="Arial" w:eastAsia="Arial" w:hAnsi="Arial"/>
          <w:sz w:val="18"/>
          <w:szCs w:val="18"/>
          <w:color w:val="EE2724"/>
        </w:rPr>
        <w:t xml:space="preserve"> </w:t>
      </w:r>
      <w:r>
        <w:rPr>
          <w:rFonts w:ascii="Arial" w:cs="Arial" w:eastAsia="Arial" w:hAnsi="Arial"/>
          <w:sz w:val="18"/>
          <w:szCs w:val="18"/>
          <w:color w:val="000000"/>
        </w:rPr>
        <w:t>during the year.</w:t>
      </w:r>
    </w:p>
    <w:p>
      <w:pPr>
        <w:spacing w:after="0" w:line="2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Forfeiture of Amounts Paid Under the Plan</w:t>
      </w:r>
    </w:p>
    <w:p>
      <w:pPr>
        <w:spacing w:after="0" w:line="2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shall have the right to require any Participant to forfeit and return to the Company any amounts paid to the Participant pursuant to this Plan consistent with any recoupment policy maintained by the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121"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Section 954 of the Dodd-Frank Wall Street Reform and Consumer Protection Act or any Securities and Exchange Commission Rule, as such policy is amended from time to time.</w:t>
      </w:r>
    </w:p>
    <w:p>
      <w:pPr>
        <w:spacing w:after="0" w:line="19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 Guarantee of Employment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Participation in the Plan shall not give any Participant any right to be retained in the employment of the </w:t>
      </w:r>
      <w:r>
        <w:rPr>
          <w:rFonts w:ascii="Arial" w:cs="Arial" w:eastAsia="Arial" w:hAnsi="Arial"/>
          <w:sz w:val="16"/>
          <w:szCs w:val="16"/>
          <w:color w:val="EE2724"/>
          <w:strike w:val="1"/>
        </w:rPr>
        <w:t>ManpowerGroup.</w:t>
      </w:r>
      <w:r>
        <w:rPr>
          <w:rFonts w:ascii="Arial" w:cs="Arial" w:eastAsia="Arial" w:hAnsi="Arial"/>
          <w:sz w:val="16"/>
          <w:szCs w:val="16"/>
          <w:u w:val="single" w:color="auto"/>
          <w:color w:val="EE2724"/>
        </w:rPr>
        <w:t>Consolidated ManpowerGroup.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Plan shall not affect any right of the Company to terminate, with or without cause, any Participant’s employment at any time.</w:t>
      </w:r>
    </w:p>
    <w:p>
      <w:pPr>
        <w:spacing w:after="0" w:line="23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Withholding Taxes</w:t>
      </w:r>
    </w:p>
    <w:p>
      <w:pPr>
        <w:spacing w:after="0" w:line="24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shall have the right to withhold from any compensation payable to a Participant, or to cause the Participant (or the executor or administrator of his or her estate or his or her distributee) to make payment of, any federal, state, local, or foreign taxes required to be withheld with respect to the distribution of any Awards.</w:t>
      </w:r>
    </w:p>
    <w:p>
      <w:pPr>
        <w:spacing w:after="0" w:line="20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Amendment and Discontinuance of the Plan</w:t>
      </w:r>
    </w:p>
    <w:p>
      <w:pPr>
        <w:spacing w:after="0" w:line="24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Compensation Committee may amend, alter, suspend or discontinue the Plan, as it shall from time to time consider desirable. No such action shall adversely affect the rights of any Participant under the Plan as of the time of such action without the consent of the Participant.</w:t>
      </w:r>
    </w:p>
    <w:p>
      <w:pPr>
        <w:spacing w:after="0" w:line="17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Effective Date</w:t>
      </w:r>
    </w:p>
    <w:p>
      <w:pPr>
        <w:spacing w:after="0" w:line="2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approval of the Plan by the Company’s shareholders</w:t>
      </w:r>
      <w:r>
        <w:rPr>
          <w:rFonts w:ascii="Arial" w:cs="Arial" w:eastAsia="Arial" w:hAnsi="Arial"/>
          <w:sz w:val="18"/>
          <w:szCs w:val="18"/>
          <w:color w:val="EE2724"/>
          <w:strike w:val="1"/>
        </w:rPr>
        <w:t>, the</w:t>
      </w:r>
      <w:r>
        <w:rPr>
          <w:rFonts w:ascii="Arial" w:cs="Arial" w:eastAsia="Arial" w:hAnsi="Arial"/>
          <w:sz w:val="18"/>
          <w:szCs w:val="18"/>
          <w:color w:val="auto"/>
        </w:rPr>
        <w:t xml:space="preserve"> </w:t>
      </w:r>
      <w:r>
        <w:rPr>
          <w:rFonts w:ascii="Arial" w:cs="Arial" w:eastAsia="Arial" w:hAnsi="Arial"/>
          <w:sz w:val="18"/>
          <w:szCs w:val="18"/>
          <w:u w:val="single" w:color="auto"/>
          <w:color w:val="EE2724"/>
        </w:rPr>
        <w:t>on May 3, 2011, this</w:t>
      </w:r>
      <w:r>
        <w:rPr>
          <w:rFonts w:ascii="Arial" w:cs="Arial" w:eastAsia="Arial" w:hAnsi="Arial"/>
          <w:sz w:val="18"/>
          <w:szCs w:val="18"/>
          <w:color w:val="auto"/>
        </w:rPr>
        <w:t xml:space="preserve"> Plan </w:t>
      </w:r>
      <w:r>
        <w:rPr>
          <w:rFonts w:ascii="Arial" w:cs="Arial" w:eastAsia="Arial" w:hAnsi="Arial"/>
          <w:sz w:val="18"/>
          <w:szCs w:val="18"/>
          <w:color w:val="EE2724"/>
          <w:strike w:val="1"/>
        </w:rPr>
        <w:t>will supersede</w:t>
      </w:r>
      <w:r>
        <w:rPr>
          <w:rFonts w:ascii="Arial" w:cs="Arial" w:eastAsia="Arial" w:hAnsi="Arial"/>
          <w:sz w:val="18"/>
          <w:szCs w:val="18"/>
          <w:u w:val="single" w:color="auto"/>
          <w:color w:val="EE2724"/>
        </w:rPr>
        <w:t>superseded</w:t>
      </w:r>
      <w:r>
        <w:rPr>
          <w:rFonts w:ascii="Arial" w:cs="Arial" w:eastAsia="Arial" w:hAnsi="Arial"/>
          <w:sz w:val="18"/>
          <w:szCs w:val="18"/>
          <w:color w:val="auto"/>
        </w:rPr>
        <w:t xml:space="preserve"> the Corporate Senior Management Annual Incentive Plan, effective for Awards beginning with the 2012 Plan Year. </w:t>
      </w:r>
      <w:r>
        <w:rPr>
          <w:rFonts w:ascii="Arial" w:cs="Arial" w:eastAsia="Arial" w:hAnsi="Arial"/>
          <w:sz w:val="18"/>
          <w:szCs w:val="18"/>
          <w:u w:val="single" w:color="auto"/>
          <w:color w:val="EE2724"/>
        </w:rPr>
        <w:t>The Plan, as amended and restated on February 16, 2016, shall be effective for</w:t>
      </w:r>
      <w:r>
        <w:rPr>
          <w:rFonts w:ascii="Arial" w:cs="Arial" w:eastAsia="Arial" w:hAnsi="Arial"/>
          <w:sz w:val="18"/>
          <w:szCs w:val="18"/>
          <w:color w:val="auto"/>
        </w:rPr>
        <w:t xml:space="preserve"> </w:t>
      </w:r>
      <w:r>
        <w:rPr>
          <w:rFonts w:ascii="Arial" w:cs="Arial" w:eastAsia="Arial" w:hAnsi="Arial"/>
          <w:sz w:val="18"/>
          <w:szCs w:val="18"/>
          <w:u w:val="single" w:color="auto"/>
          <w:color w:val="EE2724"/>
        </w:rPr>
        <w:t>Awards beginning with the 2016 Plan Year.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121"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April 29,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Plan exclusive of Section A below applies to all Directors and Employees. Section A of the Plan applies to those Employees who are employed in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252" w:lineRule="exact"/>
        <w:rPr>
          <w:sz w:val="20"/>
          <w:szCs w:val="20"/>
          <w:color w:val="auto"/>
        </w:rPr>
      </w:pPr>
    </w:p>
    <w:p>
      <w:pPr>
        <w:ind w:left="660" w:right="40" w:firstLine="645"/>
        <w:spacing w:after="0" w:line="324" w:lineRule="auto"/>
        <w:tabs>
          <w:tab w:leader="none" w:pos="21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“Administrator” shall mean the Committee or the Board of Directors with respect to grants to Employees under the Plan and the Board of Directors with respect to grants to Directors under the Plan.</w:t>
      </w:r>
    </w:p>
    <w:p>
      <w:pPr>
        <w:spacing w:after="0" w:line="170" w:lineRule="exact"/>
        <w:rPr>
          <w:rFonts w:ascii="Arial" w:cs="Arial" w:eastAsia="Arial" w:hAnsi="Arial"/>
          <w:sz w:val="18"/>
          <w:szCs w:val="18"/>
          <w:color w:val="auto"/>
        </w:rPr>
      </w:pPr>
    </w:p>
    <w:p>
      <w:pPr>
        <w:ind w:left="660" w:right="120" w:firstLine="645"/>
        <w:spacing w:after="0" w:line="324" w:lineRule="auto"/>
        <w:tabs>
          <w:tab w:leader="none" w:pos="216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“Award” shall mean an Option, Restricted Stock, Restricted Stock Units, an SAR, Performance Share Units, or Deferred Stock granted under the Plan.</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“Board of Directors” shall mean the entire board of directors of the Company, consisting of both Employee and non-Employee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members.</w:t>
      </w:r>
    </w:p>
    <w:p>
      <w:pPr>
        <w:spacing w:after="0" w:line="265" w:lineRule="exact"/>
        <w:rPr>
          <w:rFonts w:ascii="Arial" w:cs="Arial" w:eastAsia="Arial" w:hAnsi="Arial"/>
          <w:sz w:val="16"/>
          <w:szCs w:val="16"/>
          <w:color w:val="auto"/>
        </w:rPr>
      </w:pPr>
    </w:p>
    <w:p>
      <w:pPr>
        <w:ind w:left="660" w:right="100" w:firstLine="645"/>
        <w:spacing w:after="0" w:line="334" w:lineRule="auto"/>
        <w:tabs>
          <w:tab w:leader="none" w:pos="216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 termination of employment for “Cause” will mean termination upon (1) on Employee’s repeated failure to perform his or her duties in a competent, diligent and satisfactory manner as determined by the Company’s Chief Executive Officer in his reasonable judgment,</w:t>
      </w:r>
    </w:p>
    <w:p>
      <w:pPr>
        <w:spacing w:after="0" w:line="1" w:lineRule="exact"/>
        <w:rPr>
          <w:rFonts w:ascii="Arial" w:cs="Arial" w:eastAsia="Arial" w:hAnsi="Arial"/>
          <w:sz w:val="16"/>
          <w:szCs w:val="16"/>
          <w:color w:val="auto"/>
        </w:rPr>
      </w:pPr>
    </w:p>
    <w:p>
      <w:pPr>
        <w:ind w:left="660" w:right="100" w:hanging="4"/>
        <w:spacing w:after="0" w:line="304" w:lineRule="auto"/>
        <w:tabs>
          <w:tab w:leader="none" w:pos="9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 Subsidiary or which has material adverse effect on the Company or a Subsidiary, or (6) the willful engaging by an Employee in conduct which is demonstrably and materially injurious to the Company or a Subsidiary.</w:t>
      </w:r>
    </w:p>
    <w:p>
      <w:pPr>
        <w:spacing w:after="0" w:line="188" w:lineRule="exact"/>
        <w:rPr>
          <w:rFonts w:ascii="Arial" w:cs="Arial" w:eastAsia="Arial" w:hAnsi="Arial"/>
          <w:sz w:val="18"/>
          <w:szCs w:val="18"/>
          <w:color w:val="auto"/>
        </w:rPr>
      </w:pPr>
    </w:p>
    <w:p>
      <w:pPr>
        <w:ind w:left="2160" w:hanging="855"/>
        <w:spacing w:after="0"/>
        <w:tabs>
          <w:tab w:leader="none" w:pos="21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660" w:right="340" w:firstLine="645"/>
        <w:spacing w:after="0" w:line="324" w:lineRule="auto"/>
        <w:tabs>
          <w:tab w:leader="none" w:pos="21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“Combined Credit Years” shall mean the total number of years after adding together a Participant’s age (in whole years) and years of Service (in whole years).</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“Committee” shall mean the committee of the Board of Directors constituted as provided in Paragraph 5 of the Plan.</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“Company” shall mean ManpowerGroup Inc., a Wisconsin corporation.</w:t>
      </w:r>
    </w:p>
    <w:p>
      <w:pPr>
        <w:spacing w:after="0" w:line="265" w:lineRule="exact"/>
        <w:rPr>
          <w:rFonts w:ascii="Arial" w:cs="Arial" w:eastAsia="Arial" w:hAnsi="Arial"/>
          <w:sz w:val="18"/>
          <w:szCs w:val="18"/>
          <w:color w:val="auto"/>
        </w:rPr>
      </w:pPr>
    </w:p>
    <w:p>
      <w:pPr>
        <w:ind w:left="660" w:right="580" w:firstLine="645"/>
        <w:spacing w:after="0" w:line="324" w:lineRule="auto"/>
        <w:tabs>
          <w:tab w:leader="none" w:pos="21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“Deferred Stock” shall mean a right to receive one or more Shares from the Company in accordance with, and subject to, Paragraph 11 of the Plan.</w:t>
      </w:r>
    </w:p>
    <w:p>
      <w:pPr>
        <w:spacing w:after="0" w:line="170" w:lineRule="exact"/>
        <w:rPr>
          <w:rFonts w:ascii="Arial" w:cs="Arial" w:eastAsia="Arial" w:hAnsi="Arial"/>
          <w:sz w:val="18"/>
          <w:szCs w:val="18"/>
          <w:color w:val="auto"/>
        </w:rPr>
      </w:pPr>
    </w:p>
    <w:p>
      <w:pPr>
        <w:ind w:left="660" w:right="780" w:firstLine="645"/>
        <w:spacing w:after="0" w:line="324" w:lineRule="auto"/>
        <w:tabs>
          <w:tab w:leader="none" w:pos="21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“Deferred Stock Agreement” shall mean the agreement whereby the Company’s grant of shares of Deferred Stock to a Participant is confirmed.</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“Director” shall mean an individual who is a non-Employee member of the Board of Directors of the Company.</w:t>
      </w:r>
    </w:p>
    <w:p>
      <w:pPr>
        <w:spacing w:after="0" w:line="265" w:lineRule="exact"/>
        <w:rPr>
          <w:rFonts w:ascii="Arial" w:cs="Arial" w:eastAsia="Arial" w:hAnsi="Arial"/>
          <w:sz w:val="18"/>
          <w:szCs w:val="18"/>
          <w:color w:val="auto"/>
        </w:rPr>
      </w:pPr>
    </w:p>
    <w:p>
      <w:pPr>
        <w:ind w:left="660" w:right="20" w:firstLine="645"/>
        <w:spacing w:after="0" w:line="320" w:lineRule="auto"/>
        <w:tabs>
          <w:tab w:leader="none" w:pos="212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79" w:lineRule="exact"/>
        <w:rPr>
          <w:rFonts w:ascii="Arial" w:cs="Arial" w:eastAsia="Arial" w:hAnsi="Arial"/>
          <w:sz w:val="17"/>
          <w:szCs w:val="17"/>
          <w:color w:val="auto"/>
        </w:rPr>
      </w:pPr>
    </w:p>
    <w:p>
      <w:pPr>
        <w:ind w:left="2220" w:hanging="915"/>
        <w:spacing w:after="0"/>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shall mean an individual who is an employee of the Company or a Subsidiary.</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“Grant Value” of an SAR means the dollar value assigned to the SAR by the Administrator on the date the SAR is granted under</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65" w:lineRule="exact"/>
        <w:rPr>
          <w:rFonts w:ascii="Arial" w:cs="Arial" w:eastAsia="Arial" w:hAnsi="Arial"/>
          <w:sz w:val="16"/>
          <w:szCs w:val="16"/>
          <w:color w:val="auto"/>
        </w:rPr>
      </w:pPr>
    </w:p>
    <w:p>
      <w:pPr>
        <w:ind w:left="2160" w:hanging="855"/>
        <w:spacing w:after="0"/>
        <w:tabs>
          <w:tab w:leader="none" w:pos="21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“Incentive Stock Option” shall mean an option to purchase Shares which complies with the provisions of Section 422 of the</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Code.</w:t>
      </w:r>
    </w:p>
    <w:p>
      <w:pPr>
        <w:spacing w:after="0" w:line="265" w:lineRule="exact"/>
        <w:rPr>
          <w:rFonts w:ascii="Arial" w:cs="Arial" w:eastAsia="Arial" w:hAnsi="Arial"/>
          <w:sz w:val="17"/>
          <w:szCs w:val="17"/>
          <w:color w:val="auto"/>
        </w:rPr>
      </w:pPr>
    </w:p>
    <w:p>
      <w:pPr>
        <w:ind w:left="660" w:right="140" w:firstLine="645"/>
        <w:spacing w:after="0" w:line="311" w:lineRule="auto"/>
        <w:tabs>
          <w:tab w:leader="none" w:pos="216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“Market Price” shall mean the closing sale price of a Share on the New York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81" w:lineRule="exact"/>
        <w:rPr>
          <w:rFonts w:ascii="Arial" w:cs="Arial" w:eastAsia="Arial" w:hAnsi="Arial"/>
          <w:sz w:val="18"/>
          <w:szCs w:val="18"/>
          <w:color w:val="auto"/>
        </w:rPr>
      </w:pPr>
    </w:p>
    <w:p>
      <w:pPr>
        <w:ind w:left="660" w:right="20" w:firstLine="645"/>
        <w:spacing w:after="0" w:line="324" w:lineRule="auto"/>
        <w:tabs>
          <w:tab w:leader="none" w:pos="21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“Nonstatutory Stock Option” shall mean an option to purchase Shares which does not comply with the provisions of Section 422 of the Code or which is designated as such pursuant to Paragraph 7 of the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660" w:right="220" w:firstLine="645"/>
        <w:spacing w:after="0" w:line="324" w:lineRule="auto"/>
        <w:tabs>
          <w:tab w:leader="none" w:pos="2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“Option” shall mean (1) with respect to an Employee, an Incentive Stock Option or Nonstatutory Stock Option granted under the Plan and (2) with respect to a Director, a Non-Statutory Stock Option granted under the Plan.</w:t>
      </w:r>
    </w:p>
    <w:p>
      <w:pPr>
        <w:spacing w:after="0" w:line="170" w:lineRule="exact"/>
        <w:rPr>
          <w:rFonts w:ascii="Arial" w:cs="Arial" w:eastAsia="Arial" w:hAnsi="Arial"/>
          <w:sz w:val="18"/>
          <w:szCs w:val="18"/>
          <w:color w:val="auto"/>
        </w:rPr>
      </w:pPr>
    </w:p>
    <w:p>
      <w:pPr>
        <w:ind w:left="2120" w:hanging="815"/>
        <w:spacing w:after="0"/>
        <w:tabs>
          <w:tab w:leader="none" w:pos="21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“Option Agreement” shall mean the agreement whereby the Company’s grant of an Option to a Participant is confirmed.</w:t>
      </w:r>
    </w:p>
    <w:p>
      <w:pPr>
        <w:spacing w:after="0" w:line="277" w:lineRule="exact"/>
        <w:rPr>
          <w:rFonts w:ascii="Arial" w:cs="Arial" w:eastAsia="Arial" w:hAnsi="Arial"/>
          <w:sz w:val="17"/>
          <w:szCs w:val="17"/>
          <w:color w:val="auto"/>
        </w:rPr>
      </w:pPr>
    </w:p>
    <w:p>
      <w:pPr>
        <w:ind w:left="2160" w:hanging="855"/>
        <w:spacing w:after="0"/>
        <w:tabs>
          <w:tab w:leader="none" w:pos="2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“Participant” shall mean an Employee or Director to whom an Award has been granted under the Plan.</w:t>
      </w:r>
    </w:p>
    <w:p>
      <w:pPr>
        <w:spacing w:after="0" w:line="265" w:lineRule="exact"/>
        <w:rPr>
          <w:rFonts w:ascii="Arial" w:cs="Arial" w:eastAsia="Arial" w:hAnsi="Arial"/>
          <w:sz w:val="18"/>
          <w:szCs w:val="18"/>
          <w:color w:val="auto"/>
        </w:rPr>
      </w:pPr>
    </w:p>
    <w:p>
      <w:pPr>
        <w:ind w:left="660" w:firstLine="645"/>
        <w:spacing w:after="0" w:line="306" w:lineRule="auto"/>
        <w:tabs>
          <w:tab w:leader="none" w:pos="216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“Performance Goals” shall mean the goals identified by the Committee to measure one or more business criteria, which may include any of the following criteria and which, where applicable (i) may be set on a pre-tax or after-tax basis, (ii) may include or exclude the impact of changes in currency exchange rates, (iii) may be applied on an absolute or relative basis, (iv) may be valued on a growth or fixed basis, and (v) may be applied on a Company-wide, business segment, or individual basis:</w:t>
      </w:r>
    </w:p>
    <w:p>
      <w:pPr>
        <w:spacing w:after="0" w:line="321"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Revenue</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Earnings per share diluted</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Shareholder returns (either including or excluding dividends) over a specified period of time</w:t>
      </w:r>
    </w:p>
    <w:p>
      <w:pPr>
        <w:spacing w:after="0" w:line="63" w:lineRule="exact"/>
        <w:rPr>
          <w:rFonts w:ascii="Arial" w:cs="Arial" w:eastAsia="Arial" w:hAnsi="Arial"/>
          <w:sz w:val="18"/>
          <w:szCs w:val="18"/>
          <w:color w:val="auto"/>
        </w:rPr>
      </w:pPr>
    </w:p>
    <w:p>
      <w:pPr>
        <w:ind w:left="2580" w:hanging="188"/>
        <w:spacing w:after="0"/>
        <w:tabs>
          <w:tab w:leader="none" w:pos="2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Financial return ratios</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Cash flow</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Amount of expense</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Economic profit</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Gross profit</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Gross profit margin percentage</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Operating profit margin percentage</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Amount of indebtedness</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Debt ratios</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Earnings before interest, taxes, depreciation or amortization (or any combination thereof)</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Attainment by a Share of a specified Market Price for a specified period of time</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Customer satisfaction survey results</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Employee satisfaction survey results</w:t>
      </w:r>
    </w:p>
    <w:p>
      <w:pPr>
        <w:spacing w:after="0" w:line="63" w:lineRule="exact"/>
        <w:rPr>
          <w:rFonts w:ascii="Arial" w:cs="Arial" w:eastAsia="Arial" w:hAnsi="Arial"/>
          <w:sz w:val="18"/>
          <w:szCs w:val="18"/>
          <w:color w:val="auto"/>
        </w:rPr>
      </w:pPr>
    </w:p>
    <w:p>
      <w:pPr>
        <w:ind w:left="2660" w:hanging="268"/>
        <w:spacing w:after="0"/>
        <w:tabs>
          <w:tab w:leader="none" w:pos="2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achieving specified revenue,</w:t>
      </w:r>
    </w:p>
    <w:p>
      <w:pPr>
        <w:spacing w:after="0" w:line="23" w:lineRule="exact"/>
        <w:rPr>
          <w:sz w:val="20"/>
          <w:szCs w:val="20"/>
          <w:color w:val="auto"/>
        </w:rPr>
      </w:pPr>
    </w:p>
    <w:p>
      <w:pPr>
        <w:ind w:left="2720" w:right="920"/>
        <w:spacing w:after="0" w:line="261" w:lineRule="auto"/>
        <w:rPr>
          <w:sz w:val="20"/>
          <w:szCs w:val="20"/>
          <w:color w:val="auto"/>
        </w:rPr>
      </w:pPr>
      <w:r>
        <w:rPr>
          <w:rFonts w:ascii="Arial" w:cs="Arial" w:eastAsia="Arial" w:hAnsi="Arial"/>
          <w:sz w:val="18"/>
          <w:szCs w:val="18"/>
          <w:color w:val="auto"/>
        </w:rPr>
        <w:t>market penetration, or geographic business expansion goals, or cost targets, or goals relating to acquisitions or divestitures, or any combination of the foregoing</w:t>
      </w:r>
    </w:p>
    <w:p>
      <w:pPr>
        <w:spacing w:after="0" w:line="211" w:lineRule="exact"/>
        <w:rPr>
          <w:sz w:val="20"/>
          <w:szCs w:val="20"/>
          <w:color w:val="auto"/>
        </w:rPr>
      </w:pPr>
    </w:p>
    <w:p>
      <w:pPr>
        <w:ind w:left="1380" w:right="460"/>
        <w:spacing w:after="0" w:line="277" w:lineRule="auto"/>
        <w:rPr>
          <w:sz w:val="20"/>
          <w:szCs w:val="20"/>
          <w:color w:val="auto"/>
        </w:rPr>
      </w:pPr>
      <w:r>
        <w:rPr>
          <w:rFonts w:ascii="Arial" w:cs="Arial" w:eastAsia="Arial" w:hAnsi="Arial"/>
          <w:sz w:val="18"/>
          <w:szCs w:val="18"/>
          <w:color w:val="auto"/>
        </w:rPr>
        <w:t>The above Performance Goals may be determined with or without regard to extraordinary, unusual or nonrecurring items, including, without limitation: changes in accounting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121"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80" w:right="160"/>
        <w:spacing w:after="0" w:line="286" w:lineRule="auto"/>
        <w:rPr>
          <w:sz w:val="20"/>
          <w:szCs w:val="20"/>
          <w:color w:val="auto"/>
        </w:rPr>
      </w:pPr>
      <w:r>
        <w:rPr>
          <w:rFonts w:ascii="Arial" w:cs="Arial" w:eastAsia="Arial" w:hAnsi="Arial"/>
          <w:sz w:val="17"/>
          <w:szCs w:val="17"/>
          <w:color w:val="auto"/>
        </w:rPr>
        <w:t>principles or the application thereof; extraordinary, unusual or nonrecurring gains; gains or losses on the sale of assets; currency fluctuations, acquisitions, divestitures, or necessary financing activities; recapitalizations, including stock splits and dividends; expenses for restructuring activities; and other non-operating items, as specified by the Committee upon the grant of an Award.</w:t>
      </w:r>
    </w:p>
    <w:p>
      <w:pPr>
        <w:spacing w:after="0" w:line="193" w:lineRule="exact"/>
        <w:rPr>
          <w:sz w:val="20"/>
          <w:szCs w:val="20"/>
          <w:color w:val="auto"/>
        </w:rPr>
      </w:pPr>
    </w:p>
    <w:p>
      <w:pPr>
        <w:ind w:left="660" w:right="360" w:firstLine="645"/>
        <w:spacing w:after="0" w:line="395" w:lineRule="auto"/>
        <w:tabs>
          <w:tab w:leader="none" w:pos="220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“Performance Share Unit” shall mean a right, contingent upon the attainment of specified performance objectives within a specified performance period, to receive one or more Shares from the Company, in accordance with, and subject to, Paragraph 10 of the Plan.</w:t>
      </w:r>
    </w:p>
    <w:p>
      <w:pPr>
        <w:spacing w:after="0" w:line="123" w:lineRule="exact"/>
        <w:rPr>
          <w:rFonts w:ascii="Arial" w:cs="Arial" w:eastAsia="Arial" w:hAnsi="Arial"/>
          <w:sz w:val="16"/>
          <w:szCs w:val="16"/>
          <w:color w:val="auto"/>
        </w:rPr>
      </w:pPr>
    </w:p>
    <w:p>
      <w:pPr>
        <w:ind w:left="660" w:firstLine="645"/>
        <w:spacing w:after="0" w:line="324" w:lineRule="auto"/>
        <w:tabs>
          <w:tab w:leader="none" w:pos="216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“Performance Share Unit Agreement” shall mean the agreement whereby the Company’s grant of Performance Share Units to a Participant is confirmed.</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“Plan” shall mean the 2011 Equity Incentive Plan of the Company.</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“Protected Period” shall be a period of time determined in accordance with the following:</w:t>
      </w:r>
    </w:p>
    <w:p>
      <w:pPr>
        <w:spacing w:after="0" w:line="239" w:lineRule="exact"/>
        <w:rPr>
          <w:sz w:val="20"/>
          <w:szCs w:val="20"/>
          <w:color w:val="auto"/>
        </w:rPr>
      </w:pPr>
    </w:p>
    <w:p>
      <w:pPr>
        <w:ind w:left="660" w:firstLine="645"/>
        <w:spacing w:after="0" w:line="286" w:lineRule="auto"/>
        <w:tabs>
          <w:tab w:leader="none" w:pos="156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65" w:lineRule="exact"/>
        <w:rPr>
          <w:rFonts w:ascii="Arial" w:cs="Arial" w:eastAsia="Arial" w:hAnsi="Arial"/>
          <w:sz w:val="17"/>
          <w:szCs w:val="17"/>
          <w:color w:val="auto"/>
        </w:rPr>
      </w:pPr>
    </w:p>
    <w:p>
      <w:pPr>
        <w:jc w:val="both"/>
        <w:ind w:left="660" w:right="40" w:firstLine="645"/>
        <w:spacing w:after="0" w:line="259" w:lineRule="auto"/>
        <w:tabs>
          <w:tab w:leader="none" w:pos="156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56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97" w:lineRule="exact"/>
        <w:rPr>
          <w:sz w:val="20"/>
          <w:szCs w:val="20"/>
          <w:color w:val="auto"/>
        </w:rPr>
      </w:pPr>
    </w:p>
    <w:p>
      <w:pPr>
        <w:ind w:left="660" w:right="180" w:firstLine="645"/>
        <w:spacing w:after="0" w:line="324" w:lineRule="auto"/>
        <w:tabs>
          <w:tab w:leader="none" w:pos="2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“Restricted Stock” shall mean Shares granted to a Participant by the Administrator which are subject to restrictions imposed under Paragraph 8 of the Plan.</w:t>
      </w:r>
    </w:p>
    <w:p>
      <w:pPr>
        <w:spacing w:after="0" w:line="170" w:lineRule="exact"/>
        <w:rPr>
          <w:sz w:val="20"/>
          <w:szCs w:val="20"/>
          <w:color w:val="auto"/>
        </w:rPr>
      </w:pPr>
    </w:p>
    <w:p>
      <w:pPr>
        <w:ind w:left="660" w:right="420" w:firstLine="648"/>
        <w:spacing w:after="0" w:line="324" w:lineRule="auto"/>
        <w:rPr>
          <w:sz w:val="20"/>
          <w:szCs w:val="20"/>
          <w:color w:val="auto"/>
        </w:rPr>
      </w:pPr>
      <w:r>
        <w:rPr>
          <w:rFonts w:ascii="Arial" w:cs="Arial" w:eastAsia="Arial" w:hAnsi="Arial"/>
          <w:sz w:val="18"/>
          <w:szCs w:val="18"/>
          <w:color w:val="auto"/>
        </w:rPr>
        <w:t>(ab) “Restricted Stock Agreement” shall mean the agreement whereby the Company’s grant of shares of Restricted Stock to a Participant is confirmed.</w:t>
      </w:r>
    </w:p>
    <w:p>
      <w:pPr>
        <w:spacing w:after="0" w:line="170" w:lineRule="exact"/>
        <w:rPr>
          <w:sz w:val="20"/>
          <w:szCs w:val="20"/>
          <w:color w:val="auto"/>
        </w:rPr>
      </w:pPr>
    </w:p>
    <w:p>
      <w:pPr>
        <w:ind w:left="660" w:right="40" w:firstLine="648"/>
        <w:spacing w:after="0" w:line="324" w:lineRule="auto"/>
        <w:rPr>
          <w:sz w:val="20"/>
          <w:szCs w:val="20"/>
          <w:color w:val="auto"/>
        </w:rPr>
      </w:pPr>
      <w:r>
        <w:rPr>
          <w:rFonts w:ascii="Arial" w:cs="Arial" w:eastAsia="Arial" w:hAnsi="Arial"/>
          <w:sz w:val="18"/>
          <w:szCs w:val="18"/>
          <w:color w:val="auto"/>
        </w:rPr>
        <w:t>(ac) “Restricted Stock Unit” shall mean shall mean a right to receive one Share from the Company in accordance with, and subject to, Paragraph 8 of the Plan.</w:t>
      </w:r>
    </w:p>
    <w:p>
      <w:pPr>
        <w:spacing w:after="0" w:line="170" w:lineRule="exact"/>
        <w:rPr>
          <w:sz w:val="20"/>
          <w:szCs w:val="20"/>
          <w:color w:val="auto"/>
        </w:rPr>
      </w:pPr>
    </w:p>
    <w:p>
      <w:pPr>
        <w:ind w:left="660" w:right="300" w:firstLine="648"/>
        <w:spacing w:after="0" w:line="324" w:lineRule="auto"/>
        <w:rPr>
          <w:sz w:val="20"/>
          <w:szCs w:val="20"/>
          <w:color w:val="auto"/>
        </w:rPr>
      </w:pPr>
      <w:r>
        <w:rPr>
          <w:rFonts w:ascii="Arial" w:cs="Arial" w:eastAsia="Arial" w:hAnsi="Arial"/>
          <w:sz w:val="18"/>
          <w:szCs w:val="18"/>
          <w:color w:val="auto"/>
        </w:rPr>
        <w:t>(ad) “Restricted Stock Unit Agreement” shall mean the agreement whereby the Company’s grant of Restricted Stock Units to a Participant is confirmed.</w:t>
      </w:r>
    </w:p>
    <w:p>
      <w:pPr>
        <w:spacing w:after="0" w:line="170" w:lineRule="exact"/>
        <w:rPr>
          <w:sz w:val="20"/>
          <w:szCs w:val="20"/>
          <w:color w:val="auto"/>
        </w:rPr>
      </w:pPr>
    </w:p>
    <w:p>
      <w:pPr>
        <w:ind w:left="660" w:right="20" w:firstLine="648"/>
        <w:spacing w:after="0" w:line="324" w:lineRule="auto"/>
        <w:rPr>
          <w:sz w:val="20"/>
          <w:szCs w:val="20"/>
          <w:color w:val="auto"/>
        </w:rPr>
      </w:pPr>
      <w:r>
        <w:rPr>
          <w:rFonts w:ascii="Arial" w:cs="Arial" w:eastAsia="Arial" w:hAnsi="Arial"/>
          <w:sz w:val="18"/>
          <w:szCs w:val="18"/>
          <w:color w:val="auto"/>
        </w:rPr>
        <w:t>(ae) “Retirement” shall mean a Participant's termination of employment after having attained 75 Combined Credit Years. Provided, however the committee may amend such definition on a prospective basis.</w:t>
      </w:r>
    </w:p>
    <w:p>
      <w:pPr>
        <w:spacing w:after="0" w:line="170"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color w:val="auto"/>
        </w:rPr>
        <w:t>“SAR” shall mean a stock appreciation right with respect to one Share granted under the Plan.</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12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3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723"/>
        </w:trPr>
        <w:tc>
          <w:tcPr>
            <w:tcW w:w="1920" w:type="dxa"/>
            <w:vAlign w:val="bottom"/>
            <w:gridSpan w:val="2"/>
          </w:tcPr>
          <w:p>
            <w:pPr>
              <w:ind w:left="1300"/>
              <w:spacing w:after="0"/>
              <w:rPr>
                <w:sz w:val="20"/>
                <w:szCs w:val="20"/>
                <w:color w:val="auto"/>
              </w:rPr>
            </w:pPr>
            <w:r>
              <w:rPr>
                <w:rFonts w:ascii="Arial" w:cs="Arial" w:eastAsia="Arial" w:hAnsi="Arial"/>
                <w:sz w:val="18"/>
                <w:szCs w:val="18"/>
                <w:color w:val="auto"/>
              </w:rPr>
              <w:t>(ag)</w:t>
            </w:r>
          </w:p>
        </w:tc>
        <w:tc>
          <w:tcPr>
            <w:tcW w:w="9360" w:type="dxa"/>
            <w:vAlign w:val="bottom"/>
          </w:tcPr>
          <w:p>
            <w:pPr>
              <w:ind w:left="320"/>
              <w:spacing w:after="0"/>
              <w:rPr>
                <w:sz w:val="20"/>
                <w:szCs w:val="20"/>
                <w:color w:val="auto"/>
              </w:rPr>
            </w:pPr>
            <w:r>
              <w:rPr>
                <w:rFonts w:ascii="Arial" w:cs="Arial" w:eastAsia="Arial" w:hAnsi="Arial"/>
                <w:sz w:val="18"/>
                <w:szCs w:val="18"/>
                <w:color w:val="auto"/>
                <w:w w:val="99"/>
              </w:rPr>
              <w:t>“SAR Agreement” shall mean the agreement whereby the Company’s grant of SARs to a Participant is confirmed.</w:t>
            </w:r>
          </w:p>
        </w:tc>
      </w:tr>
      <w:tr>
        <w:trPr>
          <w:trHeight w:val="473"/>
        </w:trPr>
        <w:tc>
          <w:tcPr>
            <w:tcW w:w="1920" w:type="dxa"/>
            <w:vAlign w:val="bottom"/>
            <w:gridSpan w:val="2"/>
          </w:tcPr>
          <w:p>
            <w:pPr>
              <w:ind w:left="1300"/>
              <w:spacing w:after="0"/>
              <w:rPr>
                <w:sz w:val="20"/>
                <w:szCs w:val="20"/>
                <w:color w:val="auto"/>
              </w:rPr>
            </w:pPr>
            <w:r>
              <w:rPr>
                <w:rFonts w:ascii="Arial" w:cs="Arial" w:eastAsia="Arial" w:hAnsi="Arial"/>
                <w:sz w:val="18"/>
                <w:szCs w:val="18"/>
                <w:color w:val="auto"/>
              </w:rPr>
              <w:t>(ah)</w:t>
            </w:r>
          </w:p>
        </w:tc>
        <w:tc>
          <w:tcPr>
            <w:tcW w:w="9360" w:type="dxa"/>
            <w:vAlign w:val="bottom"/>
          </w:tcPr>
          <w:p>
            <w:pPr>
              <w:ind w:left="320"/>
              <w:spacing w:after="0"/>
              <w:rPr>
                <w:sz w:val="20"/>
                <w:szCs w:val="20"/>
                <w:color w:val="auto"/>
              </w:rPr>
            </w:pPr>
            <w:r>
              <w:rPr>
                <w:rFonts w:ascii="Arial" w:cs="Arial" w:eastAsia="Arial" w:hAnsi="Arial"/>
                <w:sz w:val="18"/>
                <w:szCs w:val="18"/>
                <w:color w:val="auto"/>
                <w:w w:val="89"/>
              </w:rPr>
              <w:t>“Service” shall mean as to each Participant, the period beginning on the date he or she first becomes an Employee and ending</w:t>
            </w:r>
          </w:p>
        </w:tc>
      </w:tr>
    </w:tbl>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date he or she ceases to be an Employee.</w:t>
      </w:r>
    </w:p>
    <w:p>
      <w:pPr>
        <w:sectPr>
          <w:pgSz w:w="11900" w:h="16838" w:orient="portrait"/>
          <w:cols w:equalWidth="0" w:num="1">
            <w:col w:w="11400"/>
          </w:cols>
          <w:pgMar w:left="240" w:top="108" w:right="259" w:bottom="1440" w:gutter="0" w:footer="0" w:header="0"/>
        </w:sect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“Share” or “Shares” shall mean the $0.01 par value common stock of the Company.</w:t>
      </w:r>
    </w:p>
    <w:p>
      <w:pPr>
        <w:spacing w:after="0" w:line="222" w:lineRule="exact"/>
        <w:rPr>
          <w:sz w:val="20"/>
          <w:szCs w:val="20"/>
          <w:color w:val="auto"/>
        </w:rPr>
      </w:pPr>
    </w:p>
    <w:p>
      <w:pPr>
        <w:sectPr>
          <w:pgSz w:w="11900" w:h="16838" w:orient="portrait"/>
          <w:cols w:equalWidth="0" w:num="2">
            <w:col w:w="1560" w:space="640"/>
            <w:col w:w="9200"/>
          </w:cols>
          <w:pgMar w:left="240" w:top="108" w:right="259" w:bottom="1440" w:gutter="0" w:footer="0" w:header="0"/>
          <w:type w:val="continuous"/>
        </w:sectPr>
      </w:pPr>
    </w:p>
    <w:p>
      <w:pPr>
        <w:spacing w:after="0" w:line="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(aj)</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“Subsidiary” shall mean any subsidiary entity of the Company, including without limitation, a subsidiary corporation of the</w:t>
      </w:r>
    </w:p>
    <w:p>
      <w:pPr>
        <w:spacing w:after="0" w:line="72" w:lineRule="exact"/>
        <w:rPr>
          <w:sz w:val="20"/>
          <w:szCs w:val="20"/>
          <w:color w:val="auto"/>
        </w:rPr>
      </w:pPr>
    </w:p>
    <w:p>
      <w:pPr>
        <w:sectPr>
          <w:pgSz w:w="11900" w:h="16838" w:orient="portrait"/>
          <w:cols w:equalWidth="0" w:num="2">
            <w:col w:w="1560" w:space="640"/>
            <w:col w:w="9200"/>
          </w:cols>
          <w:pgMar w:left="240" w:top="108" w:right="25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Company as defined in Section 424(f) of the Code.</w:t>
      </w:r>
    </w:p>
    <w:p>
      <w:pPr>
        <w:spacing w:after="0" w:line="26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18"/>
          <w:szCs w:val="18"/>
          <w:color w:val="auto"/>
        </w:rPr>
        <w:t>“Triggering Event” shall mean the first to occur of any of the following:</w:t>
      </w:r>
    </w:p>
    <w:p>
      <w:pPr>
        <w:spacing w:after="0" w:line="239" w:lineRule="exact"/>
        <w:rPr>
          <w:sz w:val="20"/>
          <w:szCs w:val="20"/>
          <w:color w:val="auto"/>
        </w:rPr>
      </w:pPr>
    </w:p>
    <w:p>
      <w:pPr>
        <w:ind w:left="660" w:firstLine="645"/>
        <w:spacing w:after="0" w:line="269" w:lineRule="auto"/>
        <w:tabs>
          <w:tab w:leader="none" w:pos="156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2" w:lineRule="exact"/>
        <w:rPr>
          <w:rFonts w:ascii="Arial" w:cs="Arial" w:eastAsia="Arial" w:hAnsi="Arial"/>
          <w:sz w:val="17"/>
          <w:szCs w:val="17"/>
          <w:color w:val="auto"/>
        </w:rPr>
      </w:pPr>
    </w:p>
    <w:p>
      <w:pPr>
        <w:ind w:left="660" w:right="180" w:firstLine="645"/>
        <w:spacing w:after="0" w:line="273" w:lineRule="auto"/>
        <w:tabs>
          <w:tab w:leader="none" w:pos="156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37" w:lineRule="exact"/>
        <w:rPr>
          <w:rFonts w:ascii="Arial" w:cs="Arial" w:eastAsia="Arial" w:hAnsi="Arial"/>
          <w:sz w:val="17"/>
          <w:szCs w:val="17"/>
          <w:color w:val="auto"/>
        </w:rPr>
      </w:pPr>
    </w:p>
    <w:p>
      <w:pPr>
        <w:ind w:left="660" w:right="140" w:firstLine="645"/>
        <w:spacing w:after="0" w:line="277"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170" w:lineRule="exact"/>
        <w:rPr>
          <w:rFonts w:ascii="Arial" w:cs="Arial" w:eastAsia="Arial" w:hAnsi="Arial"/>
          <w:sz w:val="18"/>
          <w:szCs w:val="18"/>
          <w:color w:val="auto"/>
        </w:rPr>
      </w:pPr>
    </w:p>
    <w:p>
      <w:pPr>
        <w:ind w:left="660" w:right="120" w:firstLine="645"/>
        <w:spacing w:after="0" w:line="273" w:lineRule="auto"/>
        <w:tabs>
          <w:tab w:leader="none" w:pos="156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108" w:right="2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result of an actual or threatened election contest which was (or, if threatened, would have been) subject to Exchange Act Rule 14a-12(c); or</w:t>
      </w:r>
    </w:p>
    <w:p>
      <w:pPr>
        <w:spacing w:after="0" w:line="198" w:lineRule="exact"/>
        <w:rPr>
          <w:sz w:val="20"/>
          <w:szCs w:val="20"/>
          <w:color w:val="auto"/>
        </w:rPr>
      </w:pPr>
    </w:p>
    <w:p>
      <w:pPr>
        <w:ind w:left="660" w:right="380" w:firstLine="645"/>
        <w:spacing w:after="0" w:line="286" w:lineRule="auto"/>
        <w:tabs>
          <w:tab w:leader="none" w:pos="156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Words importing the singular shall include the plural and vice versa and words importing the masculine shall include the feminine.</w:t>
      </w:r>
    </w:p>
    <w:p>
      <w:pPr>
        <w:spacing w:after="0" w:line="221"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AWARDS AVAILABLE UNDER THE PLAN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Administrator may grant Nonstatutory Stock Options, Incentive Stock Options, Restricted Stock, Restricted Stock Units, SARs, Performance Share Units and Deferred Stock under the Plan.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183"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UNDER PLAN</w:t>
      </w:r>
    </w:p>
    <w:p>
      <w:pPr>
        <w:spacing w:after="0" w:line="229" w:lineRule="exact"/>
        <w:rPr>
          <w:rFonts w:ascii="Arial" w:cs="Arial" w:eastAsia="Arial" w:hAnsi="Arial"/>
          <w:sz w:val="18"/>
          <w:szCs w:val="18"/>
          <w:b w:val="1"/>
          <w:bCs w:val="1"/>
          <w:color w:val="auto"/>
        </w:rPr>
      </w:pPr>
    </w:p>
    <w:p>
      <w:pPr>
        <w:ind w:left="80" w:firstLine="387"/>
        <w:spacing w:after="0" w:line="269" w:lineRule="auto"/>
        <w:tabs>
          <w:tab w:leader="none" w:pos="71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aggregate number of Shares which may be issued under the Plan pursuant to the exercise of Options and SARs, the grant of Restricted Stock, and pursuant to the settlement of Restricted Stock Units, Performance Share Units and Deferred Stock shall not exceed 6,500,000 Shares, which may be treasury Shares or authorized but unissued Shares, or a 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182" w:lineRule="exact"/>
        <w:rPr>
          <w:rFonts w:ascii="Arial" w:cs="Arial" w:eastAsia="Arial" w:hAnsi="Arial"/>
          <w:sz w:val="17"/>
          <w:szCs w:val="17"/>
          <w:color w:val="auto"/>
        </w:rPr>
      </w:pPr>
    </w:p>
    <w:p>
      <w:pPr>
        <w:jc w:val="both"/>
        <w:ind w:left="80" w:right="340" w:firstLine="387"/>
        <w:spacing w:after="0" w:line="259" w:lineRule="auto"/>
        <w:tabs>
          <w:tab w:leader="none" w:pos="7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aggregate number of Shares which may be issued under the Plan pursuant to the grant of Restricted Stock and pursuant to the settlement of Restricted Stock Units, Performance Share Units or shares of Deferred Stock granted under the Plan shall not exceed 4,375,000 (subject to adjustment as provided in Paragraph 13 hereof). For purposes of determining the maximum number of shares issuable under these types of Awards, any shares of Restricted Stock or Deferred Stock or any Restricted Stock Units or Performance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Share Units which are forfeited to the Company, shall be treated, following such forfeiture, as Shares that have not been issued under the Plan.</w:t>
      </w:r>
    </w:p>
    <w:p>
      <w:pPr>
        <w:spacing w:after="0" w:line="237" w:lineRule="exact"/>
        <w:rPr>
          <w:sz w:val="20"/>
          <w:szCs w:val="20"/>
          <w:color w:val="auto"/>
        </w:rPr>
      </w:pPr>
    </w:p>
    <w:p>
      <w:pPr>
        <w:ind w:right="100" w:firstLine="656"/>
        <w:spacing w:after="0" w:line="223" w:lineRule="exact"/>
        <w:tabs>
          <w:tab w:leader="none" w:pos="89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Employee shall be eligible to receive grants of Options and SARs for more than an aggregate of 750,000 Shares during any three</w:t>
      </w:r>
      <w:r>
        <w:rPr>
          <w:rFonts w:ascii="MS PGothic" w:cs="MS PGothic" w:eastAsia="MS PGothic" w:hAnsi="MS PGothic"/>
          <w:sz w:val="18"/>
          <w:szCs w:val="18"/>
          <w:color w:val="auto"/>
        </w:rPr>
        <w:t>‑</w:t>
      </w:r>
      <w:r>
        <w:rPr>
          <w:rFonts w:ascii="Arial" w:cs="Arial" w:eastAsia="Arial" w:hAnsi="Arial"/>
          <w:sz w:val="18"/>
          <w:szCs w:val="18"/>
          <w:color w:val="auto"/>
        </w:rPr>
        <w:t>year period (subject to adjustment as provided in Paragraph 13 hereof).</w:t>
      </w:r>
    </w:p>
    <w:p>
      <w:pPr>
        <w:spacing w:after="0" w:line="203" w:lineRule="exact"/>
        <w:rPr>
          <w:rFonts w:ascii="Arial" w:cs="Arial" w:eastAsia="Arial" w:hAnsi="Arial"/>
          <w:sz w:val="18"/>
          <w:szCs w:val="18"/>
          <w:color w:val="auto"/>
        </w:rPr>
      </w:pPr>
    </w:p>
    <w:p>
      <w:pPr>
        <w:jc w:val="both"/>
        <w:ind w:firstLine="656"/>
        <w:spacing w:after="0" w:line="259" w:lineRule="auto"/>
        <w:tabs>
          <w:tab w:leader="none" w:pos="90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aggregate number of shares of Restricted Stock and Deferred Stock, plus the number of Restricted Stock Units and Performance Share Units granted to any one Employee during any fiscal year of the Company shall be limited to 150,000 (subject to adjustment as provided in Paragraph 13 hereof and excluding any such Awards which may vest based on the continued performance of services only, e.g., time-based vested Restricted Stock, Restricted Stock Units or Deferred Stock).</w:t>
      </w:r>
    </w:p>
    <w:p>
      <w:pPr>
        <w:spacing w:after="0" w:line="186" w:lineRule="exact"/>
        <w:rPr>
          <w:rFonts w:ascii="Arial" w:cs="Arial" w:eastAsia="Arial" w:hAnsi="Arial"/>
          <w:sz w:val="18"/>
          <w:szCs w:val="18"/>
          <w:color w:val="auto"/>
        </w:rPr>
      </w:pPr>
    </w:p>
    <w:p>
      <w:pPr>
        <w:ind w:right="60" w:firstLine="656"/>
        <w:spacing w:after="0" w:line="277" w:lineRule="auto"/>
        <w:tabs>
          <w:tab w:leader="none" w:pos="89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no event shall the number of Shares issued pursuant to the exercise of Incentive Stock Options exceed 1,000,000 Shares (subject to adjustment as provided in Paragraph 13 hereof).</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right="100" w:firstLine="656"/>
        <w:spacing w:after="0" w:line="264" w:lineRule="auto"/>
        <w:tabs>
          <w:tab w:leader="none" w:pos="8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181" w:lineRule="exact"/>
        <w:rPr>
          <w:rFonts w:ascii="Arial" w:cs="Arial" w:eastAsia="Arial" w:hAnsi="Arial"/>
          <w:sz w:val="18"/>
          <w:szCs w:val="18"/>
          <w:color w:val="auto"/>
        </w:rPr>
      </w:pPr>
    </w:p>
    <w:p>
      <w:pPr>
        <w:ind w:right="60" w:firstLine="656"/>
        <w:spacing w:after="0" w:line="257" w:lineRule="auto"/>
        <w:tabs>
          <w:tab w:leader="none" w:pos="90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and to permit the Plan to comply with Section 162(m) of the Code and any regulations promulgated thereunder, or any other statutory rule or regulatory requirements. The members of the Committee shall be appointed from time to time by the Board of Directors.</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88" w:lineRule="exact"/>
        <w:rPr>
          <w:rFonts w:ascii="Arial" w:cs="Arial" w:eastAsia="Arial" w:hAnsi="Arial"/>
          <w:sz w:val="18"/>
          <w:szCs w:val="18"/>
          <w:b w:val="1"/>
          <w:bCs w:val="1"/>
          <w:color w:val="auto"/>
        </w:rPr>
      </w:pPr>
    </w:p>
    <w:p>
      <w:pPr>
        <w:ind w:right="160" w:firstLine="656"/>
        <w:spacing w:after="0" w:line="277" w:lineRule="auto"/>
        <w:tabs>
          <w:tab w:leader="none" w:pos="8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Directors shall be eligible to receive Nonstatutory Stock Options, Restricted Stock, Restricted Stock Units, Performance Share Units, SARs and Deferred Stock under the Plan.</w:t>
      </w:r>
    </w:p>
    <w:p>
      <w:pPr>
        <w:spacing w:after="0" w:line="170" w:lineRule="exact"/>
        <w:rPr>
          <w:rFonts w:ascii="Arial" w:cs="Arial" w:eastAsia="Arial" w:hAnsi="Arial"/>
          <w:sz w:val="18"/>
          <w:szCs w:val="18"/>
          <w:color w:val="auto"/>
        </w:rPr>
      </w:pPr>
    </w:p>
    <w:p>
      <w:pPr>
        <w:ind w:right="200" w:firstLine="656"/>
        <w:spacing w:after="0" w:line="302" w:lineRule="auto"/>
        <w:tabs>
          <w:tab w:leader="none" w:pos="90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154" w:lineRule="exact"/>
        <w:rPr>
          <w:rFonts w:ascii="Arial" w:cs="Arial" w:eastAsia="Arial" w:hAnsi="Arial"/>
          <w:sz w:val="16"/>
          <w:szCs w:val="16"/>
          <w:color w:val="auto"/>
        </w:rPr>
      </w:pPr>
    </w:p>
    <w:p>
      <w:pPr>
        <w:ind w:right="400" w:firstLine="656"/>
        <w:spacing w:after="0" w:line="277" w:lineRule="auto"/>
        <w:tabs>
          <w:tab w:leader="none" w:pos="8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Participant may be granted additional Awards under the Plan if the Administrator shall so determine subject to the limitations contained in Paragraph 4.</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OPTIONS: GENERAL PROVISIONS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Options granted under this Plan shall be subject to such terms and conditions not inconsistent with the Plan as the Administrator shall determine, including the following:</w:t>
      </w:r>
    </w:p>
    <w:p>
      <w:pPr>
        <w:spacing w:after="0" w:line="170" w:lineRule="exact"/>
        <w:rPr>
          <w:sz w:val="20"/>
          <w:szCs w:val="20"/>
          <w:color w:val="auto"/>
        </w:rPr>
      </w:pPr>
    </w:p>
    <w:p>
      <w:pPr>
        <w:ind w:right="520" w:firstLine="656"/>
        <w:spacing w:after="0" w:line="277" w:lineRule="auto"/>
        <w:tabs>
          <w:tab w:leader="none" w:pos="89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An Option to purchase Shares granted pursuant to this Plan shall be specified to be either an Incentive Stock Option or a Nonstatutory Stock Option. Any grant of an Option shall be confirmed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70" w:lineRule="exact"/>
        <w:rPr>
          <w:sz w:val="20"/>
          <w:szCs w:val="20"/>
          <w:color w:val="auto"/>
        </w:rPr>
      </w:pPr>
    </w:p>
    <w:p>
      <w:pPr>
        <w:ind w:right="140" w:firstLine="724"/>
        <w:spacing w:after="0" w:line="259" w:lineRule="auto"/>
        <w:tabs>
          <w:tab w:leader="none" w:pos="971"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Maximum Annual Grant of Incentive Stock Options to Any Employee</w:t>
      </w:r>
      <w:r>
        <w:rPr>
          <w:rFonts w:ascii="Arial" w:cs="Arial" w:eastAsia="Arial" w:hAnsi="Arial"/>
          <w:sz w:val="18"/>
          <w:szCs w:val="18"/>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86" w:lineRule="exact"/>
        <w:rPr>
          <w:rFonts w:ascii="Arial" w:cs="Arial" w:eastAsia="Arial" w:hAnsi="Arial"/>
          <w:sz w:val="18"/>
          <w:szCs w:val="18"/>
          <w:color w:val="auto"/>
        </w:rPr>
      </w:pPr>
    </w:p>
    <w:p>
      <w:pPr>
        <w:jc w:val="both"/>
        <w:ind w:right="260" w:firstLine="724"/>
        <w:spacing w:after="0" w:line="264" w:lineRule="auto"/>
        <w:tabs>
          <w:tab w:leader="none" w:pos="96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181" w:lineRule="exact"/>
        <w:rPr>
          <w:rFonts w:ascii="Arial" w:cs="Arial" w:eastAsia="Arial" w:hAnsi="Arial"/>
          <w:sz w:val="18"/>
          <w:szCs w:val="18"/>
          <w:color w:val="auto"/>
        </w:rPr>
      </w:pPr>
    </w:p>
    <w:p>
      <w:pPr>
        <w:ind w:right="80" w:firstLine="656"/>
        <w:spacing w:after="0" w:line="257" w:lineRule="auto"/>
        <w:tabs>
          <w:tab w:leader="none" w:pos="90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Option Agreement may provide for exercise of an Option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Except as otherwise permitted by the Administrator, an Option shall be exercisable by a Participant’s giving written notice of exercise to the Secretary of the Company accompanied by payment of the required exercise price.</w:t>
      </w:r>
    </w:p>
    <w:p>
      <w:pPr>
        <w:spacing w:after="0" w:line="188" w:lineRule="exact"/>
        <w:rPr>
          <w:rFonts w:ascii="Arial" w:cs="Arial" w:eastAsia="Arial" w:hAnsi="Arial"/>
          <w:sz w:val="18"/>
          <w:szCs w:val="18"/>
          <w:color w:val="auto"/>
        </w:rPr>
      </w:pPr>
    </w:p>
    <w:p>
      <w:pPr>
        <w:ind w:right="20" w:firstLine="656"/>
        <w:spacing w:after="0" w:line="259" w:lineRule="auto"/>
        <w:tabs>
          <w:tab w:leader="none" w:pos="89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186" w:lineRule="exact"/>
        <w:rPr>
          <w:rFonts w:ascii="Arial" w:cs="Arial" w:eastAsia="Arial" w:hAnsi="Arial"/>
          <w:sz w:val="18"/>
          <w:szCs w:val="18"/>
          <w:color w:val="auto"/>
        </w:rPr>
      </w:pPr>
    </w:p>
    <w:p>
      <w:pPr>
        <w:ind w:left="660" w:right="360" w:firstLine="645"/>
        <w:spacing w:after="0" w:line="342" w:lineRule="auto"/>
        <w:tabs>
          <w:tab w:leader="none" w:pos="156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23" w:lineRule="exact"/>
        <w:rPr>
          <w:rFonts w:ascii="Arial" w:cs="Arial" w:eastAsia="Arial" w:hAnsi="Arial"/>
          <w:sz w:val="16"/>
          <w:szCs w:val="16"/>
          <w:color w:val="auto"/>
        </w:rPr>
      </w:pPr>
    </w:p>
    <w:p>
      <w:pPr>
        <w:ind w:left="660" w:right="520" w:firstLine="645"/>
        <w:spacing w:after="0" w:line="264" w:lineRule="auto"/>
        <w:tabs>
          <w:tab w:leader="none" w:pos="1563" w:val="left"/>
        </w:tabs>
        <w:numPr>
          <w:ilvl w:val="2"/>
          <w:numId w:val="138"/>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181" w:lineRule="exact"/>
        <w:rPr>
          <w:rFonts w:ascii="Arial" w:cs="Arial" w:eastAsia="Arial" w:hAnsi="Arial"/>
          <w:sz w:val="18"/>
          <w:szCs w:val="18"/>
          <w:color w:val="auto"/>
        </w:rPr>
      </w:pPr>
    </w:p>
    <w:p>
      <w:pPr>
        <w:ind w:left="660" w:right="140" w:firstLine="645"/>
        <w:spacing w:after="0" w:line="259" w:lineRule="auto"/>
        <w:tabs>
          <w:tab w:leader="none" w:pos="1563" w:val="left"/>
        </w:tabs>
        <w:numPr>
          <w:ilvl w:val="2"/>
          <w:numId w:val="138"/>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8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w:t>
      </w:r>
      <w:r>
        <w:rPr>
          <w:rFonts w:ascii="MS PGothic" w:cs="MS PGothic" w:eastAsia="MS PGothic" w:hAnsi="MS PGothic"/>
          <w:sz w:val="18"/>
          <w:szCs w:val="18"/>
          <w:color w:val="auto"/>
        </w:rPr>
        <w:t>‑</w:t>
      </w:r>
      <w:r>
        <w:rPr>
          <w:rFonts w:ascii="Arial" w:cs="Arial" w:eastAsia="Arial" w:hAnsi="Arial"/>
          <w:sz w:val="18"/>
          <w:szCs w:val="18"/>
          <w:color w:val="auto"/>
        </w:rPr>
        <w:t>year period unless it shall have lapsed at an earlier date.</w:t>
      </w:r>
    </w:p>
    <w:p>
      <w:pPr>
        <w:spacing w:after="0" w:line="204" w:lineRule="exact"/>
        <w:rPr>
          <w:sz w:val="20"/>
          <w:szCs w:val="20"/>
          <w:color w:val="auto"/>
        </w:rPr>
      </w:pPr>
    </w:p>
    <w:p>
      <w:pPr>
        <w:ind w:right="140" w:firstLine="656"/>
        <w:spacing w:after="0" w:line="277" w:lineRule="auto"/>
        <w:tabs>
          <w:tab w:leader="none" w:pos="873"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exercise price shall be payable in whole or in part in cash, Shares held by the Participant, other property, or such other consideration consistent with the Plan’s purpose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All Shares so delivered shall be valued at the opening sale price per Share on the New York Stock Exchange on the date on which such Shares are delivered. The Administrator may, in its discretion, permit a Participant to exercise an Option on a “net exercise” basis. In such case, the Company will deliver that number of Shares to the Participant which equals the number of Shares for which the Option was exercised, reduced by the number of whole Shares (which the Company shall retain) with a value on the date of exercise (based on the opening sale price per Share on the New York Stock Exchange) equal to the exercise price and the required withholding tax at the time of exercise. To the extent the combined value of the whole Shares (valued at the opening sales price per share on the New York Stock Exchange on the day of exercise) is not sufficient to equal the exercise price and required withholding tax, the Participant must pay such difference in cash to the Company before delivery of the Shares will be made to the Participant.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211" w:lineRule="exact"/>
        <w:rPr>
          <w:sz w:val="20"/>
          <w:szCs w:val="20"/>
          <w:color w:val="auto"/>
        </w:rPr>
      </w:pPr>
    </w:p>
    <w:p>
      <w:pPr>
        <w:ind w:left="660" w:right="120" w:firstLine="645"/>
        <w:spacing w:after="0" w:line="279" w:lineRule="auto"/>
        <w:tabs>
          <w:tab w:leader="none" w:pos="15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Retirement or due to early retirement with the consent of the Administrator shall have three (3) years from the date of such cessation to exercise any Option granted hereunder as to all or part of the Shares subject to 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171" w:lineRule="exact"/>
        <w:rPr>
          <w:rFonts w:ascii="Arial" w:cs="Arial" w:eastAsia="Arial" w:hAnsi="Arial"/>
          <w:sz w:val="17"/>
          <w:szCs w:val="17"/>
          <w:color w:val="auto"/>
        </w:rPr>
      </w:pPr>
    </w:p>
    <w:p>
      <w:pPr>
        <w:ind w:left="660" w:firstLine="645"/>
        <w:spacing w:after="0" w:line="259" w:lineRule="auto"/>
        <w:tabs>
          <w:tab w:leader="none" w:pos="1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For Options granted on or after February 11, 2014, 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w:t>
      </w:r>
    </w:p>
    <w:p>
      <w:pPr>
        <w:spacing w:after="0" w:line="186" w:lineRule="exact"/>
        <w:rPr>
          <w:rFonts w:ascii="Arial" w:cs="Arial" w:eastAsia="Arial" w:hAnsi="Arial"/>
          <w:sz w:val="18"/>
          <w:szCs w:val="18"/>
          <w:color w:val="auto"/>
        </w:rPr>
      </w:pPr>
    </w:p>
    <w:p>
      <w:pPr>
        <w:ind w:left="660" w:right="40" w:firstLine="645"/>
        <w:spacing w:after="0" w:line="308" w:lineRule="auto"/>
        <w:tabs>
          <w:tab w:leader="none" w:pos="15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06" w:lineRule="exact"/>
        <w:rPr>
          <w:rFonts w:ascii="Arial" w:cs="Arial" w:eastAsia="Arial" w:hAnsi="Arial"/>
          <w:sz w:val="17"/>
          <w:szCs w:val="17"/>
          <w:color w:val="auto"/>
        </w:rPr>
      </w:pPr>
    </w:p>
    <w:p>
      <w:pPr>
        <w:ind w:left="2240" w:hanging="287"/>
        <w:spacing w:after="0"/>
        <w:tabs>
          <w:tab w:leader="none" w:pos="22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for three (3) years after the Employee’s death, but in no event subsequent to ten (10) years from its date of grant; and</w:t>
      </w:r>
    </w:p>
    <w:p>
      <w:pPr>
        <w:spacing w:after="0" w:line="236" w:lineRule="exact"/>
        <w:rPr>
          <w:rFonts w:ascii="Arial" w:cs="Arial" w:eastAsia="Arial" w:hAnsi="Arial"/>
          <w:sz w:val="17"/>
          <w:szCs w:val="17"/>
          <w:color w:val="auto"/>
        </w:rPr>
      </w:pPr>
    </w:p>
    <w:p>
      <w:pPr>
        <w:jc w:val="both"/>
        <w:ind w:left="1300" w:right="40" w:firstLine="653"/>
        <w:spacing w:after="0" w:line="302" w:lineRule="auto"/>
        <w:tabs>
          <w:tab w:leader="none" w:pos="223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 (3) by the person or persons to whom the deceased Employee’s rights under the Option shall pass by will or the laws of descent and distribution.</w:t>
      </w:r>
    </w:p>
    <w:p>
      <w:pPr>
        <w:spacing w:after="0" w:line="154" w:lineRule="exact"/>
        <w:rPr>
          <w:rFonts w:ascii="Arial" w:cs="Arial" w:eastAsia="Arial" w:hAnsi="Arial"/>
          <w:sz w:val="16"/>
          <w:szCs w:val="16"/>
          <w:color w:val="auto"/>
        </w:rPr>
      </w:pPr>
    </w:p>
    <w:p>
      <w:pPr>
        <w:ind w:left="660" w:right="120" w:firstLine="645"/>
        <w:spacing w:after="0" w:line="264" w:lineRule="auto"/>
        <w:tabs>
          <w:tab w:leader="none" w:pos="1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 Participant ceases to be an Employee for a reason other than those specified above, that Participant shall have eighteen (18) months from the date of such cessation to exercise any 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121"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140"/>
        <w:spacing w:after="0" w:line="273" w:lineRule="auto"/>
        <w:rPr>
          <w:sz w:val="20"/>
          <w:szCs w:val="20"/>
          <w:color w:val="auto"/>
        </w:rPr>
      </w:pPr>
      <w:r>
        <w:rPr>
          <w:rFonts w:ascii="Arial" w:cs="Arial" w:eastAsia="Arial" w:hAnsi="Arial"/>
          <w:sz w:val="17"/>
          <w:szCs w:val="17"/>
          <w:color w:val="auto"/>
        </w:rPr>
        <w:t xml:space="preserve">granted hereunder as to all or part of the Shares subject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78" w:lineRule="exact"/>
        <w:rPr>
          <w:sz w:val="20"/>
          <w:szCs w:val="20"/>
          <w:color w:val="auto"/>
        </w:rPr>
      </w:pPr>
    </w:p>
    <w:p>
      <w:pPr>
        <w:ind w:right="60" w:firstLine="656"/>
        <w:spacing w:after="0" w:line="264" w:lineRule="auto"/>
        <w:tabs>
          <w:tab w:leader="none" w:pos="90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(10) years after its date of grant.</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660" w:right="60" w:firstLine="645"/>
        <w:spacing w:after="0" w:line="291" w:lineRule="auto"/>
        <w:tabs>
          <w:tab w:leader="none" w:pos="1563" w:val="left"/>
        </w:tabs>
        <w:numPr>
          <w:ilvl w:val="2"/>
          <w:numId w:val="141"/>
        </w:numPr>
        <w:rPr>
          <w:rFonts w:ascii="Arial" w:cs="Arial" w:eastAsia="Arial" w:hAnsi="Arial"/>
          <w:sz w:val="16"/>
          <w:szCs w:val="16"/>
          <w:color w:val="auto"/>
        </w:rPr>
      </w:pPr>
      <w:r>
        <w:rPr>
          <w:rFonts w:ascii="Arial" w:cs="Arial" w:eastAsia="Arial" w:hAnsi="Arial"/>
          <w:sz w:val="16"/>
          <w:szCs w:val="16"/>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167" w:lineRule="exact"/>
        <w:rPr>
          <w:rFonts w:ascii="Arial" w:cs="Arial" w:eastAsia="Arial" w:hAnsi="Arial"/>
          <w:sz w:val="16"/>
          <w:szCs w:val="16"/>
          <w:color w:val="auto"/>
        </w:rPr>
      </w:pPr>
    </w:p>
    <w:p>
      <w:pPr>
        <w:ind w:left="660" w:firstLine="645"/>
        <w:spacing w:after="0" w:line="293" w:lineRule="auto"/>
        <w:tabs>
          <w:tab w:leader="none" w:pos="1563" w:val="left"/>
        </w:tabs>
        <w:numPr>
          <w:ilvl w:val="2"/>
          <w:numId w:val="141"/>
        </w:numPr>
        <w:rPr>
          <w:rFonts w:ascii="Arial" w:cs="Arial" w:eastAsia="Arial" w:hAnsi="Arial"/>
          <w:sz w:val="16"/>
          <w:szCs w:val="16"/>
          <w:color w:val="auto"/>
        </w:rPr>
      </w:pPr>
      <w:r>
        <w:rPr>
          <w:rFonts w:ascii="Arial" w:cs="Arial" w:eastAsia="Arial" w:hAnsi="Arial"/>
          <w:sz w:val="16"/>
          <w:szCs w:val="16"/>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 RESTRICTED STOCK UNITS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Restricted Stock or Restricted Stock Units granted under this Plan shall be subject to such terms and conditions not inconsistent with the Plan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Administrator shall determine, including the following:</w:t>
      </w:r>
    </w:p>
    <w:p>
      <w:pPr>
        <w:spacing w:after="0" w:line="211" w:lineRule="exact"/>
        <w:rPr>
          <w:sz w:val="20"/>
          <w:szCs w:val="20"/>
          <w:color w:val="auto"/>
        </w:rPr>
      </w:pPr>
    </w:p>
    <w:p>
      <w:pPr>
        <w:ind w:firstLine="656"/>
        <w:spacing w:after="0" w:line="277" w:lineRule="auto"/>
        <w:tabs>
          <w:tab w:leader="none" w:pos="89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Restricted Stock or Restricted Stock Units shall be confirmed by the execution of a Restricted Stock Agreement or a Restricted Stock Unit Agreement.</w:t>
      </w:r>
    </w:p>
    <w:p>
      <w:pPr>
        <w:spacing w:after="0" w:line="170" w:lineRule="exact"/>
        <w:rPr>
          <w:rFonts w:ascii="Arial" w:cs="Arial" w:eastAsia="Arial" w:hAnsi="Arial"/>
          <w:sz w:val="18"/>
          <w:szCs w:val="18"/>
          <w:color w:val="auto"/>
        </w:rPr>
      </w:pPr>
    </w:p>
    <w:p>
      <w:pPr>
        <w:ind w:right="20" w:firstLine="656"/>
        <w:spacing w:after="0" w:line="257" w:lineRule="auto"/>
        <w:tabs>
          <w:tab w:leader="none" w:pos="90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Restrictions on Restricted Stock</w:t>
      </w:r>
      <w:r>
        <w:rPr>
          <w:rFonts w:ascii="Arial" w:cs="Arial" w:eastAsia="Arial" w:hAnsi="Arial"/>
          <w:sz w:val="18"/>
          <w:szCs w:val="18"/>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transferee thereof at any time within ninety (90) days after its discovery of such transaction, be forfeited to the Company.</w:t>
      </w:r>
    </w:p>
    <w:p>
      <w:pPr>
        <w:spacing w:after="0" w:line="185" w:lineRule="exact"/>
        <w:rPr>
          <w:sz w:val="20"/>
          <w:szCs w:val="20"/>
          <w:color w:val="auto"/>
        </w:rPr>
      </w:pPr>
    </w:p>
    <w:p>
      <w:pPr>
        <w:ind w:firstLine="656"/>
        <w:spacing w:after="0" w:line="268" w:lineRule="auto"/>
        <w:tabs>
          <w:tab w:leader="none" w:pos="893"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Vesting Conditions</w:t>
      </w:r>
      <w:r>
        <w:rPr>
          <w:rFonts w:ascii="Arial" w:cs="Arial" w:eastAsia="Arial" w:hAnsi="Arial"/>
          <w:sz w:val="17"/>
          <w:szCs w:val="17"/>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objectives.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performance objectives, except as otherwise provided in this Section 8, the Restricted Period shall not end until the performance objectives have been achieved, as certified by the Committee or otherwise. For purposes of qualifying Restricted Stock or Restricted Stock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Restricted Stock or Restricted Stock Units to qualify as “performance-based compensation” under Section 162(m) of the Code and the Committee shall follow any procedures determined by it from time to time to be necessary or appropriate to ensure qualification of the Restricted Stock or Restricted Stock Units under Section 162(m) of the Code, including, without limitation, written certification by the Committee that the performance objectives and other applicable conditions have been satisfied before the Restricted Period shall end or the Restricted Stock Units are paid.</w:t>
      </w:r>
    </w:p>
    <w:p>
      <w:pPr>
        <w:spacing w:after="0" w:line="185" w:lineRule="exact"/>
        <w:rPr>
          <w:rFonts w:ascii="Arial" w:cs="Arial" w:eastAsia="Arial" w:hAnsi="Arial"/>
          <w:sz w:val="17"/>
          <w:szCs w:val="17"/>
          <w:color w:val="auto"/>
        </w:rPr>
      </w:pPr>
    </w:p>
    <w:p>
      <w:pPr>
        <w:ind w:left="920" w:hanging="264"/>
        <w:spacing w:after="0"/>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660" w:right="100" w:firstLine="645"/>
        <w:spacing w:after="0" w:line="277" w:lineRule="auto"/>
        <w:tabs>
          <w:tab w:leader="none" w:pos="156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(d)(2) and (e), below, all Restricted Stock and unvested Restricted Stock Units held by such Participant shall be forfeited to the Company.</w:t>
      </w:r>
    </w:p>
    <w:p>
      <w:pPr>
        <w:spacing w:after="0" w:line="170" w:lineRule="exact"/>
        <w:rPr>
          <w:rFonts w:ascii="Arial" w:cs="Arial" w:eastAsia="Arial" w:hAnsi="Arial"/>
          <w:sz w:val="18"/>
          <w:szCs w:val="18"/>
          <w:color w:val="auto"/>
        </w:rPr>
      </w:pPr>
    </w:p>
    <w:p>
      <w:pPr>
        <w:ind w:left="660" w:firstLine="645"/>
        <w:spacing w:after="0" w:line="277" w:lineRule="auto"/>
        <w:tabs>
          <w:tab w:leader="none" w:pos="156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event a Participant ceases to be an Employee due to Retirement (or due to early retirement with the consent of the Administrator), or due to death or Disability, all unvested Restricted Stock Units held by the Participant shall immediately vest; and</w:t>
      </w:r>
    </w:p>
    <w:p>
      <w:pPr>
        <w:spacing w:after="0" w:line="170" w:lineRule="exact"/>
        <w:rPr>
          <w:rFonts w:ascii="Arial" w:cs="Arial" w:eastAsia="Arial" w:hAnsi="Arial"/>
          <w:sz w:val="18"/>
          <w:szCs w:val="18"/>
          <w:color w:val="auto"/>
        </w:rPr>
      </w:pPr>
    </w:p>
    <w:p>
      <w:pPr>
        <w:ind w:left="660" w:right="380" w:firstLine="645"/>
        <w:spacing w:after="0" w:line="342" w:lineRule="auto"/>
        <w:tabs>
          <w:tab w:leader="none" w:pos="156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the event a Participant ceases to be an Employee due to Retirement (where the Administrator consents to the Retirement of such Participant) or due to death or Disability, the restrictions applicable to any Restricted Stock held by the Participant shall immediately lapse.</w:t>
      </w:r>
    </w:p>
    <w:p>
      <w:pPr>
        <w:spacing w:after="0" w:line="123" w:lineRule="exact"/>
        <w:rPr>
          <w:rFonts w:ascii="Arial" w:cs="Arial" w:eastAsia="Arial" w:hAnsi="Arial"/>
          <w:sz w:val="16"/>
          <w:szCs w:val="16"/>
          <w:color w:val="auto"/>
        </w:rPr>
      </w:pPr>
    </w:p>
    <w:p>
      <w:pPr>
        <w:ind w:right="20" w:firstLine="656"/>
        <w:spacing w:after="0" w:line="264" w:lineRule="auto"/>
        <w:tabs>
          <w:tab w:leader="none" w:pos="89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181" w:lineRule="exact"/>
        <w:rPr>
          <w:rFonts w:ascii="Arial" w:cs="Arial" w:eastAsia="Arial" w:hAnsi="Arial"/>
          <w:sz w:val="18"/>
          <w:szCs w:val="18"/>
          <w:color w:val="auto"/>
        </w:rPr>
      </w:pPr>
    </w:p>
    <w:p>
      <w:pPr>
        <w:ind w:left="660" w:right="300" w:firstLine="645"/>
        <w:spacing w:after="0" w:line="342" w:lineRule="auto"/>
        <w:tabs>
          <w:tab w:leader="none" w:pos="156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23" w:lineRule="exact"/>
        <w:rPr>
          <w:rFonts w:ascii="Arial" w:cs="Arial" w:eastAsia="Arial" w:hAnsi="Arial"/>
          <w:sz w:val="16"/>
          <w:szCs w:val="16"/>
          <w:color w:val="auto"/>
        </w:rPr>
      </w:pPr>
    </w:p>
    <w:p>
      <w:pPr>
        <w:ind w:left="660" w:right="200" w:firstLine="645"/>
        <w:spacing w:after="0" w:line="286" w:lineRule="auto"/>
        <w:tabs>
          <w:tab w:leader="none" w:pos="156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121"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120" w:firstLine="645"/>
        <w:spacing w:after="0" w:line="279" w:lineRule="auto"/>
        <w:tabs>
          <w:tab w:leader="none" w:pos="156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387" w:lineRule="exact"/>
        <w:rPr>
          <w:sz w:val="20"/>
          <w:szCs w:val="20"/>
          <w:color w:val="auto"/>
        </w:rPr>
      </w:pPr>
    </w:p>
    <w:p>
      <w:pPr>
        <w:ind w:right="80" w:firstLine="656"/>
        <w:spacing w:after="0" w:line="342" w:lineRule="auto"/>
        <w:tabs>
          <w:tab w:leader="none" w:pos="87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Retention of Certificates for Restricted Stock</w:t>
      </w:r>
      <w:r>
        <w:rPr>
          <w:rFonts w:ascii="Arial" w:cs="Arial" w:eastAsia="Arial" w:hAnsi="Arial"/>
          <w:sz w:val="16"/>
          <w:szCs w:val="16"/>
          <w:color w:val="auto"/>
        </w:rPr>
        <w:t>.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339" w:lineRule="exact"/>
        <w:rPr>
          <w:rFonts w:ascii="Arial" w:cs="Arial" w:eastAsia="Arial" w:hAnsi="Arial"/>
          <w:sz w:val="16"/>
          <w:szCs w:val="16"/>
          <w:color w:val="auto"/>
        </w:rPr>
      </w:pPr>
    </w:p>
    <w:p>
      <w:pPr>
        <w:ind w:right="20" w:firstLine="656"/>
        <w:spacing w:after="0" w:line="271" w:lineRule="auto"/>
        <w:tabs>
          <w:tab w:leader="none" w:pos="90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Transferability of Restricted Stock Units</w:t>
      </w:r>
      <w:r>
        <w:rPr>
          <w:rFonts w:ascii="Arial" w:cs="Arial" w:eastAsia="Arial" w:hAnsi="Arial"/>
          <w:sz w:val="17"/>
          <w:szCs w:val="17"/>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78" w:lineRule="exact"/>
        <w:rPr>
          <w:rFonts w:ascii="Arial" w:cs="Arial" w:eastAsia="Arial" w:hAnsi="Arial"/>
          <w:sz w:val="17"/>
          <w:szCs w:val="17"/>
          <w:color w:val="auto"/>
        </w:rPr>
      </w:pPr>
    </w:p>
    <w:p>
      <w:pPr>
        <w:ind w:right="160" w:firstLine="656"/>
        <w:spacing w:after="0" w:line="259" w:lineRule="auto"/>
        <w:tabs>
          <w:tab w:leader="none" w:pos="90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 for Participants Holding Restricted Stock Units</w:t>
      </w:r>
      <w:r>
        <w:rPr>
          <w:rFonts w:ascii="Arial" w:cs="Arial" w:eastAsia="Arial" w:hAnsi="Arial"/>
          <w:sz w:val="18"/>
          <w:szCs w:val="18"/>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186" w:lineRule="exact"/>
        <w:rPr>
          <w:rFonts w:ascii="Arial" w:cs="Arial" w:eastAsia="Arial" w:hAnsi="Arial"/>
          <w:sz w:val="18"/>
          <w:szCs w:val="18"/>
          <w:color w:val="auto"/>
        </w:rPr>
      </w:pPr>
    </w:p>
    <w:p>
      <w:pPr>
        <w:ind w:firstLine="656"/>
        <w:spacing w:after="0" w:line="287" w:lineRule="auto"/>
        <w:tabs>
          <w:tab w:leader="none" w:pos="86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Distribution of Shares with Respect to Restricted Stock Units</w:t>
      </w:r>
      <w:r>
        <w:rPr>
          <w:rFonts w:ascii="Arial" w:cs="Arial" w:eastAsia="Arial" w:hAnsi="Arial"/>
          <w:sz w:val="16"/>
          <w:szCs w:val="16"/>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cash or Shares shall be distributed in respect of Restricted Stock Units prior to the date on which such Restricted Stock Unit vest.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80"/>
          </w:cols>
          <w:pgMar w:left="240" w:top="121"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656"/>
        <w:spacing w:after="0" w:line="287" w:lineRule="auto"/>
        <w:tabs>
          <w:tab w:leader="none" w:pos="863"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with Respect to Restricted Stock Units</w:t>
      </w:r>
      <w:r>
        <w:rPr>
          <w:rFonts w:ascii="Arial" w:cs="Arial" w:eastAsia="Arial" w:hAnsi="Arial"/>
          <w:sz w:val="16"/>
          <w:szCs w:val="16"/>
          <w:color w:val="auto"/>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vest and be distributed on the same terms and in the same proportions as the Restricted Stock Units held by a Participant as of the record date or distribution date shall vest.</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SARs</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SAR granted under this Plan shall be subject to such terms and conditions not inconsistent with the Plan as the Administrator shall determine, including the following:</w:t>
      </w:r>
    </w:p>
    <w:p>
      <w:pPr>
        <w:spacing w:after="0" w:line="143" w:lineRule="exact"/>
        <w:rPr>
          <w:sz w:val="20"/>
          <w:szCs w:val="20"/>
          <w:color w:val="auto"/>
        </w:rPr>
      </w:pPr>
    </w:p>
    <w:p>
      <w:pPr>
        <w:ind w:left="900" w:hanging="244"/>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SARs shall be confirmed by the execution of an SAR Agreement.</w:t>
      </w:r>
    </w:p>
    <w:p>
      <w:pPr>
        <w:spacing w:after="0" w:line="198" w:lineRule="exact"/>
        <w:rPr>
          <w:rFonts w:ascii="Arial" w:cs="Arial" w:eastAsia="Arial" w:hAnsi="Arial"/>
          <w:sz w:val="18"/>
          <w:szCs w:val="18"/>
          <w:color w:val="auto"/>
        </w:rPr>
      </w:pPr>
    </w:p>
    <w:p>
      <w:pPr>
        <w:jc w:val="both"/>
        <w:ind w:right="60" w:firstLine="656"/>
        <w:spacing w:after="0" w:line="264" w:lineRule="auto"/>
        <w:tabs>
          <w:tab w:leader="none" w:pos="90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Grant Value</w:t>
      </w:r>
      <w:r>
        <w:rPr>
          <w:rFonts w:ascii="Arial" w:cs="Arial" w:eastAsia="Arial" w:hAnsi="Arial"/>
          <w:sz w:val="18"/>
          <w:szCs w:val="18"/>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spacing w:after="0" w:line="181" w:lineRule="exact"/>
        <w:rPr>
          <w:rFonts w:ascii="Arial" w:cs="Arial" w:eastAsia="Arial" w:hAnsi="Arial"/>
          <w:sz w:val="18"/>
          <w:szCs w:val="18"/>
          <w:color w:val="auto"/>
        </w:rPr>
      </w:pPr>
    </w:p>
    <w:p>
      <w:pPr>
        <w:ind w:right="120" w:firstLine="656"/>
        <w:spacing w:after="0" w:line="257" w:lineRule="auto"/>
        <w:tabs>
          <w:tab w:leader="none" w:pos="89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SAR Agreement may provide for exercise of an SAR by a Participant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88" w:lineRule="exact"/>
        <w:rPr>
          <w:rFonts w:ascii="Arial" w:cs="Arial" w:eastAsia="Arial" w:hAnsi="Arial"/>
          <w:sz w:val="18"/>
          <w:szCs w:val="18"/>
          <w:color w:val="auto"/>
        </w:rPr>
      </w:pPr>
    </w:p>
    <w:p>
      <w:pPr>
        <w:ind w:right="120" w:firstLine="656"/>
        <w:spacing w:after="0" w:line="259" w:lineRule="auto"/>
        <w:tabs>
          <w:tab w:leader="none" w:pos="90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186" w:lineRule="exact"/>
        <w:rPr>
          <w:rFonts w:ascii="Arial" w:cs="Arial" w:eastAsia="Arial" w:hAnsi="Arial"/>
          <w:sz w:val="18"/>
          <w:szCs w:val="18"/>
          <w:color w:val="auto"/>
        </w:rPr>
      </w:pPr>
    </w:p>
    <w:p>
      <w:pPr>
        <w:ind w:left="660" w:right="320" w:firstLine="645"/>
        <w:spacing w:after="0" w:line="342" w:lineRule="auto"/>
        <w:tabs>
          <w:tab w:leader="none" w:pos="156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23" w:lineRule="exact"/>
        <w:rPr>
          <w:rFonts w:ascii="Arial" w:cs="Arial" w:eastAsia="Arial" w:hAnsi="Arial"/>
          <w:sz w:val="16"/>
          <w:szCs w:val="16"/>
          <w:color w:val="auto"/>
        </w:rPr>
      </w:pPr>
    </w:p>
    <w:p>
      <w:pPr>
        <w:ind w:left="660" w:right="680" w:firstLine="645"/>
        <w:spacing w:after="0" w:line="277" w:lineRule="auto"/>
        <w:tabs>
          <w:tab w:leader="none" w:pos="156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SARs are converted, 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80"/>
          </w:cols>
          <w:pgMar w:left="240" w:top="121"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tax-free basis, into SARs over shares of an acquiring corporation that is publicly traded on a national securities exchange; or</w:t>
      </w:r>
    </w:p>
    <w:p>
      <w:pPr>
        <w:spacing w:after="0" w:line="225" w:lineRule="exact"/>
        <w:rPr>
          <w:sz w:val="20"/>
          <w:szCs w:val="20"/>
          <w:color w:val="auto"/>
        </w:rPr>
      </w:pPr>
    </w:p>
    <w:p>
      <w:pPr>
        <w:jc w:val="both"/>
        <w:ind w:left="660" w:right="100" w:firstLine="645"/>
        <w:spacing w:after="0" w:line="259" w:lineRule="auto"/>
        <w:tabs>
          <w:tab w:leader="none" w:pos="156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3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60" w:lineRule="exact"/>
        <w:rPr>
          <w:sz w:val="20"/>
          <w:szCs w:val="20"/>
          <w:color w:val="auto"/>
        </w:rPr>
      </w:pPr>
    </w:p>
    <w:p>
      <w:pPr>
        <w:ind w:firstLine="656"/>
        <w:spacing w:after="0" w:line="290" w:lineRule="auto"/>
        <w:tabs>
          <w:tab w:leader="none" w:pos="89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Rights on Exercise</w:t>
      </w:r>
      <w:r>
        <w:rPr>
          <w:rFonts w:ascii="Arial" w:cs="Arial" w:eastAsia="Arial" w:hAnsi="Arial"/>
          <w:sz w:val="16"/>
          <w:szCs w:val="16"/>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66" w:lineRule="exact"/>
        <w:rPr>
          <w:rFonts w:ascii="Arial" w:cs="Arial" w:eastAsia="Arial" w:hAnsi="Arial"/>
          <w:sz w:val="16"/>
          <w:szCs w:val="16"/>
          <w:color w:val="auto"/>
        </w:rPr>
      </w:pPr>
    </w:p>
    <w:p>
      <w:pPr>
        <w:ind w:left="880" w:hanging="224"/>
        <w:spacing w:after="0"/>
        <w:tabs>
          <w:tab w:leader="none" w:pos="88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660" w:right="80" w:firstLine="645"/>
        <w:spacing w:after="0" w:line="259" w:lineRule="auto"/>
        <w:tabs>
          <w:tab w:leader="none" w:pos="156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186" w:lineRule="exact"/>
        <w:rPr>
          <w:rFonts w:ascii="Arial" w:cs="Arial" w:eastAsia="Arial" w:hAnsi="Arial"/>
          <w:sz w:val="18"/>
          <w:szCs w:val="18"/>
          <w:color w:val="auto"/>
        </w:rPr>
      </w:pPr>
    </w:p>
    <w:p>
      <w:pPr>
        <w:jc w:val="both"/>
        <w:ind w:left="660" w:right="240" w:firstLine="645"/>
        <w:spacing w:after="0" w:line="279" w:lineRule="auto"/>
        <w:tabs>
          <w:tab w:leader="none" w:pos="156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Disability shall have three (3) years from the date of such cessation to exercise any SAR granted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SAR shall be exercisable subsequent to ten (10)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171" w:lineRule="exact"/>
        <w:rPr>
          <w:rFonts w:ascii="Arial" w:cs="Arial" w:eastAsia="Arial" w:hAnsi="Arial"/>
          <w:sz w:val="17"/>
          <w:szCs w:val="17"/>
          <w:color w:val="auto"/>
        </w:rPr>
      </w:pPr>
    </w:p>
    <w:p>
      <w:pPr>
        <w:ind w:left="1560" w:hanging="255"/>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event of the death of an Employee while an Employee, any SAR granted to such Employee shall be exercisable:</w:t>
      </w:r>
    </w:p>
    <w:p>
      <w:pPr>
        <w:spacing w:after="0" w:line="225" w:lineRule="exact"/>
        <w:rPr>
          <w:rFonts w:ascii="Arial" w:cs="Arial" w:eastAsia="Arial" w:hAnsi="Arial"/>
          <w:sz w:val="18"/>
          <w:szCs w:val="18"/>
          <w:color w:val="auto"/>
        </w:rPr>
      </w:pPr>
    </w:p>
    <w:p>
      <w:pPr>
        <w:ind w:left="2240" w:hanging="287"/>
        <w:spacing w:after="0"/>
        <w:tabs>
          <w:tab w:leader="none" w:pos="224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for three (3) years after the Employee’s death, but in no event later than ten (10) years from its date of grant;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80"/>
          </w:cols>
          <w:pgMar w:left="240" w:top="121"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left="1300" w:right="120" w:firstLine="653"/>
        <w:spacing w:after="0" w:line="302" w:lineRule="auto"/>
        <w:tabs>
          <w:tab w:leader="none" w:pos="2233" w:val="left"/>
        </w:tabs>
        <w:numPr>
          <w:ilvl w:val="3"/>
          <w:numId w:val="152"/>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 (3) by the person or persons to whom the deceased Employee’s rights under the SAR shall pass by will or the laws of descent and distribution; and</w:t>
      </w:r>
    </w:p>
    <w:p>
      <w:pPr>
        <w:spacing w:after="0" w:line="154" w:lineRule="exact"/>
        <w:rPr>
          <w:rFonts w:ascii="Arial" w:cs="Arial" w:eastAsia="Arial" w:hAnsi="Arial"/>
          <w:sz w:val="16"/>
          <w:szCs w:val="16"/>
          <w:color w:val="auto"/>
        </w:rPr>
      </w:pPr>
    </w:p>
    <w:p>
      <w:pPr>
        <w:ind w:left="1300" w:right="80" w:firstLine="653"/>
        <w:spacing w:after="0" w:line="342" w:lineRule="auto"/>
        <w:tabs>
          <w:tab w:leader="none" w:pos="2233" w:val="left"/>
        </w:tabs>
        <w:numPr>
          <w:ilvl w:val="3"/>
          <w:numId w:val="152"/>
        </w:numPr>
        <w:rPr>
          <w:rFonts w:ascii="Arial" w:cs="Arial" w:eastAsia="Arial" w:hAnsi="Arial"/>
          <w:sz w:val="16"/>
          <w:szCs w:val="16"/>
          <w:color w:val="auto"/>
        </w:rPr>
      </w:pPr>
      <w:r>
        <w:rPr>
          <w:rFonts w:ascii="Arial" w:cs="Arial" w:eastAsia="Arial" w:hAnsi="Arial"/>
          <w:sz w:val="16"/>
          <w:szCs w:val="16"/>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23" w:lineRule="exact"/>
        <w:rPr>
          <w:rFonts w:ascii="Arial" w:cs="Arial" w:eastAsia="Arial" w:hAnsi="Arial"/>
          <w:sz w:val="16"/>
          <w:szCs w:val="16"/>
          <w:color w:val="auto"/>
        </w:rPr>
      </w:pPr>
    </w:p>
    <w:p>
      <w:pPr>
        <w:jc w:val="both"/>
        <w:ind w:left="660" w:right="200" w:firstLine="645"/>
        <w:spacing w:after="0" w:line="264" w:lineRule="auto"/>
        <w:tabs>
          <w:tab w:leader="none" w:pos="1563" w:val="left"/>
        </w:tabs>
        <w:numPr>
          <w:ilvl w:val="2"/>
          <w:numId w:val="153"/>
        </w:numPr>
        <w:rPr>
          <w:rFonts w:ascii="Arial" w:cs="Arial" w:eastAsia="Arial" w:hAnsi="Arial"/>
          <w:sz w:val="18"/>
          <w:szCs w:val="18"/>
          <w:color w:val="auto"/>
        </w:rPr>
      </w:pPr>
      <w:r>
        <w:rPr>
          <w:rFonts w:ascii="Arial" w:cs="Arial" w:eastAsia="Arial" w:hAnsi="Arial"/>
          <w:sz w:val="18"/>
          <w:szCs w:val="18"/>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181" w:lineRule="exact"/>
        <w:rPr>
          <w:rFonts w:ascii="Arial" w:cs="Arial" w:eastAsia="Arial" w:hAnsi="Arial"/>
          <w:sz w:val="18"/>
          <w:szCs w:val="18"/>
          <w:color w:val="auto"/>
        </w:rPr>
      </w:pPr>
    </w:p>
    <w:p>
      <w:pPr>
        <w:ind w:left="660" w:right="40" w:firstLine="645"/>
        <w:spacing w:after="0" w:line="272" w:lineRule="auto"/>
        <w:tabs>
          <w:tab w:leader="none" w:pos="1563" w:val="left"/>
        </w:tabs>
        <w:numPr>
          <w:ilvl w:val="2"/>
          <w:numId w:val="153"/>
        </w:numPr>
        <w:rPr>
          <w:rFonts w:ascii="Arial" w:cs="Arial" w:eastAsia="Arial" w:hAnsi="Arial"/>
          <w:sz w:val="17"/>
          <w:szCs w:val="17"/>
          <w:color w:val="auto"/>
        </w:rPr>
      </w:pPr>
      <w:r>
        <w:rPr>
          <w:rFonts w:ascii="Arial" w:cs="Arial" w:eastAsia="Arial" w:hAnsi="Arial"/>
          <w:sz w:val="17"/>
          <w:szCs w:val="17"/>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spacing w:after="0" w:line="177" w:lineRule="exact"/>
        <w:rPr>
          <w:rFonts w:ascii="Arial" w:cs="Arial" w:eastAsia="Arial" w:hAnsi="Arial"/>
          <w:sz w:val="17"/>
          <w:szCs w:val="17"/>
          <w:color w:val="auto"/>
        </w:rPr>
      </w:pPr>
    </w:p>
    <w:p>
      <w:pPr>
        <w:ind w:firstLine="656"/>
        <w:spacing w:after="0" w:line="264" w:lineRule="auto"/>
        <w:tabs>
          <w:tab w:leader="none" w:pos="903"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SAR be exercisable subsequent to ten (10) years after its date of grant.</w:t>
      </w:r>
    </w:p>
    <w:p>
      <w:pPr>
        <w:spacing w:after="0" w:line="181" w:lineRule="exact"/>
        <w:rPr>
          <w:rFonts w:ascii="Arial" w:cs="Arial" w:eastAsia="Arial" w:hAnsi="Arial"/>
          <w:sz w:val="18"/>
          <w:szCs w:val="18"/>
          <w:color w:val="auto"/>
        </w:rPr>
      </w:pPr>
    </w:p>
    <w:p>
      <w:pPr>
        <w:ind w:firstLine="656"/>
        <w:spacing w:after="0" w:line="272" w:lineRule="auto"/>
        <w:tabs>
          <w:tab w:leader="none" w:pos="903"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73" w:lineRule="exact"/>
        <w:rPr>
          <w:rFonts w:ascii="Arial" w:cs="Arial" w:eastAsia="Arial" w:hAnsi="Arial"/>
          <w:sz w:val="17"/>
          <w:szCs w:val="17"/>
          <w:color w:val="auto"/>
        </w:rPr>
      </w:pPr>
    </w:p>
    <w:p>
      <w:pPr>
        <w:ind w:left="280" w:hanging="272"/>
        <w:spacing w:after="0"/>
        <w:tabs>
          <w:tab w:leader="none" w:pos="2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UNITS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Performance Share Units granted under this Plan shall be subject to such terms and conditions not inconsistent with the Plan as the Administrator shall determine, including the following:</w:t>
      </w:r>
    </w:p>
    <w:p>
      <w:pPr>
        <w:spacing w:after="0" w:line="170" w:lineRule="exact"/>
        <w:rPr>
          <w:sz w:val="20"/>
          <w:szCs w:val="20"/>
          <w:color w:val="auto"/>
        </w:rPr>
      </w:pPr>
    </w:p>
    <w:p>
      <w:pPr>
        <w:ind w:right="260" w:firstLine="656"/>
        <w:spacing w:after="0" w:line="277" w:lineRule="auto"/>
        <w:tabs>
          <w:tab w:leader="none" w:pos="89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Performance Share Units shall be confirmed by the execution of a Performance Share Unit Agreement. The terms of any Performance Share Unit Agreement shall specify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60"/>
          </w:cols>
          <w:pgMar w:left="240" w:top="121"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target number of Performance Share Units established for the Participant, the applicable performance conditions, the performance period, and any vesting period applicable to the Award.</w:t>
      </w:r>
    </w:p>
    <w:p>
      <w:pPr>
        <w:spacing w:after="0" w:line="170" w:lineRule="exact"/>
        <w:rPr>
          <w:sz w:val="20"/>
          <w:szCs w:val="20"/>
          <w:color w:val="auto"/>
        </w:rPr>
      </w:pPr>
    </w:p>
    <w:p>
      <w:pPr>
        <w:ind w:right="40" w:firstLine="656"/>
        <w:spacing w:after="0" w:line="270" w:lineRule="auto"/>
        <w:tabs>
          <w:tab w:leader="none" w:pos="903"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Performance Conditions</w:t>
      </w:r>
      <w:r>
        <w:rPr>
          <w:rFonts w:ascii="Arial" w:cs="Arial" w:eastAsia="Arial" w:hAnsi="Arial"/>
          <w:sz w:val="17"/>
          <w:szCs w:val="17"/>
          <w:color w:val="auto"/>
        </w:rPr>
        <w:t>. The Administrator shall set performance conditions based upon the achievement of specific performance objectives. The Administrator may also set vesting conditions based on the continued employment of a Participant who is an Employee or based on the continued service of a Participant who is a Director, which may or may not run concurrently with the performance period. For purposes of qualifying Performance Share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Performance Share Units to qualify as “performance-based compensation under Section 162(m) of the Code and the Committee shall follow any procedures determined by it from time to time to be necessary or appropriate to ensure qualification of the Performance Share Units under Section 162(m) of the Code, including, without limitation, written certification by the Committee that the performance objectives and other applicable conditions have been satisfied before any payment is made in respect of an Award of Performance Share Units.</w:t>
      </w:r>
    </w:p>
    <w:p>
      <w:pPr>
        <w:spacing w:after="0" w:line="181" w:lineRule="exact"/>
        <w:rPr>
          <w:rFonts w:ascii="Arial" w:cs="Arial" w:eastAsia="Arial" w:hAnsi="Arial"/>
          <w:sz w:val="17"/>
          <w:szCs w:val="17"/>
          <w:color w:val="auto"/>
        </w:rPr>
      </w:pPr>
    </w:p>
    <w:p>
      <w:pPr>
        <w:ind w:firstLine="656"/>
        <w:spacing w:after="0" w:line="287" w:lineRule="auto"/>
        <w:tabs>
          <w:tab w:leader="none" w:pos="893"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Award Calculation and Payment</w:t>
      </w:r>
      <w:r>
        <w:rPr>
          <w:rFonts w:ascii="Arial" w:cs="Arial" w:eastAsia="Arial" w:hAnsi="Arial"/>
          <w:sz w:val="16"/>
          <w:szCs w:val="16"/>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172" w:lineRule="exact"/>
        <w:rPr>
          <w:rFonts w:ascii="Arial" w:cs="Arial" w:eastAsia="Arial" w:hAnsi="Arial"/>
          <w:sz w:val="16"/>
          <w:szCs w:val="16"/>
          <w:color w:val="auto"/>
        </w:rPr>
      </w:pPr>
    </w:p>
    <w:p>
      <w:pPr>
        <w:ind w:left="920" w:hanging="264"/>
        <w:spacing w:after="0"/>
        <w:tabs>
          <w:tab w:leader="none" w:pos="92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660" w:right="420" w:firstLine="645"/>
        <w:spacing w:after="0" w:line="277" w:lineRule="auto"/>
        <w:tabs>
          <w:tab w:leader="none" w:pos="156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170" w:lineRule="exact"/>
        <w:rPr>
          <w:rFonts w:ascii="Arial" w:cs="Arial" w:eastAsia="Arial" w:hAnsi="Arial"/>
          <w:sz w:val="18"/>
          <w:szCs w:val="18"/>
          <w:color w:val="auto"/>
        </w:rPr>
      </w:pPr>
    </w:p>
    <w:p>
      <w:pPr>
        <w:jc w:val="both"/>
        <w:ind w:left="660" w:right="140" w:firstLine="645"/>
        <w:spacing w:after="0" w:line="286" w:lineRule="auto"/>
        <w:tabs>
          <w:tab w:leader="none" w:pos="156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performance condition had been achieved at the end of the performance period.</w:t>
      </w:r>
    </w:p>
    <w:p>
      <w:pPr>
        <w:spacing w:after="0" w:line="165" w:lineRule="exact"/>
        <w:rPr>
          <w:rFonts w:ascii="Arial" w:cs="Arial" w:eastAsia="Arial" w:hAnsi="Arial"/>
          <w:sz w:val="17"/>
          <w:szCs w:val="17"/>
          <w:color w:val="auto"/>
        </w:rPr>
      </w:pPr>
    </w:p>
    <w:p>
      <w:pPr>
        <w:ind w:left="660" w:right="40" w:firstLine="645"/>
        <w:spacing w:after="0" w:line="302" w:lineRule="auto"/>
        <w:tabs>
          <w:tab w:leader="none" w:pos="156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For Awards of Performance Share Units granted on or after February 11, 2014, 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166" w:lineRule="exact"/>
        <w:rPr>
          <w:sz w:val="20"/>
          <w:szCs w:val="20"/>
          <w:color w:val="auto"/>
        </w:rPr>
      </w:pPr>
    </w:p>
    <w:p>
      <w:pPr>
        <w:ind w:firstLine="656"/>
        <w:spacing w:after="0" w:line="268" w:lineRule="auto"/>
        <w:tabs>
          <w:tab w:leader="none" w:pos="89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Vesting on Triggering Event</w:t>
      </w:r>
      <w:r>
        <w:rPr>
          <w:rFonts w:ascii="Arial" w:cs="Arial" w:eastAsia="Arial" w:hAnsi="Arial"/>
          <w:sz w:val="17"/>
          <w:szCs w:val="17"/>
          <w:color w:val="auto"/>
        </w:rPr>
        <w:t>. Except as determined otherwise by the Administrator, notwithstanding anything to the contrary herein contained, for Awards of Performance Share Units made on or after February 11, 2014, where a Participant ceases to be an Employee during the two-year period following a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 upon a Triggering Event, any Performance Share Units then held by such Participant that have not yet been earned and/or vested shall become earned and vested on the date of the Triggering Event to the same extent they would have otherwise been earned if the Employee would have been an Employee on the date of the Triggering Event and had been terminated other than for Cause immediately thereafter.</w:t>
      </w:r>
    </w:p>
    <w:p>
      <w:pPr>
        <w:spacing w:after="0" w:line="185" w:lineRule="exact"/>
        <w:rPr>
          <w:rFonts w:ascii="Arial" w:cs="Arial" w:eastAsia="Arial" w:hAnsi="Arial"/>
          <w:sz w:val="17"/>
          <w:szCs w:val="17"/>
          <w:color w:val="auto"/>
        </w:rPr>
      </w:pPr>
    </w:p>
    <w:p>
      <w:pPr>
        <w:ind w:firstLine="656"/>
        <w:spacing w:after="0" w:line="271" w:lineRule="auto"/>
        <w:tabs>
          <w:tab w:leader="none" w:pos="87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Except as provided below, Performance Share Units may not be sold, assigned, conveyed, donated, pledged, transferred or otherwise disposed of or encumbered or subjected to execution, attachment, or similar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78" w:lineRule="exact"/>
        <w:rPr>
          <w:rFonts w:ascii="Arial" w:cs="Arial" w:eastAsia="Arial" w:hAnsi="Arial"/>
          <w:sz w:val="17"/>
          <w:szCs w:val="17"/>
          <w:color w:val="auto"/>
        </w:rPr>
      </w:pPr>
    </w:p>
    <w:p>
      <w:pPr>
        <w:ind w:right="160" w:firstLine="656"/>
        <w:spacing w:after="0" w:line="286" w:lineRule="auto"/>
        <w:tabs>
          <w:tab w:leader="none" w:pos="90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No Rights as Shareholders</w:t>
      </w:r>
      <w:r>
        <w:rPr>
          <w:rFonts w:ascii="Arial" w:cs="Arial" w:eastAsia="Arial" w:hAnsi="Arial"/>
          <w:sz w:val="17"/>
          <w:szCs w:val="17"/>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STOCK</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Deferred Stock granted under this Plan shall be subject to such terms and conditions not inconsistent with the Plan as the Administrator shall determine, including the following:</w:t>
      </w:r>
    </w:p>
    <w:p>
      <w:pPr>
        <w:spacing w:after="0" w:line="170" w:lineRule="exact"/>
        <w:rPr>
          <w:sz w:val="20"/>
          <w:szCs w:val="20"/>
          <w:color w:val="auto"/>
        </w:rPr>
      </w:pPr>
    </w:p>
    <w:p>
      <w:pPr>
        <w:ind w:left="5540" w:right="2000" w:hanging="4884"/>
        <w:spacing w:after="0" w:line="810" w:lineRule="auto"/>
        <w:tabs>
          <w:tab w:leader="none" w:pos="90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Deferred Stock shall be confirmed by the execution of a Deferred Stock Agreement. B-17</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firstLine="656"/>
        <w:spacing w:after="0" w:line="269" w:lineRule="auto"/>
        <w:tabs>
          <w:tab w:leader="none" w:pos="903"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Distributions of Shares</w:t>
      </w:r>
      <w:r>
        <w:rPr>
          <w:rFonts w:ascii="Arial" w:cs="Arial" w:eastAsia="Arial" w:hAnsi="Arial"/>
          <w:sz w:val="17"/>
          <w:szCs w:val="17"/>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Shares shall be distributed in respect of Deferred Stock prior to the date on which such Deferred Stock vests.</w:t>
      </w:r>
    </w:p>
    <w:p>
      <w:pPr>
        <w:spacing w:after="0" w:line="182" w:lineRule="exact"/>
        <w:rPr>
          <w:rFonts w:ascii="Arial" w:cs="Arial" w:eastAsia="Arial" w:hAnsi="Arial"/>
          <w:sz w:val="17"/>
          <w:szCs w:val="17"/>
          <w:color w:val="auto"/>
        </w:rPr>
      </w:pPr>
    </w:p>
    <w:p>
      <w:pPr>
        <w:ind w:left="900" w:hanging="244"/>
        <w:spacing w:after="0"/>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660" w:firstLine="388"/>
        <w:spacing w:after="0" w:line="277" w:lineRule="auto"/>
        <w:tabs>
          <w:tab w:leader="none" w:pos="130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70" w:lineRule="exact"/>
        <w:rPr>
          <w:rFonts w:ascii="Arial" w:cs="Arial" w:eastAsia="Arial" w:hAnsi="Arial"/>
          <w:sz w:val="18"/>
          <w:szCs w:val="18"/>
          <w:color w:val="auto"/>
        </w:rPr>
      </w:pPr>
    </w:p>
    <w:p>
      <w:pPr>
        <w:ind w:left="660" w:right="320" w:firstLine="388"/>
        <w:spacing w:after="0" w:line="308" w:lineRule="auto"/>
        <w:tabs>
          <w:tab w:leader="none" w:pos="1306"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 the event a Participant ceases to be an Employee on or after such person’s normal Retirement date or due to early retirement with the consent of the Administrator, or due to death or Disability, all Deferred Stock then held by such Participant shall immediately vest.</w:t>
      </w:r>
    </w:p>
    <w:p>
      <w:pPr>
        <w:spacing w:after="0" w:line="146" w:lineRule="exact"/>
        <w:rPr>
          <w:rFonts w:ascii="Arial" w:cs="Arial" w:eastAsia="Arial" w:hAnsi="Arial"/>
          <w:sz w:val="17"/>
          <w:szCs w:val="17"/>
          <w:color w:val="auto"/>
        </w:rPr>
      </w:pPr>
    </w:p>
    <w:p>
      <w:pPr>
        <w:ind w:right="20" w:firstLine="656"/>
        <w:spacing w:after="0" w:line="277" w:lineRule="auto"/>
        <w:tabs>
          <w:tab w:leader="none" w:pos="90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Except as determined otherwise by the Administrator, notwithstanding anything to the contrary herein contained, in connection with a Triggering Event, all deferred stock then held by Participants shall immediately vest upon any of the following:</w:t>
      </w:r>
    </w:p>
    <w:p>
      <w:pPr>
        <w:spacing w:after="0" w:line="170" w:lineRule="exact"/>
        <w:rPr>
          <w:rFonts w:ascii="Arial" w:cs="Arial" w:eastAsia="Arial" w:hAnsi="Arial"/>
          <w:sz w:val="18"/>
          <w:szCs w:val="18"/>
          <w:color w:val="auto"/>
        </w:rPr>
      </w:pPr>
    </w:p>
    <w:p>
      <w:pPr>
        <w:ind w:left="660" w:right="320" w:firstLine="645"/>
        <w:spacing w:after="0" w:line="342" w:lineRule="auto"/>
        <w:tabs>
          <w:tab w:leader="none" w:pos="1563"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23" w:lineRule="exact"/>
        <w:rPr>
          <w:rFonts w:ascii="Arial" w:cs="Arial" w:eastAsia="Arial" w:hAnsi="Arial"/>
          <w:sz w:val="16"/>
          <w:szCs w:val="16"/>
          <w:color w:val="auto"/>
        </w:rPr>
      </w:pPr>
    </w:p>
    <w:p>
      <w:pPr>
        <w:ind w:left="660" w:right="240" w:firstLine="645"/>
        <w:spacing w:after="0" w:line="264" w:lineRule="auto"/>
        <w:tabs>
          <w:tab w:leader="none" w:pos="1563" w:val="left"/>
        </w:tabs>
        <w:numPr>
          <w:ilvl w:val="2"/>
          <w:numId w:val="160"/>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181" w:lineRule="exact"/>
        <w:rPr>
          <w:rFonts w:ascii="Arial" w:cs="Arial" w:eastAsia="Arial" w:hAnsi="Arial"/>
          <w:sz w:val="18"/>
          <w:szCs w:val="18"/>
          <w:color w:val="auto"/>
        </w:rPr>
      </w:pPr>
    </w:p>
    <w:p>
      <w:pPr>
        <w:ind w:left="660" w:right="100" w:firstLine="645"/>
        <w:spacing w:after="0" w:line="259" w:lineRule="auto"/>
        <w:tabs>
          <w:tab w:leader="none" w:pos="1563"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SARs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w:t>
      </w:r>
    </w:p>
    <w:p>
      <w:pPr>
        <w:spacing w:after="0" w:line="279" w:lineRule="exact"/>
        <w:rPr>
          <w:sz w:val="20"/>
          <w:szCs w:val="20"/>
          <w:color w:val="auto"/>
        </w:rPr>
      </w:pPr>
    </w:p>
    <w:p>
      <w:pPr>
        <w:ind w:right="60" w:firstLine="656"/>
        <w:spacing w:after="0" w:line="264" w:lineRule="auto"/>
        <w:tabs>
          <w:tab w:leader="none" w:pos="89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provided below, Deferred Stock may not be sold, assigned, conveyed, donated, pledged, transferred or otherwise disposed of or encumbered or subjected to execution, attachment, or similar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Shares distributed in respect of such Deferred Stock may be transferred in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40" w:top="121"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93" w:lineRule="exact"/>
        <w:rPr>
          <w:sz w:val="20"/>
          <w:szCs w:val="20"/>
          <w:color w:val="auto"/>
        </w:rPr>
      </w:pPr>
    </w:p>
    <w:p>
      <w:pPr>
        <w:jc w:val="both"/>
        <w:ind w:right="180" w:firstLine="656"/>
        <w:spacing w:after="0" w:line="264" w:lineRule="auto"/>
        <w:tabs>
          <w:tab w:leader="none" w:pos="87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w:t>
      </w:r>
      <w:r>
        <w:rPr>
          <w:rFonts w:ascii="Arial" w:cs="Arial" w:eastAsia="Arial" w:hAnsi="Arial"/>
          <w:sz w:val="18"/>
          <w:szCs w:val="18"/>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81" w:lineRule="exact"/>
        <w:rPr>
          <w:rFonts w:ascii="Arial" w:cs="Arial" w:eastAsia="Arial" w:hAnsi="Arial"/>
          <w:sz w:val="18"/>
          <w:szCs w:val="18"/>
          <w:color w:val="auto"/>
        </w:rPr>
      </w:pPr>
    </w:p>
    <w:p>
      <w:pPr>
        <w:ind w:right="40" w:firstLine="656"/>
        <w:spacing w:after="0" w:line="269" w:lineRule="auto"/>
        <w:tabs>
          <w:tab w:leader="none" w:pos="903"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Except as otherwise provided by the Administrator at the time of grant, if a Participant holds Deferred Stock on the last day of any fiscal year of the Company, the Participant shall be granted as of such date a number of additional shares of Deferred Stock equal to the quotient of (i) the aggregate amount of dividends (or other distributions) which would have been received by the Participant during such fiscal year if the shares of Deferred Stock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Deferred Stock. Where a distribution of Shares to a Participant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 Additional shares of Deferred Stock granted under this Subparagraph 11(g) shall vest and be distributed on the same terms and in the same proportions as the shares of Deferred Stock held by a Participant as of the record date or distribution date shall vest.</w:t>
      </w:r>
    </w:p>
    <w:p>
      <w:pPr>
        <w:spacing w:after="0" w:line="179" w:lineRule="exact"/>
        <w:rPr>
          <w:rFonts w:ascii="Arial" w:cs="Arial" w:eastAsia="Arial" w:hAnsi="Arial"/>
          <w:sz w:val="17"/>
          <w:szCs w:val="17"/>
          <w:color w:val="auto"/>
        </w:rPr>
      </w:pPr>
    </w:p>
    <w:p>
      <w:pPr>
        <w:ind w:right="120" w:firstLine="656"/>
        <w:spacing w:after="0" w:line="264" w:lineRule="auto"/>
        <w:tabs>
          <w:tab w:leader="none" w:pos="90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Accelerated Distribution</w:t>
      </w:r>
      <w:r>
        <w:rPr>
          <w:rFonts w:ascii="Arial" w:cs="Arial" w:eastAsia="Arial" w:hAnsi="Arial"/>
          <w:sz w:val="18"/>
          <w:szCs w:val="18"/>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LAWS AND REGULATIONS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80" w:hanging="272"/>
        <w:spacing w:after="0"/>
        <w:tabs>
          <w:tab w:leader="none" w:pos="2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229" w:lineRule="exact"/>
        <w:rPr>
          <w:rFonts w:ascii="Arial" w:cs="Arial" w:eastAsia="Arial" w:hAnsi="Arial"/>
          <w:sz w:val="18"/>
          <w:szCs w:val="18"/>
          <w:b w:val="1"/>
          <w:bCs w:val="1"/>
          <w:color w:val="auto"/>
        </w:rPr>
      </w:pPr>
    </w:p>
    <w:p>
      <w:pPr>
        <w:ind w:right="40" w:firstLine="656"/>
        <w:spacing w:after="0" w:line="291" w:lineRule="auto"/>
        <w:tabs>
          <w:tab w:leader="none" w:pos="89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Share Adjustments</w:t>
      </w:r>
      <w:r>
        <w:rPr>
          <w:rFonts w:ascii="Arial" w:cs="Arial" w:eastAsia="Arial" w:hAnsi="Arial"/>
          <w:sz w:val="16"/>
          <w:szCs w:val="16"/>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167" w:lineRule="exact"/>
        <w:rPr>
          <w:rFonts w:ascii="Arial" w:cs="Arial" w:eastAsia="Arial" w:hAnsi="Arial"/>
          <w:sz w:val="16"/>
          <w:szCs w:val="16"/>
          <w:color w:val="auto"/>
        </w:rPr>
      </w:pPr>
    </w:p>
    <w:p>
      <w:pPr>
        <w:ind w:firstLine="656"/>
        <w:spacing w:after="0" w:line="297" w:lineRule="auto"/>
        <w:tabs>
          <w:tab w:leader="none" w:pos="90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158" w:lineRule="exact"/>
        <w:rPr>
          <w:rFonts w:ascii="Arial" w:cs="Arial" w:eastAsia="Arial" w:hAnsi="Arial"/>
          <w:sz w:val="16"/>
          <w:szCs w:val="16"/>
          <w:color w:val="auto"/>
        </w:rPr>
      </w:pPr>
    </w:p>
    <w:p>
      <w:pPr>
        <w:ind w:right="220" w:firstLine="656"/>
        <w:spacing w:after="0" w:line="277" w:lineRule="auto"/>
        <w:tabs>
          <w:tab w:leader="none" w:pos="89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waiver, conversion or other action taken by the Administrator under this Paragraph 13 shall be conclusive and binding on all Participants.</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88" w:lineRule="exact"/>
        <w:rPr>
          <w:rFonts w:ascii="Arial" w:cs="Arial" w:eastAsia="Arial" w:hAnsi="Arial"/>
          <w:sz w:val="18"/>
          <w:szCs w:val="18"/>
          <w:b w:val="1"/>
          <w:bCs w:val="1"/>
          <w:color w:val="auto"/>
        </w:rPr>
      </w:pPr>
    </w:p>
    <w:p>
      <w:pPr>
        <w:ind w:right="20" w:firstLine="656"/>
        <w:spacing w:after="0" w:line="273" w:lineRule="auto"/>
        <w:tabs>
          <w:tab w:leader="none" w:pos="893"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Options and SARs</w:t>
      </w:r>
      <w:r>
        <w:rPr>
          <w:rFonts w:ascii="Arial" w:cs="Arial" w:eastAsia="Arial" w:hAnsi="Arial"/>
          <w:sz w:val="17"/>
          <w:szCs w:val="17"/>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(based on the opening sale price per Share on the New York Stock Exchange on the date the Option or SAR is exercised) equal to the amount of the required withholding tax.</w:t>
      </w:r>
    </w:p>
    <w:p>
      <w:pPr>
        <w:spacing w:after="0" w:line="178" w:lineRule="exact"/>
        <w:rPr>
          <w:rFonts w:ascii="Arial" w:cs="Arial" w:eastAsia="Arial" w:hAnsi="Arial"/>
          <w:sz w:val="17"/>
          <w:szCs w:val="17"/>
          <w:color w:val="auto"/>
        </w:rPr>
      </w:pPr>
    </w:p>
    <w:p>
      <w:pPr>
        <w:ind w:right="60" w:firstLine="656"/>
        <w:spacing w:after="0" w:line="293" w:lineRule="auto"/>
        <w:tabs>
          <w:tab w:leader="none" w:pos="90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opening sale price per Share on the New York Stock Exchange on the date the Shares are withheld) equal to the amount of the required withholding tax.</w:t>
      </w:r>
    </w:p>
    <w:p>
      <w:pPr>
        <w:spacing w:after="0" w:line="164" w:lineRule="exact"/>
        <w:rPr>
          <w:rFonts w:ascii="Arial" w:cs="Arial" w:eastAsia="Arial" w:hAnsi="Arial"/>
          <w:sz w:val="16"/>
          <w:szCs w:val="16"/>
          <w:color w:val="auto"/>
        </w:rPr>
      </w:pPr>
    </w:p>
    <w:p>
      <w:pPr>
        <w:ind w:right="180" w:firstLine="656"/>
        <w:spacing w:after="0" w:line="259" w:lineRule="auto"/>
        <w:tabs>
          <w:tab w:leader="none" w:pos="89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Restricted Stock Units, Performance Share Units and Deferred Stock</w:t>
      </w:r>
      <w:r>
        <w:rPr>
          <w:rFonts w:ascii="Arial" w:cs="Arial" w:eastAsia="Arial" w:hAnsi="Arial"/>
          <w:sz w:val="18"/>
          <w:szCs w:val="18"/>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(based on the opening sale price per Share on the New York Stock Exchange on the date the Shares are withheld) equal to the amount of the required withholding tax.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EFFECTIVENESS OF THE PLAN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Plan, as approved by the Company’s Executive Compensation and Human Resources Committee and Board of Directors, shall become effective as of the date of such approval, subject to ratification of the Plan by the vote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TERMINATION AND AMENDMENT</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Unless the Plan shall theretofore have been terminated as hereinafter provided, no Award shall be granted after February 16, 2021.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except in accordance with Paragraph 13 of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BENEFIT AND COMPENSATION PROGRAMS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121"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FORFEITURE OF AMOUNTS PAID UNDER THE PLAN</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shall have the right to require any Participant to forfeit and return to the Company any award made to the Participant pursuant to this Plan (or amounts realized thereon) consistent with any recoupment policy maintained by the Company under Section 954 of the Dodd-Frank Wall Street Reform and Consumer Protection Act or any Securities and Exchange Commission Rule, as such policy is amended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NO RIGHT TO EMPLOYMENT.</w:t>
      </w:r>
    </w:p>
    <w:p>
      <w:pPr>
        <w:spacing w:after="0" w:line="22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LIMITATIONS ON FULL-VALUE AWARD GRANTS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Notwithstanding any other provision of this Plan, for any grant of Performance Share Units, Restricted Stock, Restricted Stock Units, or other full-value award under the plan:</w:t>
      </w:r>
    </w:p>
    <w:p>
      <w:pPr>
        <w:spacing w:after="0" w:line="170" w:lineRule="exact"/>
        <w:rPr>
          <w:sz w:val="20"/>
          <w:szCs w:val="20"/>
          <w:color w:val="auto"/>
        </w:rPr>
      </w:pPr>
    </w:p>
    <w:p>
      <w:pPr>
        <w:ind w:left="880" w:hanging="480"/>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that is earned based on performance, the minimum performance period will be one year; or</w:t>
      </w:r>
    </w:p>
    <w:p>
      <w:pPr>
        <w:spacing w:after="0" w:line="225" w:lineRule="exact"/>
        <w:rPr>
          <w:rFonts w:ascii="Arial" w:cs="Arial" w:eastAsia="Arial" w:hAnsi="Arial"/>
          <w:sz w:val="18"/>
          <w:szCs w:val="18"/>
          <w:color w:val="auto"/>
        </w:rPr>
      </w:pPr>
    </w:p>
    <w:p>
      <w:pPr>
        <w:ind w:left="880" w:right="60" w:hanging="494"/>
        <w:spacing w:after="0" w:line="277"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that is earned based on tenure (and is not covered under subparagraph (a)), the minimum restricted period will be three years, provided that such minimum three-year restriction will not apply to grants representing up to 125,000 shares.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avoidance of doubt, the limitations on the minimum restricted period herein shall not prevent the Administrator from granting Awards which may vest prior to the end of such three year period in the event of a Participant’s death, Disability, or Retirement (or early retirement with the consent of the Administrator), or in connection with a Triggering Event where such accelerated vesting is otherwise consistent with the terms of this Plan. Further, for the avoidance of doubt, the minimum restricted period of three-years herein shall not prevent the Administrator from granting Awards which vest in pro rata installments (e.g., monthly or annually) over a minimum period of three-years.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GOVERNING LAW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shall be governed by and interpreted in accordance with the laws of the State of Wisconsin, United States of America, without regard to its conflict of law provisions.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340"/>
          </w:cols>
          <w:pgMar w:left="240" w:top="121"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SECTION A</w:t>
      </w:r>
    </w:p>
    <w:p>
      <w:pPr>
        <w:spacing w:after="0" w:line="225" w:lineRule="exact"/>
        <w:rPr>
          <w:sz w:val="20"/>
          <w:szCs w:val="20"/>
          <w:color w:val="auto"/>
        </w:rPr>
      </w:pPr>
    </w:p>
    <w:p>
      <w:pPr>
        <w:ind w:left="180" w:hanging="172"/>
        <w:spacing w:after="0"/>
        <w:tabs>
          <w:tab w:leader="none" w:pos="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ind w:right="40" w:firstLine="656"/>
        <w:spacing w:after="0" w:line="312" w:lineRule="auto"/>
        <w:tabs>
          <w:tab w:leader="none" w:pos="89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46" w:lineRule="exact"/>
        <w:rPr>
          <w:rFonts w:ascii="Arial" w:cs="Arial" w:eastAsia="Arial" w:hAnsi="Arial"/>
          <w:sz w:val="16"/>
          <w:szCs w:val="16"/>
          <w:color w:val="auto"/>
        </w:rPr>
      </w:pPr>
    </w:p>
    <w:p>
      <w:pPr>
        <w:ind w:left="920" w:hanging="264"/>
        <w:spacing w:after="0"/>
        <w:tabs>
          <w:tab w:leader="none" w:pos="9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SARs shall not be granted to Employees under the Scheme.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Neither Restricted Stock, Restricted Stock Units, Performance Share Units nor Deferred Stock shall be granted to Employees under the Scheme.</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Paragraph 18 of the Main Plan shall not apply to this Section A.</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Scheme the following words and expressions have the following meanings except where the context otherwise requires:</w:t>
      </w:r>
    </w:p>
    <w:p>
      <w:pPr>
        <w:spacing w:after="0" w:line="225" w:lineRule="exact"/>
        <w:rPr>
          <w:sz w:val="20"/>
          <w:szCs w:val="20"/>
          <w:color w:val="auto"/>
        </w:rPr>
      </w:pPr>
    </w:p>
    <w:p>
      <w:pPr>
        <w:ind w:left="900" w:hanging="244"/>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“Act” shall mean the Income Tax (Earnings and Pensions) Act 2003.</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“Approval” shall mean approval under Schedule 4.</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“Approved Scheme” shall mean a share option scheme, other than a savings-related share option scheme, approved under Schedule 4.</w:t>
      </w:r>
    </w:p>
    <w:p>
      <w:pPr>
        <w:spacing w:after="0" w:line="236" w:lineRule="exact"/>
        <w:rPr>
          <w:rFonts w:ascii="Arial" w:cs="Arial" w:eastAsia="Arial" w:hAnsi="Arial"/>
          <w:sz w:val="17"/>
          <w:szCs w:val="17"/>
          <w:color w:val="auto"/>
        </w:rPr>
      </w:pPr>
    </w:p>
    <w:p>
      <w:pPr>
        <w:ind w:right="280" w:firstLine="656"/>
        <w:spacing w:after="0" w:line="277" w:lineRule="auto"/>
        <w:tabs>
          <w:tab w:leader="none" w:pos="90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“Employee” shall mean any employee of the Company or its Subsidiaries, provided that no person who is precluded from participating in the Scheme by paragraph 9 of Schedule 4 shall be regarded as an Employee.</w:t>
      </w:r>
    </w:p>
    <w:p>
      <w:pPr>
        <w:spacing w:after="0" w:line="143" w:lineRule="exact"/>
        <w:rPr>
          <w:rFonts w:ascii="Arial" w:cs="Arial" w:eastAsia="Arial" w:hAnsi="Arial"/>
          <w:sz w:val="18"/>
          <w:szCs w:val="18"/>
          <w:color w:val="auto"/>
        </w:rPr>
      </w:pPr>
    </w:p>
    <w:p>
      <w:pPr>
        <w:ind w:firstLine="656"/>
        <w:spacing w:after="0" w:line="302" w:lineRule="auto"/>
        <w:tabs>
          <w:tab w:leader="none" w:pos="89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“Exercise Price” shall mean the Market Price as defined in Paragraph 2(q) of the Main Plan (save that the proviso to that Paragraph 2(q) shall not apply) on the date of grant of an Option;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154" w:lineRule="exact"/>
        <w:rPr>
          <w:rFonts w:ascii="Arial" w:cs="Arial" w:eastAsia="Arial" w:hAnsi="Arial"/>
          <w:sz w:val="16"/>
          <w:szCs w:val="16"/>
          <w:color w:val="auto"/>
        </w:rPr>
      </w:pPr>
    </w:p>
    <w:p>
      <w:pPr>
        <w:ind w:right="40" w:firstLine="656"/>
        <w:spacing w:after="0" w:line="259" w:lineRule="auto"/>
        <w:tabs>
          <w:tab w:leader="none" w:pos="8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“Redundancy” shall mean dismissal by reason of redundancy within the meaning of the Employment Rights Act 1996.</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“Revenue” shall mean Her Majesty’s Revenue and Customs.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360"/>
          </w:cols>
          <w:pgMar w:left="240" w:top="121"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880" w:hanging="224"/>
        <w:spacing w:after="0"/>
        <w:tabs>
          <w:tab w:leader="none" w:pos="8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“Revenue Limit” shall mean £30,000 or such other amount as may from time to time be the appropriate limit for the purpose of paragraph 6(1)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4.</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“Schedule 4” shall mean Schedule 4 to the 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“Share” shall mean $0.01 par value common stock of the Company which satisfies the conditions of paragraphs 15 to 20 of Schedule 4.</w:t>
      </w:r>
    </w:p>
    <w:p>
      <w:pPr>
        <w:spacing w:after="0" w:line="236" w:lineRule="exact"/>
        <w:rPr>
          <w:rFonts w:ascii="Arial" w:cs="Arial" w:eastAsia="Arial" w:hAnsi="Arial"/>
          <w:sz w:val="17"/>
          <w:szCs w:val="17"/>
          <w:color w:val="auto"/>
        </w:rPr>
      </w:pPr>
    </w:p>
    <w:p>
      <w:pPr>
        <w:ind w:right="760" w:firstLine="656"/>
        <w:spacing w:after="0" w:line="277" w:lineRule="auto"/>
        <w:tabs>
          <w:tab w:leader="none" w:pos="8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“Subsidiary” shall mean a company which is for the time being a subsidiary of the Company within the meaning of Section 1159 of the Companies Act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words or expressions, so far as not inconsistent with the context, have the same meanings as in Schedule 4.</w:t>
      </w:r>
    </w:p>
    <w:p>
      <w:pPr>
        <w:spacing w:after="0" w:line="225" w:lineRule="exact"/>
        <w:rPr>
          <w:sz w:val="20"/>
          <w:szCs w:val="20"/>
          <w:color w:val="auto"/>
        </w:rPr>
      </w:pPr>
    </w:p>
    <w:p>
      <w:pPr>
        <w:ind w:right="660" w:firstLine="648"/>
        <w:spacing w:after="0" w:line="223" w:lineRule="exact"/>
        <w:rPr>
          <w:sz w:val="20"/>
          <w:szCs w:val="20"/>
          <w:color w:val="auto"/>
        </w:rPr>
      </w:pPr>
      <w:r>
        <w:rPr>
          <w:rFonts w:ascii="Arial" w:cs="Arial" w:eastAsia="Arial" w:hAnsi="Arial"/>
          <w:sz w:val="18"/>
          <w:szCs w:val="18"/>
          <w:color w:val="auto"/>
        </w:rPr>
        <w:t>Any reference to a statutory provision shall be deemed to include that provision as the same may from time to time hereafter be amended or re</w:t>
      </w:r>
      <w:r>
        <w:rPr>
          <w:rFonts w:ascii="MS PGothic" w:cs="MS PGothic" w:eastAsia="MS PGothic" w:hAnsi="MS PGothic"/>
          <w:sz w:val="18"/>
          <w:szCs w:val="18"/>
          <w:color w:val="auto"/>
        </w:rPr>
        <w:t>‑</w:t>
      </w:r>
      <w:r>
        <w:rPr>
          <w:rFonts w:ascii="Arial" w:cs="Arial" w:eastAsia="Arial" w:hAnsi="Arial"/>
          <w:sz w:val="18"/>
          <w:szCs w:val="18"/>
          <w:color w:val="auto"/>
        </w:rPr>
        <w:t>enacted.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LIMITS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150"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p>
    <w:p>
      <w:pPr>
        <w:spacing w:after="0" w:line="229" w:lineRule="exact"/>
        <w:rPr>
          <w:rFonts w:ascii="Arial" w:cs="Arial" w:eastAsia="Arial" w:hAnsi="Arial"/>
          <w:sz w:val="18"/>
          <w:szCs w:val="18"/>
          <w:b w:val="1"/>
          <w:bCs w:val="1"/>
          <w:color w:val="auto"/>
        </w:rPr>
      </w:pPr>
    </w:p>
    <w:p>
      <w:pPr>
        <w:ind w:right="20" w:firstLine="656"/>
        <w:spacing w:after="0" w:line="264" w:lineRule="auto"/>
        <w:tabs>
          <w:tab w:leader="none" w:pos="8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181" w:lineRule="exact"/>
        <w:rPr>
          <w:rFonts w:ascii="Arial" w:cs="Arial" w:eastAsia="Arial" w:hAnsi="Arial"/>
          <w:sz w:val="18"/>
          <w:szCs w:val="18"/>
          <w:color w:val="auto"/>
        </w:rPr>
      </w:pPr>
    </w:p>
    <w:p>
      <w:pPr>
        <w:ind w:right="140" w:firstLine="656"/>
        <w:spacing w:after="0" w:line="277" w:lineRule="auto"/>
        <w:tabs>
          <w:tab w:leader="none" w:pos="90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 Option granted under the Scheme shall not be exercised by a Holder at any time when he is ineligible to participate by virtue of paragraph 9 of Schedule 4.</w:t>
      </w:r>
    </w:p>
    <w:p>
      <w:pPr>
        <w:spacing w:after="0" w:line="170" w:lineRule="exact"/>
        <w:rPr>
          <w:rFonts w:ascii="Arial" w:cs="Arial" w:eastAsia="Arial" w:hAnsi="Arial"/>
          <w:sz w:val="18"/>
          <w:szCs w:val="18"/>
          <w:color w:val="auto"/>
        </w:rPr>
      </w:pPr>
    </w:p>
    <w:p>
      <w:pPr>
        <w:ind w:right="240" w:firstLine="656"/>
        <w:spacing w:after="0" w:line="264" w:lineRule="auto"/>
        <w:tabs>
          <w:tab w:leader="none" w:pos="8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purposes of this Scheme, Subparagraph 7(g)(1) of the Main Plan shall not apply.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purposes of this Scheme, Subparagraph 7(g)(2) of the Main Plan shall read: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Options granted on or after February 11, 2014:</w:t>
      </w:r>
    </w:p>
    <w:p>
      <w:pPr>
        <w:spacing w:after="0" w:line="225" w:lineRule="exact"/>
        <w:rPr>
          <w:sz w:val="20"/>
          <w:szCs w:val="20"/>
          <w:color w:val="auto"/>
        </w:rPr>
      </w:pPr>
    </w:p>
    <w:p>
      <w:pPr>
        <w:ind w:left="660" w:right="40" w:firstLine="645"/>
        <w:spacing w:after="0" w:line="259" w:lineRule="auto"/>
        <w:tabs>
          <w:tab w:leader="none" w:pos="160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380"/>
          </w:cols>
          <w:pgMar w:left="240" w:top="121"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180" w:firstLine="645"/>
        <w:spacing w:after="0" w:line="273" w:lineRule="auto"/>
        <w:tabs>
          <w:tab w:leader="none" w:pos="1593"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178" w:lineRule="exact"/>
        <w:rPr>
          <w:rFonts w:ascii="Arial" w:cs="Arial" w:eastAsia="Arial" w:hAnsi="Arial"/>
          <w:sz w:val="17"/>
          <w:szCs w:val="17"/>
          <w:color w:val="auto"/>
        </w:rPr>
      </w:pPr>
    </w:p>
    <w:p>
      <w:pPr>
        <w:ind w:left="880" w:hanging="224"/>
        <w:spacing w:after="0"/>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purposes of this Scheme, Subparagraph 7(g)(3) shall read:</w:t>
      </w:r>
    </w:p>
    <w:p>
      <w:pPr>
        <w:spacing w:after="0" w:line="225" w:lineRule="exact"/>
        <w:rPr>
          <w:sz w:val="20"/>
          <w:szCs w:val="20"/>
          <w:color w:val="auto"/>
        </w:rPr>
      </w:pPr>
    </w:p>
    <w:p>
      <w:pPr>
        <w:ind w:left="660" w:right="240" w:firstLine="648"/>
        <w:spacing w:after="0" w:line="308" w:lineRule="auto"/>
        <w:rPr>
          <w:sz w:val="20"/>
          <w:szCs w:val="20"/>
          <w:color w:val="auto"/>
        </w:rPr>
      </w:pPr>
      <w:r>
        <w:rPr>
          <w:rFonts w:ascii="Arial" w:cs="Arial" w:eastAsia="Arial" w:hAnsi="Arial"/>
          <w:sz w:val="17"/>
          <w:szCs w:val="17"/>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47" w:lineRule="exact"/>
        <w:rPr>
          <w:sz w:val="20"/>
          <w:szCs w:val="20"/>
          <w:color w:val="auto"/>
        </w:rPr>
      </w:pPr>
    </w:p>
    <w:p>
      <w:pPr>
        <w:ind w:left="2240" w:hanging="287"/>
        <w:spacing w:after="0"/>
        <w:tabs>
          <w:tab w:leader="none" w:pos="22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for one (1) year from the date of the Employee’s death, but in no event later than ten (10) years from its date of grant; and</w:t>
      </w:r>
    </w:p>
    <w:p>
      <w:pPr>
        <w:spacing w:after="0" w:line="236" w:lineRule="exact"/>
        <w:rPr>
          <w:rFonts w:ascii="Arial" w:cs="Arial" w:eastAsia="Arial" w:hAnsi="Arial"/>
          <w:sz w:val="17"/>
          <w:szCs w:val="17"/>
          <w:color w:val="auto"/>
        </w:rPr>
      </w:pPr>
    </w:p>
    <w:p>
      <w:pPr>
        <w:ind w:left="2240" w:hanging="28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only by the personal representative, administrator or the representative of the estate of the deceased Employee.”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purposes of this Scheme, Subparagraph 7(g)(5) of the Main Plan shall read:</w:t>
      </w:r>
    </w:p>
    <w:p>
      <w:pPr>
        <w:spacing w:after="0" w:line="225" w:lineRule="exact"/>
        <w:rPr>
          <w:sz w:val="20"/>
          <w:szCs w:val="20"/>
          <w:color w:val="auto"/>
        </w:rPr>
      </w:pPr>
    </w:p>
    <w:p>
      <w:pPr>
        <w:ind w:left="660" w:firstLine="648"/>
        <w:spacing w:after="0" w:line="273" w:lineRule="auto"/>
        <w:rPr>
          <w:sz w:val="20"/>
          <w:szCs w:val="20"/>
          <w:color w:val="auto"/>
        </w:rPr>
      </w:pPr>
      <w:r>
        <w:rPr>
          <w:rFonts w:ascii="Arial" w:cs="Arial" w:eastAsia="Arial" w:hAnsi="Arial"/>
          <w:sz w:val="17"/>
          <w:szCs w:val="17"/>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For purposes of this Scheme, Subparagraph 7(h) of the Main Plan shall read:</w:t>
      </w:r>
    </w:p>
    <w:p>
      <w:pPr>
        <w:spacing w:after="0" w:line="225" w:lineRule="exact"/>
        <w:rPr>
          <w:sz w:val="20"/>
          <w:szCs w:val="20"/>
          <w:color w:val="auto"/>
        </w:rPr>
      </w:pPr>
    </w:p>
    <w:p>
      <w:pPr>
        <w:ind w:left="660" w:right="280" w:firstLine="648"/>
        <w:spacing w:after="0" w:line="312" w:lineRule="auto"/>
        <w:rPr>
          <w:sz w:val="20"/>
          <w:szCs w:val="20"/>
          <w:color w:val="auto"/>
        </w:rPr>
      </w:pPr>
      <w:r>
        <w:rPr>
          <w:rFonts w:ascii="Arial" w:cs="Arial" w:eastAsia="Arial" w:hAnsi="Arial"/>
          <w:sz w:val="16"/>
          <w:szCs w:val="16"/>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 Option be exercisable subsequent to ten (10) years after its date of grant, and provided further that such Option is exercised within one (1) year after the date of the Participant’s death.”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For purposes of this Scheme, Paragraph 14(a) of the Main Plan shall read:</w:t>
      </w:r>
    </w:p>
    <w:p>
      <w:pPr>
        <w:spacing w:after="0" w:line="225"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60" w:firstLine="645"/>
        <w:spacing w:after="0" w:line="277" w:lineRule="auto"/>
        <w:tabs>
          <w:tab w:leader="none" w:pos="15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age of 55 years is the retirement age specified in the Scheme in accordance with paragraph 35A of Schedule 4. This provision does not confer any right to exercise an Option on retirement on or after reaching that age."</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second paragraph of Paragraph 16 of the Main Plan providing for the amendment of outstanding Options shall not apply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Scheme.</w:t>
      </w:r>
    </w:p>
    <w:p>
      <w:pPr>
        <w:spacing w:after="0" w:line="238" w:lineRule="exact"/>
        <w:rPr>
          <w:sz w:val="20"/>
          <w:szCs w:val="20"/>
          <w:color w:val="auto"/>
        </w:rPr>
      </w:pPr>
    </w:p>
    <w:p>
      <w:pPr>
        <w:jc w:val="both"/>
        <w:ind w:firstLine="656"/>
        <w:spacing w:after="0" w:line="286" w:lineRule="auto"/>
        <w:tabs>
          <w:tab w:leader="none" w:pos="103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192" w:lineRule="exact"/>
        <w:rPr>
          <w:rFonts w:ascii="Arial" w:cs="Arial" w:eastAsia="Arial" w:hAnsi="Arial"/>
          <w:sz w:val="17"/>
          <w:szCs w:val="17"/>
          <w:color w:val="auto"/>
        </w:rPr>
      </w:pPr>
    </w:p>
    <w:p>
      <w:pPr>
        <w:ind w:left="1000" w:hanging="344"/>
        <w:spacing w:after="0"/>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Shares issued on the exercise of an Option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Shares in issue on the date of allotment.</w:t>
      </w:r>
    </w:p>
    <w:p>
      <w:pPr>
        <w:spacing w:after="0" w:line="248" w:lineRule="exact"/>
        <w:rPr>
          <w:rFonts w:ascii="Arial" w:cs="Arial" w:eastAsia="Arial" w:hAnsi="Arial"/>
          <w:sz w:val="18"/>
          <w:szCs w:val="18"/>
          <w:color w:val="auto"/>
        </w:rPr>
      </w:pPr>
    </w:p>
    <w:p>
      <w:pPr>
        <w:ind w:left="180" w:hanging="172"/>
        <w:spacing w:after="0"/>
        <w:tabs>
          <w:tab w:leader="none" w:pos="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For the purposes of this Scheme, the adjustment provisions relevant to Options in Paragraph 13(a) of the Main Plan shall read:</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 outstanding Option and/or the Exercise Price applicable to each outstanding Option shall be appropriately adjusted as determined by the Administrator, provided that no such adjustments to any Options granted under this Scheme shall be made without the prior approval of the Revenue."</w:t>
      </w:r>
    </w:p>
    <w:p>
      <w:pPr>
        <w:spacing w:after="0" w:line="154" w:lineRule="exact"/>
        <w:rPr>
          <w:sz w:val="20"/>
          <w:szCs w:val="20"/>
          <w:color w:val="auto"/>
        </w:rPr>
      </w:pPr>
    </w:p>
    <w:p>
      <w:pPr>
        <w:ind w:right="200" w:firstLine="656"/>
        <w:spacing w:after="0" w:line="277" w:lineRule="auto"/>
        <w:tabs>
          <w:tab w:leader="none" w:pos="10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discretion exercised by the Administrator in respect of the waiving of any vesting requirements pursuant to Paragraph 13(b) of the Main Plan shall be exercised fairly and reasonably.</w:t>
      </w:r>
    </w:p>
    <w:p>
      <w:pPr>
        <w:spacing w:after="0" w:line="170" w:lineRule="exact"/>
        <w:rPr>
          <w:rFonts w:ascii="Arial" w:cs="Arial" w:eastAsia="Arial" w:hAnsi="Arial"/>
          <w:sz w:val="18"/>
          <w:szCs w:val="18"/>
          <w:color w:val="auto"/>
        </w:rPr>
      </w:pPr>
    </w:p>
    <w:p>
      <w:pPr>
        <w:ind w:firstLine="656"/>
        <w:spacing w:after="0" w:line="277" w:lineRule="auto"/>
        <w:tabs>
          <w:tab w:leader="none" w:pos="10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For purposes of this Scheme, the provision in Paragraph 13(b)(2) of the Main Plan allowing for the conversion of outstanding Options into cash shall not apply.</w:t>
      </w:r>
    </w:p>
    <w:p>
      <w:pPr>
        <w:spacing w:after="0" w:line="170" w:lineRule="exact"/>
        <w:rPr>
          <w:rFonts w:ascii="Arial" w:cs="Arial" w:eastAsia="Arial" w:hAnsi="Arial"/>
          <w:sz w:val="18"/>
          <w:szCs w:val="18"/>
          <w:color w:val="auto"/>
        </w:rPr>
      </w:pPr>
    </w:p>
    <w:p>
      <w:pPr>
        <w:ind w:right="40" w:firstLine="656"/>
        <w:spacing w:after="0" w:line="277" w:lineRule="auto"/>
        <w:tabs>
          <w:tab w:leader="none" w:pos="103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For purposes of this Scheme, the provisions in Paragraph 13(b)(3) of the Main Plan allowing for the conversion of outstanding Awards into the right to receive securities of another person shall not apply.</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OPTIONS</w:t>
      </w:r>
    </w:p>
    <w:p>
      <w:pPr>
        <w:spacing w:after="0" w:line="229"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provisions of this Paragraph 6 apply if a company (the “Acquiring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obtains control of the Company as a result of making a general offer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w:t>
      </w:r>
    </w:p>
    <w:p>
      <w:pPr>
        <w:spacing w:after="0" w:line="211" w:lineRule="exact"/>
        <w:rPr>
          <w:sz w:val="20"/>
          <w:szCs w:val="20"/>
          <w:color w:val="auto"/>
        </w:rPr>
      </w:pPr>
    </w:p>
    <w:p>
      <w:pPr>
        <w:ind w:left="1300" w:right="100" w:firstLine="1949"/>
        <w:spacing w:after="0" w:line="264" w:lineRule="auto"/>
        <w:tabs>
          <w:tab w:leader="none" w:pos="353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81" w:lineRule="exact"/>
        <w:rPr>
          <w:rFonts w:ascii="Arial" w:cs="Arial" w:eastAsia="Arial" w:hAnsi="Arial"/>
          <w:sz w:val="18"/>
          <w:szCs w:val="18"/>
          <w:color w:val="auto"/>
        </w:rPr>
      </w:pPr>
    </w:p>
    <w:p>
      <w:pPr>
        <w:ind w:left="3540" w:hanging="291"/>
        <w:spacing w:after="0"/>
        <w:tabs>
          <w:tab w:leader="none" w:pos="354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the Shares (or those Shares not already owned by the Acquiring Company or its subsidiary or holding</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company); or</w:t>
      </w:r>
    </w:p>
    <w:p>
      <w:pPr>
        <w:spacing w:after="0" w:line="210" w:lineRule="exact"/>
        <w:rPr>
          <w:rFonts w:ascii="Arial" w:cs="Arial" w:eastAsia="Arial" w:hAnsi="Arial"/>
          <w:sz w:val="16"/>
          <w:szCs w:val="16"/>
          <w:color w:val="auto"/>
        </w:rPr>
      </w:pPr>
    </w:p>
    <w:p>
      <w:pPr>
        <w:ind w:left="2860" w:hanging="259"/>
        <w:spacing w:after="0"/>
        <w:tabs>
          <w:tab w:leader="none" w:pos="28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obtains control of the Company under a compromise or arrangement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380"/>
          </w:cols>
          <w:pgMar w:left="240" w:top="121"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sanctioned by the court under Section 899 of the Companies Act 2006; or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 becomes bound or entitled to acquire Shares under Sections 979 to 982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Companies Act 2006; or</w:t>
      </w:r>
    </w:p>
    <w:p>
      <w:pPr>
        <w:spacing w:after="0" w:line="211" w:lineRule="exact"/>
        <w:rPr>
          <w:sz w:val="20"/>
          <w:szCs w:val="20"/>
          <w:color w:val="auto"/>
        </w:rPr>
      </w:pPr>
    </w:p>
    <w:p>
      <w:pPr>
        <w:ind w:left="2860" w:hanging="259"/>
        <w:spacing w:after="0"/>
        <w:tabs>
          <w:tab w:leader="none" w:pos="28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obtains control of the Company as a result of a general offer to acquire the</w:t>
      </w:r>
    </w:p>
    <w:p>
      <w:pPr>
        <w:spacing w:after="0" w:line="23" w:lineRule="exact"/>
        <w:rPr>
          <w:rFonts w:ascii="Arial" w:cs="Arial" w:eastAsia="Arial" w:hAnsi="Arial"/>
          <w:sz w:val="18"/>
          <w:szCs w:val="18"/>
          <w:color w:val="auto"/>
        </w:rPr>
      </w:pPr>
    </w:p>
    <w:p>
      <w:pPr>
        <w:ind w:left="660" w:right="4540"/>
        <w:spacing w:after="0" w:line="255" w:lineRule="auto"/>
        <w:rPr>
          <w:rFonts w:ascii="Arial" w:cs="Arial" w:eastAsia="Arial" w:hAnsi="Arial"/>
          <w:sz w:val="18"/>
          <w:szCs w:val="18"/>
          <w:color w:val="auto"/>
        </w:rPr>
      </w:pPr>
      <w:r>
        <w:rPr>
          <w:rFonts w:ascii="Arial" w:cs="Arial" w:eastAsia="Arial" w:hAnsi="Arial"/>
          <w:sz w:val="18"/>
          <w:szCs w:val="18"/>
          <w:color w:val="auto"/>
        </w:rPr>
        <w:t>whole of the general capital of the Company pursuant to an action agreed in advance with the Revenue as comparable with any action set out in Paragraphs 6(a)(1), 6(a)(2) or 6(a)(3) of this Scheme.</w:t>
      </w:r>
    </w:p>
    <w:p>
      <w:pPr>
        <w:spacing w:after="0" w:line="190" w:lineRule="exact"/>
        <w:rPr>
          <w:rFonts w:ascii="Arial" w:cs="Arial" w:eastAsia="Arial" w:hAnsi="Arial"/>
          <w:sz w:val="18"/>
          <w:szCs w:val="18"/>
          <w:color w:val="auto"/>
        </w:rPr>
      </w:pPr>
    </w:p>
    <w:p>
      <w:pPr>
        <w:ind w:left="980" w:hanging="32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If the provisions of this Paragraph 6 apply, Options may be exchanged</w:t>
      </w:r>
    </w:p>
    <w:p>
      <w:pPr>
        <w:spacing w:after="0" w:line="23" w:lineRule="exact"/>
        <w:rPr>
          <w:sz w:val="20"/>
          <w:szCs w:val="20"/>
          <w:color w:val="auto"/>
        </w:rPr>
      </w:pPr>
    </w:p>
    <w:p>
      <w:pPr>
        <w:ind w:left="660" w:right="4880"/>
        <w:spacing w:after="0" w:line="261" w:lineRule="auto"/>
        <w:rPr>
          <w:sz w:val="20"/>
          <w:szCs w:val="20"/>
          <w:color w:val="auto"/>
        </w:rPr>
      </w:pPr>
      <w:r>
        <w:rPr>
          <w:rFonts w:ascii="Arial" w:cs="Arial" w:eastAsia="Arial" w:hAnsi="Arial"/>
          <w:sz w:val="18"/>
          <w:szCs w:val="18"/>
          <w:color w:val="auto"/>
        </w:rPr>
        <w:t>by a Participant within the period referred to in paragraph 26(3) of Schedule 4 by agreement with the company offering the exchange.</w:t>
      </w:r>
    </w:p>
    <w:p>
      <w:pPr>
        <w:spacing w:after="0" w:line="184" w:lineRule="exact"/>
        <w:rPr>
          <w:sz w:val="20"/>
          <w:szCs w:val="20"/>
          <w:color w:val="auto"/>
        </w:rPr>
      </w:pPr>
    </w:p>
    <w:p>
      <w:pPr>
        <w:ind w:left="980" w:right="60" w:hanging="324"/>
        <w:spacing w:after="0" w:line="277"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Exchange terms.</w:t>
      </w:r>
      <w:r>
        <w:rPr>
          <w:rFonts w:ascii="Arial" w:cs="Arial" w:eastAsia="Arial" w:hAnsi="Arial"/>
          <w:sz w:val="18"/>
          <w:szCs w:val="18"/>
          <w:color w:val="auto"/>
        </w:rPr>
        <w:t xml:space="preserve"> Where an Option is to be exchanged the Participant will be granted a new option to replace it. Where a Participant is granted a new option then:</w:t>
      </w:r>
    </w:p>
    <w:p>
      <w:pPr>
        <w:spacing w:after="0" w:line="170" w:lineRule="exact"/>
        <w:rPr>
          <w:rFonts w:ascii="Arial" w:cs="Arial" w:eastAsia="Arial" w:hAnsi="Arial"/>
          <w:sz w:val="18"/>
          <w:szCs w:val="18"/>
          <w:color w:val="auto"/>
        </w:rPr>
      </w:pPr>
    </w:p>
    <w:p>
      <w:pPr>
        <w:ind w:left="660" w:right="20" w:firstLine="320"/>
        <w:spacing w:after="0" w:line="277" w:lineRule="auto"/>
        <w:tabs>
          <w:tab w:leader="none" w:pos="1419"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new option will be in respect of shares in any body corporate determined by the company offering the exchange as long as they satisfy the conditions of paragraph 27(2) of Schedule 4;</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shares to which the new option relates will meet the conditions in paragraphs 16 to 20 of Schedule 4;</w:t>
      </w:r>
    </w:p>
    <w:p>
      <w:pPr>
        <w:spacing w:after="0" w:line="225" w:lineRule="exact"/>
        <w:rPr>
          <w:rFonts w:ascii="Arial" w:cs="Arial" w:eastAsia="Arial" w:hAnsi="Arial"/>
          <w:sz w:val="18"/>
          <w:szCs w:val="18"/>
          <w:color w:val="auto"/>
        </w:rPr>
      </w:pPr>
    </w:p>
    <w:p>
      <w:pPr>
        <w:ind w:left="660" w:right="220" w:firstLine="320"/>
        <w:spacing w:after="0" w:line="277" w:lineRule="auto"/>
        <w:tabs>
          <w:tab w:leader="none" w:pos="1419"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new option will be treated as having been acquired at the same time as the Option that was exchanged and will be exercisable in the same manner and at the same time;</w:t>
      </w:r>
    </w:p>
    <w:p>
      <w:pPr>
        <w:spacing w:after="0" w:line="170" w:lineRule="exact"/>
        <w:rPr>
          <w:rFonts w:ascii="Arial" w:cs="Arial" w:eastAsia="Arial" w:hAnsi="Arial"/>
          <w:sz w:val="18"/>
          <w:szCs w:val="18"/>
          <w:color w:val="auto"/>
        </w:rPr>
      </w:pPr>
    </w:p>
    <w:p>
      <w:pPr>
        <w:ind w:left="660" w:right="420" w:firstLine="320"/>
        <w:spacing w:after="0" w:line="277" w:lineRule="auto"/>
        <w:tabs>
          <w:tab w:leader="none" w:pos="137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new option will be in respect of shares that have, immediately after grant of the new option, a total market value equal to the total market value of the Option immediately before its release;</w:t>
      </w:r>
    </w:p>
    <w:p>
      <w:pPr>
        <w:spacing w:after="0" w:line="170" w:lineRule="exact"/>
        <w:rPr>
          <w:rFonts w:ascii="Arial" w:cs="Arial" w:eastAsia="Arial" w:hAnsi="Arial"/>
          <w:sz w:val="18"/>
          <w:szCs w:val="18"/>
          <w:color w:val="auto"/>
        </w:rPr>
      </w:pPr>
    </w:p>
    <w:p>
      <w:pPr>
        <w:ind w:left="660" w:right="140" w:firstLine="320"/>
        <w:spacing w:after="0" w:line="277" w:lineRule="auto"/>
        <w:tabs>
          <w:tab w:leader="none" w:pos="137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new option will have an exercise price per share such that the total amount payable on complete exercise of the new option will equal the total amount that would have been payable on complete exercise of the Option;</w:t>
      </w:r>
    </w:p>
    <w:p>
      <w:pPr>
        <w:spacing w:after="0" w:line="170" w:lineRule="exact"/>
        <w:rPr>
          <w:rFonts w:ascii="Arial" w:cs="Arial" w:eastAsia="Arial" w:hAnsi="Arial"/>
          <w:sz w:val="18"/>
          <w:szCs w:val="18"/>
          <w:color w:val="auto"/>
        </w:rPr>
      </w:pPr>
    </w:p>
    <w:p>
      <w:pPr>
        <w:ind w:left="660" w:right="120" w:firstLine="320"/>
        <w:spacing w:after="0" w:line="277" w:lineRule="auto"/>
        <w:tabs>
          <w:tab w:leader="none" w:pos="137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new option will be subject to the provisions of the Main Plan and this Scheme as they last had effect in relation to the Option that was exchanged; and</w:t>
      </w:r>
    </w:p>
    <w:p>
      <w:pPr>
        <w:spacing w:after="0" w:line="170" w:lineRule="exact"/>
        <w:rPr>
          <w:rFonts w:ascii="Arial" w:cs="Arial" w:eastAsia="Arial" w:hAnsi="Arial"/>
          <w:sz w:val="18"/>
          <w:szCs w:val="18"/>
          <w:color w:val="auto"/>
        </w:rPr>
      </w:pPr>
    </w:p>
    <w:p>
      <w:pPr>
        <w:ind w:left="660" w:firstLine="320"/>
        <w:spacing w:after="0" w:line="264" w:lineRule="auto"/>
        <w:tabs>
          <w:tab w:leader="none" w:pos="1419" w:val="left"/>
        </w:tabs>
        <w:numPr>
          <w:ilvl w:val="2"/>
          <w:numId w:val="184"/>
        </w:numPr>
        <w:rPr>
          <w:rFonts w:ascii="Arial" w:cs="Arial" w:eastAsia="Arial" w:hAnsi="Arial"/>
          <w:sz w:val="18"/>
          <w:szCs w:val="18"/>
          <w:color w:val="auto"/>
        </w:rPr>
      </w:pPr>
      <w:r>
        <w:rPr>
          <w:rFonts w:ascii="Arial" w:cs="Arial" w:eastAsia="Arial" w:hAnsi="Arial"/>
          <w:sz w:val="18"/>
          <w:szCs w:val="18"/>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OR AMENDMENT</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The Scheme shall be administered under the direction of the Administrator as set out in the Main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so long as the Administrator determines that the Scheme is to be an Approved Scheme, no amendment to any “key feature” of this Scheme or provision of the Main Plan as applicable to this Scheme (as defined in paragraph 30(4) of Schedule 4) shall have effect until approved by the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380"/>
          </w:cols>
          <w:pgMar w:left="240" w:top="121"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C-1</w:t>
      </w:r>
    </w:p>
    <w:tbl>
      <w:tblPr>
        <w:tblLayout w:type="fixed"/>
        <w:tblInd w:w="138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Core Research Peer Group Companies</w:t>
            </w:r>
          </w:p>
        </w:tc>
      </w:tr>
      <w:tr>
        <w:trPr>
          <w:trHeight w:val="573"/>
        </w:trPr>
        <w:tc>
          <w:tcPr>
            <w:tcW w:w="2600" w:type="dxa"/>
            <w:vAlign w:val="bottom"/>
          </w:tcPr>
          <w:p>
            <w:pPr>
              <w:spacing w:after="0"/>
              <w:rPr>
                <w:sz w:val="20"/>
                <w:szCs w:val="20"/>
                <w:color w:val="auto"/>
              </w:rPr>
            </w:pPr>
            <w:r>
              <w:rPr>
                <w:rFonts w:ascii="Arial" w:cs="Arial" w:eastAsia="Arial" w:hAnsi="Arial"/>
                <w:sz w:val="18"/>
                <w:szCs w:val="18"/>
                <w:color w:val="auto"/>
              </w:rPr>
              <w:t>3M</w:t>
            </w:r>
          </w:p>
        </w:tc>
        <w:tc>
          <w:tcPr>
            <w:tcW w:w="240" w:type="dxa"/>
            <w:vAlign w:val="bottom"/>
          </w:tcPr>
          <w:p>
            <w:pPr>
              <w:spacing w:after="0"/>
              <w:rPr>
                <w:sz w:val="24"/>
                <w:szCs w:val="24"/>
                <w:color w:val="auto"/>
              </w:rPr>
            </w:pPr>
          </w:p>
        </w:tc>
        <w:tc>
          <w:tcPr>
            <w:tcW w:w="298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w w:val="98"/>
              </w:rPr>
              <w:t>Illinois Tool Works</w:t>
            </w:r>
          </w:p>
        </w:tc>
        <w:tc>
          <w:tcPr>
            <w:tcW w:w="58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Abbott Laboratories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International Paper</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AbbVie</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Jabil Circuit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Accenture plc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Kellogg Co.</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Alcoa</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Kimberly-Clark</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Altria Group</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Kohl’s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Amgen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Kraft Foods Group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Anadarko Petroleum Corp</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Macy’s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Apache Corp</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Marathon Oil Corp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AutoNation</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McDonald’s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Baker Hughes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Medtronic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Baxter International</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w w:val="91"/>
              </w:rPr>
              <w:t>Mondelez International,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Bristol-Myers Squibb</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Monsanto Co.</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Carnival Corp/PLC (USA)</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w w:val="98"/>
              </w:rPr>
              <w:t>National Oilwell Varco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CBS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Nike,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Centurylink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Northrop Grumman Corp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w w:val="98"/>
              </w:rPr>
              <w:t>Chesapeake Energy Corporation</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Nucor</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Cigna</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Occidental Petroleum</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Colgate-Palmolive Co.</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Omnicom Group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Computer Sciences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Oracle</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Conagra Foods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Paccar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Cummins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w w:val="97"/>
              </w:rPr>
              <w:t>Phillip Morris International</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Danaher Corp</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PNC Financial Svcs Grp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Deere &amp; Co.</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PPG Industries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Delta Air Lines,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Qualcomm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DIRECTV</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Raytheon Co</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Dollar General Corporation</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Safeway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Dupont</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w w:val="93"/>
              </w:rPr>
              <w:t>Seagate Technologies LLC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Eaton</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Southwest Airlines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Ebay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Staples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Eli Lilly and Company</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Starbucks Corp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EMC Corp</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Tesoro</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Emerson Electric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Time Warner Cable</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EOG Resources,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Time Warner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Fluor</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TJX Companies Inc.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Freeport-McMoran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Twenty-First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Gap Inc.</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Tyson Foods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General Dynamics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Union Pacific</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General Mills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United States Steel</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Goodyear Tire &amp; Rubber</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Western Digital Corp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Halliburton</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Whirlpool Corp</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Hess</w:t>
            </w:r>
          </w:p>
        </w:tc>
        <w:tc>
          <w:tcPr>
            <w:tcW w:w="240" w:type="dxa"/>
            <w:vAlign w:val="bottom"/>
          </w:tcPr>
          <w:p>
            <w:pPr>
              <w:spacing w:after="0"/>
              <w:rPr>
                <w:sz w:val="18"/>
                <w:szCs w:val="18"/>
                <w:color w:val="auto"/>
              </w:rPr>
            </w:pPr>
          </w:p>
        </w:tc>
        <w:tc>
          <w:tcPr>
            <w:tcW w:w="3560" w:type="dxa"/>
            <w:vAlign w:val="bottom"/>
            <w:gridSpan w:val="2"/>
          </w:tcPr>
          <w:p>
            <w:pPr>
              <w:ind w:left="1520"/>
              <w:spacing w:after="0"/>
              <w:rPr>
                <w:sz w:val="20"/>
                <w:szCs w:val="20"/>
                <w:color w:val="auto"/>
              </w:rPr>
            </w:pPr>
            <w:r>
              <w:rPr>
                <w:rFonts w:ascii="Arial" w:cs="Arial" w:eastAsia="Arial" w:hAnsi="Arial"/>
                <w:sz w:val="18"/>
                <w:szCs w:val="18"/>
                <w:color w:val="auto"/>
              </w:rPr>
              <w:t>Xerox</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Honeywell International</w:t>
            </w: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D-1</w:t>
      </w:r>
    </w:p>
    <w:tbl>
      <w:tblPr>
        <w:tblLayout w:type="fixed"/>
        <w:tblInd w:w="144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4480" w:type="dxa"/>
            <w:vAlign w:val="bottom"/>
            <w:gridSpan w:val="3"/>
          </w:tcPr>
          <w:p>
            <w:pPr>
              <w:jc w:val="center"/>
              <w:ind w:right="160"/>
              <w:spacing w:after="0" w:line="203" w:lineRule="exact"/>
              <w:rPr>
                <w:sz w:val="20"/>
                <w:szCs w:val="20"/>
                <w:color w:val="auto"/>
              </w:rPr>
            </w:pPr>
            <w:r>
              <w:rPr>
                <w:rFonts w:ascii="Arial" w:cs="Arial" w:eastAsia="Arial" w:hAnsi="Arial"/>
                <w:sz w:val="18"/>
                <w:szCs w:val="18"/>
                <w:b w:val="1"/>
                <w:bCs w:val="1"/>
                <w:color w:val="auto"/>
                <w:w w:val="92"/>
              </w:rPr>
              <w:t>Industry-Specific Comparator Group</w:t>
            </w:r>
          </w:p>
        </w:tc>
      </w:tr>
      <w:tr>
        <w:trPr>
          <w:trHeight w:val="912"/>
        </w:trPr>
        <w:tc>
          <w:tcPr>
            <w:tcW w:w="2120" w:type="dxa"/>
            <w:vAlign w:val="bottom"/>
          </w:tcPr>
          <w:p>
            <w:pPr>
              <w:spacing w:after="0"/>
              <w:rPr>
                <w:sz w:val="20"/>
                <w:szCs w:val="20"/>
                <w:color w:val="auto"/>
              </w:rPr>
            </w:pPr>
            <w:r>
              <w:rPr>
                <w:rFonts w:ascii="Arial" w:cs="Arial" w:eastAsia="Arial" w:hAnsi="Arial"/>
                <w:sz w:val="18"/>
                <w:szCs w:val="18"/>
                <w:color w:val="auto"/>
              </w:rPr>
              <w:t>Insperity</w:t>
            </w:r>
          </w:p>
        </w:tc>
        <w:tc>
          <w:tcPr>
            <w:tcW w:w="720" w:type="dxa"/>
            <w:vAlign w:val="bottom"/>
          </w:tcPr>
          <w:p>
            <w:pPr>
              <w:spacing w:after="0"/>
              <w:rPr>
                <w:sz w:val="24"/>
                <w:szCs w:val="24"/>
                <w:color w:val="auto"/>
              </w:rPr>
            </w:pPr>
          </w:p>
        </w:tc>
        <w:tc>
          <w:tcPr>
            <w:tcW w:w="2880" w:type="dxa"/>
            <w:vAlign w:val="bottom"/>
            <w:tcBorders>
              <w:top w:val="single" w:sz="8" w:color="auto"/>
            </w:tcBorders>
          </w:tcPr>
          <w:p>
            <w:pPr>
              <w:ind w:left="1560"/>
              <w:spacing w:after="0"/>
              <w:rPr>
                <w:sz w:val="20"/>
                <w:szCs w:val="20"/>
                <w:color w:val="auto"/>
              </w:rPr>
            </w:pPr>
            <w:r>
              <w:rPr>
                <w:rFonts w:ascii="Arial" w:cs="Arial" w:eastAsia="Arial" w:hAnsi="Arial"/>
                <w:sz w:val="18"/>
                <w:szCs w:val="18"/>
                <w:color w:val="auto"/>
              </w:rPr>
              <w:t>Kforce</w:t>
            </w:r>
          </w:p>
        </w:tc>
        <w:tc>
          <w:tcPr>
            <w:tcW w:w="880" w:type="dxa"/>
            <w:vAlign w:val="bottom"/>
          </w:tcPr>
          <w:p>
            <w:pPr>
              <w:spacing w:after="0"/>
              <w:rPr>
                <w:sz w:val="24"/>
                <w:szCs w:val="24"/>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CDI Corp</w:t>
            </w:r>
          </w:p>
        </w:tc>
        <w:tc>
          <w:tcPr>
            <w:tcW w:w="720" w:type="dxa"/>
            <w:vAlign w:val="bottom"/>
          </w:tcPr>
          <w:p>
            <w:pPr>
              <w:spacing w:after="0"/>
              <w:rPr>
                <w:sz w:val="23"/>
                <w:szCs w:val="23"/>
                <w:color w:val="auto"/>
              </w:rPr>
            </w:pPr>
          </w:p>
        </w:tc>
        <w:tc>
          <w:tcPr>
            <w:tcW w:w="3760" w:type="dxa"/>
            <w:vAlign w:val="bottom"/>
            <w:gridSpan w:val="2"/>
          </w:tcPr>
          <w:p>
            <w:pPr>
              <w:ind w:left="1560"/>
              <w:spacing w:after="0"/>
              <w:rPr>
                <w:sz w:val="20"/>
                <w:szCs w:val="20"/>
                <w:color w:val="auto"/>
              </w:rPr>
            </w:pPr>
            <w:r>
              <w:rPr>
                <w:rFonts w:ascii="Arial" w:cs="Arial" w:eastAsia="Arial" w:hAnsi="Arial"/>
                <w:sz w:val="18"/>
                <w:szCs w:val="18"/>
                <w:color w:val="auto"/>
                <w:w w:val="93"/>
              </w:rPr>
              <w:t>Robert Half International, Inc.</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Kelly Services, Inc.</w:t>
            </w:r>
          </w:p>
        </w:tc>
        <w:tc>
          <w:tcPr>
            <w:tcW w:w="720" w:type="dxa"/>
            <w:vAlign w:val="bottom"/>
          </w:tcPr>
          <w:p>
            <w:pPr>
              <w:spacing w:after="0"/>
              <w:rPr>
                <w:sz w:val="23"/>
                <w:szCs w:val="23"/>
                <w:color w:val="auto"/>
              </w:rPr>
            </w:pPr>
          </w:p>
        </w:tc>
        <w:tc>
          <w:tcPr>
            <w:tcW w:w="3760" w:type="dxa"/>
            <w:vAlign w:val="bottom"/>
            <w:gridSpan w:val="2"/>
          </w:tcPr>
          <w:p>
            <w:pPr>
              <w:ind w:left="1560"/>
              <w:spacing w:after="0"/>
              <w:rPr>
                <w:sz w:val="20"/>
                <w:szCs w:val="20"/>
                <w:color w:val="auto"/>
              </w:rPr>
            </w:pPr>
            <w:r>
              <w:rPr>
                <w:rFonts w:ascii="Arial" w:cs="Arial" w:eastAsia="Arial" w:hAnsi="Arial"/>
                <w:sz w:val="18"/>
                <w:szCs w:val="18"/>
                <w:color w:val="auto"/>
              </w:rPr>
              <w:t>TrueBlue, Inc</w:t>
            </w:r>
          </w:p>
        </w:tc>
      </w:tr>
      <w:tr>
        <w:trPr>
          <w:trHeight w:val="486"/>
        </w:trPr>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gridSpan w:val="2"/>
          </w:tcPr>
          <w:p>
            <w:pPr>
              <w:jc w:val="center"/>
              <w:ind w:right="880"/>
              <w:spacing w:after="0"/>
              <w:rPr>
                <w:sz w:val="20"/>
                <w:szCs w:val="20"/>
                <w:color w:val="auto"/>
              </w:rPr>
            </w:pPr>
            <w:r>
              <w:rPr>
                <w:rFonts w:ascii="Arial" w:cs="Arial" w:eastAsia="Arial" w:hAnsi="Arial"/>
                <w:sz w:val="18"/>
                <w:szCs w:val="18"/>
                <w:color w:val="auto"/>
                <w:w w:val="96"/>
              </w:rPr>
              <w:t>D-1</w:t>
            </w:r>
          </w:p>
        </w:tc>
      </w:tr>
    </w:tbl>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186690</wp:posOffset>
            </wp:positionV>
            <wp:extent cx="5969000" cy="7718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00" cy="771842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186690</wp:posOffset>
            </wp:positionV>
            <wp:extent cx="6200140" cy="8027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00140" cy="8027035"/>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x"/>
      <w:numFmt w:val="bullet"/>
      <w:start w:val="1"/>
    </w:lvl>
  </w:abstractNum>
  <w:abstractNum w:abstractNumId="2">
    <w:nsid w:val="60EF0119"/>
    <w:multiLevelType w:val="hybridMultilevel"/>
    <w:lvl w:ilvl="0">
      <w:lvlJc w:val="left"/>
      <w:lvlText w:val="☐"/>
      <w:numFmt w:val="bullet"/>
      <w:start w:val="1"/>
    </w:lvl>
    <w:lvl w:ilvl="1">
      <w:lvlJc w:val="left"/>
      <w:lvlText w:val="(%2)"/>
      <w:numFmt w:val="decimal"/>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1)"/>
      <w:numFmt w:val="decimal"/>
      <w:start w:val="1"/>
    </w:lvl>
  </w:abstractNum>
  <w:abstractNum w:abstractNumId="22">
    <w:nsid w:val="6A3DD3E8"/>
    <w:multiLevelType w:val="hybridMultilevel"/>
    <w:lvl w:ilvl="0">
      <w:lvlJc w:val="left"/>
      <w:lvlText w:val="(%1)"/>
      <w:numFmt w:val="decimal"/>
      <w:start w:val="2"/>
    </w:lvl>
  </w:abstractNum>
  <w:abstractNum w:abstractNumId="23">
    <w:nsid w:val="71C91298"/>
    <w:multiLevelType w:val="hybridMultilevel"/>
    <w:lvl w:ilvl="0">
      <w:lvlJc w:val="left"/>
      <w:lvlText w:val="(%1)"/>
      <w:numFmt w:val="decimal"/>
      <w:start w:val="4"/>
    </w:lvl>
  </w:abstractNum>
  <w:abstractNum w:abstractNumId="24">
    <w:nsid w:val="9DAF632"/>
    <w:multiLevelType w:val="hybridMultilevel"/>
    <w:lvl w:ilvl="0">
      <w:lvlJc w:val="left"/>
      <w:lvlText w:val="%1."/>
      <w:numFmt w:val="decimal"/>
      <w:start w:val="2"/>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1)"/>
      <w:numFmt w:val="lowerRoman"/>
      <w:start w:val="2"/>
    </w:lvl>
  </w:abstractNum>
  <w:abstractNum w:abstractNumId="27">
    <w:nsid w:val="5092CA79"/>
    <w:multiLevelType w:val="hybridMultilevel"/>
    <w:lvl w:ilvl="0">
      <w:lvlJc w:val="left"/>
      <w:lvlText w:val="(%1)"/>
      <w:numFmt w:val="lowerRoman"/>
      <w:start w:val="3"/>
    </w:lvl>
  </w:abstractNum>
  <w:abstractNum w:abstractNumId="28">
    <w:nsid w:val="1D545C4D"/>
    <w:multiLevelType w:val="hybridMultilevel"/>
    <w:lvl w:ilvl="0">
      <w:lvlJc w:val="left"/>
      <w:lvlText w:val="%1."/>
      <w:numFmt w:val="decimal"/>
      <w:start w:val="3"/>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1)"/>
      <w:numFmt w:val="decimal"/>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1)"/>
      <w:numFmt w:val="decimal"/>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1)"/>
      <w:numFmt w:val="decimal"/>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lvl w:ilvl="1">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lvl w:ilvl="1">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
      <w:numFmt w:val="bullet"/>
      <w:start w:val="1"/>
    </w:lvl>
    <w:lvl w:ilvl="1">
      <w:lvlJc w:val="left"/>
      <w:lvlText w:val="•"/>
      <w:numFmt w:val="bullet"/>
      <w:start w:val="1"/>
    </w:lvl>
  </w:abstractNum>
  <w:abstractNum w:abstractNumId="62">
    <w:nsid w:val="53B0A9E"/>
    <w:multiLevelType w:val="hybridMultilevel"/>
    <w:lvl w:ilvl="0">
      <w:lvlJc w:val="left"/>
      <w:lvlText w:val="(%1)"/>
      <w:numFmt w:val="decimal"/>
      <w:start w:val="1"/>
    </w:lvl>
  </w:abstractNum>
  <w:abstractNum w:abstractNumId="63">
    <w:nsid w:val="34FD6B4F"/>
    <w:multiLevelType w:val="hybridMultilevel"/>
    <w:lvl w:ilvl="0">
      <w:lvlJc w:val="left"/>
      <w:lvlText w:val="(%1)"/>
      <w:numFmt w:val="decimal"/>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lvl w:ilvl="1">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1)"/>
      <w:numFmt w:val="decimal"/>
      <w:start w:val="1"/>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1)"/>
      <w:numFmt w:val="decimal"/>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1)"/>
      <w:numFmt w:val="decimal"/>
      <w:start w:val="1"/>
    </w:lvl>
  </w:abstractNum>
  <w:abstractNum w:abstractNumId="78">
    <w:nsid w:val="20EE1348"/>
    <w:multiLevelType w:val="hybridMultilevel"/>
    <w:lvl w:ilvl="0">
      <w:lvlJc w:val="left"/>
      <w:lvlText w:val="(%1)"/>
      <w:numFmt w:val="decimal"/>
      <w:start w:val="2"/>
    </w:lvl>
  </w:abstractNum>
  <w:abstractNum w:abstractNumId="79">
    <w:nsid w:val="4427069A"/>
    <w:multiLevelType w:val="hybridMultilevel"/>
    <w:lvl w:ilvl="0">
      <w:lvlJc w:val="left"/>
      <w:lvlText w:val="(%1)"/>
      <w:numFmt w:val="decimal"/>
      <w:start w:val="1"/>
    </w:lvl>
  </w:abstractNum>
  <w:abstractNum w:abstractNumId="80">
    <w:nsid w:val="B37E80A"/>
    <w:multiLevelType w:val="hybridMultilevel"/>
    <w:lvl w:ilvl="0">
      <w:lvlJc w:val="left"/>
      <w:lvlText w:val="(%1)"/>
      <w:numFmt w:val="decimal"/>
      <w:start w:val="3"/>
    </w:lvl>
  </w:abstractNum>
  <w:abstractNum w:abstractNumId="81">
    <w:nsid w:val="2157F6BC"/>
    <w:multiLevelType w:val="hybridMultilevel"/>
    <w:lvl w:ilvl="0">
      <w:lvlJc w:val="left"/>
      <w:lvlText w:val="(%1)"/>
      <w:numFmt w:val="decimal"/>
      <w:start w:val="1"/>
    </w:lvl>
  </w:abstractNum>
  <w:abstractNum w:abstractNumId="82">
    <w:nsid w:val="704E1DD5"/>
    <w:multiLevelType w:val="hybridMultilevel"/>
    <w:lvl w:ilvl="0">
      <w:lvlJc w:val="left"/>
      <w:lvlText w:val="(%1)"/>
      <w:numFmt w:val="decimal"/>
      <w:start w:val="1"/>
    </w:lvl>
  </w:abstractNum>
  <w:abstractNum w:abstractNumId="83">
    <w:nsid w:val="57D2F10E"/>
    <w:multiLevelType w:val="hybridMultilevel"/>
    <w:lvl w:ilvl="0">
      <w:lvlJc w:val="left"/>
      <w:lvlText w:val="(%1)"/>
      <w:numFmt w:val="decimal"/>
      <w:start w:val="1"/>
    </w:lvl>
  </w:abstractNum>
  <w:abstractNum w:abstractNumId="84">
    <w:nsid w:val="BFFAE18"/>
    <w:multiLevelType w:val="hybridMultilevel"/>
    <w:lvl w:ilvl="0">
      <w:lvlJc w:val="left"/>
      <w:lvlText w:val="(%1)"/>
      <w:numFmt w:val="decimal"/>
      <w:start w:val="5"/>
    </w:lvl>
  </w:abstractNum>
  <w:abstractNum w:abstractNumId="85">
    <w:nsid w:val="E3E47A8"/>
    <w:multiLevelType w:val="hybridMultilevel"/>
    <w:lvl w:ilvl="0">
      <w:lvlJc w:val="left"/>
      <w:lvlText w:val="(%1)"/>
      <w:numFmt w:val="decimal"/>
      <w:start w:val="1"/>
    </w:lvl>
  </w:abstractNum>
  <w:abstractNum w:abstractNumId="86">
    <w:nsid w:val="2E48F044"/>
    <w:multiLevelType w:val="hybridMultilevel"/>
    <w:lvl w:ilvl="0">
      <w:lvlJc w:val="left"/>
      <w:lvlText w:val="(%1)"/>
      <w:numFmt w:val="decimal"/>
      <w:start w:val="2"/>
    </w:lvl>
  </w:abstractNum>
  <w:abstractNum w:abstractNumId="87">
    <w:nsid w:val="49D0FEAC"/>
    <w:multiLevelType w:val="hybridMultilevel"/>
    <w:lvl w:ilvl="0">
      <w:lvlJc w:val="left"/>
      <w:lvlText w:val="(%1)"/>
      <w:numFmt w:val="decimal"/>
      <w:start w:val="1"/>
    </w:lvl>
  </w:abstractNum>
  <w:abstractNum w:abstractNumId="88">
    <w:nsid w:val="4BEE5A5B"/>
    <w:multiLevelType w:val="hybridMultilevel"/>
    <w:lvl w:ilvl="0">
      <w:lvlJc w:val="left"/>
      <w:lvlText w:val="(%1)"/>
      <w:numFmt w:val="decimal"/>
      <w:start w:val="1"/>
    </w:lvl>
  </w:abstractNum>
  <w:abstractNum w:abstractNumId="89">
    <w:nsid w:val="5551B9F3"/>
    <w:multiLevelType w:val="hybridMultilevel"/>
    <w:lvl w:ilvl="0">
      <w:lvlJc w:val="left"/>
      <w:lvlText w:val="(%1)"/>
      <w:numFmt w:val="lowerRoman"/>
      <w:start w:val="3"/>
    </w:lvl>
  </w:abstractNum>
  <w:abstractNum w:abstractNumId="90">
    <w:nsid w:val="24F6AB8E"/>
    <w:multiLevelType w:val="hybridMultilevel"/>
    <w:lvl w:ilvl="0">
      <w:lvlJc w:val="left"/>
      <w:lvlText w:val="(%1)"/>
      <w:numFmt w:val="decimal"/>
      <w:start w:val="1"/>
    </w:lvl>
  </w:abstractNum>
  <w:abstractNum w:abstractNumId="91">
    <w:nsid w:val="634C574C"/>
    <w:multiLevelType w:val="hybridMultilevel"/>
    <w:lvl w:ilvl="0">
      <w:lvlJc w:val="left"/>
      <w:lvlText w:val="(%1)"/>
      <w:numFmt w:val="decimal"/>
      <w:start w:val="1"/>
    </w:lvl>
  </w:abstractNum>
  <w:abstractNum w:abstractNumId="92">
    <w:nsid w:val="24E99DD7"/>
    <w:multiLevelType w:val="hybridMultilevel"/>
    <w:lvl w:ilvl="0">
      <w:lvlJc w:val="left"/>
      <w:lvlText w:val="(%1)"/>
      <w:numFmt w:val="decimal"/>
      <w:start w:val="7"/>
    </w:lvl>
  </w:abstractNum>
  <w:abstractNum w:abstractNumId="93">
    <w:nsid w:val="2A31B62D"/>
    <w:multiLevelType w:val="hybridMultilevel"/>
    <w:lvl w:ilvl="0">
      <w:lvlJc w:val="left"/>
      <w:lvlText w:val="(%1)"/>
      <w:numFmt w:val="decimal"/>
      <w:start w:val="1"/>
    </w:lvl>
  </w:abstractNum>
  <w:abstractNum w:abstractNumId="94">
    <w:nsid w:val="1849C29B"/>
    <w:multiLevelType w:val="hybridMultilevel"/>
    <w:lvl w:ilvl="0">
      <w:lvlJc w:val="left"/>
      <w:lvlText w:val="(%1)"/>
      <w:numFmt w:val="decimal"/>
      <w:start w:val="7"/>
    </w:lvl>
  </w:abstractNum>
  <w:abstractNum w:abstractNumId="95">
    <w:nsid w:val="7DFF9D09"/>
    <w:multiLevelType w:val="hybridMultilevel"/>
    <w:lvl w:ilvl="0">
      <w:lvlJc w:val="left"/>
      <w:lvlText w:val="(%1)"/>
      <w:numFmt w:val="decimal"/>
      <w:start w:val="1"/>
    </w:lvl>
  </w:abstractNum>
  <w:abstractNum w:abstractNumId="96">
    <w:nsid w:val="754342"/>
    <w:multiLevelType w:val="hybridMultilevel"/>
    <w:lvl w:ilvl="0">
      <w:lvlJc w:val="left"/>
      <w:lvlText w:val="(%1)"/>
      <w:numFmt w:val="decimal"/>
      <w:start w:val="5"/>
    </w:lvl>
  </w:abstractNum>
  <w:abstractNum w:abstractNumId="97">
    <w:nsid w:val="69E7F3E5"/>
    <w:multiLevelType w:val="hybridMultilevel"/>
    <w:lvl w:ilvl="0">
      <w:lvlJc w:val="left"/>
      <w:lvlText w:val="(%1)"/>
      <w:numFmt w:val="decimal"/>
      <w:start w:val="1"/>
    </w:lvl>
  </w:abstractNum>
  <w:abstractNum w:abstractNumId="98">
    <w:nsid w:val="2A6DE806"/>
    <w:multiLevelType w:val="hybridMultilevel"/>
    <w:lvl w:ilvl="0">
      <w:lvlJc w:val="left"/>
      <w:lvlText w:val="(%1)"/>
      <w:numFmt w:val="decimal"/>
      <w:start w:val="5"/>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1)"/>
      <w:numFmt w:val="decimal"/>
      <w:start w:val="4"/>
    </w:lvl>
  </w:abstractNum>
  <w:abstractNum w:abstractNumId="101">
    <w:nsid w:val="7AB49DAF"/>
    <w:multiLevelType w:val="hybridMultilevel"/>
    <w:lvl w:ilvl="0">
      <w:lvlJc w:val="left"/>
      <w:lvlText w:val="(%1)"/>
      <w:numFmt w:val="decimal"/>
      <w:start w:val="1"/>
    </w:lvl>
  </w:abstractNum>
  <w:abstractNum w:abstractNumId="102">
    <w:nsid w:val="759F82CD"/>
    <w:multiLevelType w:val="hybridMultilevel"/>
    <w:lvl w:ilvl="0">
      <w:lvlJc w:val="left"/>
      <w:lvlText w:val="(%1)"/>
      <w:numFmt w:val="decimal"/>
      <w:start w:val="3"/>
    </w:lvl>
  </w:abstractNum>
  <w:abstractNum w:abstractNumId="103">
    <w:nsid w:val="61E74EA3"/>
    <w:multiLevelType w:val="hybridMultilevel"/>
    <w:lvl w:ilvl="0">
      <w:lvlJc w:val="left"/>
      <w:lvlText w:val="(%1)"/>
      <w:numFmt w:val="decimal"/>
      <w:start w:val="1"/>
    </w:lvl>
  </w:abstractNum>
  <w:abstractNum w:abstractNumId="104">
    <w:nsid w:val="597B4D84"/>
    <w:multiLevelType w:val="hybridMultilevel"/>
    <w:lvl w:ilvl="0">
      <w:lvlJc w:val="left"/>
      <w:lvlText w:val="$"/>
      <w:numFmt w:val="bullet"/>
      <w:start w:val="1"/>
    </w:lvl>
  </w:abstractNum>
  <w:abstractNum w:abstractNumId="105">
    <w:nsid w:val="F819E7F"/>
    <w:multiLevelType w:val="hybridMultilevel"/>
    <w:lvl w:ilvl="0">
      <w:lvlJc w:val="left"/>
      <w:lvlText w:val="$"/>
      <w:numFmt w:val="bullet"/>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abstractNum>
  <w:abstractNum w:abstractNumId="108">
    <w:nsid w:val="631B64D4"/>
    <w:multiLevelType w:val="hybridMultilevel"/>
    <w:lvl w:ilvl="0">
      <w:lvlJc w:val="left"/>
      <w:lvlText w:val="(%1)"/>
      <w:numFmt w:val="decimal"/>
      <w:start w:val="1"/>
    </w:lvl>
  </w:abstractNum>
  <w:abstractNum w:abstractNumId="109">
    <w:nsid w:val="78B5E776"/>
    <w:multiLevelType w:val="hybridMultilevel"/>
    <w:lvl w:ilvl="0">
      <w:lvlJc w:val="left"/>
      <w:lvlText w:val="(%1)"/>
      <w:numFmt w:val="decimal"/>
      <w:start w:val="2"/>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1)"/>
      <w:numFmt w:val="lowerLetter"/>
      <w:start w:val="1"/>
    </w:lvl>
  </w:abstractNum>
  <w:abstractNum w:abstractNumId="113">
    <w:nsid w:val="65968C1C"/>
    <w:multiLevelType w:val="hybridMultilevel"/>
    <w:lvl w:ilvl="0">
      <w:lvlJc w:val="left"/>
      <w:lvlText w:val="(%1)"/>
      <w:numFmt w:val="lowerLetter"/>
      <w:start w:val="6"/>
    </w:lvl>
  </w:abstractNum>
  <w:abstractNum w:abstractNumId="114">
    <w:nsid w:val="46263DEC"/>
    <w:multiLevelType w:val="hybridMultilevel"/>
    <w:lvl w:ilvl="0">
      <w:lvlJc w:val="left"/>
      <w:lvlText w:val="(%1)"/>
      <w:numFmt w:val="lowerLetter"/>
      <w:start w:val="7"/>
    </w:lvl>
  </w:abstractNum>
  <w:abstractNum w:abstractNumId="115">
    <w:nsid w:val="260D8C4A"/>
    <w:multiLevelType w:val="hybridMultilevel"/>
    <w:lvl w:ilvl="0">
      <w:lvlJc w:val="left"/>
      <w:lvlText w:val="(%1)"/>
      <w:numFmt w:val="lowerLetter"/>
      <w:start w:val="8"/>
    </w:lvl>
  </w:abstractNum>
  <w:abstractNum w:abstractNumId="116">
    <w:nsid w:val="73D4D3C4"/>
    <w:multiLevelType w:val="hybridMultilevel"/>
    <w:lvl w:ilvl="0">
      <w:lvlJc w:val="left"/>
      <w:lvlText w:val="(%1)"/>
      <w:numFmt w:val="lowerLetter"/>
      <w:start w:val="8"/>
    </w:lvl>
  </w:abstractNum>
  <w:abstractNum w:abstractNumId="117">
    <w:nsid w:val="746F2E30"/>
    <w:multiLevelType w:val="hybridMultilevel"/>
    <w:lvl w:ilvl="0">
      <w:lvlJc w:val="left"/>
      <w:lvlText w:val="(%1)"/>
      <w:numFmt w:val="lowerLetter"/>
      <w:start w:val="10"/>
    </w:lvl>
  </w:abstractNum>
  <w:abstractNum w:abstractNumId="118">
    <w:nsid w:val="6FDE8AF6"/>
    <w:multiLevelType w:val="hybridMultilevel"/>
    <w:lvl w:ilvl="0">
      <w:lvlJc w:val="left"/>
      <w:lvlText w:val="(%1)"/>
      <w:numFmt w:val="lowerLetter"/>
      <w:start w:val="15"/>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lowerLetter"/>
      <w:start w:val="1"/>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decimal"/>
      <w:start w:val="1"/>
    </w:lvl>
    <w:lvl w:ilvl="1">
      <w:lvlJc w:val="left"/>
      <w:lvlText w:val="(%2)"/>
      <w:numFmt w:val="lowerLetter"/>
      <w:start w:val="1"/>
    </w:lvl>
  </w:abstractNum>
  <w:abstractNum w:abstractNumId="123">
    <w:nsid w:val="6EAA85FB"/>
    <w:multiLevelType w:val="hybridMultilevel"/>
    <w:lvl w:ilvl="0">
      <w:lvlJc w:val="left"/>
      <w:lvlText w:val="(%1)"/>
      <w:numFmt w:val="decimal"/>
      <w:start w:val="2"/>
    </w:lvl>
    <w:lvl w:ilvl="1">
      <w:lvlJc w:val="left"/>
      <w:lvlText w:val="(%2)"/>
      <w:numFmt w:val="lowerLetter"/>
      <w:start w:val="5"/>
    </w:lvl>
  </w:abstractNum>
  <w:abstractNum w:abstractNumId="124">
    <w:nsid w:val="3F06ECB2"/>
    <w:multiLevelType w:val="hybridMultilevel"/>
    <w:lvl w:ilvl="0">
      <w:lvlJc w:val="left"/>
      <w:lvlText w:val="(%1)"/>
      <w:numFmt w:val="lowerLetter"/>
      <w:start w:val="6"/>
    </w:lvl>
  </w:abstractNum>
  <w:abstractNum w:abstractNumId="125">
    <w:nsid w:val="3B594807"/>
    <w:multiLevelType w:val="hybridMultilevel"/>
    <w:lvl w:ilvl="0">
      <w:lvlJc w:val="left"/>
      <w:lvlText w:val="(%1)"/>
      <w:numFmt w:val="lowerLetter"/>
      <w:start w:val="19"/>
    </w:lvl>
    <w:lvl w:ilvl="1">
      <w:lvlJc w:val="left"/>
      <w:lvlText w:val="%2."/>
      <w:numFmt w:val="decimal"/>
      <w:start w:val="1"/>
    </w:lvl>
  </w:abstractNum>
  <w:abstractNum w:abstractNumId="126">
    <w:nsid w:val="6CAA2304"/>
    <w:multiLevelType w:val="hybridMultilevel"/>
    <w:lvl w:ilvl="0">
      <w:lvlJc w:val="left"/>
      <w:lvlText w:val="(%1)"/>
      <w:numFmt w:val="lowerLetter"/>
      <w:start w:val="23"/>
    </w:lvl>
  </w:abstractNum>
  <w:abstractNum w:abstractNumId="127">
    <w:nsid w:val="3F7C2FF4"/>
    <w:multiLevelType w:val="hybridMultilevel"/>
    <w:lvl w:ilvl="0">
      <w:lvlJc w:val="left"/>
      <w:lvlText w:val="(%1)"/>
      <w:numFmt w:val="decimal"/>
      <w:start w:val="1"/>
    </w:lvl>
  </w:abstractNum>
  <w:abstractNum w:abstractNumId="128">
    <w:nsid w:val="25413BEC"/>
    <w:multiLevelType w:val="hybridMultilevel"/>
    <w:lvl w:ilvl="0">
      <w:lvlJc w:val="left"/>
      <w:lvlText w:val="(%1)"/>
      <w:numFmt w:val="lowerLetter"/>
      <w:start w:val="27"/>
    </w:lvl>
  </w:abstractNum>
  <w:abstractNum w:abstractNumId="129">
    <w:nsid w:val="17180B0B"/>
    <w:multiLevelType w:val="hybridMultilevel"/>
    <w:lvl w:ilvl="0">
      <w:lvlJc w:val="left"/>
      <w:lvlText w:val="(%1)"/>
      <w:numFmt w:val="decimal"/>
      <w:start w:val="1"/>
    </w:lvl>
  </w:abstractNum>
  <w:abstractNum w:abstractNumId="130">
    <w:nsid w:val="579328B9"/>
    <w:multiLevelType w:val="hybridMultilevel"/>
    <w:lvl w:ilvl="0">
      <w:lvlJc w:val="left"/>
      <w:lvlText w:val="(%1)"/>
      <w:numFmt w:val="decimal"/>
      <w:start w:val="5"/>
    </w:lvl>
  </w:abstractNum>
  <w:abstractNum w:abstractNumId="131">
    <w:nsid w:val="5D205E20"/>
    <w:multiLevelType w:val="hybridMultilevel"/>
    <w:lvl w:ilvl="0">
      <w:lvlJc w:val="left"/>
      <w:lvlText w:val="%1."/>
      <w:numFmt w:val="decimal"/>
      <w:start w:val="3"/>
    </w:lvl>
  </w:abstractNum>
  <w:abstractNum w:abstractNumId="132">
    <w:nsid w:val="11CCA8BA"/>
    <w:multiLevelType w:val="hybridMultilevel"/>
    <w:lvl w:ilvl="0">
      <w:lvlJc w:val="left"/>
      <w:lvlText w:val="%1."/>
      <w:numFmt w:val="decimal"/>
      <w:start w:val="4"/>
    </w:lvl>
    <w:lvl w:ilvl="1">
      <w:lvlJc w:val="left"/>
      <w:lvlText w:val="(%2)"/>
      <w:numFmt w:val="lowerLetter"/>
      <w:start w:val="1"/>
    </w:lvl>
  </w:abstractNum>
  <w:abstractNum w:abstractNumId="133">
    <w:nsid w:val="4D32AB86"/>
    <w:multiLevelType w:val="hybridMultilevel"/>
    <w:lvl w:ilvl="0">
      <w:lvlJc w:val="left"/>
      <w:lvlText w:val="%1"/>
      <w:numFmt w:val="decimal"/>
      <w:start w:val="1"/>
    </w:lvl>
    <w:lvl w:ilvl="1">
      <w:lvlJc w:val="left"/>
      <w:lvlText w:val="(%2)"/>
      <w:numFmt w:val="lowerLetter"/>
      <w:start w:val="3"/>
    </w:lvl>
  </w:abstractNum>
  <w:abstractNum w:abstractNumId="134">
    <w:nsid w:val="3F07ACC3"/>
    <w:multiLevelType w:val="hybridMultilevel"/>
    <w:lvl w:ilvl="0">
      <w:lvlJc w:val="left"/>
      <w:lvlText w:val="%1."/>
      <w:numFmt w:val="decimal"/>
      <w:start w:val="5"/>
    </w:lvl>
    <w:lvl w:ilvl="1">
      <w:lvlJc w:val="left"/>
      <w:lvlText w:val="(%2)"/>
      <w:numFmt w:val="lowerLetter"/>
      <w:start w:val="1"/>
    </w:lvl>
  </w:abstractNum>
  <w:abstractNum w:abstractNumId="135">
    <w:nsid w:val="6B47F63E"/>
    <w:multiLevelType w:val="hybridMultilevel"/>
    <w:lvl w:ilvl="0">
      <w:lvlJc w:val="left"/>
      <w:lvlText w:val="(%1)"/>
      <w:numFmt w:val="lowerLetter"/>
      <w:start w:val="1"/>
    </w:lvl>
  </w:abstractNum>
  <w:abstractNum w:abstractNumId="136">
    <w:nsid w:val="5CB44A05"/>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37">
    <w:nsid w:val="16CF80F1"/>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138">
    <w:nsid w:val="1C695DEC"/>
    <w:multiLevelType w:val="hybridMultilevel"/>
    <w:lvl w:ilvl="0">
      <w:lvlJc w:val="left"/>
      <w:lvlText w:val="(%1)"/>
      <w:numFmt w:val="lowerLetter"/>
      <w:start w:val="6"/>
    </w:lvl>
  </w:abstractNum>
  <w:abstractNum w:abstractNumId="139">
    <w:nsid w:val="3FCFAED9"/>
    <w:multiLevelType w:val="hybridMultilevel"/>
    <w:lvl w:ilvl="0">
      <w:lvlJc w:val="left"/>
      <w:lvlText w:val="(%1)"/>
      <w:numFmt w:val="decimal"/>
      <w:start w:val="1"/>
    </w:lvl>
    <w:lvl w:ilvl="1">
      <w:lvlJc w:val="left"/>
      <w:lvlText w:val="(%2)"/>
      <w:numFmt w:val="upperLetter"/>
      <w:start w:val="1"/>
    </w:lvl>
  </w:abstractNum>
  <w:abstractNum w:abstractNumId="140">
    <w:nsid w:val="F856867"/>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141">
    <w:nsid w:val="11B1CC3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42">
    <w:nsid w:val="2E22FBB7"/>
    <w:multiLevelType w:val="hybridMultilevel"/>
    <w:lvl w:ilvl="0">
      <w:lvlJc w:val="left"/>
      <w:lvlText w:val="(%1)"/>
      <w:numFmt w:val="lowerLetter"/>
      <w:start w:val="1"/>
    </w:lvl>
  </w:abstractNum>
  <w:abstractNum w:abstractNumId="143">
    <w:nsid w:val="29934699"/>
    <w:multiLevelType w:val="hybridMultilevel"/>
    <w:lvl w:ilvl="0">
      <w:lvlJc w:val="left"/>
      <w:lvlText w:val="(%1)"/>
      <w:numFmt w:val="lowerLetter"/>
      <w:start w:val="3"/>
    </w:lvl>
    <w:lvl w:ilvl="1">
      <w:lvlJc w:val="left"/>
      <w:lvlText w:val="(%2)"/>
      <w:numFmt w:val="decimal"/>
      <w:start w:val="1"/>
    </w:lvl>
  </w:abstractNum>
  <w:abstractNum w:abstractNumId="144">
    <w:nsid w:val="77485850"/>
    <w:multiLevelType w:val="hybridMultilevel"/>
    <w:lvl w:ilvl="0">
      <w:lvlJc w:val="left"/>
      <w:lvlText w:val="(%1)"/>
      <w:numFmt w:val="decimal"/>
      <w:start w:val="3"/>
    </w:lvl>
  </w:abstractNum>
  <w:abstractNum w:abstractNumId="145">
    <w:nsid w:val="744939A3"/>
    <w:multiLevelType w:val="hybridMultilevel"/>
    <w:lvl w:ilvl="0">
      <w:lvlJc w:val="left"/>
      <w:lvlText w:val="(%1)"/>
      <w:numFmt w:val="lowerLetter"/>
      <w:start w:val="6"/>
    </w:lvl>
  </w:abstractNum>
  <w:abstractNum w:abstractNumId="146">
    <w:nsid w:val="4FA0D2E3"/>
    <w:multiLevelType w:val="hybridMultilevel"/>
    <w:lvl w:ilvl="0">
      <w:lvlJc w:val="left"/>
      <w:lvlText w:val="%1"/>
      <w:numFmt w:val="decimal"/>
      <w:start w:val="1"/>
    </w:lvl>
    <w:lvl w:ilvl="1">
      <w:lvlJc w:val="left"/>
      <w:lvlText w:val="(%2)"/>
      <w:numFmt w:val="lowerLetter"/>
      <w:start w:val="10"/>
    </w:lvl>
  </w:abstractNum>
  <w:abstractNum w:abstractNumId="147">
    <w:nsid w:val="6B1D2C14"/>
    <w:multiLevelType w:val="hybridMultilevel"/>
    <w:lvl w:ilvl="0">
      <w:lvlJc w:val="left"/>
      <w:lvlText w:val="%1."/>
      <w:numFmt w:val="decimal"/>
      <w:start w:val="9"/>
    </w:lvl>
    <w:lvl w:ilvl="1">
      <w:lvlJc w:val="left"/>
      <w:lvlText w:val="%2"/>
      <w:numFmt w:val="lowerLetter"/>
      <w:start w:val="1"/>
    </w:lvl>
  </w:abstractNum>
  <w:abstractNum w:abstractNumId="148">
    <w:nsid w:val="68B867D3"/>
    <w:multiLevelType w:val="hybridMultilevel"/>
    <w:lvl w:ilvl="0">
      <w:lvlJc w:val="left"/>
      <w:lvlText w:val="(%1)"/>
      <w:numFmt w:val="lowerLetter"/>
      <w:start w:val="1"/>
    </w:lvl>
    <w:lvl w:ilvl="1">
      <w:lvlJc w:val="left"/>
      <w:lvlText w:val="(%2)"/>
      <w:numFmt w:val="decimal"/>
      <w:start w:val="1"/>
    </w:lvl>
  </w:abstractNum>
  <w:abstractNum w:abstractNumId="149">
    <w:nsid w:val="3F7F5DD9"/>
    <w:multiLevelType w:val="hybridMultilevel"/>
    <w:lvl w:ilvl="0">
      <w:lvlJc w:val="left"/>
      <w:lvlText w:val="(%1)"/>
      <w:numFmt w:val="decimal"/>
      <w:start w:val="3"/>
    </w:lvl>
  </w:abstractNum>
  <w:abstractNum w:abstractNumId="150">
    <w:nsid w:val="2AE05A3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51">
    <w:nsid w:val="32794F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152">
    <w:nsid w:val="54549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upperLetter"/>
      <w:start w:val="1"/>
    </w:lvl>
  </w:abstractNum>
  <w:abstractNum w:abstractNumId="153">
    <w:nsid w:val="4DEFDFA0"/>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upperLetter"/>
      <w:start w:val="1"/>
    </w:lvl>
  </w:abstractNum>
  <w:abstractNum w:abstractNumId="154">
    <w:nsid w:val="2123D5F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55">
    <w:nsid w:val="135B8110"/>
    <w:multiLevelType w:val="hybridMultilevel"/>
    <w:lvl w:ilvl="0">
      <w:lvlJc w:val="left"/>
      <w:lvlText w:val="(%1)"/>
      <w:numFmt w:val="lowerLetter"/>
      <w:start w:val="1"/>
    </w:lvl>
  </w:abstractNum>
  <w:abstractNum w:abstractNumId="156">
    <w:nsid w:val="94927A8"/>
    <w:multiLevelType w:val="hybridMultilevel"/>
    <w:lvl w:ilvl="0">
      <w:lvlJc w:val="left"/>
      <w:lvlText w:val="(%1)"/>
      <w:numFmt w:val="lowerLetter"/>
      <w:start w:val="2"/>
    </w:lvl>
    <w:lvl w:ilvl="1">
      <w:lvlJc w:val="left"/>
      <w:lvlText w:val="(%2)"/>
      <w:numFmt w:val="decimal"/>
      <w:start w:val="1"/>
    </w:lvl>
  </w:abstractNum>
  <w:abstractNum w:abstractNumId="157">
    <w:nsid w:val="DCDF8F6"/>
    <w:multiLevelType w:val="hybridMultilevel"/>
    <w:lvl w:ilvl="0">
      <w:lvlJc w:val="left"/>
      <w:lvlText w:val="(%1)"/>
      <w:numFmt w:val="lowerLetter"/>
      <w:start w:val="5"/>
    </w:lvl>
  </w:abstractNum>
  <w:abstractNum w:abstractNumId="158">
    <w:nsid w:val="52D7B105"/>
    <w:multiLevelType w:val="hybridMultilevel"/>
    <w:lvl w:ilvl="0">
      <w:lvlJc w:val="left"/>
      <w:lvlText w:val="(%1)"/>
      <w:numFmt w:val="lowerLetter"/>
      <w:start w:val="1"/>
    </w:lvl>
  </w:abstractNum>
  <w:abstractNum w:abstractNumId="159">
    <w:nsid w:val="2E8A6394"/>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60">
    <w:nsid w:val="24E60401"/>
    <w:multiLevelType w:val="hybridMultilevel"/>
    <w:lvl w:ilvl="0">
      <w:lvlJc w:val="left"/>
      <w:lvlText w:val="(%1)"/>
      <w:numFmt w:val="lowerLetter"/>
      <w:start w:val="5"/>
    </w:lvl>
  </w:abstractNum>
  <w:abstractNum w:abstractNumId="161">
    <w:nsid w:val="2A6AD9BE"/>
    <w:multiLevelType w:val="hybridMultilevel"/>
    <w:lvl w:ilvl="0">
      <w:lvlJc w:val="left"/>
      <w:lvlText w:val="(%1)"/>
      <w:numFmt w:val="lowerLetter"/>
      <w:start w:val="6"/>
    </w:lvl>
  </w:abstractNum>
  <w:abstractNum w:abstractNumId="162">
    <w:nsid w:val="BAAC1B4"/>
    <w:multiLevelType w:val="hybridMultilevel"/>
    <w:lvl w:ilvl="0">
      <w:lvlJc w:val="left"/>
      <w:lvlText w:val="%1."/>
      <w:numFmt w:val="decimal"/>
      <w:start w:val="13"/>
    </w:lvl>
    <w:lvl w:ilvl="1">
      <w:lvlJc w:val="left"/>
      <w:lvlText w:val="(%2)"/>
      <w:numFmt w:val="lowerLetter"/>
      <w:start w:val="1"/>
    </w:lvl>
  </w:abstractNum>
  <w:abstractNum w:abstractNumId="163">
    <w:nsid w:val="36B2ACBC"/>
    <w:multiLevelType w:val="hybridMultilevel"/>
    <w:lvl w:ilvl="0">
      <w:lvlJc w:val="left"/>
      <w:lvlText w:val="(%1)"/>
      <w:numFmt w:val="lowerLetter"/>
      <w:start w:val="1"/>
    </w:lvl>
  </w:abstractNum>
  <w:abstractNum w:abstractNumId="164">
    <w:nsid w:val="779D8544"/>
    <w:multiLevelType w:val="hybridMultilevel"/>
    <w:lvl w:ilvl="0">
      <w:lvlJc w:val="left"/>
      <w:lvlText w:val="%1."/>
      <w:numFmt w:val="decimal"/>
      <w:start w:val="1"/>
    </w:lvl>
    <w:lvl w:ilvl="1">
      <w:lvlJc w:val="left"/>
      <w:lvlText w:val="(%2)"/>
      <w:numFmt w:val="lowerLetter"/>
      <w:start w:val="1"/>
    </w:lvl>
  </w:abstractNum>
  <w:abstractNum w:abstractNumId="165">
    <w:nsid w:val="4AB26E78"/>
    <w:multiLevelType w:val="hybridMultilevel"/>
    <w:lvl w:ilvl="0">
      <w:lvlJc w:val="left"/>
      <w:lvlText w:val="(%1)"/>
      <w:numFmt w:val="lowerLetter"/>
      <w:start w:val="1"/>
    </w:lvl>
  </w:abstractNum>
  <w:abstractNum w:abstractNumId="166">
    <w:nsid w:val="21FAA2FA"/>
    <w:multiLevelType w:val="hybridMultilevel"/>
    <w:lvl w:ilvl="0">
      <w:lvlJc w:val="left"/>
      <w:lvlText w:val="(%1)"/>
      <w:numFmt w:val="lowerLetter"/>
      <w:start w:val="9"/>
    </w:lvl>
  </w:abstractNum>
  <w:abstractNum w:abstractNumId="167">
    <w:nsid w:val="5451CF49"/>
    <w:multiLevelType w:val="hybridMultilevel"/>
    <w:lvl w:ilvl="0">
      <w:lvlJc w:val="left"/>
      <w:lvlText w:val="%1."/>
      <w:numFmt w:val="decimal"/>
      <w:start w:val="4"/>
    </w:lvl>
    <w:lvl w:ilvl="1">
      <w:lvlJc w:val="left"/>
      <w:lvlText w:val="(%2)"/>
      <w:numFmt w:val="lowerLetter"/>
      <w:start w:val="1"/>
    </w:lvl>
  </w:abstractNum>
  <w:abstractNum w:abstractNumId="168">
    <w:nsid w:val="6181EF69"/>
    <w:multiLevelType w:val="hybridMultilevel"/>
    <w:lvl w:ilvl="0">
      <w:lvlJc w:val="left"/>
      <w:lvlText w:val="(%1)"/>
      <w:numFmt w:val="upperLetter"/>
      <w:start w:val="1"/>
    </w:lvl>
  </w:abstractNum>
  <w:abstractNum w:abstractNumId="169">
    <w:nsid w:val="3E6400E6"/>
    <w:multiLevelType w:val="hybridMultilevel"/>
    <w:lvl w:ilvl="0">
      <w:lvlJc w:val="left"/>
      <w:lvlText w:val="%1"/>
      <w:numFmt w:val="lowerLetter"/>
      <w:start w:val="1"/>
    </w:lvl>
    <w:lvl w:ilvl="1">
      <w:lvlJc w:val="left"/>
      <w:lvlText w:val="(%2)"/>
      <w:numFmt w:val="upperLetter"/>
      <w:start w:val="2"/>
    </w:lvl>
  </w:abstractNum>
  <w:abstractNum w:abstractNumId="170">
    <w:nsid w:val="14217E23"/>
    <w:multiLevelType w:val="hybridMultilevel"/>
    <w:lvl w:ilvl="0">
      <w:lvlJc w:val="left"/>
      <w:lvlText w:val="(%1)"/>
      <w:numFmt w:val="lowerLetter"/>
      <w:start w:val="6"/>
    </w:lvl>
    <w:lvl w:ilvl="1">
      <w:lvlJc w:val="left"/>
      <w:lvlText w:val="%2"/>
      <w:numFmt w:val="upperLetter"/>
      <w:start w:val="1"/>
    </w:lvl>
  </w:abstractNum>
  <w:abstractNum w:abstractNumId="171">
    <w:nsid w:val="710757D0"/>
    <w:multiLevelType w:val="hybridMultilevel"/>
    <w:lvl w:ilvl="0">
      <w:lvlJc w:val="left"/>
      <w:lvlText w:val="%1"/>
      <w:numFmt w:val="lowerLetter"/>
      <w:start w:val="1"/>
    </w:lvl>
    <w:lvl w:ilvl="1">
      <w:lvlJc w:val="left"/>
      <w:lvlText w:val="(%2)"/>
      <w:numFmt w:val="upperLetter"/>
      <w:start w:val="1"/>
    </w:lvl>
  </w:abstractNum>
  <w:abstractNum w:abstractNumId="172">
    <w:nsid w:val="5015CD1A"/>
    <w:multiLevelType w:val="hybridMultilevel"/>
    <w:lvl w:ilvl="0">
      <w:lvlJc w:val="left"/>
      <w:lvlText w:val="(%1)"/>
      <w:numFmt w:val="lowerLetter"/>
      <w:start w:val="7"/>
    </w:lvl>
    <w:lvl w:ilvl="1">
      <w:lvlJc w:val="left"/>
      <w:lvlText w:val="%2"/>
      <w:numFmt w:val="upperLetter"/>
      <w:start w:val="1"/>
    </w:lvl>
  </w:abstractNum>
  <w:abstractNum w:abstractNumId="173">
    <w:nsid w:val="424479DA"/>
    <w:multiLevelType w:val="hybridMultilevel"/>
    <w:lvl w:ilvl="0">
      <w:lvlJc w:val="left"/>
      <w:lvlText w:val="%1"/>
      <w:numFmt w:val="lowerLetter"/>
      <w:start w:val="1"/>
    </w:lvl>
    <w:lvl w:ilvl="1">
      <w:lvlJc w:val="left"/>
      <w:lvlText w:val="(%2)"/>
      <w:numFmt w:val="decimal"/>
      <w:start w:val="2"/>
    </w:lvl>
  </w:abstractNum>
  <w:abstractNum w:abstractNumId="174">
    <w:nsid w:val="1A9A9E69"/>
    <w:multiLevelType w:val="hybridMultilevel"/>
    <w:lvl w:ilvl="0">
      <w:lvlJc w:val="left"/>
      <w:lvlText w:val="(%1)"/>
      <w:numFmt w:val="lowerLetter"/>
      <w:start w:val="10"/>
    </w:lvl>
    <w:lvl w:ilvl="1">
      <w:lvlJc w:val="left"/>
      <w:lvlText w:val="%2"/>
      <w:numFmt w:val="decimal"/>
      <w:start w:val="1"/>
    </w:lvl>
  </w:abstractNum>
  <w:abstractNum w:abstractNumId="175">
    <w:nsid w:val="475E256A"/>
    <w:multiLevelType w:val="hybridMultilevel"/>
    <w:lvl w:ilvl="0">
      <w:lvlJc w:val="left"/>
      <w:lvlText w:val="%1"/>
      <w:numFmt w:val="decimal"/>
      <w:start w:val="1"/>
    </w:lvl>
    <w:lvl w:ilvl="1">
      <w:lvlJc w:val="left"/>
      <w:lvlText w:val="(%2)"/>
      <w:numFmt w:val="lowerLetter"/>
      <w:start w:val="11"/>
    </w:lvl>
  </w:abstractNum>
  <w:abstractNum w:abstractNumId="176">
    <w:nsid w:val="368DB37E"/>
    <w:multiLevelType w:val="hybridMultilevel"/>
    <w:lvl w:ilvl="0">
      <w:lvlJc w:val="left"/>
      <w:lvlText w:val="%1."/>
      <w:numFmt w:val="decimal"/>
      <w:start w:val="5"/>
    </w:lvl>
    <w:lvl w:ilvl="1">
      <w:lvlJc w:val="left"/>
      <w:lvlText w:val="(%2)"/>
      <w:numFmt w:val="lowerLetter"/>
      <w:start w:val="1"/>
    </w:lvl>
  </w:abstractNum>
  <w:abstractNum w:abstractNumId="177">
    <w:nsid w:val="6A3B714C"/>
    <w:multiLevelType w:val="hybridMultilevel"/>
    <w:lvl w:ilvl="0">
      <w:lvlJc w:val="left"/>
      <w:lvlText w:val="%1"/>
      <w:numFmt w:val="decimal"/>
      <w:start w:val="1"/>
    </w:lvl>
    <w:lvl w:ilvl="1">
      <w:lvlJc w:val="left"/>
      <w:lvlText w:val="(%2)"/>
      <w:numFmt w:val="lowerLetter"/>
      <w:start w:val="2"/>
    </w:lvl>
  </w:abstractNum>
  <w:abstractNum w:abstractNumId="178">
    <w:nsid w:val="327B517E"/>
    <w:multiLevelType w:val="hybridMultilevel"/>
    <w:lvl w:ilvl="0">
      <w:lvlJc w:val="left"/>
      <w:lvlText w:val="%1."/>
      <w:numFmt w:val="decimal"/>
      <w:start w:val="6"/>
    </w:lvl>
    <w:lvl w:ilvl="1">
      <w:lvlJc w:val="left"/>
      <w:lvlText w:val="%2"/>
      <w:numFmt w:val="lowerLetter"/>
      <w:start w:val="1"/>
    </w:lvl>
  </w:abstractNum>
  <w:abstractNum w:abstractNumId="179">
    <w:nsid w:val="1F461B51"/>
    <w:multiLevelType w:val="hybridMultilevel"/>
    <w:lvl w:ilvl="0">
      <w:lvlJc w:val="left"/>
      <w:lvlText w:val="%1"/>
      <w:numFmt w:val="decimal"/>
      <w:start w:val="1"/>
    </w:lvl>
    <w:lvl w:ilvl="1">
      <w:lvlJc w:val="left"/>
      <w:lvlText w:val="(%2)"/>
      <w:numFmt w:val="upperLetter"/>
      <w:start w:val="1"/>
    </w:lvl>
  </w:abstractNum>
  <w:abstractNum w:abstractNumId="180">
    <w:nsid w:val="29BACF25"/>
    <w:multiLevelType w:val="hybridMultilevel"/>
    <w:lvl w:ilvl="0">
      <w:lvlJc w:val="left"/>
      <w:lvlText w:val="(%1)"/>
      <w:numFmt w:val="decimal"/>
      <w:start w:val="2"/>
    </w:lvl>
    <w:lvl w:ilvl="1">
      <w:lvlJc w:val="left"/>
      <w:lvlText w:val="%2"/>
      <w:numFmt w:val="upperLetter"/>
      <w:start w:val="1"/>
    </w:lvl>
  </w:abstractNum>
  <w:abstractNum w:abstractNumId="181">
    <w:nsid w:val="5D5BABB3"/>
    <w:multiLevelType w:val="hybridMultilevel"/>
    <w:lvl w:ilvl="0">
      <w:lvlJc w:val="left"/>
      <w:lvlText w:val="%1"/>
      <w:numFmt w:val="lowerLetter"/>
      <w:start w:val="1"/>
    </w:lvl>
    <w:lvl w:ilvl="1">
      <w:lvlJc w:val="left"/>
      <w:lvlText w:val="(%2)"/>
      <w:numFmt w:val="decimal"/>
      <w:start w:val="4"/>
    </w:lvl>
  </w:abstractNum>
  <w:abstractNum w:abstractNumId="182">
    <w:nsid w:val="51BF6B48"/>
    <w:multiLevelType w:val="hybridMultilevel"/>
    <w:lvl w:ilvl="0">
      <w:lvlJc w:val="left"/>
      <w:lvlText w:val="(%1)"/>
      <w:numFmt w:val="lowerLetter"/>
      <w:start w:val="2"/>
    </w:lvl>
    <w:lvl w:ilvl="1">
      <w:lvlJc w:val="left"/>
      <w:lvlText w:val="%2"/>
      <w:numFmt w:val="decimal"/>
      <w:start w:val="1"/>
    </w:lvl>
  </w:abstractNum>
  <w:abstractNum w:abstractNumId="183">
    <w:nsid w:val="7E0F638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4">
    <w:nsid w:val="2B4B8B5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2019-12-05T23:54:39Z</dcterms:created>
  <dcterms:modified xsi:type="dcterms:W3CDTF">2019-12-05T23:54:39Z</dcterms:modified>
</cp:coreProperties>
</file>