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ind w:right="-6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639"/>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ind w:right="-639"/>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ind w:right="-639"/>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ind w:right="-6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ind w:right="-639"/>
        <w:spacing w:after="0"/>
        <w:rPr>
          <w:sz w:val="20"/>
          <w:szCs w:val="20"/>
          <w:color w:val="auto"/>
        </w:rPr>
      </w:pPr>
      <w:r>
        <w:rPr>
          <w:rFonts w:ascii="Arial" w:cs="Arial" w:eastAsia="Arial" w:hAnsi="Arial"/>
          <w:sz w:val="16"/>
          <w:szCs w:val="16"/>
          <w:color w:val="auto"/>
        </w:rPr>
        <w:t>Date of Report (Date of earliest event reported): July 23, 2009</w:t>
      </w:r>
    </w:p>
    <w:p>
      <w:pPr>
        <w:spacing w:after="0" w:line="199" w:lineRule="exact"/>
        <w:rPr>
          <w:sz w:val="24"/>
          <w:szCs w:val="24"/>
          <w:color w:val="auto"/>
        </w:rPr>
      </w:pPr>
    </w:p>
    <w:p>
      <w:pPr>
        <w:ind w:left="4080"/>
        <w:spacing w:after="0"/>
        <w:rPr>
          <w:sz w:val="20"/>
          <w:szCs w:val="20"/>
          <w:color w:val="auto"/>
        </w:rPr>
      </w:pPr>
      <w:r>
        <w:rPr>
          <w:rFonts w:ascii="Arial" w:cs="Arial" w:eastAsia="Arial" w:hAnsi="Arial"/>
          <w:sz w:val="38"/>
          <w:szCs w:val="38"/>
          <w:b w:val="1"/>
          <w:bCs w:val="1"/>
          <w:color w:val="auto"/>
        </w:rPr>
        <w:t>MANPOWER INC.</w:t>
      </w:r>
    </w:p>
    <w:p>
      <w:pPr>
        <w:spacing w:after="0" w:line="47" w:lineRule="exact"/>
        <w:rPr>
          <w:sz w:val="24"/>
          <w:szCs w:val="24"/>
          <w:color w:val="auto"/>
        </w:rPr>
      </w:pPr>
    </w:p>
    <w:p>
      <w:pPr>
        <w:ind w:left="406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800"/>
          </w:cols>
          <w:pgMar w:left="240" w:top="415" w:right="859" w:bottom="1440" w:gutter="0" w:footer="0" w:header="0"/>
        </w:sectPr>
      </w:pPr>
    </w:p>
    <w:p>
      <w:pPr>
        <w:spacing w:after="0" w:line="206" w:lineRule="exact"/>
        <w:rPr>
          <w:sz w:val="24"/>
          <w:szCs w:val="24"/>
          <w:color w:val="auto"/>
        </w:rPr>
      </w:pPr>
    </w:p>
    <w:p>
      <w:pPr>
        <w:jc w:val="center"/>
        <w:ind w:left="1180"/>
        <w:spacing w:after="0"/>
        <w:rPr>
          <w:sz w:val="20"/>
          <w:szCs w:val="20"/>
          <w:color w:val="auto"/>
        </w:rPr>
      </w:pPr>
      <w:r>
        <w:rPr>
          <w:rFonts w:ascii="Arial" w:cs="Arial" w:eastAsia="Arial" w:hAnsi="Arial"/>
          <w:sz w:val="16"/>
          <w:szCs w:val="16"/>
          <w:b w:val="1"/>
          <w:bCs w:val="1"/>
          <w:color w:val="auto"/>
        </w:rPr>
        <w:t>Wisconsin</w:t>
      </w:r>
    </w:p>
    <w:p>
      <w:pPr>
        <w:spacing w:after="0" w:line="25" w:lineRule="exact"/>
        <w:rPr>
          <w:sz w:val="24"/>
          <w:szCs w:val="24"/>
          <w:color w:val="auto"/>
        </w:rPr>
      </w:pPr>
    </w:p>
    <w:p>
      <w:pPr>
        <w:jc w:val="center"/>
        <w:ind w:left="1180"/>
        <w:spacing w:after="0"/>
        <w:rPr>
          <w:sz w:val="20"/>
          <w:szCs w:val="20"/>
          <w:color w:val="auto"/>
        </w:rPr>
      </w:pPr>
      <w:r>
        <w:rPr>
          <w:rFonts w:ascii="Arial" w:cs="Arial" w:eastAsia="Arial" w:hAnsi="Arial"/>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1-10686</w:t>
      </w:r>
    </w:p>
    <w:p>
      <w:pPr>
        <w:spacing w:after="0" w:line="25"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auto"/>
        </w:rPr>
        <w:t>39-1672779</w:t>
      </w:r>
    </w:p>
    <w:p>
      <w:pPr>
        <w:spacing w:after="0" w:line="25"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(IRS Employer Identification No.)</w:t>
      </w:r>
    </w:p>
    <w:p>
      <w:pPr>
        <w:spacing w:after="0" w:line="31" w:lineRule="exact"/>
        <w:rPr>
          <w:sz w:val="24"/>
          <w:szCs w:val="24"/>
          <w:color w:val="auto"/>
        </w:rPr>
      </w:pPr>
    </w:p>
    <w:p>
      <w:pPr>
        <w:sectPr>
          <w:pgSz w:w="11900" w:h="16838" w:orient="portrait"/>
          <w:cols w:equalWidth="0" w:num="3">
            <w:col w:w="4060" w:space="720"/>
            <w:col w:w="2140" w:space="720"/>
            <w:col w:w="3160"/>
          </w:cols>
          <w:pgMar w:left="240" w:top="415" w:right="859" w:bottom="1440" w:gutter="0" w:footer="0" w:header="0"/>
          <w:type w:val="continuous"/>
        </w:sectPr>
      </w:pPr>
    </w:p>
    <w:p>
      <w:pPr>
        <w:ind w:left="2120"/>
        <w:spacing w:after="0"/>
        <w:rPr>
          <w:sz w:val="20"/>
          <w:szCs w:val="20"/>
          <w:color w:val="auto"/>
        </w:rPr>
      </w:pPr>
      <w:r>
        <w:rPr>
          <w:rFonts w:ascii="Arial" w:cs="Arial" w:eastAsia="Arial" w:hAnsi="Arial"/>
          <w:sz w:val="14"/>
          <w:szCs w:val="14"/>
          <w:b w:val="1"/>
          <w:bCs w:val="1"/>
          <w:color w:val="auto"/>
        </w:rPr>
        <w:t>incorporation)</w:t>
      </w:r>
    </w:p>
    <w:p>
      <w:pPr>
        <w:sectPr>
          <w:pgSz w:w="11900" w:h="16838" w:orient="portrait"/>
          <w:cols w:equalWidth="0" w:num="1">
            <w:col w:w="10800"/>
          </w:cols>
          <w:pgMar w:left="240" w:top="415" w:right="859" w:bottom="1440" w:gutter="0" w:footer="0" w:header="0"/>
          <w:type w:val="continuous"/>
        </w:sectPr>
      </w:pPr>
    </w:p>
    <w:p>
      <w:pPr>
        <w:spacing w:after="0" w:line="200" w:lineRule="exact"/>
        <w:rPr>
          <w:sz w:val="24"/>
          <w:szCs w:val="24"/>
          <w:color w:val="auto"/>
        </w:rPr>
      </w:pPr>
    </w:p>
    <w:p>
      <w:pPr>
        <w:spacing w:after="0" w:line="24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100 Manpower Place</w:t>
      </w:r>
    </w:p>
    <w:p>
      <w:pPr>
        <w:spacing w:after="0" w:line="25"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Milwaukee, Wisconsin</w:t>
      </w:r>
    </w:p>
    <w:p>
      <w:pPr>
        <w:spacing w:after="0" w:line="8"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2520"/>
        <w:spacing w:after="0"/>
        <w:rPr>
          <w:sz w:val="20"/>
          <w:szCs w:val="20"/>
          <w:color w:val="auto"/>
        </w:rPr>
      </w:pPr>
      <w:r>
        <w:rPr>
          <w:rFonts w:ascii="Arial" w:cs="Arial" w:eastAsia="Arial" w:hAnsi="Arial"/>
          <w:sz w:val="16"/>
          <w:szCs w:val="16"/>
          <w:b w:val="1"/>
          <w:bCs w:val="1"/>
          <w:color w:val="auto"/>
        </w:rPr>
        <w:t>53212</w:t>
      </w:r>
    </w:p>
    <w:p>
      <w:pPr>
        <w:spacing w:after="0" w:line="25" w:lineRule="exact"/>
        <w:rPr>
          <w:sz w:val="24"/>
          <w:szCs w:val="24"/>
          <w:color w:val="auto"/>
        </w:rPr>
      </w:pPr>
    </w:p>
    <w:p>
      <w:pPr>
        <w:jc w:val="center"/>
        <w:ind w:right="2520"/>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6820" w:space="720"/>
            <w:col w:w="3260"/>
          </w:cols>
          <w:pgMar w:left="240" w:top="415" w:right="859" w:bottom="1440" w:gutter="0" w:footer="0" w:header="0"/>
          <w:type w:val="continuous"/>
        </w:sectPr>
      </w:pPr>
    </w:p>
    <w:p>
      <w:pPr>
        <w:spacing w:after="0" w:line="35"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47"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00"/>
          </w:cols>
          <w:pgMar w:left="240" w:top="415" w:right="8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8"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On July 23, 2009, we issued a press release announcing our results of operations for the three- and six- month periods ended June 30, 2009. A copy of the press release is attached hereto as Exhibit 99.1 and is incorporated herein by reference.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Item 9.01. Exhibits</w:t>
            </w:r>
            <w:r>
              <w:rPr>
                <w:rFonts w:ascii="Arial" w:cs="Arial" w:eastAsia="Arial" w:hAnsi="Arial"/>
                <w:sz w:val="16"/>
                <w:szCs w:val="16"/>
                <w:color w:val="auto"/>
                <w:w w:val="94"/>
              </w:rPr>
              <w:t>.</w:t>
            </w:r>
          </w:p>
        </w:tc>
        <w:tc>
          <w:tcPr>
            <w:tcW w:w="1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412"/>
        </w:trPr>
        <w:tc>
          <w:tcPr>
            <w:tcW w:w="20" w:type="dxa"/>
            <w:vAlign w:val="bottom"/>
          </w:tcPr>
          <w:p>
            <w:pPr>
              <w:spacing w:after="0"/>
              <w:rPr>
                <w:sz w:val="24"/>
                <w:szCs w:val="24"/>
                <w:color w:val="auto"/>
              </w:rPr>
            </w:pP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Exhibit No.</w:t>
            </w:r>
          </w:p>
        </w:tc>
        <w:tc>
          <w:tcPr>
            <w:tcW w:w="5360" w:type="dxa"/>
            <w:vAlign w:val="bottom"/>
            <w:gridSpan w:val="2"/>
          </w:tcPr>
          <w:p>
            <w:pPr>
              <w:ind w:left="160"/>
              <w:spacing w:after="0"/>
              <w:rPr>
                <w:sz w:val="20"/>
                <w:szCs w:val="20"/>
                <w:color w:val="auto"/>
              </w:rPr>
            </w:pPr>
            <w:r>
              <w:rPr>
                <w:rFonts w:ascii="Arial" w:cs="Arial" w:eastAsia="Arial" w:hAnsi="Arial"/>
                <w:sz w:val="16"/>
                <w:szCs w:val="16"/>
                <w:b w:val="1"/>
                <w:bCs w:val="1"/>
                <w:color w:val="auto"/>
              </w:rPr>
              <w:t>Description</w:t>
            </w:r>
          </w:p>
        </w:tc>
        <w:tc>
          <w:tcPr>
            <w:tcW w:w="458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128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color w:val="auto"/>
                <w:w w:val="89"/>
              </w:rPr>
              <w:t>99.1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Press Release dated July 23, 2009</w:t>
            </w:r>
          </w:p>
        </w:tc>
        <w:tc>
          <w:tcPr>
            <w:tcW w:w="4580" w:type="dxa"/>
            <w:vAlign w:val="bottom"/>
          </w:tcPr>
          <w:p>
            <w:pPr>
              <w:spacing w:after="0"/>
              <w:rPr>
                <w:sz w:val="15"/>
                <w:szCs w:val="15"/>
                <w:color w:val="auto"/>
              </w:rPr>
            </w:pPr>
          </w:p>
        </w:tc>
      </w:tr>
      <w:tr>
        <w:trPr>
          <w:trHeight w:val="205"/>
        </w:trPr>
        <w:tc>
          <w:tcPr>
            <w:tcW w:w="1300" w:type="dxa"/>
            <w:vAlign w:val="bottom"/>
            <w:gridSpan w:val="2"/>
          </w:tcPr>
          <w:p>
            <w:pPr>
              <w:jc w:val="center"/>
              <w:spacing w:after="0"/>
              <w:rPr>
                <w:sz w:val="20"/>
                <w:szCs w:val="20"/>
                <w:color w:val="auto"/>
              </w:rPr>
            </w:pPr>
            <w:r>
              <w:rPr>
                <w:rFonts w:ascii="Arial" w:cs="Arial" w:eastAsia="Arial" w:hAnsi="Arial"/>
                <w:sz w:val="16"/>
                <w:szCs w:val="16"/>
                <w:color w:val="auto"/>
                <w:w w:val="89"/>
              </w:rPr>
              <w:t>99.2</w:t>
            </w:r>
          </w:p>
        </w:tc>
        <w:tc>
          <w:tcPr>
            <w:tcW w:w="200" w:type="dxa"/>
            <w:vAlign w:val="bottom"/>
          </w:tcPr>
          <w:p>
            <w:pPr>
              <w:spacing w:after="0"/>
              <w:rPr>
                <w:sz w:val="17"/>
                <w:szCs w:val="17"/>
                <w:color w:val="auto"/>
              </w:rPr>
            </w:pPr>
          </w:p>
        </w:tc>
        <w:tc>
          <w:tcPr>
            <w:tcW w:w="5360" w:type="dxa"/>
            <w:vAlign w:val="bottom"/>
            <w:gridSpan w:val="2"/>
          </w:tcPr>
          <w:p>
            <w:pPr>
              <w:ind w:left="160"/>
              <w:spacing w:after="0"/>
              <w:rPr>
                <w:sz w:val="20"/>
                <w:szCs w:val="20"/>
                <w:color w:val="auto"/>
              </w:rPr>
            </w:pPr>
            <w:r>
              <w:rPr>
                <w:rFonts w:ascii="Arial" w:cs="Arial" w:eastAsia="Arial" w:hAnsi="Arial"/>
                <w:sz w:val="16"/>
                <w:szCs w:val="16"/>
                <w:color w:val="auto"/>
              </w:rPr>
              <w:t>Presentation materials for July 23, 2009 conference call</w:t>
            </w:r>
          </w:p>
        </w:tc>
        <w:tc>
          <w:tcPr>
            <w:tcW w:w="4580" w:type="dxa"/>
            <w:vAlign w:val="bottom"/>
          </w:tcPr>
          <w:p>
            <w:pPr>
              <w:spacing w:after="0"/>
              <w:rPr>
                <w:sz w:val="17"/>
                <w:szCs w:val="17"/>
                <w:color w:val="auto"/>
              </w:rPr>
            </w:pPr>
          </w:p>
        </w:tc>
      </w:tr>
      <w:tr>
        <w:trPr>
          <w:trHeight w:val="537"/>
        </w:trPr>
        <w:tc>
          <w:tcPr>
            <w:tcW w:w="20" w:type="dxa"/>
            <w:vAlign w:val="bottom"/>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 INC.</w:t>
      </w:r>
    </w:p>
    <w:p>
      <w:pPr>
        <w:spacing w:after="0" w:line="200"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July 23, 2009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339"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0" w:type="dxa"/>
            <w:vAlign w:val="bottom"/>
          </w:tcPr>
          <w:p>
            <w:pPr>
              <w:ind w:left="3440"/>
              <w:spacing w:after="0"/>
              <w:rPr>
                <w:sz w:val="20"/>
                <w:szCs w:val="20"/>
                <w:color w:val="auto"/>
              </w:rPr>
            </w:pPr>
            <w:r>
              <w:rPr>
                <w:rFonts w:ascii="Arial" w:cs="Arial" w:eastAsia="Arial" w:hAnsi="Arial"/>
                <w:sz w:val="16"/>
                <w:szCs w:val="16"/>
                <w:b w:val="1"/>
                <w:bCs w:val="1"/>
                <w:color w:val="auto"/>
              </w:rPr>
              <w:t>EXHIBIT INDEX</w:t>
            </w:r>
          </w:p>
        </w:tc>
      </w:tr>
      <w:tr>
        <w:trPr>
          <w:trHeight w:val="412"/>
        </w:trPr>
        <w:tc>
          <w:tcPr>
            <w:tcW w:w="1300" w:type="dxa"/>
            <w:vAlign w:val="bottom"/>
          </w:tcPr>
          <w:p>
            <w:pPr>
              <w:jc w:val="right"/>
              <w:ind w:right="180"/>
              <w:spacing w:after="0"/>
              <w:rPr>
                <w:sz w:val="20"/>
                <w:szCs w:val="20"/>
                <w:color w:val="auto"/>
              </w:rPr>
            </w:pPr>
            <w:r>
              <w:rPr>
                <w:rFonts w:ascii="Arial" w:cs="Arial" w:eastAsia="Arial" w:hAnsi="Arial"/>
                <w:sz w:val="16"/>
                <w:szCs w:val="16"/>
                <w:b w:val="1"/>
                <w:bCs w:val="1"/>
                <w:color w:val="auto"/>
              </w:rPr>
              <w:t>Exhibit No.</w:t>
            </w:r>
          </w:p>
        </w:tc>
        <w:tc>
          <w:tcPr>
            <w:tcW w:w="5560" w:type="dxa"/>
            <w:vAlign w:val="bottom"/>
            <w:gridSpan w:val="2"/>
          </w:tcPr>
          <w:p>
            <w:pPr>
              <w:ind w:left="36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300" w:type="dxa"/>
            <w:vAlign w:val="bottom"/>
            <w:tcBorders>
              <w:top w:val="single" w:sz="8" w:color="auto"/>
            </w:tcBorders>
          </w:tcPr>
          <w:p>
            <w:pPr>
              <w:jc w:val="right"/>
              <w:ind w:right="400"/>
              <w:spacing w:after="0" w:line="180" w:lineRule="exact"/>
              <w:rPr>
                <w:sz w:val="20"/>
                <w:szCs w:val="20"/>
                <w:color w:val="auto"/>
              </w:rPr>
            </w:pPr>
            <w:r>
              <w:rPr>
                <w:rFonts w:ascii="Arial" w:cs="Arial" w:eastAsia="Arial" w:hAnsi="Arial"/>
                <w:sz w:val="16"/>
                <w:szCs w:val="16"/>
                <w:color w:val="auto"/>
              </w:rPr>
              <w:t>99.1</w:t>
            </w:r>
          </w:p>
        </w:tc>
        <w:tc>
          <w:tcPr>
            <w:tcW w:w="360" w:type="dxa"/>
            <w:vAlign w:val="bottom"/>
          </w:tcPr>
          <w:p>
            <w:pPr>
              <w:spacing w:after="0"/>
              <w:rPr>
                <w:sz w:val="15"/>
                <w:szCs w:val="15"/>
                <w:color w:val="auto"/>
              </w:rPr>
            </w:pPr>
          </w:p>
        </w:tc>
        <w:tc>
          <w:tcPr>
            <w:tcW w:w="52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Press Release dated July 23, 2009</w:t>
            </w:r>
          </w:p>
        </w:tc>
      </w:tr>
      <w:tr>
        <w:trPr>
          <w:trHeight w:val="205"/>
        </w:trPr>
        <w:tc>
          <w:tcPr>
            <w:tcW w:w="1300" w:type="dxa"/>
            <w:vAlign w:val="bottom"/>
          </w:tcPr>
          <w:p>
            <w:pPr>
              <w:jc w:val="right"/>
              <w:ind w:right="400"/>
              <w:spacing w:after="0"/>
              <w:rPr>
                <w:sz w:val="20"/>
                <w:szCs w:val="20"/>
                <w:color w:val="auto"/>
              </w:rPr>
            </w:pPr>
            <w:r>
              <w:rPr>
                <w:rFonts w:ascii="Arial" w:cs="Arial" w:eastAsia="Arial" w:hAnsi="Arial"/>
                <w:sz w:val="16"/>
                <w:szCs w:val="16"/>
                <w:color w:val="auto"/>
              </w:rPr>
              <w:t>99.2</w:t>
            </w:r>
          </w:p>
        </w:tc>
        <w:tc>
          <w:tcPr>
            <w:tcW w:w="5560" w:type="dxa"/>
            <w:vAlign w:val="bottom"/>
            <w:gridSpan w:val="2"/>
          </w:tcPr>
          <w:p>
            <w:pPr>
              <w:ind w:left="360"/>
              <w:spacing w:after="0"/>
              <w:rPr>
                <w:sz w:val="20"/>
                <w:szCs w:val="20"/>
                <w:color w:val="auto"/>
              </w:rPr>
            </w:pPr>
            <w:r>
              <w:rPr>
                <w:rFonts w:ascii="Arial" w:cs="Arial" w:eastAsia="Arial" w:hAnsi="Arial"/>
                <w:sz w:val="16"/>
                <w:szCs w:val="16"/>
                <w:color w:val="auto"/>
              </w:rPr>
              <w:t>Presentation materials for July 23, 2009 conference call</w:t>
            </w:r>
          </w:p>
        </w:tc>
      </w:tr>
    </w:tbl>
    <w:p>
      <w:pPr>
        <w:sectPr>
          <w:pgSz w:w="11900" w:h="16838" w:orient="portrait"/>
          <w:cols w:equalWidth="0" w:num="1">
            <w:col w:w="10219"/>
          </w:cols>
          <w:pgMar w:left="240" w:top="33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029970" cy="953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970" cy="95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2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Mike Van Handel</w:t>
      </w:r>
    </w:p>
    <w:p>
      <w:pPr>
        <w:spacing w:after="0" w:line="7"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Manpower Inc.</w:t>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michael.vanhandel@manpower.com</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Reports 2</w:t>
      </w:r>
      <w:r>
        <w:rPr>
          <w:rFonts w:ascii="Arial" w:cs="Arial" w:eastAsia="Arial" w:hAnsi="Arial"/>
          <w:sz w:val="24"/>
          <w:szCs w:val="24"/>
          <w:b w:val="1"/>
          <w:bCs w:val="1"/>
          <w:color w:val="auto"/>
          <w:vertAlign w:val="superscript"/>
        </w:rPr>
        <w:t>ND</w:t>
      </w:r>
      <w:r>
        <w:rPr>
          <w:rFonts w:ascii="Arial" w:cs="Arial" w:eastAsia="Arial" w:hAnsi="Arial"/>
          <w:sz w:val="18"/>
          <w:szCs w:val="18"/>
          <w:b w:val="1"/>
          <w:bCs w:val="1"/>
          <w:color w:val="auto"/>
        </w:rPr>
        <w:t xml:space="preserve"> Quarter and First Half 2009 Results</w:t>
      </w:r>
    </w:p>
    <w:p>
      <w:pPr>
        <w:spacing w:after="0" w:line="355" w:lineRule="exact"/>
        <w:rPr>
          <w:sz w:val="20"/>
          <w:szCs w:val="20"/>
          <w:color w:val="auto"/>
        </w:rPr>
      </w:pPr>
    </w:p>
    <w:p>
      <w:pPr>
        <w:ind w:right="80" w:firstLine="609"/>
        <w:spacing w:after="0" w:line="319" w:lineRule="auto"/>
        <w:rPr>
          <w:sz w:val="20"/>
          <w:szCs w:val="20"/>
          <w:color w:val="auto"/>
        </w:rPr>
      </w:pPr>
      <w:r>
        <w:rPr>
          <w:rFonts w:ascii="Arial" w:cs="Arial" w:eastAsia="Arial" w:hAnsi="Arial"/>
          <w:sz w:val="15"/>
          <w:szCs w:val="15"/>
          <w:color w:val="auto"/>
        </w:rPr>
        <w:t>MILWAUKEE, WI, USA, July 23, 2009 – Manpower Inc. (NYSE: MAN) today reported that earnings per diluted share for the three months ended June 30, 2009 were 25 cents compared to $1.34 in the prior year period. Net earnings in the quarter were $19.3 million compared to $107.4 million a year earlier. Revenues for the second quarter were $3.8 billion, a decrease of 36 percent from the year earlier period, or a decrease of 27 percent in constant currency.</w:t>
      </w:r>
    </w:p>
    <w:p>
      <w:pPr>
        <w:spacing w:after="0" w:line="12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Second quarter 2009 results include a reorganization charge of $13.1 million, $9.0 million after tax, or 11 cents per diluted share primarily related to severances and office consolidations. Second quarter results also include an unfavorable impact from currency of 1 cent per diluted share and a favorable impact from a lower effective income tax rate.</w:t>
      </w:r>
    </w:p>
    <w:p>
      <w:pPr>
        <w:spacing w:after="0" w:line="18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Manpower Inc. Chairman and Chief Executive Officer Jeffrey A. Joerres said, “While we have continued to see stabilization, and in our major geographies slight improvement, we have yet to experience real recovery. The months of September and October, which are traditionally strong seasonal months, will be an important period of time to give us an indication of whether or not 2009 will show signs of recovery.</w:t>
      </w:r>
    </w:p>
    <w:p>
      <w:pPr>
        <w:spacing w:after="0" w:line="180" w:lineRule="exact"/>
        <w:rPr>
          <w:sz w:val="20"/>
          <w:szCs w:val="20"/>
          <w:color w:val="auto"/>
        </w:rPr>
      </w:pPr>
    </w:p>
    <w:p>
      <w:pPr>
        <w:jc w:val="both"/>
        <w:ind w:right="340"/>
        <w:spacing w:after="0" w:line="246" w:lineRule="auto"/>
        <w:rPr>
          <w:sz w:val="20"/>
          <w:szCs w:val="20"/>
          <w:color w:val="auto"/>
        </w:rPr>
      </w:pPr>
      <w:r>
        <w:rPr>
          <w:rFonts w:ascii="Arial" w:cs="Arial" w:eastAsia="Arial" w:hAnsi="Arial"/>
          <w:sz w:val="18"/>
          <w:szCs w:val="18"/>
          <w:color w:val="auto"/>
        </w:rPr>
        <w:t>"We continue to benefit greatly from our outplacement business, as Right Management had a record setting profit for the second quarter. Right Management's profitability, coupled with good expense management, is allowing us to have a longitudinal view of the company and remain poised for growth at the time of recovery, whenever that may be.</w:t>
      </w:r>
    </w:p>
    <w:p>
      <w:pPr>
        <w:spacing w:after="0" w:line="192"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color w:val="auto"/>
        </w:rPr>
        <w:t>“We are anticipating the third quarter of 2009 diluted earnings per share to be in the range of 7 cents to 21 cents, which includes an estimated unfavorable currency impact of 1 cent,” Joerres stated.</w:t>
      </w:r>
    </w:p>
    <w:p>
      <w:pPr>
        <w:spacing w:after="0" w:line="173" w:lineRule="exact"/>
        <w:rPr>
          <w:sz w:val="20"/>
          <w:szCs w:val="20"/>
          <w:color w:val="auto"/>
        </w:rPr>
      </w:pPr>
    </w:p>
    <w:p>
      <w:pPr>
        <w:jc w:val="both"/>
        <w:ind w:right="220"/>
        <w:spacing w:after="0" w:line="267" w:lineRule="auto"/>
        <w:rPr>
          <w:sz w:val="20"/>
          <w:szCs w:val="20"/>
          <w:color w:val="auto"/>
        </w:rPr>
      </w:pPr>
      <w:r>
        <w:rPr>
          <w:rFonts w:ascii="Arial" w:cs="Arial" w:eastAsia="Arial" w:hAnsi="Arial"/>
          <w:sz w:val="17"/>
          <w:szCs w:val="17"/>
          <w:color w:val="auto"/>
        </w:rPr>
        <w:t>Earnings per diluted share for the six months ended June 30, 2009 were 27 cents compared to $2.27 per diluted share in 2008. Net earnings were $21.6 million compared to $182.9 million in the prior year. Revenues for the six-month period were $7.4 billion, a decrease of 34 percent from the prior year or 24 percent in constant currency. Foreign currency exchange rates had an unfavorable impact of 2 cents for the six-month period.</w:t>
      </w:r>
    </w:p>
    <w:p>
      <w:pPr>
        <w:spacing w:after="0" w:line="164" w:lineRule="exact"/>
        <w:rPr>
          <w:sz w:val="20"/>
          <w:szCs w:val="20"/>
          <w:color w:val="auto"/>
        </w:rPr>
      </w:pPr>
    </w:p>
    <w:p>
      <w:pPr>
        <w:ind w:right="380"/>
        <w:spacing w:after="0" w:line="354" w:lineRule="auto"/>
        <w:rPr>
          <w:sz w:val="20"/>
          <w:szCs w:val="20"/>
          <w:color w:val="auto"/>
        </w:rPr>
      </w:pPr>
      <w:r>
        <w:rPr>
          <w:rFonts w:ascii="Arial" w:cs="Arial" w:eastAsia="Arial" w:hAnsi="Arial"/>
          <w:sz w:val="15"/>
          <w:szCs w:val="15"/>
          <w:color w:val="auto"/>
        </w:rPr>
        <w:t>In conjunction with its second quarter earnings release, Manpower will broadcast its conference call live over the Internet on July 23, 2009 at 7:30 a.m. CDT (8:30 a.m. EDT). Interested parties are invited to listen to the webcast and view the presentation by logging on to http://investor.manpower.com.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auto"/>
        </w:rPr>
        <w:t>http://investor.manpower.com</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 Inc.</w:t>
      </w:r>
    </w:p>
    <w:p>
      <w:pPr>
        <w:spacing w:after="0" w:line="25"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 xml:space="preserve">Manpower Inc. (NYSE: MAN) is a world leader in the employment services industry; creating and delivering services that enable clients to win in the changing world of work. 61 years old in 2009, the company offers a range of services for the entire employment and business cycle including permanent, temporary and contract recruitment; employee assessment and selection; training; outplacement; outsourcing and consulting. Manpower's network of 4,100 offices in 82 countries and territories enables the company to meet the needs of 400,000 clients per year, including small and medium size enterprises in all industry sectors, as well as the world's largest multinational corporations. Manpower focuses on raising productivity through improved quality, efficiency and cost-reduction across the total workforce, enabling clients to concentrate on their core business activities. Manpower Inc. operates under five brands: Manpower, Manpower Professional, Elan, Jefferson Wells and Right Management. Web site is </w:t>
      </w:r>
      <w:r>
        <w:rPr>
          <w:rFonts w:ascii="Arial" w:cs="Arial" w:eastAsia="Arial" w:hAnsi="Arial"/>
          <w:sz w:val="14"/>
          <w:szCs w:val="14"/>
          <w:u w:val="single" w:color="auto"/>
          <w:color w:val="auto"/>
        </w:rPr>
        <w:t>www.manpower.com</w:t>
      </w:r>
      <w:r>
        <w:rPr>
          <w:rFonts w:ascii="Arial" w:cs="Arial" w:eastAsia="Arial" w:hAnsi="Arial"/>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2008, which information is incorporated herein by reference.</w:t>
      </w:r>
    </w:p>
    <w:p>
      <w:pPr>
        <w:spacing w:after="0" w:line="191"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348615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 Inc.</w:t>
      </w:r>
    </w:p>
    <w:p>
      <w:pPr>
        <w:spacing w:after="0" w:line="19"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w w:val="93"/>
              </w:rPr>
              <w:t>Three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2009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1060"/>
              <w:spacing w:after="0"/>
              <w:rPr>
                <w:sz w:val="20"/>
                <w:szCs w:val="20"/>
                <w:color w:val="auto"/>
              </w:rPr>
            </w:pPr>
            <w:r>
              <w:rPr>
                <w:rFonts w:ascii="Arial" w:cs="Arial" w:eastAsia="Arial" w:hAnsi="Arial"/>
                <w:sz w:val="16"/>
                <w:szCs w:val="16"/>
                <w:b w:val="1"/>
                <w:bCs w:val="1"/>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3,796.6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5,904.9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4,751.3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-34.7%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673.3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946.3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-28.8%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-21.7%</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86.0</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0.25</w:t>
            </w:r>
          </w:p>
        </w:tc>
        <w:tc>
          <w:tcPr>
            <w:tcW w:w="22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1.36</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-81.6%</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0.25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1.34</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-81.3%</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78.3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79.2</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-1.1%</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78.8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80.3</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-1.9%</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300" w:hanging="4"/>
        <w:spacing w:after="0" w:line="264" w:lineRule="auto"/>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$5.8 million and $8.3 million for the three months ended June 30, 2009 and 2008, respectively. These fees are primarily based on revenues generated by the franchise offices, which were $174.1 million and $325.4 million for the three months ended June 30, 2009 and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 Inc.</w:t>
      </w:r>
    </w:p>
    <w:p>
      <w:pPr>
        <w:spacing w:after="0" w:line="19"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w w:val="93"/>
              </w:rPr>
              <w:t>Three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2009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1060"/>
              <w:spacing w:after="0"/>
              <w:rPr>
                <w:sz w:val="20"/>
                <w:szCs w:val="20"/>
                <w:color w:val="auto"/>
              </w:rPr>
            </w:pPr>
            <w:r>
              <w:rPr>
                <w:rFonts w:ascii="Arial" w:cs="Arial" w:eastAsia="Arial" w:hAnsi="Arial"/>
                <w:sz w:val="16"/>
                <w:szCs w:val="16"/>
                <w:b w:val="1"/>
                <w:bCs w:val="1"/>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(b)</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296.2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-9.9%</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787.8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-18.6%</w:t>
            </w: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1,958.1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-35.6%</w:t>
            </w: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441.4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-40.3%</w:t>
            </w: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EMEA</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1,259.0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2,050.7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-38.6%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-25.0%</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2,492.1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Asia Pacific</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474.8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-14.5%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-12.7%</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46.5%</w:t>
            </w: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Jefferson Wells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75.8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-36.5%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-36.5%</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5,904.9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-26.6%</w:t>
            </w:r>
          </w:p>
        </w:tc>
      </w:tr>
      <w:tr>
        <w:trPr>
          <w:trHeight w:val="180"/>
        </w:trPr>
        <w:tc>
          <w:tcPr>
            <w:tcW w:w="20" w:type="dxa"/>
            <w:vAlign w:val="bottom"/>
          </w:tcPr>
          <w:p>
            <w:pPr>
              <w:spacing w:after="0"/>
              <w:rPr>
                <w:sz w:val="15"/>
                <w:szCs w:val="15"/>
                <w:color w:val="auto"/>
              </w:rPr>
            </w:pPr>
          </w:p>
        </w:tc>
        <w:tc>
          <w:tcPr>
            <w:tcW w:w="6060" w:type="dxa"/>
            <w:vAlign w:val="bottom"/>
            <w:tcBorders>
              <w:top w:val="single" w:sz="8" w:color="CCEEFF"/>
            </w:tcBorders>
          </w:tcPr>
          <w:p>
            <w:pPr>
              <w:spacing w:after="0" w:line="181" w:lineRule="exact"/>
              <w:rPr>
                <w:sz w:val="20"/>
                <w:szCs w:val="20"/>
                <w:color w:val="auto"/>
              </w:rPr>
            </w:pPr>
            <w:r>
              <w:rPr>
                <w:rFonts w:ascii="Arial" w:cs="Arial" w:eastAsia="Arial" w:hAnsi="Arial"/>
                <w:sz w:val="16"/>
                <w:szCs w:val="16"/>
                <w:color w:val="auto"/>
              </w:rPr>
              <w:t>Operating Unit Profit:</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United States (b)</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14.8</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22.2</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69.8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-94.0%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-93.1%</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EMEA: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37.6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-82.0%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-79.4%</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EMEA</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85.1</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122.7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-97.5%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-96.7%</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Asia Pacific</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-71.4%</w:t>
            </w: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42.3</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216.9%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232.4%</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Jefferson Wells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235.8</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28.5</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207.3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-89.3%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-87.5%</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expenses (c)</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193.4</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72" w:lineRule="exact"/>
        <w:rPr>
          <w:sz w:val="20"/>
          <w:szCs w:val="20"/>
          <w:color w:val="auto"/>
        </w:rPr>
      </w:pPr>
    </w:p>
    <w:p>
      <w:pPr>
        <w:jc w:val="both"/>
        <w:ind w:left="4" w:right="480" w:hanging="4"/>
        <w:spacing w:after="0" w:line="289" w:lineRule="auto"/>
        <w:tabs>
          <w:tab w:leader="none" w:pos="222"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segment reporting was realigned during the first quarter of 2009 due to a change in management structure. Other Americas and Asia Pacific, previously reported in Other Operations, are now separate reportable segments. The United States and Other Americas reportable segments are reported as Americas. The Italy and Other EMEA reportable segments are reported as EMEA. Historical amounts have been restated to conform to the current year presentation.</w:t>
      </w:r>
    </w:p>
    <w:p>
      <w:pPr>
        <w:spacing w:after="0" w:line="145" w:lineRule="exact"/>
        <w:rPr>
          <w:rFonts w:ascii="Arial" w:cs="Arial" w:eastAsia="Arial" w:hAnsi="Arial"/>
          <w:sz w:val="15"/>
          <w:szCs w:val="15"/>
          <w:color w:val="auto"/>
        </w:rPr>
      </w:pPr>
    </w:p>
    <w:p>
      <w:pPr>
        <w:ind w:left="4" w:right="240" w:hanging="4"/>
        <w:spacing w:after="0" w:line="264" w:lineRule="auto"/>
        <w:tabs>
          <w:tab w:leader="none" w:pos="231"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$2.4 million and $4.7 million for the three months ended June 30, 2009 and 2008, respectively. These fees are primarily based on revenues generated by the franchise offices, which were $107.2 million and $214.6 million for the three months ended June 30, 2009 and 2008,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2009</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880" w:type="dxa"/>
            <w:vAlign w:val="bottom"/>
          </w:tcPr>
          <w:p>
            <w:pPr>
              <w:spacing w:after="0"/>
              <w:rPr>
                <w:sz w:val="17"/>
                <w:szCs w:val="17"/>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37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17.1</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8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6"/>
                <w:szCs w:val="16"/>
                <w:color w:val="auto"/>
              </w:rPr>
            </w:pPr>
          </w:p>
        </w:tc>
        <w:tc>
          <w:tcPr>
            <w:tcW w:w="3760" w:type="dxa"/>
            <w:vAlign w:val="bottom"/>
            <w:gridSpan w:val="2"/>
          </w:tcPr>
          <w:p>
            <w:pPr>
              <w:jc w:val="right"/>
              <w:ind w:right="2820"/>
              <w:spacing w:after="0"/>
              <w:rPr>
                <w:sz w:val="20"/>
                <w:szCs w:val="20"/>
                <w:color w:val="auto"/>
              </w:rPr>
            </w:pPr>
            <w:r>
              <w:rPr>
                <w:rFonts w:ascii="Arial" w:cs="Arial" w:eastAsia="Arial" w:hAnsi="Arial"/>
                <w:sz w:val="16"/>
                <w:szCs w:val="16"/>
                <w:color w:val="auto"/>
              </w:rPr>
              <w:t>(6.0)</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losses</w:t>
            </w:r>
          </w:p>
        </w:tc>
        <w:tc>
          <w:tcPr>
            <w:tcW w:w="8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CEEFF"/>
          </w:tcPr>
          <w:p>
            <w:pPr>
              <w:spacing w:after="0"/>
              <w:rPr>
                <w:sz w:val="16"/>
                <w:szCs w:val="16"/>
                <w:color w:val="auto"/>
              </w:rPr>
            </w:pPr>
          </w:p>
        </w:tc>
        <w:tc>
          <w:tcPr>
            <w:tcW w:w="37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0.4</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(income) expense, net</w:t>
            </w:r>
          </w:p>
        </w:tc>
        <w:tc>
          <w:tcPr>
            <w:tcW w:w="8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(0.9)</w:t>
            </w:r>
          </w:p>
        </w:tc>
        <w:tc>
          <w:tcPr>
            <w:tcW w:w="240" w:type="dxa"/>
            <w:vAlign w:val="bottom"/>
          </w:tcPr>
          <w:p>
            <w:pPr>
              <w:spacing w:after="0"/>
              <w:rPr>
                <w:sz w:val="16"/>
                <w:szCs w:val="16"/>
                <w:color w:val="auto"/>
              </w:rPr>
            </w:pPr>
          </w:p>
        </w:tc>
        <w:tc>
          <w:tcPr>
            <w:tcW w:w="3760" w:type="dxa"/>
            <w:vAlign w:val="bottom"/>
            <w:gridSpan w:val="2"/>
          </w:tcPr>
          <w:p>
            <w:pPr>
              <w:jc w:val="right"/>
              <w:ind w:right="2880"/>
              <w:spacing w:after="0"/>
              <w:rPr>
                <w:sz w:val="20"/>
                <w:szCs w:val="20"/>
                <w:color w:val="auto"/>
              </w:rPr>
            </w:pPr>
            <w:r>
              <w:rPr>
                <w:rFonts w:ascii="Arial" w:cs="Arial" w:eastAsia="Arial" w:hAnsi="Arial"/>
                <w:sz w:val="16"/>
                <w:szCs w:val="16"/>
                <w:color w:val="auto"/>
              </w:rPr>
              <w:t>2.4</w:t>
            </w:r>
          </w:p>
        </w:tc>
      </w:tr>
      <w:tr>
        <w:trPr>
          <w:trHeight w:val="24"/>
        </w:trPr>
        <w:tc>
          <w:tcPr>
            <w:tcW w:w="6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37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13.9</w:t>
            </w:r>
          </w:p>
        </w:tc>
      </w:tr>
      <w:tr>
        <w:trPr>
          <w:trHeight w:val="525"/>
        </w:trPr>
        <w:tc>
          <w:tcPr>
            <w:tcW w:w="6080" w:type="dxa"/>
            <w:vAlign w:val="bottom"/>
            <w:tcBorders>
              <w:top w:val="single" w:sz="8" w:color="CCEEFF"/>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7" w:name="page8"/>
    <w:bookmarkEnd w:id="7"/>
    <w:p>
      <w:pPr>
        <w:jc w:val="center"/>
        <w:ind w:right="156"/>
        <w:spacing w:after="0"/>
        <w:rPr>
          <w:sz w:val="20"/>
          <w:szCs w:val="20"/>
          <w:color w:val="auto"/>
        </w:rPr>
      </w:pPr>
      <w:r>
        <w:rPr>
          <w:rFonts w:ascii="Arial" w:cs="Arial" w:eastAsia="Arial" w:hAnsi="Arial"/>
          <w:sz w:val="19"/>
          <w:szCs w:val="19"/>
          <w:color w:val="auto"/>
        </w:rPr>
        <w:t>Manpower Inc.</w:t>
      </w:r>
    </w:p>
    <w:p>
      <w:pPr>
        <w:spacing w:after="0" w:line="19"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w w:val="95"/>
              </w:rPr>
              <w:t>Six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2009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060"/>
              <w:spacing w:after="0"/>
              <w:rPr>
                <w:sz w:val="20"/>
                <w:szCs w:val="20"/>
                <w:color w:val="auto"/>
              </w:rPr>
            </w:pPr>
            <w:r>
              <w:rPr>
                <w:rFonts w:ascii="Arial" w:cs="Arial" w:eastAsia="Arial" w:hAnsi="Arial"/>
                <w:sz w:val="16"/>
                <w:szCs w:val="16"/>
                <w:b w:val="1"/>
                <w:bCs w:val="1"/>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7,443.7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11,291.5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6,078.5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9,170.2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-33.7%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2,121.3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1,337.6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1,782.0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339.3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25.2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(16.7)</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131.2</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182.9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0.28</w:t>
            </w:r>
          </w:p>
        </w:tc>
        <w:tc>
          <w:tcPr>
            <w:tcW w:w="22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2.31</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-87.9%</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0.27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2.27</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-88.1%</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78.2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79.3</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-1.4%</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78.6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80.4</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-2.3%</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380" w:hanging="4"/>
        <w:spacing w:after="0" w:line="264" w:lineRule="auto"/>
        <w:tabs>
          <w:tab w:leader="none" w:pos="22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$10.9 million and $15.6 million for the six months ended June 30, 2009 and 2008, respectively. These fees are primarily based on revenues generated by the franchise offices, which were $333.0 million and $629.4 million for the six months ended June 30, 2009 and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8" w:name="page9"/>
    <w:bookmarkEnd w:id="8"/>
    <w:p>
      <w:pPr>
        <w:jc w:val="center"/>
        <w:ind w:right="156"/>
        <w:spacing w:after="0"/>
        <w:rPr>
          <w:sz w:val="20"/>
          <w:szCs w:val="20"/>
          <w:color w:val="auto"/>
        </w:rPr>
      </w:pPr>
      <w:r>
        <w:rPr>
          <w:rFonts w:ascii="Arial" w:cs="Arial" w:eastAsia="Arial" w:hAnsi="Arial"/>
          <w:sz w:val="19"/>
          <w:szCs w:val="19"/>
          <w:color w:val="auto"/>
        </w:rPr>
        <w:t>Manpower Inc.</w:t>
      </w:r>
    </w:p>
    <w:p>
      <w:pPr>
        <w:spacing w:after="0" w:line="19"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w w:val="95"/>
              </w:rPr>
              <w:t>Six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2009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060"/>
              <w:spacing w:after="0"/>
              <w:rPr>
                <w:sz w:val="20"/>
                <w:szCs w:val="20"/>
                <w:color w:val="auto"/>
              </w:rPr>
            </w:pPr>
            <w:r>
              <w:rPr>
                <w:rFonts w:ascii="Arial" w:cs="Arial" w:eastAsia="Arial" w:hAnsi="Arial"/>
                <w:sz w:val="16"/>
                <w:szCs w:val="16"/>
                <w:b w:val="1"/>
                <w:bCs w:val="1"/>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(b)</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963.1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439.9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576.9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3,692.1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842.6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EMEA</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2,521.9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3,904.4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-35.4%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-19.9%</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4,747.0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Asia Pacific</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831.4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938.9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-11.4%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-9.9%</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45.0%</w:t>
            </w: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Jefferson Wells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153.2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-34.2%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-34.2%</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7,443.7</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11,291.5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-24.3%</w:t>
            </w:r>
          </w:p>
        </w:tc>
      </w:tr>
      <w:tr>
        <w:trPr>
          <w:trHeight w:val="180"/>
        </w:trPr>
        <w:tc>
          <w:tcPr>
            <w:tcW w:w="20" w:type="dxa"/>
            <w:vAlign w:val="bottom"/>
          </w:tcPr>
          <w:p>
            <w:pPr>
              <w:spacing w:after="0"/>
              <w:rPr>
                <w:sz w:val="15"/>
                <w:szCs w:val="15"/>
                <w:color w:val="auto"/>
              </w:rPr>
            </w:pPr>
          </w:p>
        </w:tc>
        <w:tc>
          <w:tcPr>
            <w:tcW w:w="6060" w:type="dxa"/>
            <w:vAlign w:val="bottom"/>
            <w:tcBorders>
              <w:top w:val="single" w:sz="8" w:color="CCEEFF"/>
            </w:tcBorders>
          </w:tcPr>
          <w:p>
            <w:pPr>
              <w:spacing w:after="0" w:line="181" w:lineRule="exact"/>
              <w:rPr>
                <w:sz w:val="20"/>
                <w:szCs w:val="20"/>
                <w:color w:val="auto"/>
              </w:rPr>
            </w:pPr>
            <w:r>
              <w:rPr>
                <w:rFonts w:ascii="Arial" w:cs="Arial" w:eastAsia="Arial" w:hAnsi="Arial"/>
                <w:sz w:val="16"/>
                <w:szCs w:val="16"/>
                <w:color w:val="auto"/>
              </w:rPr>
              <w:t>Operating Unit Profit:</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United States (b)</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(20.3)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22.0</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37.4</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123.8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-95.8%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-95.0%</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EMEA: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66.7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-87.7%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-86.2%</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EMEA</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132.8</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199.5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-97.4%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-95.8%</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Asia Pacific</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71.4</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20.2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254.1%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272.7%</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Jefferson Wells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(17.7)</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399.3</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339.3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-91.9%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-89.5%</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expenses (c)</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25.2</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314.1</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72" w:lineRule="exact"/>
        <w:rPr>
          <w:sz w:val="20"/>
          <w:szCs w:val="20"/>
          <w:color w:val="auto"/>
        </w:rPr>
      </w:pPr>
    </w:p>
    <w:p>
      <w:pPr>
        <w:jc w:val="both"/>
        <w:ind w:left="4" w:right="480" w:hanging="4"/>
        <w:spacing w:after="0" w:line="289" w:lineRule="auto"/>
        <w:tabs>
          <w:tab w:leader="none" w:pos="222"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segment reporting was realigned during the first quarter of 2009 due to a change in management structure. Other Americas and Asia Pacific, previously reported in Other Operations, are now separate reportable segments. The United States and Other Americas reportable segments are reported as Americas. The Italy and Other EMEA reportable segments are reported as EMEA. Historical amounts have been restated to conform to the current year presentation.</w:t>
      </w:r>
    </w:p>
    <w:p>
      <w:pPr>
        <w:spacing w:after="0" w:line="145" w:lineRule="exact"/>
        <w:rPr>
          <w:rFonts w:ascii="Arial" w:cs="Arial" w:eastAsia="Arial" w:hAnsi="Arial"/>
          <w:sz w:val="15"/>
          <w:szCs w:val="15"/>
          <w:color w:val="auto"/>
        </w:rPr>
      </w:pPr>
    </w:p>
    <w:p>
      <w:pPr>
        <w:ind w:left="4" w:right="180" w:hanging="4"/>
        <w:spacing w:after="0" w:line="264" w:lineRule="auto"/>
        <w:tabs>
          <w:tab w:leader="none" w:pos="231"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$4.4 million and $9.3 million for the six months ended June 30, 2009 and 2008, respectively. These fees are primarily based on revenues generated by the franchise offices, which were $202.1 million and $427.3 million for the six months ended June 30, 2009 and 2008,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2009</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880" w:type="dxa"/>
            <w:vAlign w:val="bottom"/>
          </w:tcPr>
          <w:p>
            <w:pPr>
              <w:spacing w:after="0"/>
              <w:rPr>
                <w:sz w:val="17"/>
                <w:szCs w:val="17"/>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37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32.7</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8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6"/>
                <w:szCs w:val="16"/>
                <w:color w:val="auto"/>
              </w:rPr>
            </w:pPr>
          </w:p>
        </w:tc>
        <w:tc>
          <w:tcPr>
            <w:tcW w:w="3760" w:type="dxa"/>
            <w:vAlign w:val="bottom"/>
            <w:gridSpan w:val="2"/>
          </w:tcPr>
          <w:p>
            <w:pPr>
              <w:jc w:val="right"/>
              <w:ind w:right="2820"/>
              <w:spacing w:after="0"/>
              <w:rPr>
                <w:sz w:val="20"/>
                <w:szCs w:val="20"/>
                <w:color w:val="auto"/>
              </w:rPr>
            </w:pPr>
            <w:r>
              <w:rPr>
                <w:rFonts w:ascii="Arial" w:cs="Arial" w:eastAsia="Arial" w:hAnsi="Arial"/>
                <w:sz w:val="16"/>
                <w:szCs w:val="16"/>
                <w:color w:val="auto"/>
              </w:rPr>
              <w:t>(11.1)</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 (gain)</w:t>
            </w:r>
          </w:p>
        </w:tc>
        <w:tc>
          <w:tcPr>
            <w:tcW w:w="8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6"/>
                <w:szCs w:val="16"/>
                <w:color w:val="auto"/>
              </w:rPr>
            </w:pPr>
          </w:p>
        </w:tc>
        <w:tc>
          <w:tcPr>
            <w:tcW w:w="3760" w:type="dxa"/>
            <w:vAlign w:val="bottom"/>
            <w:gridSpan w:val="2"/>
            <w:shd w:val="clear" w:color="auto" w:fill="CCEEFF"/>
          </w:tcPr>
          <w:p>
            <w:pPr>
              <w:jc w:val="right"/>
              <w:ind w:right="2820"/>
              <w:spacing w:after="0"/>
              <w:rPr>
                <w:sz w:val="20"/>
                <w:szCs w:val="20"/>
                <w:color w:val="auto"/>
              </w:rPr>
            </w:pPr>
            <w:r>
              <w:rPr>
                <w:rFonts w:ascii="Arial" w:cs="Arial" w:eastAsia="Arial" w:hAnsi="Arial"/>
                <w:sz w:val="16"/>
                <w:szCs w:val="16"/>
                <w:color w:val="auto"/>
              </w:rPr>
              <w:t>(1.5)</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60" w:type="dxa"/>
            <w:vAlign w:val="bottom"/>
            <w:gridSpan w:val="2"/>
          </w:tcPr>
          <w:p>
            <w:pPr>
              <w:jc w:val="right"/>
              <w:ind w:right="2880"/>
              <w:spacing w:after="0"/>
              <w:rPr>
                <w:sz w:val="20"/>
                <w:szCs w:val="20"/>
                <w:color w:val="auto"/>
              </w:rPr>
            </w:pPr>
            <w:r>
              <w:rPr>
                <w:rFonts w:ascii="Arial" w:cs="Arial" w:eastAsia="Arial" w:hAnsi="Arial"/>
                <w:sz w:val="16"/>
                <w:szCs w:val="16"/>
                <w:color w:val="auto"/>
              </w:rPr>
              <w:t>5.1</w:t>
            </w:r>
          </w:p>
        </w:tc>
      </w:tr>
      <w:tr>
        <w:trPr>
          <w:trHeight w:val="24"/>
        </w:trPr>
        <w:tc>
          <w:tcPr>
            <w:tcW w:w="6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37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25.2</w:t>
            </w:r>
          </w:p>
        </w:tc>
      </w:tr>
      <w:tr>
        <w:trPr>
          <w:trHeight w:val="525"/>
        </w:trPr>
        <w:tc>
          <w:tcPr>
            <w:tcW w:w="6080" w:type="dxa"/>
            <w:vAlign w:val="bottom"/>
            <w:tcBorders>
              <w:top w:val="single" w:sz="8" w:color="CCEEFF"/>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 Inc.</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5"/>
              </w:rPr>
              <w:t>Dec. 31</w:t>
            </w:r>
          </w:p>
        </w:tc>
      </w:tr>
      <w:tr>
        <w:trPr>
          <w:trHeight w:val="213"/>
        </w:trPr>
        <w:tc>
          <w:tcPr>
            <w:tcW w:w="8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20" w:type="dxa"/>
            <w:vAlign w:val="bottom"/>
          </w:tcPr>
          <w:p>
            <w:pPr>
              <w:spacing w:after="0"/>
              <w:rPr>
                <w:sz w:val="18"/>
                <w:szCs w:val="18"/>
                <w:color w:val="auto"/>
              </w:rPr>
            </w:pPr>
          </w:p>
        </w:tc>
      </w:tr>
      <w:tr>
        <w:trPr>
          <w:trHeight w:val="192"/>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(Unaudited)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1,107.3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874.0</w:t>
            </w:r>
          </w:p>
        </w:tc>
      </w:tr>
      <w:tr>
        <w:trPr>
          <w:trHeight w:val="192"/>
        </w:trPr>
        <w:tc>
          <w:tcPr>
            <w:tcW w:w="8820" w:type="dxa"/>
            <w:vAlign w:val="bottom"/>
          </w:tcPr>
          <w:p>
            <w:pPr>
              <w:ind w:left="66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2,944.9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3,629.7</w:t>
            </w: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166.4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119.9</w:t>
            </w:r>
          </w:p>
        </w:tc>
      </w:tr>
      <w:tr>
        <w:trPr>
          <w:trHeight w:val="192"/>
        </w:trPr>
        <w:tc>
          <w:tcPr>
            <w:tcW w:w="8820" w:type="dxa"/>
            <w:vAlign w:val="bottom"/>
          </w:tcPr>
          <w:p>
            <w:pPr>
              <w:ind w:left="660"/>
              <w:spacing w:after="0"/>
              <w:rPr>
                <w:sz w:val="20"/>
                <w:szCs w:val="20"/>
                <w:color w:val="auto"/>
              </w:rPr>
            </w:pPr>
            <w:r>
              <w:rPr>
                <w:rFonts w:ascii="Arial" w:cs="Arial" w:eastAsia="Arial" w:hAnsi="Arial"/>
                <w:sz w:val="16"/>
                <w:szCs w:val="16"/>
                <w:color w:val="auto"/>
              </w:rPr>
              <w:t>Future income tax benefits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66.5</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4,277.8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4,690.1</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Goodwill and other intangible assets, net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1,419.9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1,388.1</w:t>
            </w:r>
          </w:p>
        </w:tc>
      </w:tr>
      <w:tr>
        <w:trPr>
          <w:trHeight w:val="192"/>
        </w:trPr>
        <w:tc>
          <w:tcPr>
            <w:tcW w:w="8820" w:type="dxa"/>
            <w:vAlign w:val="bottom"/>
          </w:tcPr>
          <w:p>
            <w:pPr>
              <w:ind w:left="66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349.0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326.6</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Total other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1,768.9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1,714.7</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Land, buildings, leasehold improvements and equipment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744.0</w:t>
            </w:r>
          </w:p>
        </w:tc>
      </w:tr>
      <w:tr>
        <w:trPr>
          <w:trHeight w:val="192"/>
        </w:trPr>
        <w:tc>
          <w:tcPr>
            <w:tcW w:w="8820" w:type="dxa"/>
            <w:vAlign w:val="bottom"/>
          </w:tcPr>
          <w:p>
            <w:pPr>
              <w:ind w:left="66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533.2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530.6</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property and equipment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213.4</w:t>
            </w:r>
          </w:p>
        </w:tc>
      </w:tr>
      <w:tr>
        <w:trPr>
          <w:trHeight w:val="24"/>
        </w:trPr>
        <w:tc>
          <w:tcPr>
            <w:tcW w:w="8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146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6,241.9</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6,618.2</w:t>
            </w:r>
          </w:p>
        </w:tc>
      </w:tr>
      <w:tr>
        <w:trPr>
          <w:trHeight w:val="20"/>
        </w:trPr>
        <w:tc>
          <w:tcPr>
            <w:tcW w:w="8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88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999.2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903.2</w:t>
            </w:r>
          </w:p>
        </w:tc>
      </w:tr>
      <w:tr>
        <w:trPr>
          <w:trHeight w:val="192"/>
        </w:trPr>
        <w:tc>
          <w:tcPr>
            <w:tcW w:w="8820" w:type="dxa"/>
            <w:vAlign w:val="bottom"/>
          </w:tcPr>
          <w:p>
            <w:pPr>
              <w:ind w:left="660"/>
              <w:spacing w:after="0"/>
              <w:rPr>
                <w:sz w:val="20"/>
                <w:szCs w:val="20"/>
                <w:color w:val="auto"/>
              </w:rPr>
            </w:pPr>
            <w:r>
              <w:rPr>
                <w:rFonts w:ascii="Arial" w:cs="Arial" w:eastAsia="Arial" w:hAnsi="Arial"/>
                <w:sz w:val="16"/>
                <w:szCs w:val="16"/>
                <w:color w:val="auto"/>
              </w:rPr>
              <w:t>Employee compensation payable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175.5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213.2</w:t>
            </w: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451.2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577.9</w:t>
            </w:r>
          </w:p>
        </w:tc>
      </w:tr>
      <w:tr>
        <w:trPr>
          <w:trHeight w:val="192"/>
        </w:trPr>
        <w:tc>
          <w:tcPr>
            <w:tcW w:w="8820" w:type="dxa"/>
            <w:vAlign w:val="bottom"/>
          </w:tcPr>
          <w:p>
            <w:pPr>
              <w:ind w:left="660"/>
              <w:spacing w:after="0"/>
              <w:rPr>
                <w:sz w:val="20"/>
                <w:szCs w:val="20"/>
                <w:color w:val="auto"/>
              </w:rPr>
            </w:pPr>
            <w:r>
              <w:rPr>
                <w:rFonts w:ascii="Arial" w:cs="Arial" w:eastAsia="Arial" w:hAnsi="Arial"/>
                <w:sz w:val="16"/>
                <w:szCs w:val="16"/>
                <w:color w:val="auto"/>
              </w:rPr>
              <w:t>Accrued payroll taxes and insurance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500.2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617.5</w:t>
            </w: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Value added taxes payable</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479.2</w:t>
            </w:r>
          </w:p>
        </w:tc>
      </w:tr>
      <w:tr>
        <w:trPr>
          <w:trHeight w:val="192"/>
        </w:trPr>
        <w:tc>
          <w:tcPr>
            <w:tcW w:w="8820" w:type="dxa"/>
            <w:vAlign w:val="bottom"/>
          </w:tcPr>
          <w:p>
            <w:pPr>
              <w:ind w:left="660"/>
              <w:spacing w:after="0"/>
              <w:rPr>
                <w:sz w:val="20"/>
                <w:szCs w:val="20"/>
                <w:color w:val="auto"/>
              </w:rPr>
            </w:pPr>
            <w:r>
              <w:rPr>
                <w:rFonts w:ascii="Arial" w:cs="Arial" w:eastAsia="Arial" w:hAnsi="Arial"/>
                <w:sz w:val="16"/>
                <w:szCs w:val="16"/>
                <w:color w:val="auto"/>
              </w:rPr>
              <w:t>Short-term borrowings and current maturities of long-term debt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115.6</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2,508.2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2,906.6</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837.3</w:t>
            </w:r>
          </w:p>
        </w:tc>
      </w:tr>
      <w:tr>
        <w:trPr>
          <w:trHeight w:val="192"/>
        </w:trPr>
        <w:tc>
          <w:tcPr>
            <w:tcW w:w="8820" w:type="dxa"/>
            <w:vAlign w:val="bottom"/>
          </w:tcPr>
          <w:p>
            <w:pPr>
              <w:ind w:left="66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348.4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390.5</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Total other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1,227.8</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Common stock</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r>
      <w:tr>
        <w:trPr>
          <w:trHeight w:val="192"/>
        </w:trPr>
        <w:tc>
          <w:tcPr>
            <w:tcW w:w="8820" w:type="dxa"/>
            <w:vAlign w:val="bottom"/>
          </w:tcPr>
          <w:p>
            <w:pPr>
              <w:ind w:left="66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2,525.9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2,514.8</w:t>
            </w: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1,201.2</w:t>
            </w:r>
          </w:p>
        </w:tc>
      </w:tr>
      <w:tr>
        <w:trPr>
          <w:trHeight w:val="192"/>
        </w:trPr>
        <w:tc>
          <w:tcPr>
            <w:tcW w:w="8820" w:type="dxa"/>
            <w:vAlign w:val="bottom"/>
          </w:tcPr>
          <w:p>
            <w:pPr>
              <w:ind w:left="66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r>
      <w:tr>
        <w:trPr>
          <w:trHeight w:val="19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Treasury stock, at cost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(1,226.4)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(1,224.3)</w:t>
            </w:r>
          </w:p>
        </w:tc>
      </w:tr>
      <w:tr>
        <w:trPr>
          <w:trHeight w:val="24"/>
        </w:trPr>
        <w:tc>
          <w:tcPr>
            <w:tcW w:w="8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940"/>
              <w:spacing w:after="0"/>
              <w:rPr>
                <w:sz w:val="20"/>
                <w:szCs w:val="20"/>
                <w:color w:val="auto"/>
              </w:rPr>
            </w:pPr>
            <w:r>
              <w:rPr>
                <w:rFonts w:ascii="Arial" w:cs="Arial" w:eastAsia="Arial" w:hAnsi="Arial"/>
                <w:sz w:val="16"/>
                <w:szCs w:val="16"/>
                <w:color w:val="auto"/>
              </w:rPr>
              <w:t>Total shareholders' equity</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2,543.5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2,483.8</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882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6,241.9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6,618.2</w:t>
            </w:r>
          </w:p>
        </w:tc>
      </w:tr>
      <w:tr>
        <w:trPr>
          <w:trHeight w:val="525"/>
        </w:trPr>
        <w:tc>
          <w:tcPr>
            <w:tcW w:w="88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9"/>
          <w:szCs w:val="19"/>
          <w:color w:val="auto"/>
        </w:rPr>
        <w:t>Manpower Inc.</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0"/>
              </w:rPr>
              <w:t>Six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left="460"/>
              <w:spacing w:after="0"/>
              <w:rPr>
                <w:sz w:val="20"/>
                <w:szCs w:val="20"/>
                <w:color w:val="auto"/>
              </w:rPr>
            </w:pPr>
            <w:r>
              <w:rPr>
                <w:rFonts w:ascii="Arial" w:cs="Arial" w:eastAsia="Arial" w:hAnsi="Arial"/>
                <w:sz w:val="16"/>
                <w:szCs w:val="16"/>
                <w:b w:val="1"/>
                <w:bCs w:val="1"/>
                <w:color w:val="auto"/>
                <w:w w:val="90"/>
              </w:rPr>
              <w:t>Jun.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4"/>
          </w:tcPr>
          <w:p>
            <w:pPr>
              <w:jc w:val="center"/>
              <w:ind w:left="460"/>
              <w:spacing w:after="0"/>
              <w:rPr>
                <w:sz w:val="20"/>
                <w:szCs w:val="20"/>
                <w:color w:val="auto"/>
              </w:rPr>
            </w:pPr>
            <w:r>
              <w:rPr>
                <w:rFonts w:ascii="Arial" w:cs="Arial" w:eastAsia="Arial" w:hAnsi="Arial"/>
                <w:sz w:val="16"/>
                <w:szCs w:val="16"/>
                <w:b w:val="1"/>
                <w:bCs w:val="1"/>
                <w:color w:val="auto"/>
                <w:w w:val="92"/>
              </w:rPr>
              <w:t>(Unaudited)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560"/>
              <w:spacing w:after="0"/>
              <w:rPr>
                <w:sz w:val="20"/>
                <w:szCs w:val="20"/>
                <w:color w:val="auto"/>
              </w:rPr>
            </w:pPr>
            <w:r>
              <w:rPr>
                <w:rFonts w:ascii="Arial" w:cs="Arial" w:eastAsia="Arial" w:hAnsi="Arial"/>
                <w:sz w:val="16"/>
                <w:szCs w:val="16"/>
                <w:color w:val="auto"/>
              </w:rPr>
              <w:t>Net earnings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21.6</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1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120"/>
              <w:spacing w:after="0"/>
              <w:rPr>
                <w:sz w:val="20"/>
                <w:szCs w:val="20"/>
                <w:color w:val="auto"/>
              </w:rPr>
            </w:pPr>
            <w:r>
              <w:rPr>
                <w:rFonts w:ascii="Arial" w:cs="Arial" w:eastAsia="Arial" w:hAnsi="Arial"/>
                <w:sz w:val="16"/>
                <w:szCs w:val="16"/>
                <w:color w:val="auto"/>
              </w:rPr>
              <w:t>Provision for doubtful accounts</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120"/>
              <w:spacing w:after="0"/>
              <w:rPr>
                <w:sz w:val="20"/>
                <w:szCs w:val="20"/>
                <w:color w:val="auto"/>
              </w:rPr>
            </w:pPr>
            <w:r>
              <w:rPr>
                <w:rFonts w:ascii="Arial" w:cs="Arial" w:eastAsia="Arial" w:hAnsi="Arial"/>
                <w:sz w:val="16"/>
                <w:szCs w:val="16"/>
                <w:color w:val="auto"/>
              </w:rPr>
              <w:t>Excess tax benefit on exercise of stock options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1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753.3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12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Cash provided by operating activities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560"/>
              <w:spacing w:after="0"/>
              <w:rPr>
                <w:sz w:val="20"/>
                <w:szCs w:val="20"/>
                <w:color w:val="auto"/>
              </w:rPr>
            </w:pPr>
            <w:r>
              <w:rPr>
                <w:rFonts w:ascii="Arial" w:cs="Arial" w:eastAsia="Arial" w:hAnsi="Arial"/>
                <w:sz w:val="16"/>
                <w:szCs w:val="16"/>
                <w:color w:val="auto"/>
              </w:rPr>
              <w:t>Acquisitions of businesses, net of cash acquired</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Proceeds from the sale of property and equipment</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1680"/>
              <w:spacing w:after="0"/>
              <w:rPr>
                <w:sz w:val="20"/>
                <w:szCs w:val="20"/>
                <w:color w:val="auto"/>
              </w:rPr>
            </w:pPr>
            <w:r>
              <w:rPr>
                <w:rFonts w:ascii="Arial" w:cs="Arial" w:eastAsia="Arial" w:hAnsi="Arial"/>
                <w:sz w:val="16"/>
                <w:szCs w:val="16"/>
                <w:color w:val="auto"/>
              </w:rPr>
              <w:t>Cash used by investing activities</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560"/>
              <w:spacing w:after="0"/>
              <w:rPr>
                <w:sz w:val="20"/>
                <w:szCs w:val="20"/>
                <w:color w:val="auto"/>
              </w:rPr>
            </w:pPr>
            <w:r>
              <w:rPr>
                <w:rFonts w:ascii="Arial" w:cs="Arial" w:eastAsia="Arial" w:hAnsi="Arial"/>
                <w:sz w:val="16"/>
                <w:szCs w:val="16"/>
                <w:color w:val="auto"/>
              </w:rPr>
              <w:t>Net (repayments) borrowings of short-term facilities and long-term debt</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Proceeds from share-based awards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560"/>
              <w:spacing w:after="0"/>
              <w:rPr>
                <w:sz w:val="20"/>
                <w:szCs w:val="20"/>
                <w:color w:val="auto"/>
              </w:rPr>
            </w:pPr>
            <w:r>
              <w:rPr>
                <w:rFonts w:ascii="Arial" w:cs="Arial" w:eastAsia="Arial" w:hAnsi="Arial"/>
                <w:sz w:val="16"/>
                <w:szCs w:val="16"/>
                <w:color w:val="auto"/>
              </w:rPr>
              <w:t>Excess tax benefit on exercise of stock options</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Repurchases of common stock</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56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Cash used by financing activities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233.3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874.0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537.5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1,107.3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120" w:right="219" w:bottom="1440" w:gutter="0" w:footer="0" w:header="0"/>
        </w:sectPr>
      </w:pPr>
    </w:p>
    <w:bookmarkStart w:id="11" w:name="page12"/>
    <w:bookmarkEnd w:id="11"/>
    <w:p>
      <w:pPr>
        <w:ind w:left="87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 xml:space="preserve">Exhibit </w:t>
      </w:r>
      <w:r>
        <w:rPr>
          <w:rFonts w:ascii="Arial" w:cs="Arial" w:eastAsia="Arial" w:hAnsi="Arial"/>
          <w:sz w:val="44"/>
          <w:szCs w:val="44"/>
          <w:color w:val="FFFFFF"/>
          <w:vertAlign w:val="superscript"/>
        </w:rPr>
        <w:t>1</w:t>
      </w:r>
    </w:p>
    <w:p>
      <w:pPr>
        <w:ind w:left="8760"/>
        <w:spacing w:after="0"/>
        <w:rPr>
          <w:sz w:val="20"/>
          <w:szCs w:val="20"/>
          <w:color w:val="auto"/>
        </w:rPr>
      </w:pPr>
      <w:r>
        <w:rPr>
          <w:rFonts w:ascii="Arial" w:cs="Arial" w:eastAsia="Arial" w:hAnsi="Arial"/>
          <w:sz w:val="22"/>
          <w:szCs w:val="22"/>
          <w:b w:val="1"/>
          <w:bCs w:val="1"/>
          <w:color w:val="auto"/>
        </w:rPr>
        <w:t>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6800"/>
        <w:spacing w:after="0"/>
        <w:rPr>
          <w:sz w:val="20"/>
          <w:szCs w:val="20"/>
          <w:color w:val="auto"/>
        </w:rPr>
      </w:pPr>
      <w:r>
        <w:rPr>
          <w:rFonts w:ascii="Arial" w:cs="Arial" w:eastAsia="Arial" w:hAnsi="Arial"/>
          <w:sz w:val="27"/>
          <w:szCs w:val="27"/>
          <w:color w:val="5F81AA"/>
        </w:rPr>
        <w:t>MANPOWER INC.</w:t>
      </w:r>
    </w:p>
    <w:p>
      <w:pPr>
        <w:spacing w:after="0" w:line="40" w:lineRule="exact"/>
        <w:rPr>
          <w:sz w:val="20"/>
          <w:szCs w:val="20"/>
          <w:color w:val="auto"/>
        </w:rPr>
      </w:pPr>
    </w:p>
    <w:p>
      <w:pPr>
        <w:jc w:val="center"/>
        <w:ind w:left="6800"/>
        <w:spacing w:after="0"/>
        <w:rPr>
          <w:sz w:val="20"/>
          <w:szCs w:val="20"/>
          <w:color w:val="auto"/>
        </w:rPr>
      </w:pPr>
      <w:r>
        <w:rPr>
          <w:rFonts w:ascii="Arial" w:cs="Arial" w:eastAsia="Arial" w:hAnsi="Arial"/>
          <w:sz w:val="27"/>
          <w:szCs w:val="27"/>
          <w:color w:val="5F81AA"/>
        </w:rPr>
        <w:t>2009 2</w:t>
      </w:r>
      <w:r>
        <w:rPr>
          <w:rFonts w:ascii="Arial" w:cs="Arial" w:eastAsia="Arial" w:hAnsi="Arial"/>
          <w:sz w:val="38"/>
          <w:szCs w:val="38"/>
          <w:color w:val="5F81AA"/>
          <w:vertAlign w:val="superscript"/>
        </w:rPr>
        <w:t>nd</w:t>
      </w:r>
      <w:r>
        <w:rPr>
          <w:rFonts w:ascii="Arial" w:cs="Arial" w:eastAsia="Arial" w:hAnsi="Arial"/>
          <w:sz w:val="27"/>
          <w:szCs w:val="27"/>
          <w:color w:val="5F81AA"/>
        </w:rPr>
        <w:t xml:space="preserve"> Quarter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left="3120" w:right="480"/>
        <w:spacing w:after="0" w:line="401" w:lineRule="auto"/>
        <w:rPr>
          <w:sz w:val="20"/>
          <w:szCs w:val="20"/>
          <w:color w:val="auto"/>
        </w:rPr>
      </w:pPr>
      <w:r>
        <w:rPr>
          <w:rFonts w:ascii="Arial" w:cs="Arial" w:eastAsia="Arial" w:hAnsi="Arial"/>
          <w:sz w:val="38"/>
          <w:szCs w:val="38"/>
          <w:color w:val="FFFFFF"/>
        </w:rPr>
        <w:t xml:space="preserve">Helping </w:t>
      </w:r>
      <w:r>
        <w:rPr>
          <w:rFonts w:ascii="Arial" w:cs="Arial" w:eastAsia="Arial" w:hAnsi="Arial"/>
          <w:sz w:val="48"/>
          <w:szCs w:val="48"/>
          <w:color w:val="FFFFFF"/>
        </w:rPr>
        <w:t>Clients</w:t>
      </w:r>
      <w:r>
        <w:rPr>
          <w:rFonts w:ascii="Arial" w:cs="Arial" w:eastAsia="Arial" w:hAnsi="Arial"/>
          <w:sz w:val="38"/>
          <w:szCs w:val="38"/>
          <w:color w:val="FFFFFF"/>
        </w:rPr>
        <w:t xml:space="preserve"> and </w:t>
      </w:r>
      <w:r>
        <w:rPr>
          <w:rFonts w:ascii="Arial" w:cs="Arial" w:eastAsia="Arial" w:hAnsi="Arial"/>
          <w:sz w:val="48"/>
          <w:szCs w:val="48"/>
          <w:color w:val="FFFFFF"/>
        </w:rPr>
        <w:t>Candidates</w:t>
      </w:r>
      <w:r>
        <w:rPr>
          <w:rFonts w:ascii="Arial" w:cs="Arial" w:eastAsia="Arial" w:hAnsi="Arial"/>
          <w:sz w:val="38"/>
          <w:szCs w:val="38"/>
          <w:color w:val="FFFFFF"/>
        </w:rPr>
        <w:t xml:space="preserve"> </w:t>
      </w:r>
      <w:r>
        <w:rPr>
          <w:rFonts w:ascii="Arial" w:cs="Arial" w:eastAsia="Arial" w:hAnsi="Arial"/>
          <w:sz w:val="48"/>
          <w:szCs w:val="48"/>
          <w:color w:val="FFFFFF"/>
        </w:rPr>
        <w:t xml:space="preserve">Win </w:t>
      </w:r>
      <w:r>
        <w:rPr>
          <w:rFonts w:ascii="Arial" w:cs="Arial" w:eastAsia="Arial" w:hAnsi="Arial"/>
          <w:sz w:val="38"/>
          <w:szCs w:val="38"/>
          <w:color w:val="FFFFFF"/>
        </w:rPr>
        <w:t>for Over</w:t>
      </w:r>
      <w:r>
        <w:rPr>
          <w:rFonts w:ascii="Arial" w:cs="Arial" w:eastAsia="Arial" w:hAnsi="Arial"/>
          <w:sz w:val="48"/>
          <w:szCs w:val="48"/>
          <w:color w:val="FFFFFF"/>
        </w:rPr>
        <w:t xml:space="preserve"> Six Decades</w:t>
      </w:r>
    </w:p>
    <w:p>
      <w:pPr>
        <w:spacing w:after="0" w:line="4" w:lineRule="exact"/>
        <w:rPr>
          <w:sz w:val="20"/>
          <w:szCs w:val="20"/>
          <w:color w:val="auto"/>
        </w:rPr>
      </w:pPr>
    </w:p>
    <w:p>
      <w:pPr>
        <w:ind w:left="6900"/>
        <w:spacing w:after="0"/>
        <w:tabs>
          <w:tab w:leader="none" w:pos="7700" w:val="left"/>
        </w:tabs>
        <w:rPr>
          <w:sz w:val="20"/>
          <w:szCs w:val="20"/>
          <w:color w:val="auto"/>
        </w:rPr>
      </w:pPr>
      <w:r>
        <w:rPr>
          <w:rFonts w:ascii="Arial" w:cs="Arial" w:eastAsia="Arial" w:hAnsi="Arial"/>
          <w:sz w:val="27"/>
          <w:szCs w:val="27"/>
          <w:color w:val="auto"/>
        </w:rPr>
        <w:t>2009</w:t>
        <w:tab/>
        <w:t>July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1612265</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760"/>
          </w:cols>
          <w:pgMar w:left="1440" w:top="115" w:right="69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42"/>
          <w:szCs w:val="42"/>
          <w:color w:val="6698C2"/>
        </w:rPr>
        <w:t>Forward-Looking Statement</w:t>
      </w:r>
    </w:p>
    <w:p>
      <w:pPr>
        <w:spacing w:after="0" w:line="200" w:lineRule="exact"/>
        <w:rPr>
          <w:sz w:val="20"/>
          <w:szCs w:val="20"/>
          <w:color w:val="auto"/>
        </w:rPr>
      </w:pPr>
    </w:p>
    <w:p>
      <w:pPr>
        <w:spacing w:after="0" w:line="271" w:lineRule="exact"/>
        <w:rPr>
          <w:sz w:val="20"/>
          <w:szCs w:val="20"/>
          <w:color w:val="auto"/>
        </w:rPr>
      </w:pPr>
    </w:p>
    <w:p>
      <w:pPr>
        <w:ind w:left="260" w:right="4620"/>
        <w:spacing w:after="0" w:line="263" w:lineRule="auto"/>
        <w:rPr>
          <w:sz w:val="20"/>
          <w:szCs w:val="20"/>
          <w:color w:val="auto"/>
        </w:rPr>
      </w:pPr>
      <w:r>
        <w:rPr>
          <w:rFonts w:ascii="Arial" w:cs="Arial" w:eastAsia="Arial" w:hAnsi="Arial"/>
          <w:sz w:val="23"/>
          <w:szCs w:val="23"/>
          <w:color w:val="auto"/>
        </w:rPr>
        <w:t>This presentation includes forward-looking statements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Company’s Annual Report on Form 10-K dated December 31, 2008, which information is incorporated herein by reference, and such other factors as may be described from 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1251585</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760"/>
          </w:cols>
          <w:pgMar w:left="1440" w:top="417" w:right="69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48"/>
          <w:szCs w:val="48"/>
          <w:color w:val="6698C2"/>
        </w:rPr>
        <w:t>Consolidated Financial Highlights</w:t>
      </w:r>
    </w:p>
    <w:p>
      <w:pPr>
        <w:sectPr>
          <w:pgSz w:w="11900" w:h="16838" w:orient="portrait"/>
          <w:cols w:equalWidth="0" w:num="1">
            <w:col w:w="10100"/>
          </w:cols>
          <w:pgMar w:left="1100" w:top="417"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Arial" w:cs="Arial" w:eastAsia="Arial" w:hAnsi="Arial"/>
          <w:sz w:val="38"/>
          <w:szCs w:val="38"/>
          <w:color w:val="auto"/>
        </w:rPr>
        <w:t>36%</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38"/>
          <w:szCs w:val="38"/>
          <w:color w:val="auto"/>
        </w:rPr>
        <w:t>27% CC</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5"/>
          <w:szCs w:val="15"/>
          <w:b w:val="1"/>
          <w:bCs w:val="1"/>
          <w:color w:val="6698C2"/>
        </w:rPr>
        <w:t>(1)</w:t>
      </w:r>
    </w:p>
    <w:p>
      <w:pPr>
        <w:ind w:left="260"/>
        <w:spacing w:after="0"/>
        <w:rPr>
          <w:sz w:val="20"/>
          <w:szCs w:val="20"/>
          <w:color w:val="auto"/>
        </w:rPr>
      </w:pPr>
      <w:r>
        <w:rPr>
          <w:rFonts w:ascii="Arial" w:cs="Arial" w:eastAsia="Arial" w:hAnsi="Arial"/>
          <w:sz w:val="38"/>
          <w:szCs w:val="38"/>
          <w:color w:val="auto"/>
        </w:rPr>
        <w:t>122 bps</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38"/>
          <w:szCs w:val="38"/>
          <w:color w:val="auto"/>
        </w:rPr>
        <w:t>89%</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38"/>
          <w:szCs w:val="38"/>
          <w:color w:val="auto"/>
        </w:rPr>
        <w:t>88% CC</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38"/>
          <w:szCs w:val="38"/>
          <w:color w:val="auto"/>
        </w:rPr>
        <w:t>290 bps</w:t>
      </w:r>
    </w:p>
    <w:p>
      <w:pPr>
        <w:spacing w:after="0" w:line="308" w:lineRule="exact"/>
        <w:rPr>
          <w:sz w:val="20"/>
          <w:szCs w:val="20"/>
          <w:color w:val="auto"/>
        </w:rPr>
      </w:pPr>
    </w:p>
    <w:p>
      <w:pPr>
        <w:ind w:left="640"/>
        <w:spacing w:after="0"/>
        <w:rPr>
          <w:sz w:val="20"/>
          <w:szCs w:val="20"/>
          <w:color w:val="auto"/>
        </w:rPr>
      </w:pPr>
      <w:r>
        <w:rPr>
          <w:rFonts w:ascii="Arial" w:cs="Arial" w:eastAsia="Arial" w:hAnsi="Arial"/>
          <w:sz w:val="38"/>
          <w:szCs w:val="38"/>
          <w:color w:val="auto"/>
        </w:rPr>
        <w:t>81%</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38"/>
          <w:szCs w:val="38"/>
          <w:color w:val="auto"/>
        </w:rPr>
        <w:t>81% CC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3620" w:firstLine="1794"/>
        <w:spacing w:after="0" w:line="430" w:lineRule="auto"/>
        <w:rPr>
          <w:sz w:val="20"/>
          <w:szCs w:val="20"/>
          <w:color w:val="auto"/>
        </w:rPr>
      </w:pPr>
      <w:r>
        <w:rPr>
          <w:rFonts w:ascii="Arial" w:cs="Arial" w:eastAsia="Arial" w:hAnsi="Arial"/>
          <w:sz w:val="41"/>
          <w:szCs w:val="41"/>
          <w:b w:val="1"/>
          <w:bCs w:val="1"/>
          <w:color w:val="auto"/>
        </w:rPr>
        <w:t xml:space="preserve">Q2 Highlights Revenue </w:t>
      </w:r>
      <w:r>
        <w:rPr>
          <w:rFonts w:ascii="Arial" w:cs="Arial" w:eastAsia="Arial" w:hAnsi="Arial"/>
          <w:sz w:val="43"/>
          <w:szCs w:val="43"/>
          <w:b w:val="1"/>
          <w:bCs w:val="1"/>
          <w:color w:val="6698C2"/>
        </w:rPr>
        <w:t>$3.8B</w:t>
      </w:r>
    </w:p>
    <w:p>
      <w:pPr>
        <w:spacing w:after="0" w:line="2" w:lineRule="exact"/>
        <w:rPr>
          <w:sz w:val="20"/>
          <w:szCs w:val="20"/>
          <w:color w:val="auto"/>
        </w:rPr>
      </w:pPr>
    </w:p>
    <w:p>
      <w:pPr>
        <w:ind w:left="20" w:right="3340"/>
        <w:spacing w:after="0" w:line="455" w:lineRule="auto"/>
        <w:rPr>
          <w:sz w:val="20"/>
          <w:szCs w:val="20"/>
          <w:color w:val="auto"/>
        </w:rPr>
      </w:pPr>
      <w:r>
        <w:rPr>
          <w:rFonts w:ascii="Arial" w:cs="Arial" w:eastAsia="Arial" w:hAnsi="Arial"/>
          <w:sz w:val="42"/>
          <w:szCs w:val="42"/>
          <w:b w:val="1"/>
          <w:bCs w:val="1"/>
          <w:color w:val="auto"/>
        </w:rPr>
        <w:t xml:space="preserve">Gross Margin </w:t>
      </w:r>
      <w:r>
        <w:rPr>
          <w:rFonts w:ascii="Arial" w:cs="Arial" w:eastAsia="Arial" w:hAnsi="Arial"/>
          <w:sz w:val="44"/>
          <w:szCs w:val="44"/>
          <w:b w:val="1"/>
          <w:bCs w:val="1"/>
          <w:color w:val="6698C2"/>
        </w:rPr>
        <w:t>18.3%</w:t>
      </w:r>
      <w:r>
        <w:rPr>
          <w:rFonts w:ascii="Arial" w:cs="Arial" w:eastAsia="Arial" w:hAnsi="Arial"/>
          <w:sz w:val="42"/>
          <w:szCs w:val="42"/>
          <w:b w:val="1"/>
          <w:bCs w:val="1"/>
          <w:color w:val="auto"/>
        </w:rPr>
        <w:t xml:space="preserve"> Operating Profit </w:t>
      </w:r>
      <w:r>
        <w:rPr>
          <w:rFonts w:ascii="Arial" w:cs="Arial" w:eastAsia="Arial" w:hAnsi="Arial"/>
          <w:sz w:val="44"/>
          <w:szCs w:val="44"/>
          <w:b w:val="1"/>
          <w:bCs w:val="1"/>
          <w:color w:val="6698C2"/>
        </w:rPr>
        <w:t>$22M</w:t>
      </w:r>
      <w:r>
        <w:rPr>
          <w:rFonts w:ascii="Arial" w:cs="Arial" w:eastAsia="Arial" w:hAnsi="Arial"/>
          <w:sz w:val="35"/>
          <w:szCs w:val="35"/>
          <w:b w:val="1"/>
          <w:bCs w:val="1"/>
          <w:color w:val="6698C2"/>
          <w:vertAlign w:val="superscript"/>
        </w:rPr>
        <w:t>(2)</w:t>
      </w:r>
      <w:r>
        <w:rPr>
          <w:rFonts w:ascii="Arial" w:cs="Arial" w:eastAsia="Arial" w:hAnsi="Arial"/>
          <w:sz w:val="42"/>
          <w:szCs w:val="42"/>
          <w:b w:val="1"/>
          <w:bCs w:val="1"/>
          <w:color w:val="auto"/>
        </w:rPr>
        <w:t xml:space="preserve"> OP Margin </w:t>
      </w:r>
      <w:r>
        <w:rPr>
          <w:rFonts w:ascii="Arial" w:cs="Arial" w:eastAsia="Arial" w:hAnsi="Arial"/>
          <w:sz w:val="44"/>
          <w:szCs w:val="44"/>
          <w:b w:val="1"/>
          <w:bCs w:val="1"/>
          <w:color w:val="6698C2"/>
        </w:rPr>
        <w:t>0.6%</w:t>
      </w:r>
    </w:p>
    <w:p>
      <w:pPr>
        <w:spacing w:after="0" w:line="5"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 xml:space="preserve">EPS </w:t>
      </w:r>
      <w:r>
        <w:rPr>
          <w:rFonts w:ascii="Arial" w:cs="Arial" w:eastAsia="Arial" w:hAnsi="Arial"/>
          <w:sz w:val="44"/>
          <w:szCs w:val="44"/>
          <w:b w:val="1"/>
          <w:bCs w:val="1"/>
          <w:color w:val="6698C2"/>
        </w:rPr>
        <w:t>$0.25</w:t>
      </w:r>
    </w:p>
    <w:p>
      <w:pPr>
        <w:spacing w:after="0" w:line="495" w:lineRule="exact"/>
        <w:rPr>
          <w:sz w:val="20"/>
          <w:szCs w:val="20"/>
          <w:color w:val="auto"/>
        </w:rPr>
      </w:pPr>
    </w:p>
    <w:p>
      <w:pPr>
        <w:sectPr>
          <w:pgSz w:w="11900" w:h="16838" w:orient="portrait"/>
          <w:cols w:equalWidth="0" w:num="2">
            <w:col w:w="1700" w:space="280"/>
            <w:col w:w="8120"/>
          </w:cols>
          <w:pgMar w:left="1100" w:top="417" w:right="699" w:bottom="1440" w:gutter="0" w:footer="0" w:header="0"/>
          <w:type w:val="continuous"/>
        </w:sectPr>
      </w:pPr>
    </w:p>
    <w:p>
      <w:pPr>
        <w:ind w:left="220" w:hanging="219"/>
        <w:spacing w:after="0"/>
        <w:tabs>
          <w:tab w:leader="none" w:pos="220" w:val="left"/>
        </w:tabs>
        <w:numPr>
          <w:ilvl w:val="0"/>
          <w:numId w:val="5"/>
        </w:numPr>
        <w:rPr>
          <w:rFonts w:ascii="Arial" w:cs="Arial" w:eastAsia="Arial" w:hAnsi="Arial"/>
          <w:sz w:val="26"/>
          <w:szCs w:val="26"/>
          <w:color w:val="auto"/>
          <w:vertAlign w:val="superscript"/>
        </w:rPr>
      </w:pPr>
      <w:r>
        <w:rPr>
          <w:rFonts w:ascii="Arial" w:cs="Arial" w:eastAsia="Arial" w:hAnsi="Arial"/>
          <w:sz w:val="19"/>
          <w:szCs w:val="19"/>
          <w:color w:val="auto"/>
        </w:rPr>
        <w:t>Gross profit margin declined 31 bps excluding the impact of the French payroll tax change in 2008.</w:t>
      </w:r>
    </w:p>
    <w:p>
      <w:pPr>
        <w:spacing w:after="0" w:line="56" w:lineRule="exact"/>
        <w:rPr>
          <w:rFonts w:ascii="Arial" w:cs="Arial" w:eastAsia="Arial" w:hAnsi="Arial"/>
          <w:sz w:val="26"/>
          <w:szCs w:val="26"/>
          <w:color w:val="auto"/>
          <w:vertAlign w:val="superscript"/>
        </w:rPr>
      </w:pPr>
    </w:p>
    <w:p>
      <w:pPr>
        <w:ind w:left="280" w:hanging="279"/>
        <w:spacing w:after="0" w:line="186" w:lineRule="auto"/>
        <w:tabs>
          <w:tab w:leader="none" w:pos="280" w:val="left"/>
        </w:tabs>
        <w:numPr>
          <w:ilvl w:val="0"/>
          <w:numId w:val="5"/>
        </w:numPr>
        <w:rPr>
          <w:rFonts w:ascii="Arial" w:cs="Arial" w:eastAsia="Arial" w:hAnsi="Arial"/>
          <w:sz w:val="26"/>
          <w:szCs w:val="26"/>
          <w:color w:val="auto"/>
          <w:vertAlign w:val="superscript"/>
        </w:rPr>
      </w:pPr>
      <w:r>
        <w:rPr>
          <w:rFonts w:ascii="Arial" w:cs="Arial" w:eastAsia="Arial" w:hAnsi="Arial"/>
          <w:sz w:val="19"/>
          <w:szCs w:val="19"/>
          <w:color w:val="auto"/>
        </w:rPr>
        <w:t>Includes reorganization charges of $13.1M recorded in 2009.</w:t>
      </w:r>
    </w:p>
    <w:p>
      <w:pPr>
        <w:spacing w:after="0" w:line="59" w:lineRule="exact"/>
        <w:rPr>
          <w:sz w:val="20"/>
          <w:szCs w:val="20"/>
          <w:color w:val="auto"/>
        </w:rPr>
      </w:pPr>
    </w:p>
    <w:p>
      <w:pPr>
        <w:ind w:left="20" w:right="480"/>
        <w:spacing w:after="0" w:line="270" w:lineRule="auto"/>
        <w:rPr>
          <w:sz w:val="20"/>
          <w:szCs w:val="20"/>
          <w:color w:val="auto"/>
        </w:rPr>
      </w:pPr>
      <w:r>
        <w:rPr>
          <w:rFonts w:ascii="Arial" w:cs="Arial" w:eastAsia="Arial" w:hAnsi="Arial"/>
          <w:sz w:val="17"/>
          <w:szCs w:val="17"/>
          <w:b w:val="1"/>
          <w:bCs w:val="1"/>
          <w:color w:val="auto"/>
        </w:rPr>
        <w:t>Throughout this presentation, the difference between reported variances and Constant Currency (CC) variances represents the impact of currency on our financial results. Constant Currency is further explained on our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276860</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100"/>
          </w:cols>
          <w:pgMar w:left="1100" w:top="417" w:right="69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48"/>
          <w:szCs w:val="48"/>
          <w:color w:val="6698C2"/>
        </w:rPr>
        <w:t>Consolidated Gross Margin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4340860</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000"/>
          </w:cols>
          <w:pgMar w:left="1200" w:top="417" w:right="69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8"/>
          <w:szCs w:val="48"/>
          <w:color w:val="6698C2"/>
        </w:rPr>
        <w:t>Americas Segment</w:t>
      </w:r>
    </w:p>
    <w:p>
      <w:pPr>
        <w:spacing w:after="0" w:line="3" w:lineRule="exact"/>
        <w:rPr>
          <w:sz w:val="20"/>
          <w:szCs w:val="20"/>
          <w:color w:val="auto"/>
        </w:rPr>
      </w:pPr>
    </w:p>
    <w:p>
      <w:pPr>
        <w:spacing w:after="0"/>
        <w:rPr>
          <w:sz w:val="20"/>
          <w:szCs w:val="20"/>
          <w:color w:val="auto"/>
        </w:rPr>
      </w:pPr>
      <w:r>
        <w:rPr>
          <w:rFonts w:ascii="Arial" w:cs="Arial" w:eastAsia="Arial" w:hAnsi="Arial"/>
          <w:sz w:val="32"/>
          <w:szCs w:val="32"/>
          <w:color w:val="6698C2"/>
        </w:rPr>
        <w:t>(16% of Revenue)</w:t>
      </w:r>
    </w:p>
    <w:p>
      <w:pPr>
        <w:spacing w:after="0" w:line="245" w:lineRule="exact"/>
        <w:rPr>
          <w:sz w:val="20"/>
          <w:szCs w:val="20"/>
          <w:color w:val="auto"/>
        </w:rPr>
      </w:pPr>
    </w:p>
    <w:tbl>
      <w:tblPr>
        <w:tblLayout w:type="fixed"/>
        <w:tblInd w:w="1520" w:type="dxa"/>
        <w:tblCellMar>
          <w:top w:w="0" w:type="dxa"/>
          <w:left w:w="0" w:type="dxa"/>
          <w:bottom w:w="0" w:type="dxa"/>
          <w:right w:w="0" w:type="dxa"/>
        </w:tblCellMar>
      </w:tblPr>
      <w:tr>
        <w:trPr>
          <w:trHeight w:val="558"/>
        </w:trPr>
        <w:tc>
          <w:tcPr>
            <w:tcW w:w="1760" w:type="dxa"/>
            <w:vAlign w:val="bottom"/>
          </w:tcPr>
          <w:p>
            <w:pPr>
              <w:spacing w:after="0"/>
              <w:rPr>
                <w:sz w:val="24"/>
                <w:szCs w:val="24"/>
                <w:color w:val="auto"/>
              </w:rPr>
            </w:pPr>
          </w:p>
        </w:tc>
        <w:tc>
          <w:tcPr>
            <w:tcW w:w="5040" w:type="dxa"/>
            <w:vAlign w:val="bottom"/>
          </w:tcPr>
          <w:p>
            <w:pPr>
              <w:ind w:left="140"/>
              <w:spacing w:after="0"/>
              <w:rPr>
                <w:sz w:val="20"/>
                <w:szCs w:val="20"/>
                <w:color w:val="auto"/>
              </w:rPr>
            </w:pPr>
            <w:r>
              <w:rPr>
                <w:rFonts w:ascii="Arial" w:cs="Arial" w:eastAsia="Arial" w:hAnsi="Arial"/>
                <w:sz w:val="42"/>
                <w:szCs w:val="42"/>
                <w:b w:val="1"/>
                <w:bCs w:val="1"/>
                <w:color w:val="auto"/>
                <w:w w:val="96"/>
              </w:rPr>
              <w:t xml:space="preserve">Q2 Financial Highlights </w:t>
            </w:r>
            <w:r>
              <w:rPr>
                <w:rFonts w:ascii="Arial" w:cs="Arial" w:eastAsia="Arial" w:hAnsi="Arial"/>
                <w:sz w:val="35"/>
                <w:szCs w:val="35"/>
                <w:b w:val="1"/>
                <w:bCs w:val="1"/>
                <w:color w:val="C8504F"/>
                <w:w w:val="96"/>
                <w:vertAlign w:val="superscript"/>
              </w:rPr>
              <w:t>(1)</w:t>
            </w:r>
          </w:p>
        </w:tc>
        <w:tc>
          <w:tcPr>
            <w:tcW w:w="0" w:type="dxa"/>
            <w:vAlign w:val="bottom"/>
          </w:tcPr>
          <w:p>
            <w:pPr>
              <w:spacing w:after="0"/>
              <w:rPr>
                <w:sz w:val="1"/>
                <w:szCs w:val="1"/>
                <w:color w:val="auto"/>
              </w:rPr>
            </w:pPr>
          </w:p>
        </w:tc>
      </w:tr>
      <w:tr>
        <w:trPr>
          <w:trHeight w:val="620"/>
        </w:trPr>
        <w:tc>
          <w:tcPr>
            <w:tcW w:w="1760" w:type="dxa"/>
            <w:vAlign w:val="bottom"/>
          </w:tcPr>
          <w:p>
            <w:pPr>
              <w:ind w:left="500"/>
              <w:spacing w:after="0"/>
              <w:rPr>
                <w:sz w:val="20"/>
                <w:szCs w:val="20"/>
                <w:color w:val="auto"/>
              </w:rPr>
            </w:pPr>
            <w:r>
              <w:rPr>
                <w:rFonts w:ascii="Arial" w:cs="Arial" w:eastAsia="Arial" w:hAnsi="Arial"/>
                <w:sz w:val="38"/>
                <w:szCs w:val="38"/>
                <w:color w:val="auto"/>
              </w:rPr>
              <w:t>24%</w:t>
            </w:r>
            <w:r>
              <w:rPr>
                <w:rFonts w:ascii="Arial" w:cs="Arial" w:eastAsia="Arial" w:hAnsi="Arial"/>
                <w:sz w:val="38"/>
                <w:szCs w:val="38"/>
                <w:b w:val="1"/>
                <w:bCs w:val="1"/>
                <w:color w:val="C8504F"/>
                <w:vertAlign w:val="superscript"/>
              </w:rPr>
              <w:t>(2)</w:t>
            </w:r>
          </w:p>
        </w:tc>
        <w:tc>
          <w:tcPr>
            <w:tcW w:w="5040" w:type="dxa"/>
            <w:vAlign w:val="bottom"/>
            <w:vMerge w:val="restart"/>
          </w:tcPr>
          <w:p>
            <w:pPr>
              <w:ind w:left="28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C8504F"/>
              </w:rPr>
              <w:t>$595M</w:t>
            </w:r>
          </w:p>
        </w:tc>
        <w:tc>
          <w:tcPr>
            <w:tcW w:w="0" w:type="dxa"/>
            <w:vAlign w:val="bottom"/>
          </w:tcPr>
          <w:p>
            <w:pPr>
              <w:spacing w:after="0"/>
              <w:rPr>
                <w:sz w:val="1"/>
                <w:szCs w:val="1"/>
                <w:color w:val="auto"/>
              </w:rPr>
            </w:pPr>
          </w:p>
        </w:tc>
      </w:tr>
      <w:tr>
        <w:trPr>
          <w:trHeight w:val="205"/>
        </w:trPr>
        <w:tc>
          <w:tcPr>
            <w:tcW w:w="1760" w:type="dxa"/>
            <w:vAlign w:val="bottom"/>
          </w:tcPr>
          <w:p>
            <w:pPr>
              <w:ind w:left="1400"/>
              <w:spacing w:after="0" w:line="206" w:lineRule="exact"/>
              <w:rPr>
                <w:sz w:val="20"/>
                <w:szCs w:val="20"/>
                <w:color w:val="auto"/>
              </w:rPr>
            </w:pPr>
            <w:r>
              <w:rPr>
                <w:rFonts w:ascii="Arial" w:cs="Arial" w:eastAsia="Arial" w:hAnsi="Arial"/>
                <w:sz w:val="18"/>
                <w:szCs w:val="18"/>
                <w:b w:val="1"/>
                <w:bCs w:val="1"/>
                <w:color w:val="C8504F"/>
              </w:rPr>
              <w:t>(2)</w:t>
            </w:r>
          </w:p>
        </w:tc>
        <w:tc>
          <w:tcPr>
            <w:tcW w:w="5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1760" w:type="dxa"/>
            <w:vAlign w:val="bottom"/>
          </w:tcPr>
          <w:p>
            <w:pPr>
              <w:spacing w:after="0"/>
              <w:rPr>
                <w:sz w:val="20"/>
                <w:szCs w:val="20"/>
                <w:color w:val="auto"/>
              </w:rPr>
            </w:pPr>
            <w:r>
              <w:rPr>
                <w:rFonts w:ascii="Arial" w:cs="Arial" w:eastAsia="Arial" w:hAnsi="Arial"/>
                <w:sz w:val="38"/>
                <w:szCs w:val="38"/>
                <w:color w:val="auto"/>
              </w:rPr>
              <w:t>19% CC</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9"/>
        </w:trPr>
        <w:tc>
          <w:tcPr>
            <w:tcW w:w="1760" w:type="dxa"/>
            <w:vAlign w:val="bottom"/>
          </w:tcPr>
          <w:p>
            <w:pPr>
              <w:ind w:left="540"/>
              <w:spacing w:after="0"/>
              <w:rPr>
                <w:sz w:val="20"/>
                <w:szCs w:val="20"/>
                <w:color w:val="auto"/>
              </w:rPr>
            </w:pPr>
            <w:r>
              <w:rPr>
                <w:rFonts w:ascii="Arial" w:cs="Arial" w:eastAsia="Arial" w:hAnsi="Arial"/>
                <w:sz w:val="38"/>
                <w:szCs w:val="38"/>
                <w:color w:val="auto"/>
              </w:rPr>
              <w:t>N/A</w:t>
            </w:r>
          </w:p>
        </w:tc>
        <w:tc>
          <w:tcPr>
            <w:tcW w:w="5040" w:type="dxa"/>
            <w:vAlign w:val="bottom"/>
          </w:tcPr>
          <w:p>
            <w:pPr>
              <w:ind w:left="300"/>
              <w:spacing w:after="0"/>
              <w:rPr>
                <w:sz w:val="20"/>
                <w:szCs w:val="20"/>
                <w:color w:val="auto"/>
              </w:rPr>
            </w:pPr>
            <w:r>
              <w:rPr>
                <w:rFonts w:ascii="Arial" w:cs="Arial" w:eastAsia="Arial" w:hAnsi="Arial"/>
                <w:sz w:val="42"/>
                <w:szCs w:val="42"/>
                <w:b w:val="1"/>
                <w:bCs w:val="1"/>
                <w:color w:val="auto"/>
              </w:rPr>
              <w:t xml:space="preserve">OUP </w:t>
            </w:r>
            <w:r>
              <w:rPr>
                <w:rFonts w:ascii="Arial" w:cs="Arial" w:eastAsia="Arial" w:hAnsi="Arial"/>
                <w:sz w:val="44"/>
                <w:szCs w:val="44"/>
                <w:b w:val="1"/>
                <w:bCs w:val="1"/>
                <w:color w:val="C8504F"/>
              </w:rPr>
              <w:t>$(2M)</w:t>
            </w:r>
          </w:p>
        </w:tc>
        <w:tc>
          <w:tcPr>
            <w:tcW w:w="0" w:type="dxa"/>
            <w:vAlign w:val="bottom"/>
          </w:tcPr>
          <w:p>
            <w:pPr>
              <w:spacing w:after="0"/>
              <w:rPr>
                <w:sz w:val="1"/>
                <w:szCs w:val="1"/>
                <w:color w:val="auto"/>
              </w:rPr>
            </w:pPr>
          </w:p>
        </w:tc>
      </w:tr>
      <w:tr>
        <w:trPr>
          <w:trHeight w:val="1129"/>
        </w:trPr>
        <w:tc>
          <w:tcPr>
            <w:tcW w:w="1760" w:type="dxa"/>
            <w:vAlign w:val="bottom"/>
          </w:tcPr>
          <w:p>
            <w:pPr>
              <w:ind w:left="140"/>
              <w:spacing w:after="0"/>
              <w:rPr>
                <w:sz w:val="20"/>
                <w:szCs w:val="20"/>
                <w:color w:val="auto"/>
              </w:rPr>
            </w:pPr>
            <w:r>
              <w:rPr>
                <w:rFonts w:ascii="Arial" w:cs="Arial" w:eastAsia="Arial" w:hAnsi="Arial"/>
                <w:sz w:val="38"/>
                <w:szCs w:val="38"/>
                <w:color w:val="auto"/>
              </w:rPr>
              <w:t>310 bps</w:t>
            </w:r>
          </w:p>
        </w:tc>
        <w:tc>
          <w:tcPr>
            <w:tcW w:w="5040" w:type="dxa"/>
            <w:vAlign w:val="bottom"/>
          </w:tcPr>
          <w:p>
            <w:pPr>
              <w:ind w:left="280"/>
              <w:spacing w:after="0"/>
              <w:rPr>
                <w:sz w:val="20"/>
                <w:szCs w:val="20"/>
                <w:color w:val="auto"/>
              </w:rPr>
            </w:pP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C8504F"/>
              </w:rPr>
              <w:t>- 0.3%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hanging="215"/>
        <w:spacing w:after="0"/>
        <w:tabs>
          <w:tab w:leader="none" w:pos="300" w:val="left"/>
        </w:tabs>
        <w:numPr>
          <w:ilvl w:val="0"/>
          <w:numId w:val="6"/>
        </w:numPr>
        <w:rPr>
          <w:rFonts w:ascii="Arial" w:cs="Arial" w:eastAsia="Arial" w:hAnsi="Arial"/>
          <w:sz w:val="26"/>
          <w:szCs w:val="26"/>
          <w:color w:val="auto"/>
          <w:vertAlign w:val="superscript"/>
        </w:rPr>
      </w:pPr>
      <w:r>
        <w:rPr>
          <w:rFonts w:ascii="Arial" w:cs="Arial" w:eastAsia="Arial" w:hAnsi="Arial"/>
          <w:sz w:val="19"/>
          <w:szCs w:val="19"/>
          <w:color w:val="auto"/>
        </w:rPr>
        <w:t>Included in these amounts is the US, which had revenue of $374M (-24%) and OUP of $(6M).</w:t>
      </w:r>
    </w:p>
    <w:p>
      <w:pPr>
        <w:spacing w:after="0" w:line="116" w:lineRule="exact"/>
        <w:rPr>
          <w:rFonts w:ascii="Arial" w:cs="Arial" w:eastAsia="Arial" w:hAnsi="Arial"/>
          <w:sz w:val="26"/>
          <w:szCs w:val="26"/>
          <w:color w:val="auto"/>
          <w:vertAlign w:val="superscript"/>
        </w:rPr>
      </w:pPr>
    </w:p>
    <w:p>
      <w:pPr>
        <w:ind w:left="320" w:right="940" w:hanging="235"/>
        <w:spacing w:after="0" w:line="223" w:lineRule="auto"/>
        <w:tabs>
          <w:tab w:leader="none" w:pos="293"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results above include the impact of acquisitions. On an organic basis, Americas revenue decreased 29% in USD (23% in CC).</w:t>
      </w:r>
    </w:p>
    <w:p>
      <w:pPr>
        <w:spacing w:after="0" w:line="24" w:lineRule="exact"/>
        <w:rPr>
          <w:sz w:val="20"/>
          <w:szCs w:val="20"/>
          <w:color w:val="auto"/>
        </w:rPr>
      </w:pPr>
    </w:p>
    <w:p>
      <w:pPr>
        <w:ind w:left="100" w:right="1220"/>
        <w:spacing w:after="0" w:line="271" w:lineRule="auto"/>
        <w:rPr>
          <w:sz w:val="20"/>
          <w:szCs w:val="20"/>
          <w:color w:val="auto"/>
        </w:rPr>
      </w:pPr>
      <w:r>
        <w:rPr>
          <w:rFonts w:ascii="Arial" w:cs="Arial" w:eastAsia="Arial" w:hAnsi="Arial"/>
          <w:sz w:val="22"/>
          <w:szCs w:val="22"/>
          <w:b w:val="1"/>
          <w:bCs w:val="1"/>
          <w:color w:val="auto"/>
        </w:rPr>
        <w:t>Operating Unit Profit (OUP) is the measure that we use to evaluate segment performance. OUP is equal to segment revenues less direct costs and branch and national headquarters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294005</wp:posOffset>
            </wp:positionV>
            <wp:extent cx="726694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100"/>
          </w:cols>
          <w:pgMar w:left="1100" w:top="417" w:right="69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8"/>
          <w:szCs w:val="48"/>
          <w:color w:val="6698C2"/>
        </w:rPr>
        <w:t>Americas - Q2 Revenue Growth YoY</w:t>
      </w:r>
    </w:p>
    <w:p>
      <w:pPr>
        <w:spacing w:after="0" w:line="118" w:lineRule="exact"/>
        <w:rPr>
          <w:sz w:val="20"/>
          <w:szCs w:val="20"/>
          <w:color w:val="auto"/>
        </w:rPr>
      </w:pPr>
    </w:p>
    <w:p>
      <w:pPr>
        <w:ind w:left="60" w:right="8460" w:firstLine="1"/>
        <w:spacing w:after="0" w:line="291" w:lineRule="auto"/>
        <w:tabs>
          <w:tab w:leader="none" w:pos="340" w:val="left"/>
        </w:tabs>
        <w:numPr>
          <w:ilvl w:val="0"/>
          <w:numId w:val="7"/>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ind w:left="3060"/>
        <w:spacing w:after="0" w:line="187" w:lineRule="auto"/>
        <w:rPr>
          <w:sz w:val="20"/>
          <w:szCs w:val="20"/>
          <w:color w:val="auto"/>
        </w:rPr>
      </w:pPr>
      <w:r>
        <w:rPr>
          <w:rFonts w:ascii="Arial" w:cs="Arial" w:eastAsia="Arial" w:hAnsi="Arial"/>
          <w:sz w:val="14"/>
          <w:szCs w:val="14"/>
          <w:b w:val="1"/>
          <w:bCs w:val="1"/>
          <w:color w:val="D47C18"/>
        </w:rPr>
        <w:t>(1)</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D47C18"/>
        </w:rPr>
        <w:t>63%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40"/>
        <w:spacing w:after="0"/>
        <w:rPr>
          <w:sz w:val="20"/>
          <w:szCs w:val="20"/>
          <w:color w:val="auto"/>
        </w:rPr>
      </w:pPr>
      <w:r>
        <w:rPr>
          <w:rFonts w:ascii="Arial" w:cs="Arial" w:eastAsia="Arial" w:hAnsi="Arial"/>
          <w:sz w:val="29"/>
          <w:szCs w:val="29"/>
          <w:b w:val="1"/>
          <w:bCs w:val="1"/>
          <w:color w:val="D47C18"/>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D47C18"/>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Arial" w:cs="Arial" w:eastAsia="Arial" w:hAnsi="Arial"/>
          <w:sz w:val="29"/>
          <w:szCs w:val="29"/>
          <w:b w:val="1"/>
          <w:bCs w:val="1"/>
          <w:color w:val="D47C18"/>
        </w:rPr>
        <w:t>16%</w:t>
      </w:r>
    </w:p>
    <w:p>
      <w:pPr>
        <w:sectPr>
          <w:pgSz w:w="11900" w:h="16838" w:orient="portrait"/>
          <w:cols w:equalWidth="0" w:num="1">
            <w:col w:w="10100"/>
          </w:cols>
          <w:pgMar w:left="1100" w:top="417"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Revenue</w:t>
      </w:r>
    </w:p>
    <w:p>
      <w:pPr>
        <w:spacing w:after="0" w:line="39"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Growth - CC</w:t>
      </w:r>
    </w:p>
    <w:p>
      <w:pPr>
        <w:spacing w:after="0" w:line="457" w:lineRule="exact"/>
        <w:rPr>
          <w:sz w:val="20"/>
          <w:szCs w:val="20"/>
          <w:color w:val="auto"/>
        </w:rPr>
      </w:pPr>
    </w:p>
    <w:p>
      <w:pPr>
        <w:sectPr>
          <w:pgSz w:w="11900" w:h="16838" w:orient="portrait"/>
          <w:cols w:equalWidth="0" w:num="2">
            <w:col w:w="4620" w:space="720"/>
            <w:col w:w="4760"/>
          </w:cols>
          <w:pgMar w:left="1100" w:top="417" w:right="699" w:bottom="1440" w:gutter="0" w:footer="0" w:header="0"/>
          <w:type w:val="continuous"/>
        </w:sectPr>
      </w:pPr>
    </w:p>
    <w:p>
      <w:pPr>
        <w:ind w:left="440" w:hanging="211"/>
        <w:spacing w:after="0"/>
        <w:tabs>
          <w:tab w:leader="none" w:pos="440" w:val="left"/>
        </w:tabs>
        <w:numPr>
          <w:ilvl w:val="0"/>
          <w:numId w:val="8"/>
        </w:numPr>
        <w:rPr>
          <w:rFonts w:ascii="Arial" w:cs="Arial" w:eastAsia="Arial" w:hAnsi="Arial"/>
          <w:sz w:val="25"/>
          <w:szCs w:val="25"/>
          <w:b w:val="1"/>
          <w:bCs w:val="1"/>
          <w:color w:val="auto"/>
          <w:vertAlign w:val="superscript"/>
        </w:rPr>
      </w:pPr>
      <w:r>
        <w:rPr>
          <w:rFonts w:ascii="Arial" w:cs="Arial" w:eastAsia="Arial" w:hAnsi="Arial"/>
          <w:sz w:val="18"/>
          <w:szCs w:val="18"/>
          <w:color w:val="auto"/>
        </w:rPr>
        <w:t>On an organic basis, US revenue decreased 31%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410845</wp:posOffset>
            </wp:positionV>
            <wp:extent cx="726694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100"/>
          </w:cols>
          <w:pgMar w:left="1100" w:top="417" w:right="699" w:bottom="1440" w:gutter="0" w:footer="0" w:header="0"/>
          <w:type w:val="continuous"/>
        </w:sectPr>
      </w:pPr>
    </w:p>
    <w:bookmarkStart w:id="17" w:name="page18"/>
    <w:bookmarkEnd w:id="17"/>
    <w:p>
      <w:pPr>
        <w:ind w:left="108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60"/>
        <w:spacing w:after="0"/>
        <w:rPr>
          <w:sz w:val="20"/>
          <w:szCs w:val="20"/>
          <w:color w:val="auto"/>
        </w:rPr>
      </w:pPr>
      <w:r>
        <w:rPr>
          <w:rFonts w:ascii="Arial" w:cs="Arial" w:eastAsia="Arial" w:hAnsi="Arial"/>
          <w:sz w:val="48"/>
          <w:szCs w:val="48"/>
          <w:color w:val="6698C2"/>
        </w:rPr>
        <w:t>France Segment</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32"/>
          <w:szCs w:val="32"/>
          <w:color w:val="6698C2"/>
        </w:rPr>
        <w:t>(29% of Revenue)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553"/>
        </w:trPr>
        <w:tc>
          <w:tcPr>
            <w:tcW w:w="4100" w:type="dxa"/>
            <w:vAlign w:val="bottom"/>
          </w:tcPr>
          <w:p>
            <w:pPr>
              <w:spacing w:after="0"/>
              <w:rPr>
                <w:sz w:val="24"/>
                <w:szCs w:val="24"/>
                <w:color w:val="auto"/>
              </w:rPr>
            </w:pPr>
          </w:p>
        </w:tc>
        <w:tc>
          <w:tcPr>
            <w:tcW w:w="7340" w:type="dxa"/>
            <w:vAlign w:val="bottom"/>
          </w:tcPr>
          <w:p>
            <w:pPr>
              <w:ind w:left="180"/>
              <w:spacing w:after="0"/>
              <w:rPr>
                <w:sz w:val="20"/>
                <w:szCs w:val="20"/>
                <w:color w:val="auto"/>
              </w:rPr>
            </w:pPr>
            <w:r>
              <w:rPr>
                <w:rFonts w:ascii="Arial" w:cs="Arial" w:eastAsia="Arial" w:hAnsi="Arial"/>
                <w:sz w:val="42"/>
                <w:szCs w:val="42"/>
                <w:b w:val="1"/>
                <w:bCs w:val="1"/>
                <w:color w:val="auto"/>
              </w:rPr>
              <w:t>Q2 Financial Highlights</w:t>
            </w:r>
          </w:p>
        </w:tc>
        <w:tc>
          <w:tcPr>
            <w:tcW w:w="0" w:type="dxa"/>
            <w:vAlign w:val="bottom"/>
          </w:tcPr>
          <w:p>
            <w:pPr>
              <w:spacing w:after="0"/>
              <w:rPr>
                <w:sz w:val="1"/>
                <w:szCs w:val="1"/>
                <w:color w:val="auto"/>
              </w:rPr>
            </w:pPr>
          </w:p>
        </w:tc>
      </w:tr>
      <w:tr>
        <w:trPr>
          <w:trHeight w:val="701"/>
        </w:trPr>
        <w:tc>
          <w:tcPr>
            <w:tcW w:w="4100" w:type="dxa"/>
            <w:vAlign w:val="bottom"/>
          </w:tcPr>
          <w:p>
            <w:pPr>
              <w:jc w:val="center"/>
              <w:ind w:left="2288"/>
              <w:spacing w:after="0"/>
              <w:rPr>
                <w:sz w:val="20"/>
                <w:szCs w:val="20"/>
                <w:color w:val="auto"/>
              </w:rPr>
            </w:pPr>
            <w:r>
              <w:rPr>
                <w:rFonts w:ascii="Arial" w:cs="Arial" w:eastAsia="Arial" w:hAnsi="Arial"/>
                <w:sz w:val="38"/>
                <w:szCs w:val="38"/>
                <w:color w:val="auto"/>
              </w:rPr>
              <w:t>44%</w:t>
            </w:r>
          </w:p>
        </w:tc>
        <w:tc>
          <w:tcPr>
            <w:tcW w:w="7340" w:type="dxa"/>
            <w:vAlign w:val="bottom"/>
            <w:vMerge w:val="restart"/>
          </w:tcPr>
          <w:p>
            <w:pPr>
              <w:ind w:left="32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$1.1B</w:t>
            </w:r>
          </w:p>
        </w:tc>
        <w:tc>
          <w:tcPr>
            <w:tcW w:w="0" w:type="dxa"/>
            <w:vAlign w:val="bottom"/>
          </w:tcPr>
          <w:p>
            <w:pPr>
              <w:spacing w:after="0"/>
              <w:rPr>
                <w:sz w:val="1"/>
                <w:szCs w:val="1"/>
                <w:color w:val="auto"/>
              </w:rPr>
            </w:pPr>
          </w:p>
        </w:tc>
      </w:tr>
      <w:tr>
        <w:trPr>
          <w:trHeight w:val="258"/>
        </w:trPr>
        <w:tc>
          <w:tcPr>
            <w:tcW w:w="4100" w:type="dxa"/>
            <w:vAlign w:val="bottom"/>
            <w:vMerge w:val="restart"/>
          </w:tcPr>
          <w:p>
            <w:pPr>
              <w:jc w:val="center"/>
              <w:ind w:left="2168"/>
              <w:spacing w:after="0"/>
              <w:rPr>
                <w:sz w:val="20"/>
                <w:szCs w:val="20"/>
                <w:color w:val="auto"/>
              </w:rPr>
            </w:pPr>
            <w:r>
              <w:rPr>
                <w:rFonts w:ascii="Arial" w:cs="Arial" w:eastAsia="Arial" w:hAnsi="Arial"/>
                <w:sz w:val="38"/>
                <w:szCs w:val="38"/>
                <w:color w:val="auto"/>
              </w:rPr>
              <w:t>36%</w:t>
            </w:r>
          </w:p>
        </w:tc>
        <w:tc>
          <w:tcPr>
            <w:tcW w:w="7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7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4100" w:type="dxa"/>
            <w:vAlign w:val="bottom"/>
          </w:tcPr>
          <w:p>
            <w:pPr>
              <w:jc w:val="center"/>
              <w:ind w:left="2188"/>
              <w:spacing w:after="0" w:line="348" w:lineRule="exact"/>
              <w:rPr>
                <w:sz w:val="20"/>
                <w:szCs w:val="20"/>
                <w:color w:val="auto"/>
              </w:rPr>
            </w:pPr>
            <w:r>
              <w:rPr>
                <w:rFonts w:ascii="Arial" w:cs="Arial" w:eastAsia="Arial" w:hAnsi="Arial"/>
                <w:sz w:val="38"/>
                <w:szCs w:val="38"/>
                <w:color w:val="auto"/>
              </w:rPr>
              <w:t>CC</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4100" w:type="dxa"/>
            <w:vAlign w:val="bottom"/>
          </w:tcPr>
          <w:p>
            <w:pPr>
              <w:jc w:val="center"/>
              <w:ind w:left="2228"/>
              <w:spacing w:after="0"/>
              <w:rPr>
                <w:sz w:val="20"/>
                <w:szCs w:val="20"/>
                <w:color w:val="auto"/>
              </w:rPr>
            </w:pPr>
            <w:r>
              <w:rPr>
                <w:rFonts w:ascii="Arial" w:cs="Arial" w:eastAsia="Arial" w:hAnsi="Arial"/>
                <w:sz w:val="38"/>
                <w:szCs w:val="38"/>
                <w:color w:val="auto"/>
                <w:w w:val="99"/>
              </w:rPr>
              <w:t>94%</w:t>
            </w:r>
          </w:p>
        </w:tc>
        <w:tc>
          <w:tcPr>
            <w:tcW w:w="7340" w:type="dxa"/>
            <w:vAlign w:val="bottom"/>
          </w:tcPr>
          <w:p>
            <w:pPr>
              <w:ind w:left="340"/>
              <w:spacing w:after="0" w:line="504" w:lineRule="exact"/>
              <w:rPr>
                <w:sz w:val="20"/>
                <w:szCs w:val="20"/>
                <w:color w:val="auto"/>
              </w:rPr>
            </w:pPr>
            <w:r>
              <w:rPr>
                <w:rFonts w:ascii="Arial" w:cs="Arial" w:eastAsia="Arial" w:hAnsi="Arial"/>
                <w:sz w:val="42"/>
                <w:szCs w:val="42"/>
                <w:b w:val="1"/>
                <w:bCs w:val="1"/>
                <w:color w:val="auto"/>
              </w:rPr>
              <w:t xml:space="preserve">OUP  </w:t>
            </w:r>
            <w:r>
              <w:rPr>
                <w:rFonts w:ascii="Arial" w:cs="Arial" w:eastAsia="Arial" w:hAnsi="Arial"/>
                <w:sz w:val="44"/>
                <w:szCs w:val="44"/>
                <w:b w:val="1"/>
                <w:bCs w:val="1"/>
                <w:color w:val="5F81AA"/>
              </w:rPr>
              <w:t>$4M</w:t>
            </w:r>
          </w:p>
        </w:tc>
        <w:tc>
          <w:tcPr>
            <w:tcW w:w="0" w:type="dxa"/>
            <w:vAlign w:val="bottom"/>
          </w:tcPr>
          <w:p>
            <w:pPr>
              <w:spacing w:after="0"/>
              <w:rPr>
                <w:sz w:val="1"/>
                <w:szCs w:val="1"/>
                <w:color w:val="auto"/>
              </w:rPr>
            </w:pPr>
          </w:p>
        </w:tc>
      </w:tr>
      <w:tr>
        <w:trPr>
          <w:trHeight w:val="397"/>
        </w:trPr>
        <w:tc>
          <w:tcPr>
            <w:tcW w:w="4100" w:type="dxa"/>
            <w:vAlign w:val="bottom"/>
          </w:tcPr>
          <w:p>
            <w:pPr>
              <w:jc w:val="center"/>
              <w:ind w:left="2128"/>
              <w:spacing w:after="0" w:line="396" w:lineRule="exact"/>
              <w:rPr>
                <w:sz w:val="20"/>
                <w:szCs w:val="20"/>
                <w:color w:val="auto"/>
              </w:rPr>
            </w:pPr>
            <w:r>
              <w:rPr>
                <w:rFonts w:ascii="Arial" w:cs="Arial" w:eastAsia="Arial" w:hAnsi="Arial"/>
                <w:sz w:val="38"/>
                <w:szCs w:val="38"/>
                <w:color w:val="auto"/>
              </w:rPr>
              <w:t>93%</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100" w:type="dxa"/>
            <w:vAlign w:val="bottom"/>
          </w:tcPr>
          <w:p>
            <w:pPr>
              <w:jc w:val="center"/>
              <w:ind w:left="2128"/>
              <w:spacing w:after="0" w:line="372" w:lineRule="exact"/>
              <w:rPr>
                <w:sz w:val="20"/>
                <w:szCs w:val="20"/>
                <w:color w:val="auto"/>
              </w:rPr>
            </w:pPr>
            <w:r>
              <w:rPr>
                <w:rFonts w:ascii="Arial" w:cs="Arial" w:eastAsia="Arial" w:hAnsi="Arial"/>
                <w:sz w:val="38"/>
                <w:szCs w:val="38"/>
                <w:color w:val="auto"/>
                <w:w w:val="98"/>
              </w:rPr>
              <w:t>CC</w:t>
            </w:r>
          </w:p>
        </w:tc>
        <w:tc>
          <w:tcPr>
            <w:tcW w:w="7340" w:type="dxa"/>
            <w:vAlign w:val="bottom"/>
            <w:vMerge w:val="restart"/>
          </w:tcPr>
          <w:p>
            <w:pPr>
              <w:ind w:left="320"/>
              <w:spacing w:after="0"/>
              <w:rPr>
                <w:sz w:val="20"/>
                <w:szCs w:val="20"/>
                <w:color w:val="auto"/>
              </w:rPr>
            </w:pP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0.4%</w:t>
            </w:r>
          </w:p>
        </w:tc>
        <w:tc>
          <w:tcPr>
            <w:tcW w:w="0" w:type="dxa"/>
            <w:vAlign w:val="bottom"/>
          </w:tcPr>
          <w:p>
            <w:pPr>
              <w:spacing w:after="0"/>
              <w:rPr>
                <w:sz w:val="1"/>
                <w:szCs w:val="1"/>
                <w:color w:val="auto"/>
              </w:rPr>
            </w:pPr>
          </w:p>
        </w:tc>
      </w:tr>
      <w:tr>
        <w:trPr>
          <w:trHeight w:val="494"/>
        </w:trPr>
        <w:tc>
          <w:tcPr>
            <w:tcW w:w="4100" w:type="dxa"/>
            <w:vAlign w:val="bottom"/>
          </w:tcPr>
          <w:p>
            <w:pPr>
              <w:jc w:val="center"/>
              <w:ind w:left="2168"/>
              <w:spacing w:after="0"/>
              <w:rPr>
                <w:sz w:val="20"/>
                <w:szCs w:val="20"/>
                <w:color w:val="auto"/>
              </w:rPr>
            </w:pPr>
            <w:r>
              <w:rPr>
                <w:rFonts w:ascii="Arial" w:cs="Arial" w:eastAsia="Arial" w:hAnsi="Arial"/>
                <w:sz w:val="38"/>
                <w:szCs w:val="38"/>
                <w:color w:val="auto"/>
              </w:rPr>
              <w:t>320 bps</w:t>
            </w:r>
          </w:p>
        </w:tc>
        <w:tc>
          <w:tcPr>
            <w:tcW w:w="7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65"/>
        </w:trPr>
        <w:tc>
          <w:tcPr>
            <w:tcW w:w="4100" w:type="dxa"/>
            <w:vAlign w:val="bottom"/>
            <w:tcBorders>
              <w:bottom w:val="single" w:sz="8" w:color="808080"/>
            </w:tcBorders>
          </w:tcPr>
          <w:p>
            <w:pPr>
              <w:spacing w:after="0"/>
              <w:rPr>
                <w:sz w:val="24"/>
                <w:szCs w:val="24"/>
                <w:color w:val="auto"/>
              </w:rPr>
            </w:pPr>
          </w:p>
        </w:tc>
        <w:tc>
          <w:tcPr>
            <w:tcW w:w="73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17" w:right="21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48"/>
          <w:szCs w:val="48"/>
          <w:color w:val="6698C2"/>
        </w:rPr>
        <w:t>EMEA Segment</w:t>
      </w:r>
    </w:p>
    <w:p>
      <w:pPr>
        <w:spacing w:after="0" w:line="3" w:lineRule="exact"/>
        <w:rPr>
          <w:sz w:val="20"/>
          <w:szCs w:val="20"/>
          <w:color w:val="auto"/>
        </w:rPr>
      </w:pPr>
    </w:p>
    <w:p>
      <w:pPr>
        <w:spacing w:after="0"/>
        <w:rPr>
          <w:sz w:val="20"/>
          <w:szCs w:val="20"/>
          <w:color w:val="auto"/>
        </w:rPr>
      </w:pPr>
      <w:r>
        <w:rPr>
          <w:rFonts w:ascii="Arial" w:cs="Arial" w:eastAsia="Arial" w:hAnsi="Arial"/>
          <w:sz w:val="32"/>
          <w:szCs w:val="32"/>
          <w:color w:val="6698C2"/>
        </w:rPr>
        <w:t>(39% of Revenue)</w:t>
      </w:r>
    </w:p>
    <w:p>
      <w:pPr>
        <w:spacing w:after="0" w:line="233" w:lineRule="exact"/>
        <w:rPr>
          <w:sz w:val="20"/>
          <w:szCs w:val="20"/>
          <w:color w:val="auto"/>
        </w:rPr>
      </w:pPr>
    </w:p>
    <w:p>
      <w:pPr>
        <w:ind w:left="3420"/>
        <w:spacing w:after="0"/>
        <w:rPr>
          <w:sz w:val="20"/>
          <w:szCs w:val="20"/>
          <w:color w:val="auto"/>
        </w:rPr>
      </w:pPr>
      <w:r>
        <w:rPr>
          <w:rFonts w:ascii="Arial" w:cs="Arial" w:eastAsia="Arial" w:hAnsi="Arial"/>
          <w:sz w:val="42"/>
          <w:szCs w:val="42"/>
          <w:b w:val="1"/>
          <w:bCs w:val="1"/>
          <w:color w:val="auto"/>
        </w:rPr>
        <w:t xml:space="preserve">Q2 Financial Highlights </w:t>
      </w:r>
      <w:r>
        <w:rPr>
          <w:rFonts w:ascii="Arial" w:cs="Arial" w:eastAsia="Arial" w:hAnsi="Arial"/>
          <w:sz w:val="35"/>
          <w:szCs w:val="35"/>
          <w:b w:val="1"/>
          <w:bCs w:val="1"/>
          <w:color w:val="6698C2"/>
          <w:vertAlign w:val="superscript"/>
        </w:rPr>
        <w:t>(1)</w:t>
      </w:r>
    </w:p>
    <w:p>
      <w:pPr>
        <w:spacing w:after="0" w:line="348" w:lineRule="exact"/>
        <w:rPr>
          <w:sz w:val="20"/>
          <w:szCs w:val="20"/>
          <w:color w:val="auto"/>
        </w:rPr>
      </w:pPr>
    </w:p>
    <w:tbl>
      <w:tblPr>
        <w:tblLayout w:type="fixed"/>
        <w:tblInd w:w="1880" w:type="dxa"/>
        <w:tblCellMar>
          <w:top w:w="0" w:type="dxa"/>
          <w:left w:w="0" w:type="dxa"/>
          <w:bottom w:w="0" w:type="dxa"/>
          <w:right w:w="0" w:type="dxa"/>
        </w:tblCellMar>
      </w:tblPr>
      <w:tr>
        <w:trPr>
          <w:trHeight w:val="464"/>
        </w:trPr>
        <w:tc>
          <w:tcPr>
            <w:tcW w:w="1240" w:type="dxa"/>
            <w:vAlign w:val="bottom"/>
          </w:tcPr>
          <w:p>
            <w:pPr>
              <w:jc w:val="center"/>
              <w:ind w:right="310"/>
              <w:spacing w:after="0"/>
              <w:rPr>
                <w:sz w:val="20"/>
                <w:szCs w:val="20"/>
                <w:color w:val="auto"/>
              </w:rPr>
            </w:pPr>
            <w:r>
              <w:rPr>
                <w:rFonts w:ascii="Arial" w:cs="Arial" w:eastAsia="Arial" w:hAnsi="Arial"/>
                <w:sz w:val="38"/>
                <w:szCs w:val="38"/>
                <w:color w:val="auto"/>
                <w:w w:val="99"/>
              </w:rPr>
              <w:t>40%</w:t>
            </w:r>
          </w:p>
        </w:tc>
        <w:tc>
          <w:tcPr>
            <w:tcW w:w="2300" w:type="dxa"/>
            <w:vAlign w:val="bottom"/>
            <w:vMerge w:val="restart"/>
          </w:tcPr>
          <w:p>
            <w:pPr>
              <w:ind w:left="440"/>
              <w:spacing w:after="0"/>
              <w:rPr>
                <w:sz w:val="20"/>
                <w:szCs w:val="20"/>
                <w:color w:val="auto"/>
              </w:rPr>
            </w:pPr>
            <w:r>
              <w:rPr>
                <w:rFonts w:ascii="Arial" w:cs="Arial" w:eastAsia="Arial" w:hAnsi="Arial"/>
                <w:sz w:val="42"/>
                <w:szCs w:val="42"/>
                <w:b w:val="1"/>
                <w:bCs w:val="1"/>
                <w:color w:val="auto"/>
              </w:rPr>
              <w:t>Revenue</w:t>
            </w:r>
          </w:p>
        </w:tc>
        <w:tc>
          <w:tcPr>
            <w:tcW w:w="1320" w:type="dxa"/>
            <w:vAlign w:val="bottom"/>
            <w:vMerge w:val="restart"/>
          </w:tcPr>
          <w:p>
            <w:pPr>
              <w:jc w:val="right"/>
              <w:spacing w:after="0"/>
              <w:rPr>
                <w:sz w:val="20"/>
                <w:szCs w:val="20"/>
                <w:color w:val="auto"/>
              </w:rPr>
            </w:pPr>
            <w:r>
              <w:rPr>
                <w:rFonts w:ascii="Arial" w:cs="Arial" w:eastAsia="Arial" w:hAnsi="Arial"/>
                <w:sz w:val="45"/>
                <w:szCs w:val="45"/>
                <w:b w:val="1"/>
                <w:bCs w:val="1"/>
                <w:color w:val="6698C2"/>
              </w:rPr>
              <w:t>$1.5B</w:t>
            </w:r>
          </w:p>
        </w:tc>
        <w:tc>
          <w:tcPr>
            <w:tcW w:w="0" w:type="dxa"/>
            <w:vAlign w:val="bottom"/>
          </w:tcPr>
          <w:p>
            <w:pPr>
              <w:spacing w:after="0"/>
              <w:rPr>
                <w:sz w:val="1"/>
                <w:szCs w:val="1"/>
                <w:color w:val="auto"/>
              </w:rPr>
            </w:pPr>
          </w:p>
        </w:tc>
      </w:tr>
      <w:tr>
        <w:trPr>
          <w:trHeight w:val="258"/>
        </w:trPr>
        <w:tc>
          <w:tcPr>
            <w:tcW w:w="1240" w:type="dxa"/>
            <w:vAlign w:val="bottom"/>
            <w:vMerge w:val="restart"/>
          </w:tcPr>
          <w:p>
            <w:pPr>
              <w:jc w:val="center"/>
              <w:ind w:right="230"/>
              <w:spacing w:after="0"/>
              <w:rPr>
                <w:sz w:val="20"/>
                <w:szCs w:val="20"/>
                <w:color w:val="auto"/>
              </w:rPr>
            </w:pPr>
            <w:r>
              <w:rPr>
                <w:rFonts w:ascii="Arial" w:cs="Arial" w:eastAsia="Arial" w:hAnsi="Arial"/>
                <w:sz w:val="38"/>
                <w:szCs w:val="38"/>
                <w:color w:val="auto"/>
                <w:w w:val="99"/>
              </w:rPr>
              <w:t>28%</w:t>
            </w:r>
          </w:p>
        </w:tc>
        <w:tc>
          <w:tcPr>
            <w:tcW w:w="230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1240" w:type="dxa"/>
            <w:vAlign w:val="bottom"/>
          </w:tcPr>
          <w:p>
            <w:pPr>
              <w:jc w:val="center"/>
              <w:ind w:right="230"/>
              <w:spacing w:after="0" w:line="348" w:lineRule="exact"/>
              <w:rPr>
                <w:sz w:val="20"/>
                <w:szCs w:val="20"/>
                <w:color w:val="auto"/>
              </w:rPr>
            </w:pPr>
            <w:r>
              <w:rPr>
                <w:rFonts w:ascii="Arial" w:cs="Arial" w:eastAsia="Arial" w:hAnsi="Arial"/>
                <w:sz w:val="38"/>
                <w:szCs w:val="38"/>
                <w:color w:val="auto"/>
              </w:rPr>
              <w:t>CC</w:t>
            </w:r>
          </w:p>
        </w:tc>
        <w:tc>
          <w:tcPr>
            <w:tcW w:w="2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40" w:type="dxa"/>
            <w:vAlign w:val="bottom"/>
          </w:tcPr>
          <w:p>
            <w:pPr>
              <w:jc w:val="center"/>
              <w:ind w:right="310"/>
              <w:spacing w:after="0" w:line="145" w:lineRule="exact"/>
              <w:rPr>
                <w:sz w:val="20"/>
                <w:szCs w:val="20"/>
                <w:color w:val="auto"/>
              </w:rPr>
            </w:pPr>
            <w:r>
              <w:rPr>
                <w:rFonts w:ascii="Arial" w:cs="Arial" w:eastAsia="Arial" w:hAnsi="Arial"/>
                <w:sz w:val="16"/>
                <w:szCs w:val="16"/>
                <w:color w:val="auto"/>
              </w:rPr>
              <w:t>98%</w:t>
            </w:r>
          </w:p>
        </w:tc>
        <w:tc>
          <w:tcPr>
            <w:tcW w:w="2300" w:type="dxa"/>
            <w:vAlign w:val="bottom"/>
          </w:tcPr>
          <w:p>
            <w:pPr>
              <w:spacing w:after="0"/>
              <w:rPr>
                <w:sz w:val="12"/>
                <w:szCs w:val="12"/>
                <w:color w:val="auto"/>
              </w:rPr>
            </w:pPr>
          </w:p>
        </w:tc>
        <w:tc>
          <w:tcPr>
            <w:tcW w:w="1320" w:type="dxa"/>
            <w:vAlign w:val="bottom"/>
          </w:tcPr>
          <w:p>
            <w:pPr>
              <w:jc w:val="right"/>
              <w:ind w:right="709"/>
              <w:spacing w:after="0" w:line="144" w:lineRule="exact"/>
              <w:rPr>
                <w:sz w:val="20"/>
                <w:szCs w:val="20"/>
                <w:color w:val="auto"/>
              </w:rPr>
            </w:pPr>
            <w:r>
              <w:rPr>
                <w:rFonts w:ascii="Arial" w:cs="Arial" w:eastAsia="Arial" w:hAnsi="Arial"/>
                <w:sz w:val="15"/>
                <w:szCs w:val="15"/>
                <w:b w:val="1"/>
                <w:bCs w:val="1"/>
                <w:color w:val="6698C2"/>
              </w:rPr>
              <w:t>(2)</w:t>
            </w:r>
          </w:p>
        </w:tc>
        <w:tc>
          <w:tcPr>
            <w:tcW w:w="0" w:type="dxa"/>
            <w:vAlign w:val="bottom"/>
          </w:tcPr>
          <w:p>
            <w:pPr>
              <w:spacing w:after="0"/>
              <w:rPr>
                <w:sz w:val="1"/>
                <w:szCs w:val="1"/>
                <w:color w:val="auto"/>
              </w:rPr>
            </w:pPr>
          </w:p>
        </w:tc>
      </w:tr>
      <w:tr>
        <w:trPr>
          <w:trHeight w:val="596"/>
        </w:trPr>
        <w:tc>
          <w:tcPr>
            <w:tcW w:w="1240" w:type="dxa"/>
            <w:vAlign w:val="bottom"/>
            <w:vMerge w:val="restart"/>
          </w:tcPr>
          <w:p>
            <w:pPr>
              <w:jc w:val="center"/>
              <w:ind w:right="270"/>
              <w:spacing w:after="0"/>
              <w:rPr>
                <w:sz w:val="20"/>
                <w:szCs w:val="20"/>
                <w:color w:val="auto"/>
              </w:rPr>
            </w:pPr>
            <w:r>
              <w:rPr>
                <w:rFonts w:ascii="Arial" w:cs="Arial" w:eastAsia="Arial" w:hAnsi="Arial"/>
                <w:sz w:val="38"/>
                <w:szCs w:val="38"/>
                <w:color w:val="auto"/>
                <w:w w:val="99"/>
              </w:rPr>
              <w:t>97%</w:t>
            </w:r>
          </w:p>
        </w:tc>
        <w:tc>
          <w:tcPr>
            <w:tcW w:w="3620" w:type="dxa"/>
            <w:vAlign w:val="bottom"/>
            <w:gridSpan w:val="2"/>
          </w:tcPr>
          <w:p>
            <w:pPr>
              <w:ind w:left="460"/>
              <w:spacing w:after="0"/>
              <w:rPr>
                <w:sz w:val="20"/>
                <w:szCs w:val="20"/>
                <w:color w:val="auto"/>
              </w:rPr>
            </w:pPr>
            <w:r>
              <w:rPr>
                <w:rFonts w:ascii="Arial" w:cs="Arial" w:eastAsia="Arial" w:hAnsi="Arial"/>
                <w:sz w:val="42"/>
                <w:szCs w:val="42"/>
                <w:b w:val="1"/>
                <w:bCs w:val="1"/>
                <w:color w:val="auto"/>
              </w:rPr>
              <w:t xml:space="preserve">OUP  </w:t>
            </w:r>
            <w:r>
              <w:rPr>
                <w:rFonts w:ascii="Arial" w:cs="Arial" w:eastAsia="Arial" w:hAnsi="Arial"/>
                <w:sz w:val="44"/>
                <w:szCs w:val="44"/>
                <w:b w:val="1"/>
                <w:bCs w:val="1"/>
                <w:color w:val="6698C2"/>
              </w:rPr>
              <w:t>$3M</w:t>
            </w:r>
          </w:p>
        </w:tc>
        <w:tc>
          <w:tcPr>
            <w:tcW w:w="0" w:type="dxa"/>
            <w:vAlign w:val="bottom"/>
          </w:tcPr>
          <w:p>
            <w:pPr>
              <w:spacing w:after="0"/>
              <w:rPr>
                <w:sz w:val="1"/>
                <w:szCs w:val="1"/>
                <w:color w:val="auto"/>
              </w:rPr>
            </w:pPr>
          </w:p>
        </w:tc>
      </w:tr>
      <w:tr>
        <w:trPr>
          <w:trHeight w:val="113"/>
        </w:trPr>
        <w:tc>
          <w:tcPr>
            <w:tcW w:w="1240" w:type="dxa"/>
            <w:vAlign w:val="bottom"/>
            <w:vMerge w:val="continue"/>
          </w:tcPr>
          <w:p>
            <w:pPr>
              <w:spacing w:after="0"/>
              <w:rPr>
                <w:sz w:val="9"/>
                <w:szCs w:val="9"/>
                <w:color w:val="auto"/>
              </w:rPr>
            </w:pPr>
          </w:p>
        </w:tc>
        <w:tc>
          <w:tcPr>
            <w:tcW w:w="2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000"/>
        <w:spacing w:after="0" w:line="199" w:lineRule="auto"/>
        <w:rPr>
          <w:sz w:val="20"/>
          <w:szCs w:val="20"/>
          <w:color w:val="auto"/>
        </w:rPr>
      </w:pPr>
      <w:r>
        <w:rPr>
          <w:rFonts w:ascii="Arial" w:cs="Arial" w:eastAsia="Arial" w:hAnsi="Arial"/>
          <w:sz w:val="38"/>
          <w:szCs w:val="38"/>
          <w:color w:val="auto"/>
        </w:rPr>
        <w:t>CC</w:t>
      </w:r>
    </w:p>
    <w:p>
      <w:pPr>
        <w:ind w:left="1680"/>
        <w:spacing w:after="0"/>
        <w:tabs>
          <w:tab w:leader="none" w:pos="3540" w:val="left"/>
        </w:tabs>
        <w:rPr>
          <w:sz w:val="20"/>
          <w:szCs w:val="20"/>
          <w:color w:val="auto"/>
        </w:rPr>
      </w:pPr>
      <w:r>
        <w:rPr>
          <w:rFonts w:ascii="Arial" w:cs="Arial" w:eastAsia="Arial" w:hAnsi="Arial"/>
          <w:sz w:val="38"/>
          <w:szCs w:val="38"/>
          <w:color w:val="auto"/>
        </w:rPr>
        <w:t>470 bps</w:t>
      </w:r>
      <w:r>
        <w:rPr>
          <w:sz w:val="20"/>
          <w:szCs w:val="20"/>
          <w:color w:val="auto"/>
        </w:rPr>
        <w:tab/>
      </w: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6698C2"/>
        </w:rPr>
        <w:t>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80" w:right="940" w:hanging="231"/>
        <w:spacing w:after="0" w:line="208" w:lineRule="auto"/>
        <w:tabs>
          <w:tab w:leader="none" w:pos="324" w:val="left"/>
        </w:tabs>
        <w:numPr>
          <w:ilvl w:val="0"/>
          <w:numId w:val="9"/>
        </w:numPr>
        <w:rPr>
          <w:rFonts w:ascii="Arial" w:cs="Arial" w:eastAsia="Arial" w:hAnsi="Arial"/>
          <w:sz w:val="27"/>
          <w:szCs w:val="27"/>
          <w:b w:val="1"/>
          <w:bCs w:val="1"/>
          <w:color w:val="auto"/>
          <w:vertAlign w:val="superscript"/>
        </w:rPr>
      </w:pPr>
      <w:r>
        <w:rPr>
          <w:rFonts w:ascii="Arial" w:cs="Arial" w:eastAsia="Arial" w:hAnsi="Arial"/>
          <w:sz w:val="19"/>
          <w:szCs w:val="19"/>
          <w:color w:val="auto"/>
        </w:rPr>
        <w:t>Included in these amounts is Italy, which had revenue of $230M (-48% in USD, -40% in CC) and OUP of $7M (-82% in USD, -79% in CC).</w:t>
      </w:r>
    </w:p>
    <w:p>
      <w:pPr>
        <w:spacing w:after="0" w:line="63" w:lineRule="exact"/>
        <w:rPr>
          <w:rFonts w:ascii="Arial" w:cs="Arial" w:eastAsia="Arial" w:hAnsi="Arial"/>
          <w:sz w:val="27"/>
          <w:szCs w:val="27"/>
          <w:b w:val="1"/>
          <w:bCs w:val="1"/>
          <w:color w:val="auto"/>
          <w:vertAlign w:val="superscript"/>
        </w:rPr>
      </w:pPr>
    </w:p>
    <w:p>
      <w:pPr>
        <w:ind w:left="300" w:hanging="251"/>
        <w:spacing w:after="0"/>
        <w:tabs>
          <w:tab w:leader="none" w:pos="300" w:val="left"/>
        </w:tabs>
        <w:numPr>
          <w:ilvl w:val="0"/>
          <w:numId w:val="9"/>
        </w:numPr>
        <w:rPr>
          <w:rFonts w:ascii="Arial" w:cs="Arial" w:eastAsia="Arial" w:hAnsi="Arial"/>
          <w:sz w:val="27"/>
          <w:szCs w:val="27"/>
          <w:b w:val="1"/>
          <w:bCs w:val="1"/>
          <w:color w:val="auto"/>
          <w:vertAlign w:val="superscript"/>
        </w:rPr>
      </w:pPr>
      <w:r>
        <w:rPr>
          <w:rFonts w:ascii="Arial" w:cs="Arial" w:eastAsia="Arial" w:hAnsi="Arial"/>
          <w:sz w:val="19"/>
          <w:szCs w:val="19"/>
          <w:color w:val="auto"/>
        </w:rPr>
        <w:t>Includes reorganization charges of $5.5M recorded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593725</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100"/>
          </w:cols>
          <w:pgMar w:left="1100" w:top="417" w:right="699" w:bottom="1440" w:gutter="0" w:footer="0" w:header="0"/>
        </w:sectPr>
      </w:pPr>
    </w:p>
    <w:bookmarkStart w:id="19" w:name="page20"/>
    <w:bookmarkEnd w:id="19"/>
    <w:p>
      <w:pPr>
        <w:jc w:val="right"/>
        <w:ind w:right="48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60"/>
        <w:spacing w:after="0"/>
        <w:rPr>
          <w:sz w:val="20"/>
          <w:szCs w:val="20"/>
          <w:color w:val="auto"/>
        </w:rPr>
      </w:pPr>
      <w:r>
        <w:rPr>
          <w:rFonts w:ascii="Arial" w:cs="Arial" w:eastAsia="Arial" w:hAnsi="Arial"/>
          <w:sz w:val="48"/>
          <w:szCs w:val="48"/>
          <w:color w:val="6698C2"/>
        </w:rPr>
        <w:t>EMEA - Q2 Revenue Growth YoY</w:t>
      </w:r>
    </w:p>
    <w:p>
      <w:pPr>
        <w:spacing w:after="0" w:line="118" w:lineRule="exact"/>
        <w:rPr>
          <w:sz w:val="20"/>
          <w:szCs w:val="20"/>
          <w:color w:val="auto"/>
        </w:rPr>
      </w:pPr>
    </w:p>
    <w:p>
      <w:pPr>
        <w:ind w:left="920" w:right="8940" w:firstLine="1"/>
        <w:spacing w:after="0" w:line="311" w:lineRule="auto"/>
        <w:tabs>
          <w:tab w:leader="none" w:pos="1200" w:val="left"/>
        </w:tabs>
        <w:numPr>
          <w:ilvl w:val="0"/>
          <w:numId w:val="10"/>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29"/>
          <w:szCs w:val="29"/>
          <w:b w:val="1"/>
          <w:bCs w:val="1"/>
          <w:color w:val="D47C18"/>
        </w:rPr>
        <w:t>15%</w:t>
      </w:r>
    </w:p>
    <w:p>
      <w:pPr>
        <w:spacing w:after="0" w:line="267" w:lineRule="exact"/>
        <w:rPr>
          <w:sz w:val="20"/>
          <w:szCs w:val="20"/>
          <w:color w:val="auto"/>
        </w:rPr>
      </w:pPr>
    </w:p>
    <w:p>
      <w:pPr>
        <w:ind w:left="1100"/>
        <w:spacing w:after="0"/>
        <w:rPr>
          <w:sz w:val="20"/>
          <w:szCs w:val="20"/>
          <w:color w:val="auto"/>
        </w:rPr>
      </w:pPr>
      <w:r>
        <w:rPr>
          <w:rFonts w:ascii="Arial" w:cs="Arial" w:eastAsia="Arial" w:hAnsi="Arial"/>
          <w:sz w:val="29"/>
          <w:szCs w:val="29"/>
          <w:b w:val="1"/>
          <w:bCs w:val="1"/>
          <w:color w:val="D47C18"/>
        </w:rPr>
        <w:t>15%</w:t>
      </w:r>
    </w:p>
    <w:p>
      <w:pPr>
        <w:spacing w:after="0" w:line="255" w:lineRule="exact"/>
        <w:rPr>
          <w:sz w:val="20"/>
          <w:szCs w:val="20"/>
          <w:color w:val="auto"/>
        </w:rPr>
      </w:pPr>
    </w:p>
    <w:p>
      <w:pPr>
        <w:ind w:left="1100"/>
        <w:spacing w:after="0"/>
        <w:rPr>
          <w:sz w:val="20"/>
          <w:szCs w:val="20"/>
          <w:color w:val="auto"/>
        </w:rPr>
      </w:pPr>
      <w:r>
        <w:rPr>
          <w:rFonts w:ascii="Arial" w:cs="Arial" w:eastAsia="Arial" w:hAnsi="Arial"/>
          <w:sz w:val="29"/>
          <w:szCs w:val="29"/>
          <w:b w:val="1"/>
          <w:bCs w:val="1"/>
          <w:color w:val="D47C18"/>
        </w:rPr>
        <w:t>14%</w:t>
      </w:r>
    </w:p>
    <w:p>
      <w:pPr>
        <w:spacing w:after="0" w:line="255" w:lineRule="exact"/>
        <w:rPr>
          <w:sz w:val="20"/>
          <w:szCs w:val="20"/>
          <w:color w:val="auto"/>
        </w:rPr>
      </w:pPr>
    </w:p>
    <w:p>
      <w:pPr>
        <w:ind w:left="1120"/>
        <w:spacing w:after="0"/>
        <w:rPr>
          <w:sz w:val="20"/>
          <w:szCs w:val="20"/>
          <w:color w:val="auto"/>
        </w:rPr>
      </w:pPr>
      <w:r>
        <w:rPr>
          <w:rFonts w:ascii="Arial" w:cs="Arial" w:eastAsia="Arial" w:hAnsi="Arial"/>
          <w:sz w:val="29"/>
          <w:szCs w:val="29"/>
          <w:b w:val="1"/>
          <w:bCs w:val="1"/>
          <w:color w:val="D47C18"/>
        </w:rPr>
        <w:t>11%</w:t>
      </w:r>
    </w:p>
    <w:p>
      <w:pPr>
        <w:spacing w:after="0" w:line="303" w:lineRule="exact"/>
        <w:rPr>
          <w:sz w:val="20"/>
          <w:szCs w:val="20"/>
          <w:color w:val="auto"/>
        </w:rPr>
      </w:pPr>
    </w:p>
    <w:p>
      <w:pPr>
        <w:jc w:val="right"/>
        <w:ind w:right="9760"/>
        <w:spacing w:after="0"/>
        <w:rPr>
          <w:sz w:val="20"/>
          <w:szCs w:val="20"/>
          <w:color w:val="auto"/>
        </w:rPr>
      </w:pPr>
      <w:r>
        <w:rPr>
          <w:rFonts w:ascii="Arial" w:cs="Arial" w:eastAsia="Arial" w:hAnsi="Arial"/>
          <w:sz w:val="29"/>
          <w:szCs w:val="29"/>
          <w:b w:val="1"/>
          <w:bCs w:val="1"/>
          <w:color w:val="D47C18"/>
        </w:rPr>
        <w:t>10%</w:t>
      </w:r>
    </w:p>
    <w:p>
      <w:pPr>
        <w:spacing w:after="0" w:line="255" w:lineRule="exact"/>
        <w:rPr>
          <w:sz w:val="20"/>
          <w:szCs w:val="20"/>
          <w:color w:val="auto"/>
        </w:rPr>
      </w:pPr>
    </w:p>
    <w:p>
      <w:pPr>
        <w:jc w:val="right"/>
        <w:ind w:right="9800"/>
        <w:spacing w:after="0"/>
        <w:rPr>
          <w:sz w:val="20"/>
          <w:szCs w:val="20"/>
          <w:color w:val="auto"/>
        </w:rPr>
      </w:pPr>
      <w:r>
        <w:rPr>
          <w:rFonts w:ascii="Arial" w:cs="Arial" w:eastAsia="Arial" w:hAnsi="Arial"/>
          <w:sz w:val="29"/>
          <w:szCs w:val="29"/>
          <w:b w:val="1"/>
          <w:bCs w:val="1"/>
          <w:color w:val="D47C18"/>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D47C18"/>
        </w:rPr>
        <w:t>5%</w:t>
      </w:r>
    </w:p>
    <w:p>
      <w:pPr>
        <w:ind w:left="1120"/>
        <w:spacing w:after="0"/>
        <w:rPr>
          <w:sz w:val="20"/>
          <w:szCs w:val="20"/>
          <w:color w:val="auto"/>
        </w:rPr>
      </w:pPr>
      <w:r>
        <w:rPr>
          <w:rFonts w:ascii="Arial" w:cs="Arial" w:eastAsia="Arial" w:hAnsi="Arial"/>
          <w:sz w:val="29"/>
          <w:szCs w:val="29"/>
          <w:b w:val="1"/>
          <w:bCs w:val="1"/>
          <w:color w:val="D47C18"/>
        </w:rPr>
        <w:t>21%</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tcPr>
          <w:p>
            <w:pPr>
              <w:jc w:val="center"/>
              <w:ind w:left="4048"/>
              <w:spacing w:after="0"/>
              <w:rPr>
                <w:sz w:val="20"/>
                <w:szCs w:val="20"/>
                <w:color w:val="auto"/>
              </w:rPr>
            </w:pPr>
            <w:r>
              <w:rPr>
                <w:rFonts w:ascii="Arial" w:cs="Arial" w:eastAsia="Arial" w:hAnsi="Arial"/>
                <w:sz w:val="22"/>
                <w:szCs w:val="22"/>
                <w:b w:val="1"/>
                <w:bCs w:val="1"/>
                <w:color w:val="auto"/>
              </w:rPr>
              <w:t>Revenue</w:t>
            </w:r>
          </w:p>
        </w:tc>
        <w:tc>
          <w:tcPr>
            <w:tcW w:w="5380" w:type="dxa"/>
            <w:vAlign w:val="bottom"/>
          </w:tcPr>
          <w:p>
            <w:pPr>
              <w:ind w:left="460"/>
              <w:spacing w:after="0"/>
              <w:rPr>
                <w:sz w:val="20"/>
                <w:szCs w:val="20"/>
                <w:color w:val="auto"/>
              </w:rPr>
            </w:pPr>
            <w:r>
              <w:rPr>
                <w:rFonts w:ascii="Arial" w:cs="Arial" w:eastAsia="Arial" w:hAnsi="Arial"/>
                <w:sz w:val="22"/>
                <w:szCs w:val="22"/>
                <w:b w:val="1"/>
                <w:bCs w:val="1"/>
                <w:color w:val="auto"/>
              </w:rPr>
              <w:t>Revenue Growth - CC</w:t>
            </w:r>
          </w:p>
        </w:tc>
      </w:tr>
      <w:tr>
        <w:trPr>
          <w:trHeight w:val="297"/>
        </w:trPr>
        <w:tc>
          <w:tcPr>
            <w:tcW w:w="6060" w:type="dxa"/>
            <w:vAlign w:val="bottom"/>
          </w:tcPr>
          <w:p>
            <w:pPr>
              <w:jc w:val="center"/>
              <w:ind w:left="4048"/>
              <w:spacing w:after="0"/>
              <w:rPr>
                <w:sz w:val="20"/>
                <w:szCs w:val="20"/>
                <w:color w:val="auto"/>
              </w:rPr>
            </w:pPr>
            <w:r>
              <w:rPr>
                <w:rFonts w:ascii="Arial" w:cs="Arial" w:eastAsia="Arial" w:hAnsi="Arial"/>
                <w:sz w:val="22"/>
                <w:szCs w:val="22"/>
                <w:b w:val="1"/>
                <w:bCs w:val="1"/>
                <w:color w:val="auto"/>
              </w:rPr>
              <w:t>Growth</w:t>
            </w:r>
          </w:p>
        </w:tc>
        <w:tc>
          <w:tcPr>
            <w:tcW w:w="5380" w:type="dxa"/>
            <w:vAlign w:val="bottom"/>
          </w:tcPr>
          <w:p>
            <w:pPr>
              <w:spacing w:after="0"/>
              <w:rPr>
                <w:sz w:val="24"/>
                <w:szCs w:val="24"/>
                <w:color w:val="auto"/>
              </w:rPr>
            </w:pPr>
          </w:p>
        </w:tc>
      </w:tr>
      <w:tr>
        <w:trPr>
          <w:trHeight w:val="711"/>
        </w:trPr>
        <w:tc>
          <w:tcPr>
            <w:tcW w:w="606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17" w:right="21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color w:val="FFFFFF"/>
        </w:rPr>
        <w:t>10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48"/>
          <w:szCs w:val="48"/>
          <w:color w:val="6698C2"/>
        </w:rPr>
        <w:t>Asia Pacific Segment</w:t>
      </w:r>
    </w:p>
    <w:p>
      <w:pPr>
        <w:spacing w:after="0" w:line="3" w:lineRule="exact"/>
        <w:rPr>
          <w:sz w:val="20"/>
          <w:szCs w:val="20"/>
          <w:color w:val="auto"/>
        </w:rPr>
      </w:pPr>
    </w:p>
    <w:p>
      <w:pPr>
        <w:spacing w:after="0"/>
        <w:rPr>
          <w:sz w:val="20"/>
          <w:szCs w:val="20"/>
          <w:color w:val="auto"/>
        </w:rPr>
      </w:pPr>
      <w:r>
        <w:rPr>
          <w:rFonts w:ascii="Arial" w:cs="Arial" w:eastAsia="Arial" w:hAnsi="Arial"/>
          <w:sz w:val="32"/>
          <w:szCs w:val="32"/>
          <w:color w:val="6698C2"/>
        </w:rPr>
        <w:t>(11% of Revenue)</w:t>
      </w:r>
    </w:p>
    <w:p>
      <w:pPr>
        <w:spacing w:after="0" w:line="274" w:lineRule="exact"/>
        <w:rPr>
          <w:sz w:val="20"/>
          <w:szCs w:val="20"/>
          <w:color w:val="auto"/>
        </w:rPr>
      </w:pPr>
    </w:p>
    <w:p>
      <w:pPr>
        <w:ind w:left="3420"/>
        <w:spacing w:after="0"/>
        <w:rPr>
          <w:sz w:val="20"/>
          <w:szCs w:val="20"/>
          <w:color w:val="auto"/>
        </w:rPr>
      </w:pPr>
      <w:r>
        <w:rPr>
          <w:rFonts w:ascii="Arial" w:cs="Arial" w:eastAsia="Arial" w:hAnsi="Arial"/>
          <w:sz w:val="42"/>
          <w:szCs w:val="42"/>
          <w:b w:val="1"/>
          <w:bCs w:val="1"/>
          <w:color w:val="auto"/>
        </w:rPr>
        <w:t>Q2 Financial Highlights</w:t>
      </w:r>
    </w:p>
    <w:p>
      <w:pPr>
        <w:spacing w:after="0" w:line="307" w:lineRule="exact"/>
        <w:rPr>
          <w:sz w:val="20"/>
          <w:szCs w:val="20"/>
          <w:color w:val="auto"/>
        </w:rPr>
      </w:pPr>
    </w:p>
    <w:tbl>
      <w:tblPr>
        <w:tblLayout w:type="fixed"/>
        <w:tblInd w:w="1980" w:type="dxa"/>
        <w:tblCellMar>
          <w:top w:w="0" w:type="dxa"/>
          <w:left w:w="0" w:type="dxa"/>
          <w:bottom w:w="0" w:type="dxa"/>
          <w:right w:w="0" w:type="dxa"/>
        </w:tblCellMar>
      </w:tblPr>
      <w:tr>
        <w:trPr>
          <w:trHeight w:val="464"/>
        </w:trPr>
        <w:tc>
          <w:tcPr>
            <w:tcW w:w="1200" w:type="dxa"/>
            <w:vAlign w:val="bottom"/>
          </w:tcPr>
          <w:p>
            <w:pPr>
              <w:jc w:val="center"/>
              <w:ind w:right="124"/>
              <w:spacing w:after="0"/>
              <w:rPr>
                <w:sz w:val="20"/>
                <w:szCs w:val="20"/>
                <w:color w:val="auto"/>
              </w:rPr>
            </w:pPr>
            <w:r>
              <w:rPr>
                <w:rFonts w:ascii="Arial" w:cs="Arial" w:eastAsia="Arial" w:hAnsi="Arial"/>
                <w:sz w:val="38"/>
                <w:szCs w:val="38"/>
                <w:color w:val="auto"/>
              </w:rPr>
              <w:t>14%</w:t>
            </w:r>
          </w:p>
        </w:tc>
        <w:tc>
          <w:tcPr>
            <w:tcW w:w="3640" w:type="dxa"/>
            <w:vAlign w:val="bottom"/>
            <w:gridSpan w:val="2"/>
            <w:vMerge w:val="restart"/>
          </w:tcPr>
          <w:p>
            <w:pPr>
              <w:ind w:left="38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C8504F"/>
              </w:rPr>
              <w:t>$406M</w:t>
            </w:r>
          </w:p>
        </w:tc>
        <w:tc>
          <w:tcPr>
            <w:tcW w:w="0" w:type="dxa"/>
            <w:vAlign w:val="bottom"/>
          </w:tcPr>
          <w:p>
            <w:pPr>
              <w:spacing w:after="0"/>
              <w:rPr>
                <w:sz w:val="1"/>
                <w:szCs w:val="1"/>
                <w:color w:val="auto"/>
              </w:rPr>
            </w:pPr>
          </w:p>
        </w:tc>
      </w:tr>
      <w:tr>
        <w:trPr>
          <w:trHeight w:val="258"/>
        </w:trPr>
        <w:tc>
          <w:tcPr>
            <w:tcW w:w="1200" w:type="dxa"/>
            <w:vAlign w:val="bottom"/>
            <w:vMerge w:val="restart"/>
          </w:tcPr>
          <w:p>
            <w:pPr>
              <w:jc w:val="center"/>
              <w:ind w:right="244"/>
              <w:spacing w:after="0"/>
              <w:rPr>
                <w:sz w:val="20"/>
                <w:szCs w:val="20"/>
                <w:color w:val="auto"/>
              </w:rPr>
            </w:pPr>
            <w:r>
              <w:rPr>
                <w:rFonts w:ascii="Arial" w:cs="Arial" w:eastAsia="Arial" w:hAnsi="Arial"/>
                <w:sz w:val="38"/>
                <w:szCs w:val="38"/>
                <w:color w:val="auto"/>
              </w:rPr>
              <w:t>13%</w:t>
            </w:r>
          </w:p>
        </w:tc>
        <w:tc>
          <w:tcPr>
            <w:tcW w:w="36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20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200" w:type="dxa"/>
            <w:vAlign w:val="bottom"/>
          </w:tcPr>
          <w:p>
            <w:pPr>
              <w:jc w:val="center"/>
              <w:ind w:right="224"/>
              <w:spacing w:after="0" w:line="348" w:lineRule="exact"/>
              <w:rPr>
                <w:sz w:val="20"/>
                <w:szCs w:val="20"/>
                <w:color w:val="auto"/>
              </w:rPr>
            </w:pPr>
            <w:r>
              <w:rPr>
                <w:rFonts w:ascii="Arial" w:cs="Arial" w:eastAsia="Arial" w:hAnsi="Arial"/>
                <w:sz w:val="38"/>
                <w:szCs w:val="38"/>
                <w:color w:val="auto"/>
              </w:rPr>
              <w:t>CC</w:t>
            </w: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00" w:type="dxa"/>
            <w:vAlign w:val="bottom"/>
          </w:tcPr>
          <w:p>
            <w:pPr>
              <w:jc w:val="center"/>
              <w:ind w:right="224"/>
              <w:spacing w:after="0" w:line="168" w:lineRule="exact"/>
              <w:rPr>
                <w:sz w:val="20"/>
                <w:szCs w:val="20"/>
                <w:color w:val="auto"/>
              </w:rPr>
            </w:pPr>
            <w:r>
              <w:rPr>
                <w:rFonts w:ascii="Arial" w:cs="Arial" w:eastAsia="Arial" w:hAnsi="Arial"/>
                <w:sz w:val="19"/>
                <w:szCs w:val="19"/>
                <w:color w:val="auto"/>
              </w:rPr>
              <w:t>62%</w:t>
            </w:r>
          </w:p>
        </w:tc>
        <w:tc>
          <w:tcPr>
            <w:tcW w:w="2500" w:type="dxa"/>
            <w:vAlign w:val="bottom"/>
            <w:vMerge w:val="restart"/>
          </w:tcPr>
          <w:p>
            <w:pPr>
              <w:ind w:left="400"/>
              <w:spacing w:after="0"/>
              <w:rPr>
                <w:sz w:val="20"/>
                <w:szCs w:val="20"/>
                <w:color w:val="auto"/>
              </w:rPr>
            </w:pPr>
            <w:r>
              <w:rPr>
                <w:rFonts w:ascii="Arial" w:cs="Arial" w:eastAsia="Arial" w:hAnsi="Arial"/>
                <w:sz w:val="42"/>
                <w:szCs w:val="42"/>
                <w:b w:val="1"/>
                <w:bCs w:val="1"/>
                <w:color w:val="auto"/>
              </w:rPr>
              <w:t xml:space="preserve">OUP  </w:t>
            </w:r>
            <w:r>
              <w:rPr>
                <w:rFonts w:ascii="Arial" w:cs="Arial" w:eastAsia="Arial" w:hAnsi="Arial"/>
                <w:sz w:val="44"/>
                <w:szCs w:val="44"/>
                <w:b w:val="1"/>
                <w:bCs w:val="1"/>
                <w:color w:val="C8504F"/>
              </w:rPr>
              <w:t>$4M</w:t>
            </w:r>
          </w:p>
        </w:tc>
        <w:tc>
          <w:tcPr>
            <w:tcW w:w="1140" w:type="dxa"/>
            <w:vAlign w:val="bottom"/>
            <w:vMerge w:val="restart"/>
          </w:tcPr>
          <w:p>
            <w:pPr>
              <w:jc w:val="right"/>
              <w:ind w:right="832"/>
              <w:spacing w:after="0"/>
              <w:rPr>
                <w:sz w:val="20"/>
                <w:szCs w:val="20"/>
                <w:color w:val="auto"/>
              </w:rPr>
            </w:pPr>
            <w:r>
              <w:rPr>
                <w:rFonts w:ascii="Arial" w:cs="Arial" w:eastAsia="Arial" w:hAnsi="Arial"/>
                <w:sz w:val="18"/>
                <w:szCs w:val="18"/>
                <w:b w:val="1"/>
                <w:bCs w:val="1"/>
                <w:color w:val="C8504F"/>
                <w:w w:val="90"/>
              </w:rPr>
              <w:t>(1)</w:t>
            </w: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1200" w:type="dxa"/>
            <w:vAlign w:val="bottom"/>
            <w:vMerge w:val="restart"/>
          </w:tcPr>
          <w:p>
            <w:pPr>
              <w:jc w:val="center"/>
              <w:ind w:right="264"/>
              <w:spacing w:after="0"/>
              <w:rPr>
                <w:sz w:val="20"/>
                <w:szCs w:val="20"/>
                <w:color w:val="auto"/>
              </w:rPr>
            </w:pPr>
            <w:r>
              <w:rPr>
                <w:rFonts w:ascii="Arial" w:cs="Arial" w:eastAsia="Arial" w:hAnsi="Arial"/>
                <w:sz w:val="38"/>
                <w:szCs w:val="38"/>
                <w:color w:val="auto"/>
                <w:w w:val="99"/>
              </w:rPr>
              <w:t>71%</w:t>
            </w:r>
          </w:p>
        </w:tc>
        <w:tc>
          <w:tcPr>
            <w:tcW w:w="25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20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200" w:type="dxa"/>
            <w:vAlign w:val="bottom"/>
          </w:tcPr>
          <w:p>
            <w:pPr>
              <w:jc w:val="center"/>
              <w:ind w:right="264"/>
              <w:spacing w:after="0" w:line="410" w:lineRule="exact"/>
              <w:rPr>
                <w:sz w:val="20"/>
                <w:szCs w:val="20"/>
                <w:color w:val="auto"/>
              </w:rPr>
            </w:pPr>
            <w:r>
              <w:rPr>
                <w:rFonts w:ascii="Arial" w:cs="Arial" w:eastAsia="Arial" w:hAnsi="Arial"/>
                <w:sz w:val="38"/>
                <w:szCs w:val="38"/>
                <w:color w:val="auto"/>
              </w:rPr>
              <w:t>CC</w:t>
            </w: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680"/>
        <w:spacing w:after="0"/>
        <w:tabs>
          <w:tab w:leader="none" w:pos="3540" w:val="left"/>
        </w:tabs>
        <w:rPr>
          <w:sz w:val="20"/>
          <w:szCs w:val="20"/>
          <w:color w:val="auto"/>
        </w:rPr>
      </w:pPr>
      <w:r>
        <w:rPr>
          <w:rFonts w:ascii="Arial" w:cs="Arial" w:eastAsia="Arial" w:hAnsi="Arial"/>
          <w:sz w:val="38"/>
          <w:szCs w:val="38"/>
          <w:color w:val="auto"/>
        </w:rPr>
        <w:t>110 bps</w:t>
      </w:r>
      <w:r>
        <w:rPr>
          <w:sz w:val="20"/>
          <w:szCs w:val="20"/>
          <w:color w:val="auto"/>
        </w:rPr>
        <w:tab/>
      </w: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C8504F"/>
        </w:rPr>
        <w:t>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 w:hanging="211"/>
        <w:spacing w:after="0"/>
        <w:tabs>
          <w:tab w:leader="none" w:pos="440" w:val="left"/>
        </w:tabs>
        <w:numPr>
          <w:ilvl w:val="0"/>
          <w:numId w:val="11"/>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reorganization charges of $1.5M recorded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975360</wp:posOffset>
            </wp:positionV>
            <wp:extent cx="72669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100"/>
          </w:cols>
          <w:pgMar w:left="1100" w:top="417" w:right="699" w:bottom="1440" w:gutter="0" w:footer="0" w:header="0"/>
        </w:sectPr>
      </w:pPr>
    </w:p>
    <w:bookmarkStart w:id="21" w:name="page22"/>
    <w:bookmarkEnd w:id="21"/>
    <w:p>
      <w:pPr>
        <w:jc w:val="right"/>
        <w:ind w:right="48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spacing w:after="0"/>
        <w:rPr>
          <w:sz w:val="20"/>
          <w:szCs w:val="20"/>
          <w:color w:val="auto"/>
        </w:rPr>
      </w:pPr>
      <w:r>
        <w:rPr>
          <w:rFonts w:ascii="Arial" w:cs="Arial" w:eastAsia="Arial" w:hAnsi="Arial"/>
          <w:sz w:val="48"/>
          <w:szCs w:val="48"/>
          <w:color w:val="6698C2"/>
        </w:rPr>
        <w:t>Asia Pacific - Q2 Revenue Growth YoY</w:t>
      </w:r>
    </w:p>
    <w:p>
      <w:pPr>
        <w:spacing w:after="0" w:line="238" w:lineRule="exact"/>
        <w:rPr>
          <w:sz w:val="20"/>
          <w:szCs w:val="20"/>
          <w:color w:val="auto"/>
        </w:rPr>
      </w:pPr>
    </w:p>
    <w:p>
      <w:pPr>
        <w:ind w:left="600" w:right="9560" w:hanging="299"/>
        <w:spacing w:after="0" w:line="311" w:lineRule="auto"/>
        <w:tabs>
          <w:tab w:leader="none" w:pos="587" w:val="left"/>
        </w:tabs>
        <w:numPr>
          <w:ilvl w:val="0"/>
          <w:numId w:val="12"/>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118" w:lineRule="exact"/>
        <w:rPr>
          <w:sz w:val="20"/>
          <w:szCs w:val="20"/>
          <w:color w:val="auto"/>
        </w:rPr>
      </w:pPr>
    </w:p>
    <w:p>
      <w:pPr>
        <w:ind w:left="840"/>
        <w:spacing w:after="0"/>
        <w:rPr>
          <w:sz w:val="20"/>
          <w:szCs w:val="20"/>
          <w:color w:val="auto"/>
        </w:rPr>
      </w:pPr>
      <w:r>
        <w:rPr>
          <w:rFonts w:ascii="Arial" w:cs="Arial" w:eastAsia="Arial" w:hAnsi="Arial"/>
          <w:sz w:val="29"/>
          <w:szCs w:val="29"/>
          <w:b w:val="1"/>
          <w:bCs w:val="1"/>
          <w:color w:val="D47C18"/>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D47C18"/>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D47C18"/>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tcPr>
          <w:p>
            <w:pPr>
              <w:jc w:val="center"/>
              <w:ind w:left="4048"/>
              <w:spacing w:after="0"/>
              <w:rPr>
                <w:sz w:val="20"/>
                <w:szCs w:val="20"/>
                <w:color w:val="auto"/>
              </w:rPr>
            </w:pPr>
            <w:r>
              <w:rPr>
                <w:rFonts w:ascii="Arial" w:cs="Arial" w:eastAsia="Arial" w:hAnsi="Arial"/>
                <w:sz w:val="22"/>
                <w:szCs w:val="22"/>
                <w:b w:val="1"/>
                <w:bCs w:val="1"/>
                <w:color w:val="auto"/>
              </w:rPr>
              <w:t>Revenue</w:t>
            </w:r>
          </w:p>
        </w:tc>
        <w:tc>
          <w:tcPr>
            <w:tcW w:w="5380" w:type="dxa"/>
            <w:vAlign w:val="bottom"/>
          </w:tcPr>
          <w:p>
            <w:pPr>
              <w:ind w:left="460"/>
              <w:spacing w:after="0"/>
              <w:rPr>
                <w:sz w:val="20"/>
                <w:szCs w:val="20"/>
                <w:color w:val="auto"/>
              </w:rPr>
            </w:pPr>
            <w:r>
              <w:rPr>
                <w:rFonts w:ascii="Arial" w:cs="Arial" w:eastAsia="Arial" w:hAnsi="Arial"/>
                <w:sz w:val="22"/>
                <w:szCs w:val="22"/>
                <w:b w:val="1"/>
                <w:bCs w:val="1"/>
                <w:color w:val="auto"/>
              </w:rPr>
              <w:t>Revenue Growth - CC</w:t>
            </w:r>
          </w:p>
        </w:tc>
      </w:tr>
      <w:tr>
        <w:trPr>
          <w:trHeight w:val="297"/>
        </w:trPr>
        <w:tc>
          <w:tcPr>
            <w:tcW w:w="6060" w:type="dxa"/>
            <w:vAlign w:val="bottom"/>
          </w:tcPr>
          <w:p>
            <w:pPr>
              <w:jc w:val="center"/>
              <w:ind w:left="4048"/>
              <w:spacing w:after="0"/>
              <w:rPr>
                <w:sz w:val="20"/>
                <w:szCs w:val="20"/>
                <w:color w:val="auto"/>
              </w:rPr>
            </w:pPr>
            <w:r>
              <w:rPr>
                <w:rFonts w:ascii="Arial" w:cs="Arial" w:eastAsia="Arial" w:hAnsi="Arial"/>
                <w:sz w:val="22"/>
                <w:szCs w:val="22"/>
                <w:b w:val="1"/>
                <w:bCs w:val="1"/>
                <w:color w:val="auto"/>
              </w:rPr>
              <w:t>Growth</w:t>
            </w:r>
          </w:p>
        </w:tc>
        <w:tc>
          <w:tcPr>
            <w:tcW w:w="5380" w:type="dxa"/>
            <w:vAlign w:val="bottom"/>
          </w:tcPr>
          <w:p>
            <w:pPr>
              <w:spacing w:after="0"/>
              <w:rPr>
                <w:sz w:val="24"/>
                <w:szCs w:val="24"/>
                <w:color w:val="auto"/>
              </w:rPr>
            </w:pPr>
          </w:p>
        </w:tc>
      </w:tr>
      <w:tr>
        <w:trPr>
          <w:trHeight w:val="1143"/>
        </w:trPr>
        <w:tc>
          <w:tcPr>
            <w:tcW w:w="606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17" w:right="219" w:bottom="1440" w:gutter="0" w:footer="0" w:header="0"/>
        </w:sectPr>
      </w:pPr>
    </w:p>
    <w:bookmarkStart w:id="22" w:name="page23"/>
    <w:bookmarkEnd w:id="22"/>
    <w:p>
      <w:pPr>
        <w:ind w:left="1070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80"/>
        <w:spacing w:after="0"/>
        <w:rPr>
          <w:sz w:val="20"/>
          <w:szCs w:val="20"/>
          <w:color w:val="auto"/>
        </w:rPr>
      </w:pPr>
      <w:r>
        <w:rPr>
          <w:rFonts w:ascii="Arial" w:cs="Arial" w:eastAsia="Arial" w:hAnsi="Arial"/>
          <w:sz w:val="48"/>
          <w:szCs w:val="48"/>
          <w:color w:val="6698C2"/>
        </w:rPr>
        <w:t>Right Management Segment</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32"/>
          <w:szCs w:val="32"/>
          <w:color w:val="6698C2"/>
        </w:rPr>
        <w:t>(4% of Revenue)</w:t>
      </w:r>
    </w:p>
    <w:p>
      <w:pPr>
        <w:spacing w:after="0" w:line="262" w:lineRule="exact"/>
        <w:rPr>
          <w:sz w:val="20"/>
          <w:szCs w:val="20"/>
          <w:color w:val="auto"/>
        </w:rPr>
      </w:pPr>
    </w:p>
    <w:p>
      <w:pPr>
        <w:ind w:left="4280"/>
        <w:spacing w:after="0"/>
        <w:rPr>
          <w:sz w:val="20"/>
          <w:szCs w:val="20"/>
          <w:color w:val="auto"/>
        </w:rPr>
      </w:pPr>
      <w:r>
        <w:rPr>
          <w:rFonts w:ascii="Arial" w:cs="Arial" w:eastAsia="Arial" w:hAnsi="Arial"/>
          <w:sz w:val="42"/>
          <w:szCs w:val="42"/>
          <w:b w:val="1"/>
          <w:bCs w:val="1"/>
          <w:color w:val="auto"/>
        </w:rPr>
        <w:t>Q2 Financial Highlights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464"/>
        </w:trPr>
        <w:tc>
          <w:tcPr>
            <w:tcW w:w="4220" w:type="dxa"/>
            <w:vAlign w:val="bottom"/>
          </w:tcPr>
          <w:p>
            <w:pPr>
              <w:ind w:left="3060"/>
              <w:spacing w:after="0"/>
              <w:rPr>
                <w:sz w:val="20"/>
                <w:szCs w:val="20"/>
                <w:color w:val="auto"/>
              </w:rPr>
            </w:pPr>
            <w:r>
              <w:rPr>
                <w:rFonts w:ascii="Arial" w:cs="Arial" w:eastAsia="Arial" w:hAnsi="Arial"/>
                <w:sz w:val="38"/>
                <w:szCs w:val="38"/>
                <w:color w:val="auto"/>
              </w:rPr>
              <w:t>36%</w:t>
            </w:r>
          </w:p>
        </w:tc>
        <w:tc>
          <w:tcPr>
            <w:tcW w:w="7220" w:type="dxa"/>
            <w:vAlign w:val="bottom"/>
            <w:vMerge w:val="restart"/>
          </w:tcPr>
          <w:p>
            <w:pPr>
              <w:ind w:left="20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$158M</w:t>
            </w:r>
          </w:p>
        </w:tc>
        <w:tc>
          <w:tcPr>
            <w:tcW w:w="0" w:type="dxa"/>
            <w:vAlign w:val="bottom"/>
          </w:tcPr>
          <w:p>
            <w:pPr>
              <w:spacing w:after="0"/>
              <w:rPr>
                <w:sz w:val="1"/>
                <w:szCs w:val="1"/>
                <w:color w:val="auto"/>
              </w:rPr>
            </w:pPr>
          </w:p>
        </w:tc>
      </w:tr>
      <w:tr>
        <w:trPr>
          <w:trHeight w:val="246"/>
        </w:trPr>
        <w:tc>
          <w:tcPr>
            <w:tcW w:w="4220" w:type="dxa"/>
            <w:vAlign w:val="bottom"/>
            <w:vMerge w:val="restart"/>
          </w:tcPr>
          <w:p>
            <w:pPr>
              <w:jc w:val="right"/>
              <w:ind w:right="328"/>
              <w:spacing w:after="0"/>
              <w:rPr>
                <w:sz w:val="20"/>
                <w:szCs w:val="20"/>
                <w:color w:val="auto"/>
              </w:rPr>
            </w:pPr>
            <w:r>
              <w:rPr>
                <w:rFonts w:ascii="Arial" w:cs="Arial" w:eastAsia="Arial" w:hAnsi="Arial"/>
                <w:sz w:val="38"/>
                <w:szCs w:val="38"/>
                <w:color w:val="auto"/>
              </w:rPr>
              <w:t>46%</w:t>
            </w:r>
          </w:p>
        </w:tc>
        <w:tc>
          <w:tcPr>
            <w:tcW w:w="7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20" w:type="dxa"/>
            <w:vAlign w:val="bottom"/>
            <w:vMerge w:val="continue"/>
          </w:tcPr>
          <w:p>
            <w:pPr>
              <w:spacing w:after="0"/>
              <w:rPr>
                <w:sz w:val="20"/>
                <w:szCs w:val="20"/>
                <w:color w:val="auto"/>
              </w:rPr>
            </w:pPr>
          </w:p>
        </w:tc>
        <w:tc>
          <w:tcPr>
            <w:tcW w:w="7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4220" w:type="dxa"/>
            <w:vAlign w:val="bottom"/>
          </w:tcPr>
          <w:p>
            <w:pPr>
              <w:ind w:left="3040"/>
              <w:spacing w:after="0" w:line="348" w:lineRule="exact"/>
              <w:rPr>
                <w:sz w:val="20"/>
                <w:szCs w:val="20"/>
                <w:color w:val="auto"/>
              </w:rPr>
            </w:pPr>
            <w:r>
              <w:rPr>
                <w:rFonts w:ascii="Arial" w:cs="Arial" w:eastAsia="Arial" w:hAnsi="Arial"/>
                <w:sz w:val="38"/>
                <w:szCs w:val="38"/>
                <w:color w:val="auto"/>
              </w:rPr>
              <w:t>CC</w:t>
            </w:r>
          </w:p>
        </w:tc>
        <w:tc>
          <w:tcPr>
            <w:tcW w:w="7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220" w:type="dxa"/>
            <w:vAlign w:val="bottom"/>
          </w:tcPr>
          <w:p>
            <w:pPr>
              <w:jc w:val="center"/>
              <w:ind w:left="2088"/>
              <w:spacing w:after="0" w:line="348" w:lineRule="exact"/>
              <w:rPr>
                <w:sz w:val="20"/>
                <w:szCs w:val="20"/>
                <w:color w:val="auto"/>
              </w:rPr>
            </w:pPr>
            <w:r>
              <w:rPr>
                <w:rFonts w:ascii="Arial" w:cs="Arial" w:eastAsia="Arial" w:hAnsi="Arial"/>
                <w:sz w:val="38"/>
                <w:szCs w:val="38"/>
                <w:color w:val="auto"/>
              </w:rPr>
              <w:t>217%</w:t>
            </w:r>
          </w:p>
        </w:tc>
        <w:tc>
          <w:tcPr>
            <w:tcW w:w="7220" w:type="dxa"/>
            <w:vAlign w:val="bottom"/>
            <w:vMerge w:val="restart"/>
          </w:tcPr>
          <w:p>
            <w:pPr>
              <w:ind w:left="220"/>
              <w:spacing w:after="0"/>
              <w:rPr>
                <w:sz w:val="20"/>
                <w:szCs w:val="20"/>
                <w:color w:val="auto"/>
              </w:rPr>
            </w:pPr>
            <w:r>
              <w:rPr>
                <w:rFonts w:ascii="Arial" w:cs="Arial" w:eastAsia="Arial" w:hAnsi="Arial"/>
                <w:sz w:val="42"/>
                <w:szCs w:val="42"/>
                <w:b w:val="1"/>
                <w:bCs w:val="1"/>
                <w:color w:val="auto"/>
              </w:rPr>
              <w:t xml:space="preserve">OUP </w:t>
            </w:r>
            <w:r>
              <w:rPr>
                <w:rFonts w:ascii="Arial" w:cs="Arial" w:eastAsia="Arial" w:hAnsi="Arial"/>
                <w:sz w:val="44"/>
                <w:szCs w:val="44"/>
                <w:b w:val="1"/>
                <w:bCs w:val="1"/>
                <w:color w:val="5F81AA"/>
              </w:rPr>
              <w:t>$42M</w:t>
            </w:r>
          </w:p>
        </w:tc>
        <w:tc>
          <w:tcPr>
            <w:tcW w:w="0" w:type="dxa"/>
            <w:vAlign w:val="bottom"/>
          </w:tcPr>
          <w:p>
            <w:pPr>
              <w:spacing w:after="0"/>
              <w:rPr>
                <w:sz w:val="1"/>
                <w:szCs w:val="1"/>
                <w:color w:val="auto"/>
              </w:rPr>
            </w:pPr>
          </w:p>
        </w:tc>
      </w:tr>
      <w:tr>
        <w:trPr>
          <w:trHeight w:val="464"/>
        </w:trPr>
        <w:tc>
          <w:tcPr>
            <w:tcW w:w="4220" w:type="dxa"/>
            <w:vAlign w:val="bottom"/>
          </w:tcPr>
          <w:p>
            <w:pPr>
              <w:jc w:val="center"/>
              <w:ind w:left="2008"/>
              <w:spacing w:after="0"/>
              <w:rPr>
                <w:sz w:val="20"/>
                <w:szCs w:val="20"/>
                <w:color w:val="auto"/>
              </w:rPr>
            </w:pPr>
            <w:r>
              <w:rPr>
                <w:rFonts w:ascii="Arial" w:cs="Arial" w:eastAsia="Arial" w:hAnsi="Arial"/>
                <w:sz w:val="38"/>
                <w:szCs w:val="38"/>
                <w:color w:val="auto"/>
              </w:rPr>
              <w:t>232% CC</w:t>
            </w:r>
          </w:p>
        </w:tc>
        <w:tc>
          <w:tcPr>
            <w:tcW w:w="7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06"/>
        </w:trPr>
        <w:tc>
          <w:tcPr>
            <w:tcW w:w="4220" w:type="dxa"/>
            <w:vAlign w:val="bottom"/>
          </w:tcPr>
          <w:p>
            <w:pPr>
              <w:jc w:val="center"/>
              <w:ind w:left="1908"/>
              <w:spacing w:after="0"/>
              <w:rPr>
                <w:sz w:val="20"/>
                <w:szCs w:val="20"/>
                <w:color w:val="auto"/>
              </w:rPr>
            </w:pPr>
            <w:r>
              <w:rPr>
                <w:rFonts w:ascii="Arial" w:cs="Arial" w:eastAsia="Arial" w:hAnsi="Arial"/>
                <w:sz w:val="38"/>
                <w:szCs w:val="38"/>
                <w:color w:val="auto"/>
                <w:w w:val="99"/>
              </w:rPr>
              <w:t>1530</w:t>
            </w:r>
          </w:p>
        </w:tc>
        <w:tc>
          <w:tcPr>
            <w:tcW w:w="7220" w:type="dxa"/>
            <w:vAlign w:val="bottom"/>
          </w:tcPr>
          <w:p>
            <w:pPr>
              <w:ind w:left="200"/>
              <w:spacing w:after="0"/>
              <w:rPr>
                <w:sz w:val="20"/>
                <w:szCs w:val="20"/>
                <w:color w:val="auto"/>
              </w:rPr>
            </w:pP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26.8%</w:t>
            </w:r>
          </w:p>
        </w:tc>
        <w:tc>
          <w:tcPr>
            <w:tcW w:w="0" w:type="dxa"/>
            <w:vAlign w:val="bottom"/>
          </w:tcPr>
          <w:p>
            <w:pPr>
              <w:spacing w:after="0"/>
              <w:rPr>
                <w:sz w:val="1"/>
                <w:szCs w:val="1"/>
                <w:color w:val="auto"/>
              </w:rPr>
            </w:pPr>
          </w:p>
        </w:tc>
      </w:tr>
      <w:tr>
        <w:trPr>
          <w:trHeight w:val="464"/>
        </w:trPr>
        <w:tc>
          <w:tcPr>
            <w:tcW w:w="4220" w:type="dxa"/>
            <w:vAlign w:val="bottom"/>
          </w:tcPr>
          <w:p>
            <w:pPr>
              <w:jc w:val="center"/>
              <w:ind w:left="1928"/>
              <w:spacing w:after="0"/>
              <w:rPr>
                <w:sz w:val="20"/>
                <w:szCs w:val="20"/>
                <w:color w:val="auto"/>
              </w:rPr>
            </w:pPr>
            <w:r>
              <w:rPr>
                <w:rFonts w:ascii="Arial" w:cs="Arial" w:eastAsia="Arial" w:hAnsi="Arial"/>
                <w:sz w:val="38"/>
                <w:szCs w:val="38"/>
                <w:color w:val="auto"/>
              </w:rPr>
              <w:t>bps</w:t>
            </w:r>
          </w:p>
        </w:tc>
        <w:tc>
          <w:tcPr>
            <w:tcW w:w="7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5"/>
        </w:trPr>
        <w:tc>
          <w:tcPr>
            <w:tcW w:w="4220" w:type="dxa"/>
            <w:vAlign w:val="bottom"/>
            <w:tcBorders>
              <w:bottom w:val="single" w:sz="8" w:color="808080"/>
            </w:tcBorders>
          </w:tcPr>
          <w:p>
            <w:pPr>
              <w:spacing w:after="0"/>
              <w:rPr>
                <w:sz w:val="24"/>
                <w:szCs w:val="24"/>
                <w:color w:val="auto"/>
              </w:rPr>
            </w:pPr>
          </w:p>
        </w:tc>
        <w:tc>
          <w:tcPr>
            <w:tcW w:w="7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17" w:right="21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13</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48"/>
          <w:szCs w:val="48"/>
          <w:color w:val="6698C2"/>
        </w:rPr>
        <w:t>Jefferson Wells Segment</w:t>
      </w:r>
    </w:p>
    <w:p>
      <w:pPr>
        <w:spacing w:after="0" w:line="3" w:lineRule="exact"/>
        <w:rPr>
          <w:sz w:val="20"/>
          <w:szCs w:val="20"/>
          <w:color w:val="auto"/>
        </w:rPr>
      </w:pPr>
    </w:p>
    <w:p>
      <w:pPr>
        <w:spacing w:after="0"/>
        <w:rPr>
          <w:sz w:val="20"/>
          <w:szCs w:val="20"/>
          <w:color w:val="auto"/>
        </w:rPr>
      </w:pPr>
      <w:r>
        <w:rPr>
          <w:rFonts w:ascii="Arial" w:cs="Arial" w:eastAsia="Arial" w:hAnsi="Arial"/>
          <w:sz w:val="32"/>
          <w:szCs w:val="32"/>
          <w:color w:val="6698C2"/>
        </w:rPr>
        <w:t>(1% of Revenue)</w:t>
      </w:r>
    </w:p>
    <w:p>
      <w:pPr>
        <w:spacing w:after="0" w:line="202" w:lineRule="exact"/>
        <w:rPr>
          <w:sz w:val="20"/>
          <w:szCs w:val="20"/>
          <w:color w:val="auto"/>
        </w:rPr>
      </w:pPr>
    </w:p>
    <w:tbl>
      <w:tblPr>
        <w:tblLayout w:type="fixed"/>
        <w:tblInd w:w="1820" w:type="dxa"/>
        <w:tblCellMar>
          <w:top w:w="0" w:type="dxa"/>
          <w:left w:w="0" w:type="dxa"/>
          <w:bottom w:w="0" w:type="dxa"/>
          <w:right w:w="0" w:type="dxa"/>
        </w:tblCellMar>
      </w:tblPr>
      <w:tr>
        <w:trPr>
          <w:trHeight w:val="553"/>
        </w:trPr>
        <w:tc>
          <w:tcPr>
            <w:tcW w:w="1160" w:type="dxa"/>
            <w:vAlign w:val="bottom"/>
          </w:tcPr>
          <w:p>
            <w:pPr>
              <w:spacing w:after="0"/>
              <w:rPr>
                <w:sz w:val="24"/>
                <w:szCs w:val="24"/>
                <w:color w:val="auto"/>
              </w:rPr>
            </w:pPr>
          </w:p>
        </w:tc>
        <w:tc>
          <w:tcPr>
            <w:tcW w:w="4940" w:type="dxa"/>
            <w:vAlign w:val="bottom"/>
          </w:tcPr>
          <w:p>
            <w:pPr>
              <w:ind w:left="300"/>
              <w:spacing w:after="0"/>
              <w:rPr>
                <w:sz w:val="20"/>
                <w:szCs w:val="20"/>
                <w:color w:val="auto"/>
              </w:rPr>
            </w:pPr>
            <w:r>
              <w:rPr>
                <w:rFonts w:ascii="Arial" w:cs="Arial" w:eastAsia="Arial" w:hAnsi="Arial"/>
                <w:sz w:val="42"/>
                <w:szCs w:val="42"/>
                <w:b w:val="1"/>
                <w:bCs w:val="1"/>
                <w:color w:val="auto"/>
                <w:w w:val="98"/>
              </w:rPr>
              <w:t>Q2 Financial Highlights</w:t>
            </w:r>
          </w:p>
        </w:tc>
      </w:tr>
      <w:tr>
        <w:trPr>
          <w:trHeight w:val="959"/>
        </w:trPr>
        <w:tc>
          <w:tcPr>
            <w:tcW w:w="1160" w:type="dxa"/>
            <w:vAlign w:val="bottom"/>
          </w:tcPr>
          <w:p>
            <w:pPr>
              <w:jc w:val="center"/>
              <w:ind w:right="8"/>
              <w:spacing w:after="0"/>
              <w:rPr>
                <w:sz w:val="20"/>
                <w:szCs w:val="20"/>
                <w:color w:val="auto"/>
              </w:rPr>
            </w:pPr>
            <w:r>
              <w:rPr>
                <w:rFonts w:ascii="Arial" w:cs="Arial" w:eastAsia="Arial" w:hAnsi="Arial"/>
                <w:sz w:val="38"/>
                <w:szCs w:val="38"/>
                <w:color w:val="auto"/>
                <w:w w:val="99"/>
              </w:rPr>
              <w:t>36%</w:t>
            </w:r>
          </w:p>
        </w:tc>
        <w:tc>
          <w:tcPr>
            <w:tcW w:w="4940" w:type="dxa"/>
            <w:vAlign w:val="bottom"/>
          </w:tcPr>
          <w:p>
            <w:pPr>
              <w:ind w:left="44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6698C2"/>
              </w:rPr>
              <w:t>$48M</w:t>
            </w:r>
          </w:p>
        </w:tc>
      </w:tr>
      <w:tr>
        <w:trPr>
          <w:trHeight w:val="1189"/>
        </w:trPr>
        <w:tc>
          <w:tcPr>
            <w:tcW w:w="1160" w:type="dxa"/>
            <w:vAlign w:val="bottom"/>
          </w:tcPr>
          <w:p>
            <w:pPr>
              <w:ind w:left="200"/>
              <w:spacing w:after="0"/>
              <w:rPr>
                <w:sz w:val="20"/>
                <w:szCs w:val="20"/>
                <w:color w:val="auto"/>
              </w:rPr>
            </w:pPr>
            <w:r>
              <w:rPr>
                <w:rFonts w:ascii="Arial" w:cs="Arial" w:eastAsia="Arial" w:hAnsi="Arial"/>
                <w:sz w:val="38"/>
                <w:szCs w:val="38"/>
                <w:color w:val="auto"/>
              </w:rPr>
              <w:t>N/A</w:t>
            </w:r>
          </w:p>
        </w:tc>
        <w:tc>
          <w:tcPr>
            <w:tcW w:w="4940" w:type="dxa"/>
            <w:vAlign w:val="bottom"/>
          </w:tcPr>
          <w:p>
            <w:pPr>
              <w:ind w:left="460"/>
              <w:spacing w:after="0"/>
              <w:rPr>
                <w:sz w:val="20"/>
                <w:szCs w:val="20"/>
                <w:color w:val="auto"/>
              </w:rPr>
            </w:pPr>
            <w:r>
              <w:rPr>
                <w:rFonts w:ascii="Arial" w:cs="Arial" w:eastAsia="Arial" w:hAnsi="Arial"/>
                <w:sz w:val="42"/>
                <w:szCs w:val="42"/>
                <w:b w:val="1"/>
                <w:bCs w:val="1"/>
                <w:color w:val="auto"/>
              </w:rPr>
              <w:t xml:space="preserve">OUP </w:t>
            </w:r>
            <w:r>
              <w:rPr>
                <w:rFonts w:ascii="Arial" w:cs="Arial" w:eastAsia="Arial" w:hAnsi="Arial"/>
                <w:sz w:val="44"/>
                <w:szCs w:val="44"/>
                <w:b w:val="1"/>
                <w:bCs w:val="1"/>
                <w:color w:val="6698C2"/>
              </w:rPr>
              <w:t>$(10M)</w:t>
            </w:r>
            <w:r>
              <w:rPr>
                <w:rFonts w:ascii="Arial" w:cs="Arial" w:eastAsia="Arial" w:hAnsi="Arial"/>
                <w:sz w:val="35"/>
                <w:szCs w:val="35"/>
                <w:b w:val="1"/>
                <w:bCs w:val="1"/>
                <w:color w:val="6698C2"/>
                <w:vertAlign w:val="superscript"/>
              </w:rPr>
              <w:t>(1)</w:t>
            </w:r>
          </w:p>
        </w:tc>
      </w:tr>
      <w:tr>
        <w:trPr>
          <w:trHeight w:val="1062"/>
        </w:trPr>
        <w:tc>
          <w:tcPr>
            <w:tcW w:w="1160" w:type="dxa"/>
            <w:vAlign w:val="bottom"/>
          </w:tcPr>
          <w:p>
            <w:pPr>
              <w:jc w:val="center"/>
              <w:ind w:right="108"/>
              <w:spacing w:after="0"/>
              <w:rPr>
                <w:sz w:val="20"/>
                <w:szCs w:val="20"/>
                <w:color w:val="auto"/>
              </w:rPr>
            </w:pPr>
            <w:r>
              <w:rPr>
                <w:rFonts w:ascii="Arial" w:cs="Arial" w:eastAsia="Arial" w:hAnsi="Arial"/>
                <w:sz w:val="38"/>
                <w:szCs w:val="38"/>
                <w:color w:val="auto"/>
              </w:rPr>
              <w:t>1900</w:t>
            </w:r>
          </w:p>
        </w:tc>
        <w:tc>
          <w:tcPr>
            <w:tcW w:w="4940" w:type="dxa"/>
            <w:vAlign w:val="bottom"/>
          </w:tcPr>
          <w:p>
            <w:pPr>
              <w:ind w:left="440"/>
              <w:spacing w:after="0"/>
              <w:rPr>
                <w:sz w:val="20"/>
                <w:szCs w:val="20"/>
                <w:color w:val="auto"/>
              </w:rPr>
            </w:pP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6698C2"/>
              </w:rPr>
              <w:t>-</w:t>
            </w:r>
          </w:p>
        </w:tc>
      </w:tr>
      <w:tr>
        <w:trPr>
          <w:trHeight w:val="596"/>
        </w:trPr>
        <w:tc>
          <w:tcPr>
            <w:tcW w:w="1160" w:type="dxa"/>
            <w:vAlign w:val="bottom"/>
          </w:tcPr>
          <w:p>
            <w:pPr>
              <w:jc w:val="center"/>
              <w:ind w:right="108"/>
              <w:spacing w:after="0"/>
              <w:rPr>
                <w:sz w:val="20"/>
                <w:szCs w:val="20"/>
                <w:color w:val="auto"/>
              </w:rPr>
            </w:pPr>
            <w:r>
              <w:rPr>
                <w:rFonts w:ascii="Arial" w:cs="Arial" w:eastAsia="Arial" w:hAnsi="Arial"/>
                <w:sz w:val="38"/>
                <w:szCs w:val="38"/>
                <w:color w:val="auto"/>
              </w:rPr>
              <w:t>bps</w:t>
            </w:r>
          </w:p>
        </w:tc>
        <w:tc>
          <w:tcPr>
            <w:tcW w:w="4940" w:type="dxa"/>
            <w:vAlign w:val="bottom"/>
          </w:tcPr>
          <w:p>
            <w:pPr>
              <w:jc w:val="right"/>
              <w:ind w:right="469"/>
              <w:spacing w:after="0"/>
              <w:rPr>
                <w:sz w:val="20"/>
                <w:szCs w:val="20"/>
                <w:color w:val="auto"/>
              </w:rPr>
            </w:pPr>
            <w:r>
              <w:rPr>
                <w:rFonts w:ascii="Arial" w:cs="Arial" w:eastAsia="Arial" w:hAnsi="Arial"/>
                <w:sz w:val="45"/>
                <w:szCs w:val="45"/>
                <w:b w:val="1"/>
                <w:bCs w:val="1"/>
                <w:color w:val="6698C2"/>
              </w:rPr>
              <w:t>21.2%</w:t>
            </w:r>
          </w:p>
        </w:tc>
      </w:tr>
    </w:tbl>
    <w:p>
      <w:pPr>
        <w:spacing w:after="0" w:line="200" w:lineRule="exact"/>
        <w:rPr>
          <w:sz w:val="20"/>
          <w:szCs w:val="20"/>
          <w:color w:val="auto"/>
        </w:rPr>
      </w:pPr>
    </w:p>
    <w:p>
      <w:pPr>
        <w:spacing w:after="0" w:line="301" w:lineRule="exact"/>
        <w:rPr>
          <w:sz w:val="20"/>
          <w:szCs w:val="20"/>
          <w:color w:val="auto"/>
        </w:rPr>
      </w:pPr>
    </w:p>
    <w:p>
      <w:pPr>
        <w:ind w:left="300" w:hanging="211"/>
        <w:spacing w:after="0"/>
        <w:tabs>
          <w:tab w:leader="none" w:pos="300" w:val="left"/>
        </w:tabs>
        <w:numPr>
          <w:ilvl w:val="0"/>
          <w:numId w:val="13"/>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reorganization charges of $5.9M recorded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975360</wp:posOffset>
            </wp:positionV>
            <wp:extent cx="72669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960"/>
          </w:cols>
          <w:pgMar w:left="1240" w:top="417" w:right="69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48"/>
          <w:szCs w:val="48"/>
          <w:color w:val="6698C2"/>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4340860</wp:posOffset>
            </wp:positionV>
            <wp:extent cx="726694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100"/>
          </w:cols>
          <w:pgMar w:left="1100" w:top="417" w:right="69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48"/>
          <w:szCs w:val="48"/>
          <w:color w:val="6698C2"/>
        </w:rPr>
        <w:t>Results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32"/>
          <w:szCs w:val="32"/>
          <w:color w:val="6698C2"/>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4349115</wp:posOffset>
            </wp:positionV>
            <wp:extent cx="72669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160"/>
          </w:cols>
          <w:pgMar w:left="1040" w:top="417" w:right="69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48"/>
          <w:szCs w:val="48"/>
          <w:color w:val="6698C2"/>
        </w:rPr>
        <w:t>Cash Flow Summary - First Half</w:t>
      </w:r>
    </w:p>
    <w:p>
      <w:pPr>
        <w:sectPr>
          <w:pgSz w:w="11900" w:h="16838" w:orient="portrait"/>
          <w:cols w:equalWidth="0" w:num="1">
            <w:col w:w="10200"/>
          </w:cols>
          <w:pgMar w:left="1000" w:top="417" w:right="699" w:bottom="1440" w:gutter="0" w:footer="0" w:header="0"/>
        </w:sectPr>
      </w:pPr>
    </w:p>
    <w:p>
      <w:pPr>
        <w:spacing w:after="0" w:line="333" w:lineRule="exact"/>
        <w:rPr>
          <w:sz w:val="20"/>
          <w:szCs w:val="20"/>
          <w:color w:val="auto"/>
        </w:rPr>
      </w:pPr>
    </w:p>
    <w:p>
      <w:pPr>
        <w:ind w:left="80"/>
        <w:spacing w:after="0"/>
        <w:rPr>
          <w:sz w:val="20"/>
          <w:szCs w:val="20"/>
          <w:color w:val="auto"/>
        </w:rPr>
      </w:pPr>
      <w:r>
        <w:rPr>
          <w:rFonts w:ascii="Arial" w:cs="Arial" w:eastAsia="Arial" w:hAnsi="Arial"/>
          <w:sz w:val="29"/>
          <w:szCs w:val="29"/>
          <w:color w:val="D47C18"/>
        </w:rPr>
        <w:t>($ in millions)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auto"/>
        </w:rPr>
        <w:t>Cash from Operations</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32"/>
          <w:szCs w:val="32"/>
          <w:b w:val="1"/>
          <w:bCs w:val="1"/>
          <w:color w:val="auto"/>
        </w:rPr>
        <w:t>Capital</w:t>
      </w:r>
    </w:p>
    <w:p>
      <w:pPr>
        <w:ind w:left="480"/>
        <w:spacing w:after="0" w:line="236" w:lineRule="auto"/>
        <w:rPr>
          <w:sz w:val="20"/>
          <w:szCs w:val="20"/>
          <w:color w:val="auto"/>
        </w:rPr>
      </w:pPr>
      <w:r>
        <w:rPr>
          <w:rFonts w:ascii="Arial" w:cs="Arial" w:eastAsia="Arial" w:hAnsi="Arial"/>
          <w:sz w:val="30"/>
          <w:szCs w:val="30"/>
          <w:b w:val="1"/>
          <w:bCs w:val="1"/>
          <w:color w:val="auto"/>
        </w:rPr>
        <w:t>Free</w:t>
      </w:r>
      <w:r>
        <w:rPr>
          <w:rFonts w:ascii="Arial" w:cs="Arial" w:eastAsia="Arial" w:hAnsi="Arial"/>
          <w:sz w:val="59"/>
          <w:szCs w:val="59"/>
          <w:b w:val="1"/>
          <w:bCs w:val="1"/>
          <w:color w:val="auto"/>
          <w:vertAlign w:val="superscript"/>
        </w:rPr>
        <w:t>Expenditures</w:t>
      </w:r>
      <w:r>
        <w:rPr>
          <w:rFonts w:ascii="Arial" w:cs="Arial" w:eastAsia="Arial" w:hAnsi="Arial"/>
          <w:sz w:val="30"/>
          <w:szCs w:val="30"/>
          <w:b w:val="1"/>
          <w:bCs w:val="1"/>
          <w:color w:val="auto"/>
        </w:rPr>
        <w:t>CashFlow</w:t>
      </w:r>
    </w:p>
    <w:p>
      <w:pPr>
        <w:spacing w:after="0" w:line="2"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auto"/>
        </w:rPr>
        <w:t>Share Repurchases</w:t>
      </w:r>
    </w:p>
    <w:p>
      <w:pPr>
        <w:spacing w:after="0" w:line="109" w:lineRule="exact"/>
        <w:rPr>
          <w:sz w:val="20"/>
          <w:szCs w:val="20"/>
          <w:color w:val="auto"/>
        </w:rPr>
      </w:pPr>
    </w:p>
    <w:p>
      <w:pPr>
        <w:jc w:val="center"/>
        <w:ind w:right="3100"/>
        <w:spacing w:after="0"/>
        <w:rPr>
          <w:sz w:val="20"/>
          <w:szCs w:val="20"/>
          <w:color w:val="auto"/>
        </w:rPr>
      </w:pPr>
      <w:r>
        <w:rPr>
          <w:rFonts w:ascii="Arial" w:cs="Arial" w:eastAsia="Arial" w:hAnsi="Arial"/>
          <w:sz w:val="32"/>
          <w:szCs w:val="32"/>
          <w:b w:val="1"/>
          <w:bCs w:val="1"/>
          <w:color w:val="auto"/>
        </w:rPr>
        <w:t>Change in</w:t>
      </w:r>
    </w:p>
    <w:p>
      <w:pPr>
        <w:jc w:val="center"/>
        <w:ind w:right="3100"/>
        <w:spacing w:after="0" w:line="183" w:lineRule="auto"/>
        <w:rPr>
          <w:sz w:val="20"/>
          <w:szCs w:val="20"/>
          <w:color w:val="auto"/>
        </w:rPr>
      </w:pPr>
      <w:r>
        <w:rPr>
          <w:rFonts w:ascii="Arial" w:cs="Arial" w:eastAsia="Arial" w:hAnsi="Arial"/>
          <w:sz w:val="16"/>
          <w:szCs w:val="16"/>
          <w:b w:val="1"/>
          <w:bCs w:val="1"/>
          <w:color w:val="auto"/>
        </w:rPr>
        <w:t>Debt</w:t>
      </w:r>
    </w:p>
    <w:p>
      <w:pPr>
        <w:ind w:left="40" w:right="2160"/>
        <w:spacing w:after="0" w:line="382" w:lineRule="auto"/>
        <w:rPr>
          <w:sz w:val="20"/>
          <w:szCs w:val="20"/>
          <w:color w:val="auto"/>
        </w:rPr>
      </w:pPr>
      <w:r>
        <w:rPr>
          <w:rFonts w:ascii="Arial" w:cs="Arial" w:eastAsia="Arial" w:hAnsi="Arial"/>
          <w:sz w:val="21"/>
          <w:szCs w:val="21"/>
          <w:b w:val="1"/>
          <w:bCs w:val="1"/>
          <w:color w:val="auto"/>
        </w:rPr>
        <w:t>Acquisitions of Businesses,netofcash acquired</w:t>
      </w:r>
    </w:p>
    <w:p>
      <w:pPr>
        <w:spacing w:after="0" w:line="2" w:lineRule="exact"/>
        <w:rPr>
          <w:sz w:val="20"/>
          <w:szCs w:val="20"/>
          <w:color w:val="auto"/>
        </w:rPr>
      </w:pPr>
    </w:p>
    <w:p>
      <w:pPr>
        <w:ind w:right="380"/>
        <w:spacing w:after="0" w:line="339" w:lineRule="auto"/>
        <w:rPr>
          <w:sz w:val="20"/>
          <w:szCs w:val="20"/>
          <w:color w:val="auto"/>
        </w:rPr>
      </w:pPr>
      <w:r>
        <w:rPr>
          <w:rFonts w:ascii="Arial" w:cs="Arial" w:eastAsia="Arial" w:hAnsi="Arial"/>
          <w:sz w:val="32"/>
          <w:szCs w:val="32"/>
          <w:b w:val="1"/>
          <w:bCs w:val="1"/>
          <w:color w:val="auto"/>
        </w:rPr>
        <w:t>Effect of Exchange Rate Changes Other</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32"/>
          <w:szCs w:val="32"/>
          <w:b w:val="1"/>
          <w:bCs w:val="1"/>
          <w:color w:val="auto"/>
        </w:rPr>
        <w:t>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1125220</wp:posOffset>
            </wp:positionV>
            <wp:extent cx="726694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tabs>
          <w:tab w:leader="none" w:pos="1840" w:val="left"/>
        </w:tabs>
        <w:rPr>
          <w:sz w:val="20"/>
          <w:szCs w:val="20"/>
          <w:color w:val="auto"/>
        </w:rPr>
      </w:pPr>
      <w:r>
        <w:rPr>
          <w:rFonts w:ascii="Arial" w:cs="Arial" w:eastAsia="Arial" w:hAnsi="Arial"/>
          <w:sz w:val="32"/>
          <w:szCs w:val="32"/>
          <w:b w:val="1"/>
          <w:bCs w:val="1"/>
          <w:color w:val="D47C18"/>
        </w:rPr>
        <w:t>2009</w:t>
      </w:r>
      <w:r>
        <w:rPr>
          <w:sz w:val="20"/>
          <w:szCs w:val="20"/>
          <w:color w:val="auto"/>
        </w:rPr>
        <w:tab/>
      </w:r>
      <w:r>
        <w:rPr>
          <w:rFonts w:ascii="Arial" w:cs="Arial" w:eastAsia="Arial" w:hAnsi="Arial"/>
          <w:sz w:val="32"/>
          <w:szCs w:val="32"/>
          <w:b w:val="1"/>
          <w:bCs w:val="1"/>
          <w:color w:val="D47C18"/>
        </w:rPr>
        <w:t>2008</w:t>
      </w:r>
    </w:p>
    <w:p>
      <w:pPr>
        <w:spacing w:after="0" w:line="260" w:lineRule="exact"/>
        <w:rPr>
          <w:sz w:val="20"/>
          <w:szCs w:val="20"/>
          <w:color w:val="auto"/>
        </w:rPr>
      </w:pPr>
    </w:p>
    <w:p>
      <w:pPr>
        <w:ind w:left="2020" w:hanging="1904"/>
        <w:spacing w:after="0"/>
        <w:tabs>
          <w:tab w:leader="none" w:pos="2020" w:val="left"/>
        </w:tabs>
        <w:numPr>
          <w:ilvl w:val="0"/>
          <w:numId w:val="14"/>
        </w:numPr>
        <w:rPr>
          <w:rFonts w:ascii="Arial" w:cs="Arial" w:eastAsia="Arial" w:hAnsi="Arial"/>
          <w:sz w:val="35"/>
          <w:szCs w:val="35"/>
          <w:b w:val="1"/>
          <w:bCs w:val="1"/>
          <w:color w:val="auto"/>
        </w:rPr>
      </w:pPr>
      <w:r>
        <w:rPr>
          <w:rFonts w:ascii="Arial" w:cs="Arial" w:eastAsia="Arial" w:hAnsi="Arial"/>
          <w:sz w:val="35"/>
          <w:szCs w:val="35"/>
          <w:b w:val="1"/>
          <w:bCs w:val="1"/>
          <w:color w:val="auto"/>
        </w:rPr>
        <w:t>266</w:t>
      </w:r>
    </w:p>
    <w:p>
      <w:pPr>
        <w:spacing w:after="0" w:line="78" w:lineRule="exact"/>
        <w:rPr>
          <w:rFonts w:ascii="Arial" w:cs="Arial" w:eastAsia="Arial" w:hAnsi="Arial"/>
          <w:sz w:val="35"/>
          <w:szCs w:val="35"/>
          <w:b w:val="1"/>
          <w:bCs w:val="1"/>
          <w:color w:val="auto"/>
        </w:rPr>
      </w:pPr>
    </w:p>
    <w:p>
      <w:pPr>
        <w:ind w:left="2100" w:hanging="1937"/>
        <w:spacing w:after="0"/>
        <w:tabs>
          <w:tab w:leader="none" w:pos="2100" w:val="left"/>
        </w:tabs>
        <w:numPr>
          <w:ilvl w:val="1"/>
          <w:numId w:val="14"/>
        </w:numPr>
        <w:rPr>
          <w:rFonts w:ascii="Arial" w:cs="Arial" w:eastAsia="Arial" w:hAnsi="Arial"/>
          <w:sz w:val="35"/>
          <w:szCs w:val="35"/>
          <w:b w:val="1"/>
          <w:bCs w:val="1"/>
          <w:color w:val="auto"/>
        </w:rPr>
      </w:pPr>
      <w:r>
        <w:rPr>
          <w:rFonts w:ascii="Arial" w:cs="Arial" w:eastAsia="Arial" w:hAnsi="Arial"/>
          <w:sz w:val="35"/>
          <w:szCs w:val="35"/>
          <w:b w:val="1"/>
          <w:bCs w:val="1"/>
          <w:color w:val="auto"/>
        </w:rPr>
        <w:t>(52)</w:t>
      </w:r>
    </w:p>
    <w:p>
      <w:pPr>
        <w:spacing w:after="0" w:line="66" w:lineRule="exact"/>
        <w:rPr>
          <w:sz w:val="20"/>
          <w:szCs w:val="20"/>
          <w:color w:val="auto"/>
        </w:rPr>
      </w:pPr>
    </w:p>
    <w:p>
      <w:pPr>
        <w:ind w:left="100"/>
        <w:spacing w:after="0"/>
        <w:tabs>
          <w:tab w:leader="none" w:pos="2000" w:val="left"/>
        </w:tabs>
        <w:rPr>
          <w:sz w:val="20"/>
          <w:szCs w:val="20"/>
          <w:color w:val="auto"/>
        </w:rPr>
      </w:pPr>
      <w:r>
        <w:rPr>
          <w:rFonts w:ascii="Arial" w:cs="Arial" w:eastAsia="Arial" w:hAnsi="Arial"/>
          <w:sz w:val="35"/>
          <w:szCs w:val="35"/>
          <w:b w:val="1"/>
          <w:bCs w:val="1"/>
          <w:color w:val="auto"/>
        </w:rPr>
        <w:t>362</w:t>
      </w:r>
      <w:r>
        <w:rPr>
          <w:sz w:val="20"/>
          <w:szCs w:val="20"/>
          <w:color w:val="auto"/>
        </w:rPr>
        <w:tab/>
      </w:r>
      <w:r>
        <w:rPr>
          <w:rFonts w:ascii="Arial" w:cs="Arial" w:eastAsia="Arial" w:hAnsi="Arial"/>
          <w:sz w:val="35"/>
          <w:szCs w:val="35"/>
          <w:b w:val="1"/>
          <w:bCs w:val="1"/>
          <w:color w:val="auto"/>
        </w:rPr>
        <w:t>214</w:t>
      </w:r>
    </w:p>
    <w:p>
      <w:pPr>
        <w:spacing w:after="0" w:line="138" w:lineRule="exact"/>
        <w:rPr>
          <w:sz w:val="20"/>
          <w:szCs w:val="20"/>
          <w:color w:val="auto"/>
        </w:rPr>
      </w:pPr>
    </w:p>
    <w:tbl>
      <w:tblPr>
        <w:tblLayout w:type="fixed"/>
        <w:tblInd w:w="180" w:type="dxa"/>
        <w:tblCellMar>
          <w:top w:w="0" w:type="dxa"/>
          <w:left w:w="0" w:type="dxa"/>
          <w:bottom w:w="0" w:type="dxa"/>
          <w:right w:w="0" w:type="dxa"/>
        </w:tblCellMar>
      </w:tblPr>
      <w:tr>
        <w:trPr>
          <w:trHeight w:val="456"/>
        </w:trPr>
        <w:tc>
          <w:tcPr>
            <w:tcW w:w="1280" w:type="dxa"/>
            <w:vAlign w:val="bottom"/>
          </w:tcPr>
          <w:p>
            <w:pPr>
              <w:jc w:val="right"/>
              <w:ind w:right="664"/>
              <w:spacing w:after="0"/>
              <w:rPr>
                <w:sz w:val="20"/>
                <w:szCs w:val="20"/>
                <w:color w:val="auto"/>
              </w:rPr>
            </w:pPr>
            <w:r>
              <w:rPr>
                <w:rFonts w:ascii="Arial" w:cs="Arial" w:eastAsia="Arial" w:hAnsi="Arial"/>
                <w:sz w:val="35"/>
                <w:szCs w:val="3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35"/>
                <w:szCs w:val="35"/>
                <w:b w:val="1"/>
                <w:bCs w:val="1"/>
                <w:color w:val="auto"/>
              </w:rPr>
              <w:t>(53)</w:t>
            </w:r>
          </w:p>
        </w:tc>
      </w:tr>
      <w:tr>
        <w:trPr>
          <w:trHeight w:val="493"/>
        </w:trPr>
        <w:tc>
          <w:tcPr>
            <w:tcW w:w="1280" w:type="dxa"/>
            <w:vAlign w:val="bottom"/>
          </w:tcPr>
          <w:p>
            <w:pPr>
              <w:jc w:val="right"/>
              <w:ind w:right="464"/>
              <w:spacing w:after="0"/>
              <w:rPr>
                <w:sz w:val="20"/>
                <w:szCs w:val="20"/>
                <w:color w:val="auto"/>
              </w:rPr>
            </w:pPr>
            <w:r>
              <w:rPr>
                <w:rFonts w:ascii="Arial" w:cs="Arial" w:eastAsia="Arial" w:hAnsi="Arial"/>
                <w:sz w:val="35"/>
                <w:szCs w:val="35"/>
                <w:b w:val="1"/>
                <w:bCs w:val="1"/>
                <w:color w:val="auto"/>
                <w:w w:val="99"/>
              </w:rPr>
              <w:t>(85)</w:t>
            </w:r>
          </w:p>
        </w:tc>
        <w:tc>
          <w:tcPr>
            <w:tcW w:w="1280" w:type="dxa"/>
            <w:vAlign w:val="bottom"/>
          </w:tcPr>
          <w:p>
            <w:pPr>
              <w:jc w:val="right"/>
              <w:spacing w:after="0"/>
              <w:rPr>
                <w:sz w:val="20"/>
                <w:szCs w:val="20"/>
                <w:color w:val="auto"/>
              </w:rPr>
            </w:pPr>
            <w:r>
              <w:rPr>
                <w:rFonts w:ascii="Arial" w:cs="Arial" w:eastAsia="Arial" w:hAnsi="Arial"/>
                <w:sz w:val="35"/>
                <w:szCs w:val="35"/>
                <w:b w:val="1"/>
                <w:bCs w:val="1"/>
                <w:color w:val="auto"/>
              </w:rPr>
              <w:t>26</w:t>
            </w:r>
          </w:p>
        </w:tc>
      </w:tr>
    </w:tbl>
    <w:p>
      <w:pPr>
        <w:spacing w:after="0" w:line="168" w:lineRule="exact"/>
        <w:rPr>
          <w:sz w:val="20"/>
          <w:szCs w:val="20"/>
          <w:color w:val="auto"/>
        </w:rPr>
      </w:pPr>
    </w:p>
    <w:p>
      <w:pPr>
        <w:ind w:left="1880" w:hanging="1680"/>
        <w:spacing w:after="0"/>
        <w:tabs>
          <w:tab w:leader="none" w:pos="1880" w:val="left"/>
        </w:tabs>
        <w:numPr>
          <w:ilvl w:val="1"/>
          <w:numId w:val="15"/>
        </w:numPr>
        <w:rPr>
          <w:rFonts w:ascii="Arial" w:cs="Arial" w:eastAsia="Arial" w:hAnsi="Arial"/>
          <w:sz w:val="35"/>
          <w:szCs w:val="35"/>
          <w:b w:val="1"/>
          <w:bCs w:val="1"/>
          <w:color w:val="auto"/>
        </w:rPr>
      </w:pPr>
      <w:r>
        <w:rPr>
          <w:rFonts w:ascii="Arial" w:cs="Arial" w:eastAsia="Arial" w:hAnsi="Arial"/>
          <w:sz w:val="35"/>
          <w:szCs w:val="35"/>
          <w:b w:val="1"/>
          <w:bCs w:val="1"/>
          <w:color w:val="auto"/>
        </w:rPr>
        <w:t>(196)</w:t>
      </w:r>
    </w:p>
    <w:p>
      <w:pPr>
        <w:spacing w:after="0" w:line="258" w:lineRule="exact"/>
        <w:rPr>
          <w:rFonts w:ascii="Arial" w:cs="Arial" w:eastAsia="Arial" w:hAnsi="Arial"/>
          <w:sz w:val="35"/>
          <w:szCs w:val="35"/>
          <w:b w:val="1"/>
          <w:bCs w:val="1"/>
          <w:color w:val="auto"/>
        </w:rPr>
      </w:pPr>
    </w:p>
    <w:p>
      <w:pPr>
        <w:ind w:left="2200" w:hanging="1794"/>
        <w:spacing w:after="0"/>
        <w:tabs>
          <w:tab w:leader="none" w:pos="2200" w:val="left"/>
        </w:tabs>
        <w:numPr>
          <w:ilvl w:val="2"/>
          <w:numId w:val="15"/>
        </w:numPr>
        <w:rPr>
          <w:rFonts w:ascii="Arial" w:cs="Arial" w:eastAsia="Arial" w:hAnsi="Arial"/>
          <w:sz w:val="35"/>
          <w:szCs w:val="35"/>
          <w:b w:val="1"/>
          <w:bCs w:val="1"/>
          <w:color w:val="auto"/>
        </w:rPr>
      </w:pPr>
      <w:r>
        <w:rPr>
          <w:rFonts w:ascii="Arial" w:cs="Arial" w:eastAsia="Arial" w:hAnsi="Arial"/>
          <w:sz w:val="35"/>
          <w:szCs w:val="35"/>
          <w:b w:val="1"/>
          <w:bCs w:val="1"/>
          <w:color w:val="auto"/>
        </w:rPr>
        <w:t>45</w:t>
      </w:r>
    </w:p>
    <w:p>
      <w:pPr>
        <w:spacing w:after="0" w:line="66" w:lineRule="exact"/>
        <w:rPr>
          <w:rFonts w:ascii="Arial" w:cs="Arial" w:eastAsia="Arial" w:hAnsi="Arial"/>
          <w:sz w:val="35"/>
          <w:szCs w:val="35"/>
          <w:b w:val="1"/>
          <w:bCs w:val="1"/>
          <w:color w:val="auto"/>
        </w:rPr>
      </w:pPr>
    </w:p>
    <w:p>
      <w:pPr>
        <w:ind w:left="2040" w:hanging="1865"/>
        <w:spacing w:after="0"/>
        <w:tabs>
          <w:tab w:leader="none" w:pos="2040" w:val="left"/>
        </w:tabs>
        <w:numPr>
          <w:ilvl w:val="0"/>
          <w:numId w:val="16"/>
        </w:numPr>
        <w:rPr>
          <w:rFonts w:ascii="Arial" w:cs="Arial" w:eastAsia="Arial" w:hAnsi="Arial"/>
          <w:sz w:val="35"/>
          <w:szCs w:val="35"/>
          <w:b w:val="1"/>
          <w:bCs w:val="1"/>
          <w:color w:val="auto"/>
        </w:rPr>
      </w:pPr>
      <w:r>
        <w:rPr>
          <w:rFonts w:ascii="Arial" w:cs="Arial" w:eastAsia="Arial" w:hAnsi="Arial"/>
          <w:sz w:val="35"/>
          <w:szCs w:val="35"/>
          <w:b w:val="1"/>
          <w:bCs w:val="1"/>
          <w:color w:val="auto"/>
        </w:rPr>
        <w:t>(12)</w:t>
      </w:r>
    </w:p>
    <w:p>
      <w:pPr>
        <w:spacing w:after="0" w:line="138" w:lineRule="exact"/>
        <w:rPr>
          <w:sz w:val="20"/>
          <w:szCs w:val="20"/>
          <w:color w:val="auto"/>
        </w:rPr>
      </w:pPr>
    </w:p>
    <w:p>
      <w:pPr>
        <w:ind w:left="100"/>
        <w:spacing w:after="0"/>
        <w:tabs>
          <w:tab w:leader="none" w:pos="2160" w:val="left"/>
        </w:tabs>
        <w:rPr>
          <w:sz w:val="20"/>
          <w:szCs w:val="20"/>
          <w:color w:val="auto"/>
        </w:rPr>
      </w:pPr>
      <w:r>
        <w:rPr>
          <w:rFonts w:ascii="Arial" w:cs="Arial" w:eastAsia="Arial" w:hAnsi="Arial"/>
          <w:sz w:val="35"/>
          <w:szCs w:val="35"/>
          <w:b w:val="1"/>
          <w:bCs w:val="1"/>
          <w:color w:val="auto"/>
        </w:rPr>
        <w:t>233</w:t>
      </w:r>
      <w:r>
        <w:rPr>
          <w:sz w:val="20"/>
          <w:szCs w:val="20"/>
          <w:color w:val="auto"/>
        </w:rPr>
        <w:tab/>
      </w:r>
      <w:r>
        <w:rPr>
          <w:rFonts w:ascii="Arial" w:cs="Arial" w:eastAsia="Arial" w:hAnsi="Arial"/>
          <w:sz w:val="35"/>
          <w:szCs w:val="35"/>
          <w:b w:val="1"/>
          <w:bCs w:val="1"/>
          <w:color w:val="auto"/>
        </w:rPr>
        <w:t>24</w:t>
      </w:r>
    </w:p>
    <w:p>
      <w:pPr>
        <w:sectPr>
          <w:pgSz w:w="11900" w:h="16838" w:orient="portrait"/>
          <w:cols w:equalWidth="0" w:num="2">
            <w:col w:w="5500" w:space="720"/>
            <w:col w:w="3980"/>
          </w:cols>
          <w:pgMar w:left="1000" w:top="417" w:right="699" w:bottom="1440" w:gutter="0" w:footer="0" w:header="0"/>
          <w:type w:val="continuous"/>
        </w:sectPr>
      </w:pPr>
    </w:p>
    <w:bookmarkStart w:id="27" w:name="page28"/>
    <w:bookmarkEnd w:id="27"/>
    <w:p>
      <w:pPr>
        <w:ind w:left="1014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Arial" w:cs="Arial" w:eastAsia="Arial" w:hAnsi="Arial"/>
          <w:sz w:val="48"/>
          <w:szCs w:val="48"/>
          <w:color w:val="6698C2"/>
        </w:rPr>
        <w:t>Balance Sheet Highlights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Total Debt</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in millions)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Total Debt</w:t>
      </w:r>
    </w:p>
    <w:p>
      <w:pPr>
        <w:spacing w:after="0" w:line="190" w:lineRule="exact"/>
        <w:rPr>
          <w:sz w:val="20"/>
          <w:szCs w:val="20"/>
          <w:color w:val="auto"/>
        </w:rPr>
      </w:pPr>
    </w:p>
    <w:p>
      <w:pPr>
        <w:ind w:left="9740"/>
        <w:spacing w:after="0"/>
        <w:rPr>
          <w:sz w:val="20"/>
          <w:szCs w:val="20"/>
          <w:color w:val="auto"/>
        </w:rPr>
      </w:pPr>
      <w:r>
        <w:rPr>
          <w:rFonts w:ascii="Arial" w:cs="Arial" w:eastAsia="Arial" w:hAnsi="Arial"/>
          <w:sz w:val="21"/>
          <w:szCs w:val="21"/>
          <w:color w:val="auto"/>
        </w:rPr>
        <w:t>Net</w:t>
      </w:r>
    </w:p>
    <w:p>
      <w:pPr>
        <w:ind w:left="9740"/>
        <w:spacing w:after="0"/>
        <w:rPr>
          <w:sz w:val="20"/>
          <w:szCs w:val="20"/>
          <w:color w:val="auto"/>
        </w:rPr>
      </w:pPr>
      <w:r>
        <w:rPr>
          <w:rFonts w:ascii="Arial" w:cs="Arial" w:eastAsia="Arial" w:hAnsi="Arial"/>
          <w:sz w:val="21"/>
          <w:szCs w:val="21"/>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580" w:type="dxa"/>
            <w:vAlign w:val="bottom"/>
          </w:tcPr>
          <w:p>
            <w:pPr>
              <w:spacing w:after="0"/>
              <w:rPr>
                <w:sz w:val="20"/>
                <w:szCs w:val="20"/>
                <w:color w:val="auto"/>
              </w:rPr>
            </w:pPr>
            <w:r>
              <w:rPr>
                <w:rFonts w:ascii="Arial" w:cs="Arial" w:eastAsia="Arial" w:hAnsi="Arial"/>
                <w:sz w:val="22"/>
                <w:szCs w:val="22"/>
                <w:b w:val="1"/>
                <w:bCs w:val="1"/>
                <w:color w:val="auto"/>
              </w:rPr>
              <w:t>Total Debt to</w:t>
            </w:r>
          </w:p>
        </w:tc>
        <w:tc>
          <w:tcPr>
            <w:tcW w:w="3800" w:type="dxa"/>
            <w:vAlign w:val="bottom"/>
            <w:vMerge w:val="restart"/>
          </w:tcPr>
          <w:p>
            <w:pPr>
              <w:jc w:val="right"/>
              <w:spacing w:after="0"/>
              <w:rPr>
                <w:sz w:val="20"/>
                <w:szCs w:val="20"/>
                <w:color w:val="auto"/>
              </w:rPr>
            </w:pPr>
            <w:r>
              <w:rPr>
                <w:rFonts w:ascii="Arial" w:cs="Arial" w:eastAsia="Arial" w:hAnsi="Arial"/>
                <w:sz w:val="26"/>
                <w:szCs w:val="26"/>
                <w:color w:val="auto"/>
              </w:rPr>
              <w:t>2009</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760"/>
        <w:spacing w:after="0"/>
        <w:rPr>
          <w:sz w:val="20"/>
          <w:szCs w:val="20"/>
          <w:color w:val="auto"/>
        </w:rPr>
      </w:pPr>
      <w:r>
        <w:rPr>
          <w:rFonts w:ascii="Arial" w:cs="Arial" w:eastAsia="Arial" w:hAnsi="Arial"/>
          <w:sz w:val="26"/>
          <w:szCs w:val="26"/>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274955</wp:posOffset>
            </wp:positionV>
            <wp:extent cx="72669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60"/>
          </w:cols>
          <w:pgMar w:left="800" w:top="417"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2"/>
        <w:spacing w:after="0"/>
        <w:rPr>
          <w:sz w:val="20"/>
          <w:szCs w:val="20"/>
          <w:color w:val="auto"/>
        </w:rPr>
      </w:pPr>
      <w:r>
        <w:rPr>
          <w:rFonts w:ascii="Arial" w:cs="Arial" w:eastAsia="Arial" w:hAnsi="Arial"/>
          <w:sz w:val="48"/>
          <w:szCs w:val="48"/>
          <w:color w:val="6698C2"/>
        </w:rPr>
        <w:t>Credit Facilities as of June 30, 2009</w:t>
      </w:r>
    </w:p>
    <w:p>
      <w:pPr>
        <w:sectPr>
          <w:pgSz w:w="11900" w:h="16838" w:orient="portrait"/>
          <w:cols w:equalWidth="0" w:num="1">
            <w:col w:w="10592"/>
          </w:cols>
          <w:pgMar w:left="608" w:top="417" w:right="699" w:bottom="1440" w:gutter="0" w:footer="0" w:header="0"/>
        </w:sectPr>
      </w:pPr>
    </w:p>
    <w:p>
      <w:pPr>
        <w:spacing w:after="0" w:line="30" w:lineRule="exact"/>
        <w:rPr>
          <w:sz w:val="20"/>
          <w:szCs w:val="20"/>
          <w:color w:val="auto"/>
        </w:rPr>
      </w:pPr>
    </w:p>
    <w:p>
      <w:pPr>
        <w:ind w:left="472"/>
        <w:spacing w:after="0"/>
        <w:rPr>
          <w:sz w:val="20"/>
          <w:szCs w:val="20"/>
          <w:color w:val="auto"/>
        </w:rPr>
      </w:pPr>
      <w:r>
        <w:rPr>
          <w:rFonts w:ascii="Arial" w:cs="Arial" w:eastAsia="Arial" w:hAnsi="Arial"/>
          <w:sz w:val="22"/>
          <w:szCs w:val="22"/>
          <w:color w:val="6698C2"/>
        </w:rPr>
        <w:t>($ in millions)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32"/>
        <w:spacing w:after="0"/>
        <w:rPr>
          <w:sz w:val="20"/>
          <w:szCs w:val="20"/>
          <w:color w:val="auto"/>
        </w:rPr>
      </w:pPr>
      <w:r>
        <w:rPr>
          <w:rFonts w:ascii="Arial" w:cs="Arial" w:eastAsia="Arial" w:hAnsi="Arial"/>
          <w:sz w:val="22"/>
          <w:szCs w:val="22"/>
          <w:b w:val="1"/>
          <w:bCs w:val="1"/>
          <w:color w:val="auto"/>
        </w:rPr>
        <w:t>Euro</w:t>
      </w:r>
    </w:p>
    <w:p>
      <w:pPr>
        <w:ind w:left="632"/>
        <w:spacing w:after="0" w:line="208" w:lineRule="auto"/>
        <w:rPr>
          <w:sz w:val="20"/>
          <w:szCs w:val="20"/>
          <w:color w:val="auto"/>
        </w:rPr>
      </w:pPr>
      <w:r>
        <w:rPr>
          <w:rFonts w:ascii="Arial" w:cs="Arial" w:eastAsia="Arial" w:hAnsi="Arial"/>
          <w:sz w:val="22"/>
          <w:szCs w:val="22"/>
          <w:b w:val="1"/>
          <w:bCs w:val="1"/>
          <w:color w:val="auto"/>
        </w:rPr>
        <w:t>Notes:</w:t>
      </w:r>
    </w:p>
    <w:p>
      <w:pPr>
        <w:ind w:left="772"/>
        <w:spacing w:after="0"/>
        <w:rPr>
          <w:sz w:val="20"/>
          <w:szCs w:val="20"/>
          <w:color w:val="auto"/>
        </w:rPr>
      </w:pPr>
      <w:r>
        <w:rPr>
          <w:rFonts w:ascii="Arial" w:cs="Arial" w:eastAsia="Arial" w:hAnsi="Arial"/>
          <w:sz w:val="22"/>
          <w:szCs w:val="22"/>
          <w:b w:val="1"/>
          <w:bCs w:val="1"/>
          <w:color w:val="auto"/>
        </w:rPr>
        <w:t>- Euro</w:t>
      </w:r>
    </w:p>
    <w:p>
      <w:pPr>
        <w:ind w:left="772"/>
        <w:spacing w:after="0" w:line="193" w:lineRule="auto"/>
        <w:rPr>
          <w:sz w:val="20"/>
          <w:szCs w:val="20"/>
          <w:color w:val="auto"/>
        </w:rPr>
      </w:pPr>
      <w:r>
        <w:rPr>
          <w:rFonts w:ascii="Arial" w:cs="Arial" w:eastAsia="Arial" w:hAnsi="Arial"/>
          <w:sz w:val="22"/>
          <w:szCs w:val="22"/>
          <w:b w:val="1"/>
          <w:bCs w:val="1"/>
          <w:color w:val="auto"/>
        </w:rPr>
        <w:t>200M</w:t>
      </w:r>
    </w:p>
    <w:p>
      <w:pPr>
        <w:ind w:left="772"/>
        <w:spacing w:after="0"/>
        <w:rPr>
          <w:sz w:val="20"/>
          <w:szCs w:val="20"/>
          <w:color w:val="auto"/>
        </w:rPr>
      </w:pPr>
      <w:r>
        <w:rPr>
          <w:rFonts w:ascii="Arial" w:cs="Arial" w:eastAsia="Arial" w:hAnsi="Arial"/>
          <w:sz w:val="22"/>
          <w:szCs w:val="22"/>
          <w:b w:val="1"/>
          <w:bCs w:val="1"/>
          <w:color w:val="auto"/>
        </w:rPr>
        <w:t>- Euro</w:t>
      </w:r>
    </w:p>
    <w:p>
      <w:pPr>
        <w:ind w:left="772"/>
        <w:spacing w:after="0" w:line="181" w:lineRule="auto"/>
        <w:rPr>
          <w:sz w:val="20"/>
          <w:szCs w:val="20"/>
          <w:color w:val="auto"/>
        </w:rPr>
      </w:pPr>
      <w:r>
        <w:rPr>
          <w:rFonts w:ascii="Arial" w:cs="Arial" w:eastAsia="Arial" w:hAnsi="Arial"/>
          <w:sz w:val="22"/>
          <w:szCs w:val="22"/>
          <w:b w:val="1"/>
          <w:bCs w:val="1"/>
          <w:color w:val="auto"/>
        </w:rPr>
        <w:t>300M</w:t>
      </w:r>
    </w:p>
    <w:p>
      <w:pPr>
        <w:spacing w:after="0" w:line="1" w:lineRule="exact"/>
        <w:rPr>
          <w:sz w:val="20"/>
          <w:szCs w:val="20"/>
          <w:color w:val="auto"/>
        </w:rPr>
      </w:pPr>
    </w:p>
    <w:p>
      <w:pPr>
        <w:ind w:left="632"/>
        <w:spacing w:after="0"/>
        <w:rPr>
          <w:sz w:val="20"/>
          <w:szCs w:val="20"/>
          <w:color w:val="auto"/>
        </w:rPr>
      </w:pPr>
      <w:r>
        <w:rPr>
          <w:rFonts w:ascii="Arial" w:cs="Arial" w:eastAsia="Arial" w:hAnsi="Arial"/>
          <w:sz w:val="22"/>
          <w:szCs w:val="22"/>
          <w:b w:val="1"/>
          <w:bCs w:val="1"/>
          <w:color w:val="auto"/>
        </w:rPr>
        <w:t>Revolving Credit Agreement</w:t>
      </w:r>
    </w:p>
    <w:p>
      <w:pPr>
        <w:spacing w:after="0" w:line="91" w:lineRule="exact"/>
        <w:rPr>
          <w:sz w:val="20"/>
          <w:szCs w:val="20"/>
          <w:color w:val="auto"/>
        </w:rPr>
      </w:pPr>
    </w:p>
    <w:p>
      <w:pPr>
        <w:ind w:left="632"/>
        <w:spacing w:after="0"/>
        <w:rPr>
          <w:sz w:val="20"/>
          <w:szCs w:val="20"/>
          <w:color w:val="auto"/>
        </w:rPr>
      </w:pPr>
      <w:r>
        <w:rPr>
          <w:rFonts w:ascii="Arial" w:cs="Arial" w:eastAsia="Arial" w:hAnsi="Arial"/>
          <w:sz w:val="22"/>
          <w:szCs w:val="22"/>
          <w:b w:val="1"/>
          <w:bCs w:val="1"/>
          <w:color w:val="auto"/>
        </w:rPr>
        <w:t>Uncommitted lines and</w:t>
      </w:r>
    </w:p>
    <w:p>
      <w:pPr>
        <w:ind w:left="632"/>
        <w:spacing w:after="0" w:line="196" w:lineRule="auto"/>
        <w:rPr>
          <w:sz w:val="20"/>
          <w:szCs w:val="20"/>
          <w:color w:val="auto"/>
        </w:rPr>
      </w:pPr>
      <w:r>
        <w:rPr>
          <w:rFonts w:ascii="Arial" w:cs="Arial" w:eastAsia="Arial" w:hAnsi="Arial"/>
          <w:sz w:val="22"/>
          <w:szCs w:val="22"/>
          <w:b w:val="1"/>
          <w:bCs w:val="1"/>
          <w:color w:val="auto"/>
        </w:rPr>
        <w:t>Other</w:t>
      </w:r>
    </w:p>
    <w:p>
      <w:pPr>
        <w:spacing w:after="0" w:line="1" w:lineRule="exact"/>
        <w:rPr>
          <w:sz w:val="20"/>
          <w:szCs w:val="20"/>
          <w:color w:val="auto"/>
        </w:rPr>
      </w:pPr>
    </w:p>
    <w:p>
      <w:pPr>
        <w:ind w:left="632"/>
        <w:spacing w:after="0"/>
        <w:rPr>
          <w:sz w:val="20"/>
          <w:szCs w:val="20"/>
          <w:color w:val="auto"/>
        </w:rPr>
      </w:pPr>
      <w:r>
        <w:rPr>
          <w:rFonts w:ascii="Arial" w:cs="Arial" w:eastAsia="Arial" w:hAnsi="Arial"/>
          <w:sz w:val="22"/>
          <w:szCs w:val="22"/>
          <w:b w:val="1"/>
          <w:bCs w:val="1"/>
          <w:color w:val="auto"/>
        </w:rPr>
        <w:t>Total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8"/>
        </w:trPr>
        <w:tc>
          <w:tcPr>
            <w:tcW w:w="980" w:type="dxa"/>
            <w:vAlign w:val="bottom"/>
          </w:tcPr>
          <w:p>
            <w:pPr>
              <w:jc w:val="center"/>
              <w:ind w:right="48"/>
              <w:spacing w:after="0"/>
              <w:rPr>
                <w:sz w:val="20"/>
                <w:szCs w:val="20"/>
                <w:color w:val="auto"/>
              </w:rPr>
            </w:pPr>
            <w:r>
              <w:rPr>
                <w:rFonts w:ascii="Arial" w:cs="Arial" w:eastAsia="Arial" w:hAnsi="Arial"/>
                <w:sz w:val="22"/>
                <w:szCs w:val="22"/>
                <w:b w:val="1"/>
                <w:bCs w:val="1"/>
                <w:color w:val="6698C2"/>
              </w:rPr>
              <w:t>Interest</w:t>
            </w:r>
          </w:p>
        </w:tc>
        <w:tc>
          <w:tcPr>
            <w:tcW w:w="1340" w:type="dxa"/>
            <w:vAlign w:val="bottom"/>
          </w:tcPr>
          <w:p>
            <w:pPr>
              <w:jc w:val="center"/>
              <w:spacing w:after="0"/>
              <w:rPr>
                <w:sz w:val="20"/>
                <w:szCs w:val="20"/>
                <w:color w:val="auto"/>
              </w:rPr>
            </w:pPr>
            <w:r>
              <w:rPr>
                <w:rFonts w:ascii="Arial" w:cs="Arial" w:eastAsia="Arial" w:hAnsi="Arial"/>
                <w:sz w:val="22"/>
                <w:szCs w:val="22"/>
                <w:b w:val="1"/>
                <w:bCs w:val="1"/>
                <w:color w:val="6698C2"/>
              </w:rPr>
              <w:t>Maturity</w:t>
            </w:r>
          </w:p>
        </w:tc>
        <w:tc>
          <w:tcPr>
            <w:tcW w:w="1620" w:type="dxa"/>
            <w:vAlign w:val="bottom"/>
          </w:tcPr>
          <w:p>
            <w:pPr>
              <w:jc w:val="right"/>
              <w:ind w:right="428"/>
              <w:spacing w:after="0"/>
              <w:rPr>
                <w:sz w:val="20"/>
                <w:szCs w:val="20"/>
                <w:color w:val="auto"/>
              </w:rPr>
            </w:pPr>
            <w:r>
              <w:rPr>
                <w:rFonts w:ascii="Arial" w:cs="Arial" w:eastAsia="Arial" w:hAnsi="Arial"/>
                <w:sz w:val="22"/>
                <w:szCs w:val="22"/>
                <w:b w:val="1"/>
                <w:bCs w:val="1"/>
                <w:color w:val="6698C2"/>
              </w:rPr>
              <w:t>Total</w:t>
            </w:r>
          </w:p>
        </w:tc>
        <w:tc>
          <w:tcPr>
            <w:tcW w:w="1300" w:type="dxa"/>
            <w:vAlign w:val="bottom"/>
          </w:tcPr>
          <w:p>
            <w:pPr>
              <w:jc w:val="center"/>
              <w:spacing w:after="0"/>
              <w:rPr>
                <w:sz w:val="20"/>
                <w:szCs w:val="20"/>
                <w:color w:val="auto"/>
              </w:rPr>
            </w:pPr>
            <w:r>
              <w:rPr>
                <w:rFonts w:ascii="Arial" w:cs="Arial" w:eastAsia="Arial" w:hAnsi="Arial"/>
                <w:sz w:val="22"/>
                <w:szCs w:val="22"/>
                <w:b w:val="1"/>
                <w:bCs w:val="1"/>
                <w:color w:val="6698C2"/>
              </w:rPr>
              <w:t>Remaining</w:t>
            </w:r>
          </w:p>
        </w:tc>
        <w:tc>
          <w:tcPr>
            <w:tcW w:w="0" w:type="dxa"/>
            <w:vAlign w:val="bottom"/>
          </w:tcPr>
          <w:p>
            <w:pPr>
              <w:spacing w:after="0"/>
              <w:rPr>
                <w:sz w:val="1"/>
                <w:szCs w:val="1"/>
                <w:color w:val="auto"/>
              </w:rPr>
            </w:pPr>
          </w:p>
        </w:tc>
      </w:tr>
      <w:tr>
        <w:trPr>
          <w:trHeight w:val="297"/>
        </w:trPr>
        <w:tc>
          <w:tcPr>
            <w:tcW w:w="980" w:type="dxa"/>
            <w:vAlign w:val="bottom"/>
          </w:tcPr>
          <w:p>
            <w:pPr>
              <w:jc w:val="center"/>
              <w:ind w:right="28"/>
              <w:spacing w:after="0"/>
              <w:rPr>
                <w:sz w:val="20"/>
                <w:szCs w:val="20"/>
                <w:color w:val="auto"/>
              </w:rPr>
            </w:pPr>
            <w:r>
              <w:rPr>
                <w:rFonts w:ascii="Arial" w:cs="Arial" w:eastAsia="Arial" w:hAnsi="Arial"/>
                <w:sz w:val="22"/>
                <w:szCs w:val="22"/>
                <w:b w:val="1"/>
                <w:bCs w:val="1"/>
                <w:color w:val="6698C2"/>
              </w:rPr>
              <w:t>Rate</w:t>
            </w:r>
          </w:p>
        </w:tc>
        <w:tc>
          <w:tcPr>
            <w:tcW w:w="1340" w:type="dxa"/>
            <w:vAlign w:val="bottom"/>
          </w:tcPr>
          <w:p>
            <w:pPr>
              <w:jc w:val="center"/>
              <w:spacing w:after="0"/>
              <w:rPr>
                <w:sz w:val="20"/>
                <w:szCs w:val="20"/>
                <w:color w:val="auto"/>
              </w:rPr>
            </w:pPr>
            <w:r>
              <w:rPr>
                <w:rFonts w:ascii="Arial" w:cs="Arial" w:eastAsia="Arial" w:hAnsi="Arial"/>
                <w:sz w:val="22"/>
                <w:szCs w:val="22"/>
                <w:b w:val="1"/>
                <w:bCs w:val="1"/>
                <w:color w:val="6698C2"/>
              </w:rPr>
              <w:t>Date</w:t>
            </w:r>
          </w:p>
        </w:tc>
        <w:tc>
          <w:tcPr>
            <w:tcW w:w="1620" w:type="dxa"/>
            <w:vAlign w:val="bottom"/>
          </w:tcPr>
          <w:p>
            <w:pPr>
              <w:jc w:val="right"/>
              <w:ind w:right="28"/>
              <w:spacing w:after="0"/>
              <w:rPr>
                <w:sz w:val="20"/>
                <w:szCs w:val="20"/>
                <w:color w:val="auto"/>
              </w:rPr>
            </w:pPr>
            <w:r>
              <w:rPr>
                <w:rFonts w:ascii="Arial" w:cs="Arial" w:eastAsia="Arial" w:hAnsi="Arial"/>
                <w:sz w:val="22"/>
                <w:szCs w:val="22"/>
                <w:b w:val="1"/>
                <w:bCs w:val="1"/>
                <w:color w:val="6698C2"/>
              </w:rPr>
              <w:t>Outstanding</w:t>
            </w:r>
          </w:p>
        </w:tc>
        <w:tc>
          <w:tcPr>
            <w:tcW w:w="1300" w:type="dxa"/>
            <w:vAlign w:val="bottom"/>
          </w:tcPr>
          <w:p>
            <w:pPr>
              <w:jc w:val="center"/>
              <w:spacing w:after="0"/>
              <w:rPr>
                <w:sz w:val="20"/>
                <w:szCs w:val="20"/>
                <w:color w:val="auto"/>
              </w:rPr>
            </w:pPr>
            <w:r>
              <w:rPr>
                <w:rFonts w:ascii="Arial" w:cs="Arial" w:eastAsia="Arial" w:hAnsi="Arial"/>
                <w:sz w:val="22"/>
                <w:szCs w:val="22"/>
                <w:b w:val="1"/>
                <w:bCs w:val="1"/>
                <w:color w:val="6698C2"/>
                <w:w w:val="99"/>
              </w:rPr>
              <w:t>Available</w:t>
            </w:r>
          </w:p>
        </w:tc>
        <w:tc>
          <w:tcPr>
            <w:tcW w:w="0" w:type="dxa"/>
            <w:vAlign w:val="bottom"/>
          </w:tcPr>
          <w:p>
            <w:pPr>
              <w:spacing w:after="0"/>
              <w:rPr>
                <w:sz w:val="1"/>
                <w:szCs w:val="1"/>
                <w:color w:val="auto"/>
              </w:rPr>
            </w:pPr>
          </w:p>
        </w:tc>
      </w:tr>
      <w:tr>
        <w:trPr>
          <w:trHeight w:val="904"/>
        </w:trPr>
        <w:tc>
          <w:tcPr>
            <w:tcW w:w="980" w:type="dxa"/>
            <w:vAlign w:val="bottom"/>
          </w:tcPr>
          <w:p>
            <w:pPr>
              <w:jc w:val="center"/>
              <w:ind w:right="28"/>
              <w:spacing w:after="0"/>
              <w:rPr>
                <w:sz w:val="20"/>
                <w:szCs w:val="20"/>
                <w:color w:val="auto"/>
              </w:rPr>
            </w:pPr>
            <w:r>
              <w:rPr>
                <w:rFonts w:ascii="Arial" w:cs="Arial" w:eastAsia="Arial" w:hAnsi="Arial"/>
                <w:sz w:val="22"/>
                <w:szCs w:val="22"/>
                <w:b w:val="1"/>
                <w:bCs w:val="1"/>
                <w:color w:val="auto"/>
              </w:rPr>
              <w:t>4.86%</w:t>
            </w:r>
          </w:p>
        </w:tc>
        <w:tc>
          <w:tcPr>
            <w:tcW w:w="1340" w:type="dxa"/>
            <w:vAlign w:val="bottom"/>
          </w:tcPr>
          <w:p>
            <w:pPr>
              <w:ind w:left="160"/>
              <w:spacing w:after="0"/>
              <w:rPr>
                <w:sz w:val="20"/>
                <w:szCs w:val="20"/>
                <w:color w:val="auto"/>
              </w:rPr>
            </w:pPr>
            <w:r>
              <w:rPr>
                <w:rFonts w:ascii="Arial" w:cs="Arial" w:eastAsia="Arial" w:hAnsi="Arial"/>
                <w:sz w:val="22"/>
                <w:szCs w:val="22"/>
                <w:b w:val="1"/>
                <w:bCs w:val="1"/>
                <w:color w:val="auto"/>
              </w:rPr>
              <w:t>June</w:t>
            </w:r>
          </w:p>
        </w:tc>
        <w:tc>
          <w:tcPr>
            <w:tcW w:w="1620" w:type="dxa"/>
            <w:vAlign w:val="bottom"/>
          </w:tcPr>
          <w:p>
            <w:pPr>
              <w:jc w:val="right"/>
              <w:ind w:right="28"/>
              <w:spacing w:after="0"/>
              <w:rPr>
                <w:sz w:val="20"/>
                <w:szCs w:val="20"/>
                <w:color w:val="auto"/>
              </w:rPr>
            </w:pPr>
            <w:r>
              <w:rPr>
                <w:rFonts w:ascii="Arial" w:cs="Arial" w:eastAsia="Arial" w:hAnsi="Arial"/>
                <w:sz w:val="22"/>
                <w:szCs w:val="22"/>
                <w:b w:val="1"/>
                <w:bCs w:val="1"/>
                <w:color w:val="auto"/>
              </w:rPr>
              <w:t>281</w:t>
            </w:r>
          </w:p>
        </w:tc>
        <w:tc>
          <w:tcPr>
            <w:tcW w:w="1300" w:type="dxa"/>
            <w:vAlign w:val="bottom"/>
          </w:tcPr>
          <w:p>
            <w:pPr>
              <w:jc w:val="center"/>
              <w:ind w:left="848"/>
              <w:spacing w:after="0"/>
              <w:rPr>
                <w:sz w:val="20"/>
                <w:szCs w:val="20"/>
                <w:color w:val="auto"/>
              </w:rPr>
            </w:pPr>
            <w:r>
              <w:rPr>
                <w:rFonts w:ascii="Arial" w:cs="Arial" w:eastAsia="Arial" w:hAnsi="Arial"/>
                <w:sz w:val="22"/>
                <w:szCs w:val="22"/>
                <w:b w:val="1"/>
                <w:bCs w:val="1"/>
                <w:color w:val="auto"/>
                <w:w w:val="81"/>
              </w:rPr>
              <w:t>-</w:t>
            </w:r>
          </w:p>
        </w:tc>
        <w:tc>
          <w:tcPr>
            <w:tcW w:w="0" w:type="dxa"/>
            <w:vAlign w:val="bottom"/>
          </w:tcPr>
          <w:p>
            <w:pPr>
              <w:spacing w:after="0"/>
              <w:rPr>
                <w:sz w:val="1"/>
                <w:szCs w:val="1"/>
                <w:color w:val="auto"/>
              </w:rPr>
            </w:pPr>
          </w:p>
        </w:tc>
      </w:tr>
      <w:tr>
        <w:trPr>
          <w:trHeight w:val="231"/>
        </w:trPr>
        <w:tc>
          <w:tcPr>
            <w:tcW w:w="980" w:type="dxa"/>
            <w:vAlign w:val="bottom"/>
            <w:vMerge w:val="restart"/>
          </w:tcPr>
          <w:p>
            <w:pPr>
              <w:jc w:val="center"/>
              <w:ind w:right="28"/>
              <w:spacing w:after="0"/>
              <w:rPr>
                <w:sz w:val="20"/>
                <w:szCs w:val="20"/>
                <w:color w:val="auto"/>
              </w:rPr>
            </w:pPr>
            <w:r>
              <w:rPr>
                <w:rFonts w:ascii="Arial" w:cs="Arial" w:eastAsia="Arial" w:hAnsi="Arial"/>
                <w:sz w:val="22"/>
                <w:szCs w:val="22"/>
                <w:b w:val="1"/>
                <w:bCs w:val="1"/>
                <w:color w:val="auto"/>
              </w:rPr>
              <w:t>4.58%</w:t>
            </w:r>
          </w:p>
        </w:tc>
        <w:tc>
          <w:tcPr>
            <w:tcW w:w="1340" w:type="dxa"/>
            <w:vAlign w:val="bottom"/>
          </w:tcPr>
          <w:p>
            <w:pPr>
              <w:ind w:left="160"/>
              <w:spacing w:after="0" w:line="231" w:lineRule="exact"/>
              <w:rPr>
                <w:sz w:val="20"/>
                <w:szCs w:val="20"/>
                <w:color w:val="auto"/>
              </w:rPr>
            </w:pPr>
            <w:r>
              <w:rPr>
                <w:rFonts w:ascii="Arial" w:cs="Arial" w:eastAsia="Arial" w:hAnsi="Arial"/>
                <w:sz w:val="22"/>
                <w:szCs w:val="22"/>
                <w:b w:val="1"/>
                <w:bCs w:val="1"/>
                <w:color w:val="auto"/>
              </w:rPr>
              <w:t>2013</w:t>
            </w:r>
          </w:p>
        </w:tc>
        <w:tc>
          <w:tcPr>
            <w:tcW w:w="1620" w:type="dxa"/>
            <w:vAlign w:val="bottom"/>
            <w:vMerge w:val="restart"/>
          </w:tcPr>
          <w:p>
            <w:pPr>
              <w:jc w:val="right"/>
              <w:ind w:right="28"/>
              <w:spacing w:after="0"/>
              <w:rPr>
                <w:sz w:val="20"/>
                <w:szCs w:val="20"/>
                <w:color w:val="auto"/>
              </w:rPr>
            </w:pPr>
            <w:r>
              <w:rPr>
                <w:rFonts w:ascii="Arial" w:cs="Arial" w:eastAsia="Arial" w:hAnsi="Arial"/>
                <w:sz w:val="22"/>
                <w:szCs w:val="22"/>
                <w:b w:val="1"/>
                <w:bCs w:val="1"/>
                <w:color w:val="auto"/>
              </w:rPr>
              <w:t>421</w:t>
            </w:r>
          </w:p>
        </w:tc>
        <w:tc>
          <w:tcPr>
            <w:tcW w:w="1300" w:type="dxa"/>
            <w:vAlign w:val="bottom"/>
            <w:vMerge w:val="restart"/>
          </w:tcPr>
          <w:p>
            <w:pPr>
              <w:jc w:val="center"/>
              <w:ind w:left="848"/>
              <w:spacing w:after="0"/>
              <w:rPr>
                <w:sz w:val="20"/>
                <w:szCs w:val="20"/>
                <w:color w:val="auto"/>
              </w:rPr>
            </w:pPr>
            <w:r>
              <w:rPr>
                <w:rFonts w:ascii="Arial" w:cs="Arial" w:eastAsia="Arial" w:hAnsi="Arial"/>
                <w:sz w:val="22"/>
                <w:szCs w:val="22"/>
                <w:b w:val="1"/>
                <w:bCs w:val="1"/>
                <w:color w:val="auto"/>
                <w:w w:val="81"/>
              </w:rPr>
              <w:t>-</w:t>
            </w:r>
          </w:p>
        </w:tc>
        <w:tc>
          <w:tcPr>
            <w:tcW w:w="0" w:type="dxa"/>
            <w:vAlign w:val="bottom"/>
          </w:tcPr>
          <w:p>
            <w:pPr>
              <w:spacing w:after="0"/>
              <w:rPr>
                <w:sz w:val="1"/>
                <w:szCs w:val="1"/>
                <w:color w:val="auto"/>
              </w:rPr>
            </w:pPr>
          </w:p>
        </w:tc>
      </w:tr>
      <w:tr>
        <w:trPr>
          <w:trHeight w:val="226"/>
        </w:trPr>
        <w:tc>
          <w:tcPr>
            <w:tcW w:w="980" w:type="dxa"/>
            <w:vAlign w:val="bottom"/>
            <w:vMerge w:val="continue"/>
          </w:tcPr>
          <w:p>
            <w:pPr>
              <w:spacing w:after="0"/>
              <w:rPr>
                <w:sz w:val="19"/>
                <w:szCs w:val="19"/>
                <w:color w:val="auto"/>
              </w:rPr>
            </w:pPr>
          </w:p>
        </w:tc>
        <w:tc>
          <w:tcPr>
            <w:tcW w:w="1340" w:type="dxa"/>
            <w:vAlign w:val="bottom"/>
          </w:tcPr>
          <w:p>
            <w:pPr>
              <w:ind w:left="160"/>
              <w:spacing w:after="0" w:line="226" w:lineRule="exact"/>
              <w:rPr>
                <w:sz w:val="20"/>
                <w:szCs w:val="20"/>
                <w:color w:val="auto"/>
              </w:rPr>
            </w:pPr>
            <w:r>
              <w:rPr>
                <w:rFonts w:ascii="Arial" w:cs="Arial" w:eastAsia="Arial" w:hAnsi="Arial"/>
                <w:sz w:val="22"/>
                <w:szCs w:val="22"/>
                <w:b w:val="1"/>
                <w:bCs w:val="1"/>
                <w:color w:val="auto"/>
              </w:rPr>
              <w:t>June</w:t>
            </w:r>
          </w:p>
        </w:tc>
        <w:tc>
          <w:tcPr>
            <w:tcW w:w="16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980" w:type="dxa"/>
            <w:vAlign w:val="bottom"/>
            <w:vMerge w:val="restart"/>
          </w:tcPr>
          <w:p>
            <w:pPr>
              <w:jc w:val="center"/>
              <w:ind w:right="28"/>
              <w:spacing w:after="0"/>
              <w:rPr>
                <w:sz w:val="20"/>
                <w:szCs w:val="20"/>
                <w:color w:val="auto"/>
              </w:rPr>
            </w:pPr>
            <w:r>
              <w:rPr>
                <w:rFonts w:ascii="Arial" w:cs="Arial" w:eastAsia="Arial" w:hAnsi="Arial"/>
                <w:sz w:val="22"/>
                <w:szCs w:val="22"/>
                <w:b w:val="1"/>
                <w:bCs w:val="1"/>
                <w:color w:val="auto"/>
              </w:rPr>
              <w:t>6.11%</w:t>
            </w:r>
          </w:p>
        </w:tc>
        <w:tc>
          <w:tcPr>
            <w:tcW w:w="1340" w:type="dxa"/>
            <w:vAlign w:val="bottom"/>
          </w:tcPr>
          <w:p>
            <w:pPr>
              <w:ind w:left="160"/>
              <w:spacing w:after="0" w:line="231" w:lineRule="exact"/>
              <w:rPr>
                <w:sz w:val="20"/>
                <w:szCs w:val="20"/>
                <w:color w:val="auto"/>
              </w:rPr>
            </w:pPr>
            <w:r>
              <w:rPr>
                <w:rFonts w:ascii="Arial" w:cs="Arial" w:eastAsia="Arial" w:hAnsi="Arial"/>
                <w:sz w:val="22"/>
                <w:szCs w:val="22"/>
                <w:b w:val="1"/>
                <w:bCs w:val="1"/>
                <w:color w:val="auto"/>
              </w:rPr>
              <w:t>2012</w:t>
            </w:r>
          </w:p>
        </w:tc>
        <w:tc>
          <w:tcPr>
            <w:tcW w:w="1620" w:type="dxa"/>
            <w:vAlign w:val="bottom"/>
            <w:vMerge w:val="restart"/>
          </w:tcPr>
          <w:p>
            <w:pPr>
              <w:jc w:val="right"/>
              <w:ind w:right="28"/>
              <w:spacing w:after="0"/>
              <w:rPr>
                <w:sz w:val="20"/>
                <w:szCs w:val="20"/>
                <w:color w:val="auto"/>
              </w:rPr>
            </w:pPr>
            <w:r>
              <w:rPr>
                <w:rFonts w:ascii="Arial" w:cs="Arial" w:eastAsia="Arial" w:hAnsi="Arial"/>
                <w:sz w:val="22"/>
                <w:szCs w:val="22"/>
                <w:b w:val="1"/>
                <w:bCs w:val="1"/>
                <w:color w:val="auto"/>
              </w:rPr>
              <w:t>140</w:t>
            </w:r>
          </w:p>
        </w:tc>
        <w:tc>
          <w:tcPr>
            <w:tcW w:w="1300" w:type="dxa"/>
            <w:vAlign w:val="bottom"/>
            <w:vMerge w:val="restart"/>
          </w:tcPr>
          <w:p>
            <w:pPr>
              <w:jc w:val="center"/>
              <w:ind w:left="788"/>
              <w:spacing w:after="0"/>
              <w:rPr>
                <w:sz w:val="20"/>
                <w:szCs w:val="20"/>
                <w:color w:val="auto"/>
              </w:rPr>
            </w:pPr>
            <w:r>
              <w:rPr>
                <w:rFonts w:ascii="Arial" w:cs="Arial" w:eastAsia="Arial" w:hAnsi="Arial"/>
                <w:sz w:val="22"/>
                <w:szCs w:val="22"/>
                <w:b w:val="1"/>
                <w:bCs w:val="1"/>
                <w:color w:val="auto"/>
                <w:w w:val="97"/>
              </w:rPr>
              <w:t>474</w:t>
            </w: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22"/>
                <w:szCs w:val="22"/>
                <w:b w:val="1"/>
                <w:bCs w:val="1"/>
                <w:color w:val="auto"/>
              </w:rPr>
              <w:t>Nov 2012</w:t>
            </w:r>
          </w:p>
        </w:tc>
        <w:tc>
          <w:tcPr>
            <w:tcW w:w="162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980" w:type="dxa"/>
            <w:vAlign w:val="bottom"/>
          </w:tcPr>
          <w:p>
            <w:pPr>
              <w:jc w:val="center"/>
              <w:ind w:right="48"/>
              <w:spacing w:after="0"/>
              <w:rPr>
                <w:sz w:val="20"/>
                <w:szCs w:val="20"/>
                <w:color w:val="auto"/>
              </w:rPr>
            </w:pPr>
            <w:r>
              <w:rPr>
                <w:rFonts w:ascii="Arial" w:cs="Arial" w:eastAsia="Arial" w:hAnsi="Arial"/>
                <w:sz w:val="22"/>
                <w:szCs w:val="22"/>
                <w:b w:val="1"/>
                <w:bCs w:val="1"/>
                <w:color w:val="auto"/>
              </w:rPr>
              <w:t>Various</w:t>
            </w:r>
          </w:p>
        </w:tc>
        <w:tc>
          <w:tcPr>
            <w:tcW w:w="1340" w:type="dxa"/>
            <w:vAlign w:val="bottom"/>
          </w:tcPr>
          <w:p>
            <w:pPr>
              <w:jc w:val="center"/>
              <w:spacing w:after="0"/>
              <w:rPr>
                <w:sz w:val="20"/>
                <w:szCs w:val="20"/>
                <w:color w:val="auto"/>
              </w:rPr>
            </w:pPr>
            <w:r>
              <w:rPr>
                <w:rFonts w:ascii="Arial" w:cs="Arial" w:eastAsia="Arial" w:hAnsi="Arial"/>
                <w:sz w:val="22"/>
                <w:szCs w:val="22"/>
                <w:b w:val="1"/>
                <w:bCs w:val="1"/>
                <w:color w:val="auto"/>
                <w:w w:val="99"/>
              </w:rPr>
              <w:t>Various</w:t>
            </w:r>
          </w:p>
        </w:tc>
        <w:tc>
          <w:tcPr>
            <w:tcW w:w="1620" w:type="dxa"/>
            <w:vAlign w:val="bottom"/>
          </w:tcPr>
          <w:p>
            <w:pPr>
              <w:jc w:val="right"/>
              <w:ind w:right="28"/>
              <w:spacing w:after="0"/>
              <w:rPr>
                <w:sz w:val="20"/>
                <w:szCs w:val="20"/>
                <w:color w:val="auto"/>
              </w:rPr>
            </w:pPr>
            <w:r>
              <w:rPr>
                <w:rFonts w:ascii="Arial" w:cs="Arial" w:eastAsia="Arial" w:hAnsi="Arial"/>
                <w:sz w:val="22"/>
                <w:szCs w:val="22"/>
                <w:b w:val="1"/>
                <w:bCs w:val="1"/>
                <w:color w:val="auto"/>
              </w:rPr>
              <w:t>32</w:t>
            </w:r>
          </w:p>
        </w:tc>
        <w:tc>
          <w:tcPr>
            <w:tcW w:w="1300" w:type="dxa"/>
            <w:vAlign w:val="bottom"/>
          </w:tcPr>
          <w:p>
            <w:pPr>
              <w:jc w:val="center"/>
              <w:ind w:left="808"/>
              <w:spacing w:after="0"/>
              <w:rPr>
                <w:sz w:val="20"/>
                <w:szCs w:val="20"/>
                <w:color w:val="auto"/>
              </w:rPr>
            </w:pPr>
            <w:r>
              <w:rPr>
                <w:rFonts w:ascii="Arial" w:cs="Arial" w:eastAsia="Arial" w:hAnsi="Arial"/>
                <w:sz w:val="22"/>
                <w:szCs w:val="22"/>
                <w:b w:val="1"/>
                <w:bCs w:val="1"/>
                <w:color w:val="auto"/>
              </w:rPr>
              <w:t>368</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jc w:val="right"/>
              <w:ind w:right="8"/>
              <w:spacing w:after="0"/>
              <w:rPr>
                <w:sz w:val="20"/>
                <w:szCs w:val="20"/>
                <w:color w:val="auto"/>
              </w:rPr>
            </w:pPr>
            <w:r>
              <w:rPr>
                <w:rFonts w:ascii="Arial" w:cs="Arial" w:eastAsia="Arial" w:hAnsi="Arial"/>
                <w:sz w:val="22"/>
                <w:szCs w:val="22"/>
                <w:b w:val="1"/>
                <w:bCs w:val="1"/>
                <w:color w:val="auto"/>
              </w:rPr>
              <w:t>874</w:t>
            </w:r>
          </w:p>
        </w:tc>
        <w:tc>
          <w:tcPr>
            <w:tcW w:w="1300" w:type="dxa"/>
            <w:vAlign w:val="bottom"/>
          </w:tcPr>
          <w:p>
            <w:pPr>
              <w:jc w:val="center"/>
              <w:ind w:left="788"/>
              <w:spacing w:after="0"/>
              <w:rPr>
                <w:sz w:val="20"/>
                <w:szCs w:val="20"/>
                <w:color w:val="auto"/>
              </w:rPr>
            </w:pPr>
            <w:r>
              <w:rPr>
                <w:rFonts w:ascii="Arial" w:cs="Arial" w:eastAsia="Arial" w:hAnsi="Arial"/>
                <w:sz w:val="22"/>
                <w:szCs w:val="22"/>
                <w:b w:val="1"/>
                <w:bCs w:val="1"/>
                <w:color w:val="auto"/>
                <w:w w:val="97"/>
              </w:rPr>
              <w:t>842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632" w:space="60"/>
            <w:col w:w="240" w:space="600"/>
            <w:col w:w="6060"/>
          </w:cols>
          <w:pgMar w:left="608" w:top="417"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2" w:right="1240" w:hanging="260"/>
        <w:spacing w:after="0" w:line="254" w:lineRule="auto"/>
        <w:tabs>
          <w:tab w:leader="none" w:pos="272" w:val="left"/>
        </w:tabs>
        <w:numPr>
          <w:ilvl w:val="1"/>
          <w:numId w:val="17"/>
        </w:numPr>
        <w:rPr>
          <w:rFonts w:ascii="Arial" w:cs="Arial" w:eastAsia="Arial" w:hAnsi="Arial"/>
          <w:sz w:val="14"/>
          <w:szCs w:val="14"/>
          <w:color w:val="auto"/>
        </w:rPr>
      </w:pPr>
      <w:r>
        <w:rPr>
          <w:rFonts w:ascii="Arial" w:cs="Arial" w:eastAsia="Arial" w:hAnsi="Arial"/>
          <w:sz w:val="14"/>
          <w:szCs w:val="14"/>
          <w:color w:val="auto"/>
        </w:rPr>
        <w:t>$625M multi-currency Revolving Credit Agreement provided by 17 banks. As of June 30, 2009, there was a €100M borrowing under the Revolving Credit Agreement at Euro LIBOR + 40 bps (our current credit spread). The Euro LIBOR portion has been swapped to a 5.71% fixed rate until July 2010, resulting in a total current borrowing cost of 6.11%. The credit agreement requires, among other things, that we comply with a Debt-to-EBITDA ratio of less than 3.25 to 1 and a fixed charge ratio of greater than 2.00 to 1. As defined in the agreement, we had a Debt-to-EBITDA ratio of 1.9 to 1 and a fixed charge ratio of 2.5 to 1 as of June 30, 2009.</w:t>
      </w:r>
    </w:p>
    <w:p>
      <w:pPr>
        <w:spacing w:after="0" w:line="85" w:lineRule="exact"/>
        <w:rPr>
          <w:rFonts w:ascii="Arial" w:cs="Arial" w:eastAsia="Arial" w:hAnsi="Arial"/>
          <w:sz w:val="14"/>
          <w:szCs w:val="14"/>
          <w:color w:val="auto"/>
        </w:rPr>
      </w:pPr>
    </w:p>
    <w:p>
      <w:pPr>
        <w:ind w:left="252" w:hanging="252"/>
        <w:spacing w:after="0"/>
        <w:tabs>
          <w:tab w:leader="none" w:pos="252"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During June we terminated our $100M U.S. Accounts Receivable Securitization program which would have expired in July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817245</wp:posOffset>
            </wp:positionV>
            <wp:extent cx="726694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92"/>
          </w:cols>
          <w:pgMar w:left="608" w:top="417" w:right="69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spacing w:after="0"/>
        <w:rPr>
          <w:sz w:val="20"/>
          <w:szCs w:val="20"/>
          <w:color w:val="auto"/>
        </w:rPr>
      </w:pPr>
      <w:r>
        <w:rPr>
          <w:rFonts w:ascii="Arial" w:cs="Arial" w:eastAsia="Arial" w:hAnsi="Arial"/>
          <w:sz w:val="48"/>
          <w:szCs w:val="48"/>
          <w:color w:val="6698C2"/>
        </w:rPr>
        <w:t>Third Quarter Outlook</w:t>
      </w:r>
    </w:p>
    <w:p>
      <w:pPr>
        <w:sectPr>
          <w:pgSz w:w="11900" w:h="16838" w:orient="portrait"/>
          <w:cols w:equalWidth="0" w:num="1">
            <w:col w:w="10460"/>
          </w:cols>
          <w:pgMar w:left="740" w:top="417" w:right="6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tabs>
          <w:tab w:leader="none" w:pos="2520" w:val="left"/>
        </w:tabs>
        <w:rPr>
          <w:sz w:val="20"/>
          <w:szCs w:val="20"/>
          <w:color w:val="auto"/>
        </w:rPr>
      </w:pPr>
      <w:r>
        <w:rPr>
          <w:rFonts w:ascii="Arial" w:cs="Arial" w:eastAsia="Arial" w:hAnsi="Arial"/>
          <w:sz w:val="35"/>
          <w:szCs w:val="35"/>
          <w:b w:val="1"/>
          <w:bCs w:val="1"/>
          <w:color w:val="7EA190"/>
        </w:rPr>
        <w:t>Revenue</w:t>
      </w:r>
      <w:r>
        <w:rPr>
          <w:sz w:val="20"/>
          <w:szCs w:val="20"/>
          <w:color w:val="auto"/>
        </w:rPr>
        <w:tab/>
      </w:r>
      <w:r>
        <w:rPr>
          <w:rFonts w:ascii="Arial" w:cs="Arial" w:eastAsia="Arial" w:hAnsi="Arial"/>
          <w:sz w:val="32"/>
          <w:szCs w:val="32"/>
          <w:b w:val="1"/>
          <w:bCs w:val="1"/>
          <w:color w:val="auto"/>
        </w:rPr>
        <w:t>Americas</w:t>
      </w:r>
    </w:p>
    <w:p>
      <w:pPr>
        <w:spacing w:after="0" w:line="87" w:lineRule="exact"/>
        <w:rPr>
          <w:sz w:val="20"/>
          <w:szCs w:val="20"/>
          <w:color w:val="auto"/>
        </w:rPr>
      </w:pPr>
    </w:p>
    <w:p>
      <w:pPr>
        <w:jc w:val="right"/>
        <w:ind w:right="60"/>
        <w:spacing w:after="0"/>
        <w:rPr>
          <w:sz w:val="20"/>
          <w:szCs w:val="20"/>
          <w:color w:val="auto"/>
        </w:rPr>
      </w:pPr>
      <w:r>
        <w:rPr>
          <w:rFonts w:ascii="Arial" w:cs="Arial" w:eastAsia="Arial" w:hAnsi="Arial"/>
          <w:sz w:val="32"/>
          <w:szCs w:val="32"/>
          <w:b w:val="1"/>
          <w:bCs w:val="1"/>
          <w:color w:val="auto"/>
        </w:rPr>
        <w:t>France</w:t>
      </w:r>
    </w:p>
    <w:p>
      <w:pPr>
        <w:spacing w:after="0" w:line="76" w:lineRule="exact"/>
        <w:rPr>
          <w:sz w:val="20"/>
          <w:szCs w:val="20"/>
          <w:color w:val="auto"/>
        </w:rPr>
      </w:pPr>
    </w:p>
    <w:p>
      <w:pPr>
        <w:jc w:val="right"/>
        <w:ind w:right="40"/>
        <w:spacing w:after="0"/>
        <w:rPr>
          <w:sz w:val="20"/>
          <w:szCs w:val="20"/>
          <w:color w:val="auto"/>
        </w:rPr>
      </w:pPr>
      <w:r>
        <w:rPr>
          <w:rFonts w:ascii="Arial" w:cs="Arial" w:eastAsia="Arial" w:hAnsi="Arial"/>
          <w:sz w:val="32"/>
          <w:szCs w:val="32"/>
          <w:b w:val="1"/>
          <w:bCs w:val="1"/>
          <w:color w:val="auto"/>
        </w:rPr>
        <w:t>EMEA</w:t>
      </w:r>
    </w:p>
    <w:p>
      <w:pPr>
        <w:spacing w:after="0" w:line="101" w:lineRule="exact"/>
        <w:rPr>
          <w:sz w:val="20"/>
          <w:szCs w:val="20"/>
          <w:color w:val="auto"/>
        </w:rPr>
      </w:pPr>
    </w:p>
    <w:p>
      <w:pPr>
        <w:ind w:left="2760"/>
        <w:spacing w:after="0"/>
        <w:rPr>
          <w:sz w:val="20"/>
          <w:szCs w:val="20"/>
          <w:color w:val="auto"/>
        </w:rPr>
      </w:pPr>
      <w:r>
        <w:rPr>
          <w:rFonts w:ascii="Arial" w:cs="Arial" w:eastAsia="Arial" w:hAnsi="Arial"/>
          <w:sz w:val="32"/>
          <w:szCs w:val="32"/>
          <w:b w:val="1"/>
          <w:bCs w:val="1"/>
          <w:color w:val="auto"/>
        </w:rPr>
        <w:t>Asia</w:t>
      </w:r>
    </w:p>
    <w:p>
      <w:pPr>
        <w:spacing w:after="0" w:line="44" w:lineRule="exact"/>
        <w:rPr>
          <w:sz w:val="20"/>
          <w:szCs w:val="20"/>
          <w:color w:val="auto"/>
        </w:rPr>
      </w:pPr>
    </w:p>
    <w:p>
      <w:pPr>
        <w:ind w:left="2120"/>
        <w:spacing w:after="0"/>
        <w:rPr>
          <w:sz w:val="20"/>
          <w:szCs w:val="20"/>
          <w:color w:val="auto"/>
        </w:rPr>
      </w:pPr>
      <w:r>
        <w:rPr>
          <w:rFonts w:ascii="Arial" w:cs="Arial" w:eastAsia="Arial" w:hAnsi="Arial"/>
          <w:sz w:val="32"/>
          <w:szCs w:val="32"/>
          <w:b w:val="1"/>
          <w:bCs w:val="1"/>
          <w:color w:val="auto"/>
        </w:rPr>
        <w:t>RightPacific</w:t>
      </w:r>
    </w:p>
    <w:p>
      <w:pPr>
        <w:spacing w:after="0" w:line="28" w:lineRule="exact"/>
        <w:rPr>
          <w:sz w:val="20"/>
          <w:szCs w:val="20"/>
          <w:color w:val="auto"/>
        </w:rPr>
      </w:pPr>
    </w:p>
    <w:p>
      <w:pPr>
        <w:ind w:left="1640" w:hanging="92"/>
        <w:spacing w:after="0" w:line="184" w:lineRule="auto"/>
        <w:rPr>
          <w:sz w:val="20"/>
          <w:szCs w:val="20"/>
          <w:color w:val="auto"/>
        </w:rPr>
      </w:pPr>
      <w:r>
        <w:rPr>
          <w:rFonts w:ascii="Arial" w:cs="Arial" w:eastAsia="Arial" w:hAnsi="Arial"/>
          <w:sz w:val="28"/>
          <w:szCs w:val="28"/>
          <w:b w:val="1"/>
          <w:bCs w:val="1"/>
          <w:color w:val="auto"/>
        </w:rPr>
        <w:t>Management Jefferson Wells</w:t>
      </w:r>
    </w:p>
    <w:p>
      <w:pPr>
        <w:spacing w:after="0" w:line="31" w:lineRule="exact"/>
        <w:rPr>
          <w:sz w:val="20"/>
          <w:szCs w:val="20"/>
          <w:color w:val="auto"/>
        </w:rPr>
      </w:pPr>
    </w:p>
    <w:p>
      <w:pPr>
        <w:ind w:left="3220"/>
        <w:spacing w:after="0"/>
        <w:rPr>
          <w:sz w:val="20"/>
          <w:szCs w:val="20"/>
          <w:color w:val="auto"/>
        </w:rPr>
      </w:pPr>
      <w:r>
        <w:rPr>
          <w:rFonts w:ascii="Arial" w:cs="Arial" w:eastAsia="Arial" w:hAnsi="Arial"/>
          <w:sz w:val="32"/>
          <w:szCs w:val="32"/>
          <w:b w:val="1"/>
          <w:bCs w:val="1"/>
          <w:color w:val="auto"/>
        </w:rPr>
        <w:t>Total</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35"/>
          <w:szCs w:val="35"/>
          <w:b w:val="1"/>
          <w:bCs w:val="1"/>
          <w:color w:val="7EA190"/>
        </w:rPr>
        <w:t>Gross Profit</w:t>
      </w:r>
    </w:p>
    <w:p>
      <w:pPr>
        <w:ind w:left="1080"/>
        <w:spacing w:after="0" w:line="182" w:lineRule="auto"/>
        <w:rPr>
          <w:sz w:val="20"/>
          <w:szCs w:val="20"/>
          <w:color w:val="auto"/>
        </w:rPr>
      </w:pPr>
      <w:r>
        <w:rPr>
          <w:rFonts w:ascii="Arial" w:cs="Arial" w:eastAsia="Arial" w:hAnsi="Arial"/>
          <w:sz w:val="25"/>
          <w:szCs w:val="25"/>
          <w:b w:val="1"/>
          <w:bCs w:val="1"/>
          <w:color w:val="7EA190"/>
        </w:rPr>
        <w:t>Margin</w:t>
      </w:r>
    </w:p>
    <w:p>
      <w:pPr>
        <w:ind w:left="660"/>
        <w:spacing w:after="0"/>
        <w:rPr>
          <w:sz w:val="20"/>
          <w:szCs w:val="20"/>
          <w:color w:val="auto"/>
        </w:rPr>
      </w:pPr>
      <w:r>
        <w:rPr>
          <w:rFonts w:ascii="Arial" w:cs="Arial" w:eastAsia="Arial" w:hAnsi="Arial"/>
          <w:sz w:val="35"/>
          <w:szCs w:val="35"/>
          <w:b w:val="1"/>
          <w:bCs w:val="1"/>
          <w:color w:val="7EA190"/>
        </w:rPr>
        <w:t>Operating Profit</w:t>
      </w:r>
    </w:p>
    <w:p>
      <w:pPr>
        <w:spacing w:after="0" w:line="227" w:lineRule="auto"/>
        <w:rPr>
          <w:sz w:val="20"/>
          <w:szCs w:val="20"/>
          <w:color w:val="auto"/>
        </w:rPr>
      </w:pPr>
      <w:r>
        <w:rPr>
          <w:rFonts w:ascii="Arial" w:cs="Arial" w:eastAsia="Arial" w:hAnsi="Arial"/>
          <w:sz w:val="35"/>
          <w:szCs w:val="35"/>
          <w:b w:val="1"/>
          <w:bCs w:val="1"/>
          <w:color w:val="7EA190"/>
        </w:rPr>
        <w:t>Tax Rate</w:t>
      </w:r>
      <w:r>
        <w:rPr>
          <w:rFonts w:ascii="Arial" w:cs="Arial" w:eastAsia="Arial" w:hAnsi="Arial"/>
          <w:sz w:val="70"/>
          <w:szCs w:val="70"/>
          <w:b w:val="1"/>
          <w:bCs w:val="1"/>
          <w:color w:val="7EA190"/>
          <w:vertAlign w:val="superscript"/>
        </w:rPr>
        <w:t>Margin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7EA190"/>
        </w:rPr>
        <w:t>EPS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60"/>
        <w:spacing w:after="0"/>
        <w:rPr>
          <w:sz w:val="20"/>
          <w:szCs w:val="20"/>
          <w:color w:val="auto"/>
        </w:rPr>
      </w:pPr>
      <w:r>
        <w:rPr>
          <w:rFonts w:ascii="Arial" w:cs="Arial" w:eastAsia="Arial" w:hAnsi="Arial"/>
          <w:sz w:val="54"/>
          <w:szCs w:val="54"/>
          <w:color w:val="auto"/>
          <w:vertAlign w:val="subscript"/>
        </w:rPr>
        <w:t>Down 21-23%</w:t>
      </w:r>
      <w:r>
        <w:rPr>
          <w:rFonts w:ascii="Arial" w:cs="Arial" w:eastAsia="Arial" w:hAnsi="Arial"/>
          <w:sz w:val="29"/>
          <w:szCs w:val="29"/>
          <w:color w:val="auto"/>
        </w:rPr>
        <w:t xml:space="preserve"> (Down 16-18% CC)</w:t>
      </w:r>
    </w:p>
    <w:p>
      <w:pPr>
        <w:spacing w:after="0" w:line="270" w:lineRule="exact"/>
        <w:rPr>
          <w:sz w:val="20"/>
          <w:szCs w:val="20"/>
          <w:color w:val="auto"/>
        </w:rPr>
      </w:pPr>
    </w:p>
    <w:p>
      <w:pPr>
        <w:ind w:left="140"/>
        <w:spacing w:after="0"/>
        <w:rPr>
          <w:sz w:val="20"/>
          <w:szCs w:val="20"/>
          <w:color w:val="auto"/>
        </w:rPr>
      </w:pPr>
      <w:r>
        <w:rPr>
          <w:rFonts w:ascii="Arial" w:cs="Arial" w:eastAsia="Arial" w:hAnsi="Arial"/>
          <w:sz w:val="32"/>
          <w:szCs w:val="32"/>
          <w:color w:val="auto"/>
        </w:rPr>
        <w:t>Down 36-38% (Down 31-33% CC)</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2220" w:type="dxa"/>
            <w:vAlign w:val="bottom"/>
          </w:tcPr>
          <w:p>
            <w:pPr>
              <w:ind w:left="120"/>
              <w:spacing w:after="0"/>
              <w:rPr>
                <w:sz w:val="20"/>
                <w:szCs w:val="20"/>
                <w:color w:val="auto"/>
              </w:rPr>
            </w:pPr>
            <w:r>
              <w:rPr>
                <w:rFonts w:ascii="Arial" w:cs="Arial" w:eastAsia="Arial" w:hAnsi="Arial"/>
                <w:sz w:val="32"/>
                <w:szCs w:val="32"/>
                <w:color w:val="auto"/>
              </w:rPr>
              <w:t>Down 32-34%</w:t>
            </w:r>
          </w:p>
        </w:tc>
        <w:tc>
          <w:tcPr>
            <w:tcW w:w="2460" w:type="dxa"/>
            <w:vAlign w:val="bottom"/>
          </w:tcPr>
          <w:p>
            <w:pPr>
              <w:jc w:val="center"/>
              <w:ind w:left="194"/>
              <w:spacing w:after="0"/>
              <w:rPr>
                <w:sz w:val="20"/>
                <w:szCs w:val="20"/>
                <w:color w:val="auto"/>
              </w:rPr>
            </w:pPr>
            <w:r>
              <w:rPr>
                <w:rFonts w:ascii="Arial" w:cs="Arial" w:eastAsia="Arial" w:hAnsi="Arial"/>
                <w:sz w:val="32"/>
                <w:szCs w:val="32"/>
                <w:color w:val="auto"/>
              </w:rPr>
              <w:t>(Down 26-28%</w:t>
            </w:r>
          </w:p>
        </w:tc>
        <w:tc>
          <w:tcPr>
            <w:tcW w:w="0" w:type="dxa"/>
            <w:vAlign w:val="bottom"/>
          </w:tcPr>
          <w:p>
            <w:pPr>
              <w:spacing w:after="0"/>
              <w:rPr>
                <w:sz w:val="1"/>
                <w:szCs w:val="1"/>
                <w:color w:val="auto"/>
              </w:rPr>
            </w:pPr>
          </w:p>
        </w:tc>
      </w:tr>
      <w:tr>
        <w:trPr>
          <w:trHeight w:val="290"/>
        </w:trPr>
        <w:tc>
          <w:tcPr>
            <w:tcW w:w="2220" w:type="dxa"/>
            <w:vAlign w:val="bottom"/>
            <w:vMerge w:val="restart"/>
          </w:tcPr>
          <w:p>
            <w:pPr>
              <w:jc w:val="center"/>
              <w:spacing w:after="0"/>
              <w:rPr>
                <w:sz w:val="20"/>
                <w:szCs w:val="20"/>
                <w:color w:val="auto"/>
              </w:rPr>
            </w:pPr>
            <w:r>
              <w:rPr>
                <w:rFonts w:ascii="Arial" w:cs="Arial" w:eastAsia="Arial" w:hAnsi="Arial"/>
                <w:sz w:val="32"/>
                <w:szCs w:val="32"/>
                <w:color w:val="auto"/>
                <w:w w:val="99"/>
              </w:rPr>
              <w:t>Down 10-12%</w:t>
            </w:r>
          </w:p>
        </w:tc>
        <w:tc>
          <w:tcPr>
            <w:tcW w:w="2460" w:type="dxa"/>
            <w:vAlign w:val="bottom"/>
          </w:tcPr>
          <w:p>
            <w:pPr>
              <w:jc w:val="center"/>
              <w:ind w:left="194"/>
              <w:spacing w:after="0" w:line="290" w:lineRule="exact"/>
              <w:rPr>
                <w:sz w:val="20"/>
                <w:szCs w:val="20"/>
                <w:color w:val="auto"/>
              </w:rPr>
            </w:pPr>
            <w:r>
              <w:rPr>
                <w:rFonts w:ascii="Arial" w:cs="Arial" w:eastAsia="Arial" w:hAnsi="Arial"/>
                <w:sz w:val="32"/>
                <w:szCs w:val="32"/>
                <w:color w:val="auto"/>
                <w:w w:val="98"/>
              </w:rPr>
              <w:t>CC)</w:t>
            </w: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2460" w:type="dxa"/>
            <w:vAlign w:val="bottom"/>
          </w:tcPr>
          <w:p>
            <w:pPr>
              <w:jc w:val="center"/>
              <w:ind w:left="194"/>
              <w:spacing w:after="0" w:line="202" w:lineRule="exact"/>
              <w:rPr>
                <w:sz w:val="20"/>
                <w:szCs w:val="20"/>
                <w:color w:val="auto"/>
              </w:rPr>
            </w:pPr>
            <w:r>
              <w:rPr>
                <w:rFonts w:ascii="Arial" w:cs="Arial" w:eastAsia="Arial" w:hAnsi="Arial"/>
                <w:sz w:val="23"/>
                <w:szCs w:val="23"/>
                <w:color w:val="auto"/>
              </w:rPr>
              <w:t>(Down 11-13%</w:t>
            </w:r>
          </w:p>
        </w:tc>
        <w:tc>
          <w:tcPr>
            <w:tcW w:w="0" w:type="dxa"/>
            <w:vAlign w:val="bottom"/>
          </w:tcPr>
          <w:p>
            <w:pPr>
              <w:spacing w:after="0"/>
              <w:rPr>
                <w:sz w:val="1"/>
                <w:szCs w:val="1"/>
                <w:color w:val="auto"/>
              </w:rPr>
            </w:pPr>
          </w:p>
        </w:tc>
      </w:tr>
      <w:tr>
        <w:trPr>
          <w:trHeight w:val="290"/>
        </w:trPr>
        <w:tc>
          <w:tcPr>
            <w:tcW w:w="2220" w:type="dxa"/>
            <w:vAlign w:val="bottom"/>
            <w:vMerge w:val="restart"/>
          </w:tcPr>
          <w:p>
            <w:pPr>
              <w:ind w:left="180"/>
              <w:spacing w:after="0"/>
              <w:rPr>
                <w:sz w:val="20"/>
                <w:szCs w:val="20"/>
                <w:color w:val="auto"/>
              </w:rPr>
            </w:pPr>
            <w:r>
              <w:rPr>
                <w:rFonts w:ascii="Arial" w:cs="Arial" w:eastAsia="Arial" w:hAnsi="Arial"/>
                <w:sz w:val="32"/>
                <w:szCs w:val="32"/>
                <w:color w:val="auto"/>
              </w:rPr>
              <w:t>Up 23-</w:t>
            </w:r>
          </w:p>
        </w:tc>
        <w:tc>
          <w:tcPr>
            <w:tcW w:w="2460" w:type="dxa"/>
            <w:vAlign w:val="bottom"/>
          </w:tcPr>
          <w:p>
            <w:pPr>
              <w:jc w:val="center"/>
              <w:ind w:left="214"/>
              <w:spacing w:after="0" w:line="290" w:lineRule="exact"/>
              <w:rPr>
                <w:sz w:val="20"/>
                <w:szCs w:val="20"/>
                <w:color w:val="auto"/>
              </w:rPr>
            </w:pPr>
            <w:r>
              <w:rPr>
                <w:rFonts w:ascii="Arial" w:cs="Arial" w:eastAsia="Arial" w:hAnsi="Arial"/>
                <w:sz w:val="32"/>
                <w:szCs w:val="32"/>
                <w:color w:val="auto"/>
              </w:rPr>
              <w:t>CC)</w:t>
            </w:r>
          </w:p>
        </w:tc>
        <w:tc>
          <w:tcPr>
            <w:tcW w:w="0" w:type="dxa"/>
            <w:vAlign w:val="bottom"/>
          </w:tcPr>
          <w:p>
            <w:pPr>
              <w:spacing w:after="0"/>
              <w:rPr>
                <w:sz w:val="1"/>
                <w:szCs w:val="1"/>
                <w:color w:val="auto"/>
              </w:rPr>
            </w:pPr>
          </w:p>
        </w:tc>
      </w:tr>
      <w:tr>
        <w:trPr>
          <w:trHeight w:val="107"/>
        </w:trPr>
        <w:tc>
          <w:tcPr>
            <w:tcW w:w="2220" w:type="dxa"/>
            <w:vAlign w:val="bottom"/>
            <w:vMerge w:val="continue"/>
          </w:tcPr>
          <w:p>
            <w:pPr>
              <w:spacing w:after="0"/>
              <w:rPr>
                <w:sz w:val="9"/>
                <w:szCs w:val="9"/>
                <w:color w:val="auto"/>
              </w:rPr>
            </w:pPr>
          </w:p>
        </w:tc>
        <w:tc>
          <w:tcPr>
            <w:tcW w:w="2460" w:type="dxa"/>
            <w:vAlign w:val="bottom"/>
          </w:tcPr>
          <w:p>
            <w:pPr>
              <w:jc w:val="center"/>
              <w:ind w:right="454"/>
              <w:spacing w:after="0" w:line="107" w:lineRule="exact"/>
              <w:rPr>
                <w:sz w:val="20"/>
                <w:szCs w:val="20"/>
                <w:color w:val="auto"/>
              </w:rPr>
            </w:pPr>
            <w:r>
              <w:rPr>
                <w:rFonts w:ascii="Arial" w:cs="Arial" w:eastAsia="Arial" w:hAnsi="Arial"/>
                <w:sz w:val="12"/>
                <w:szCs w:val="12"/>
                <w:color w:val="auto"/>
              </w:rPr>
              <w:t>(Up 29-31%</w:t>
            </w:r>
          </w:p>
        </w:tc>
        <w:tc>
          <w:tcPr>
            <w:tcW w:w="0" w:type="dxa"/>
            <w:vAlign w:val="bottom"/>
          </w:tcPr>
          <w:p>
            <w:pPr>
              <w:spacing w:after="0"/>
              <w:rPr>
                <w:sz w:val="1"/>
                <w:szCs w:val="1"/>
                <w:color w:val="auto"/>
              </w:rPr>
            </w:pPr>
          </w:p>
        </w:tc>
      </w:tr>
      <w:tr>
        <w:trPr>
          <w:trHeight w:val="290"/>
        </w:trPr>
        <w:tc>
          <w:tcPr>
            <w:tcW w:w="2220" w:type="dxa"/>
            <w:vAlign w:val="bottom"/>
          </w:tcPr>
          <w:p>
            <w:pPr>
              <w:spacing w:after="0" w:line="290" w:lineRule="exact"/>
              <w:rPr>
                <w:sz w:val="20"/>
                <w:szCs w:val="20"/>
                <w:color w:val="auto"/>
              </w:rPr>
            </w:pPr>
            <w:r>
              <w:rPr>
                <w:rFonts w:ascii="Arial" w:cs="Arial" w:eastAsia="Arial" w:hAnsi="Arial"/>
                <w:sz w:val="32"/>
                <w:szCs w:val="32"/>
                <w:color w:val="auto"/>
              </w:rPr>
              <w:t>25%</w:t>
            </w:r>
          </w:p>
        </w:tc>
        <w:tc>
          <w:tcPr>
            <w:tcW w:w="2460" w:type="dxa"/>
            <w:vAlign w:val="bottom"/>
          </w:tcPr>
          <w:p>
            <w:pPr>
              <w:jc w:val="center"/>
              <w:ind w:right="454"/>
              <w:spacing w:after="0" w:line="290" w:lineRule="exact"/>
              <w:rPr>
                <w:sz w:val="20"/>
                <w:szCs w:val="20"/>
                <w:color w:val="auto"/>
              </w:rPr>
            </w:pPr>
            <w:r>
              <w:rPr>
                <w:rFonts w:ascii="Arial" w:cs="Arial" w:eastAsia="Arial" w:hAnsi="Arial"/>
                <w:sz w:val="32"/>
                <w:szCs w:val="32"/>
                <w:color w:val="auto"/>
              </w:rPr>
              <w:t>CC)</w:t>
            </w:r>
          </w:p>
        </w:tc>
        <w:tc>
          <w:tcPr>
            <w:tcW w:w="0" w:type="dxa"/>
            <w:vAlign w:val="bottom"/>
          </w:tcPr>
          <w:p>
            <w:pPr>
              <w:spacing w:after="0"/>
              <w:rPr>
                <w:sz w:val="1"/>
                <w:szCs w:val="1"/>
                <w:color w:val="auto"/>
              </w:rPr>
            </w:pPr>
          </w:p>
        </w:tc>
      </w:tr>
      <w:tr>
        <w:trPr>
          <w:trHeight w:val="191"/>
        </w:trPr>
        <w:tc>
          <w:tcPr>
            <w:tcW w:w="2220" w:type="dxa"/>
            <w:vAlign w:val="bottom"/>
          </w:tcPr>
          <w:p>
            <w:pPr>
              <w:jc w:val="center"/>
              <w:ind w:left="9"/>
              <w:spacing w:after="0" w:line="190" w:lineRule="exact"/>
              <w:rPr>
                <w:sz w:val="20"/>
                <w:szCs w:val="20"/>
                <w:color w:val="auto"/>
              </w:rPr>
            </w:pPr>
            <w:r>
              <w:rPr>
                <w:rFonts w:ascii="Arial" w:cs="Arial" w:eastAsia="Arial" w:hAnsi="Arial"/>
                <w:sz w:val="22"/>
                <w:szCs w:val="22"/>
                <w:color w:val="auto"/>
              </w:rPr>
              <w:t>Down 38-</w:t>
            </w: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220" w:type="dxa"/>
            <w:vAlign w:val="bottom"/>
          </w:tcPr>
          <w:p>
            <w:pPr>
              <w:jc w:val="center"/>
              <w:spacing w:after="0" w:line="290" w:lineRule="exact"/>
              <w:rPr>
                <w:sz w:val="20"/>
                <w:szCs w:val="20"/>
                <w:color w:val="auto"/>
              </w:rPr>
            </w:pPr>
            <w:r>
              <w:rPr>
                <w:rFonts w:ascii="Arial" w:cs="Arial" w:eastAsia="Arial" w:hAnsi="Arial"/>
                <w:sz w:val="32"/>
                <w:szCs w:val="32"/>
                <w:color w:val="auto"/>
                <w:w w:val="99"/>
              </w:rPr>
              <w:t>40%</w:t>
            </w:r>
          </w:p>
        </w:tc>
        <w:tc>
          <w:tcPr>
            <w:tcW w:w="2460" w:type="dxa"/>
            <w:vAlign w:val="bottom"/>
            <w:vMerge w:val="restart"/>
          </w:tcPr>
          <w:p>
            <w:pPr>
              <w:jc w:val="center"/>
              <w:ind w:left="194"/>
              <w:spacing w:after="0"/>
              <w:rPr>
                <w:sz w:val="20"/>
                <w:szCs w:val="20"/>
                <w:color w:val="auto"/>
              </w:rPr>
            </w:pPr>
            <w:r>
              <w:rPr>
                <w:rFonts w:ascii="Arial" w:cs="Arial" w:eastAsia="Arial" w:hAnsi="Arial"/>
                <w:sz w:val="32"/>
                <w:szCs w:val="32"/>
                <w:color w:val="auto"/>
              </w:rPr>
              <w:t>(Down 24-26%</w:t>
            </w:r>
          </w:p>
        </w:tc>
        <w:tc>
          <w:tcPr>
            <w:tcW w:w="0" w:type="dxa"/>
            <w:vAlign w:val="bottom"/>
          </w:tcPr>
          <w:p>
            <w:pPr>
              <w:spacing w:after="0"/>
              <w:rPr>
                <w:sz w:val="1"/>
                <w:szCs w:val="1"/>
                <w:color w:val="auto"/>
              </w:rPr>
            </w:pPr>
          </w:p>
        </w:tc>
      </w:tr>
      <w:tr>
        <w:trPr>
          <w:trHeight w:val="155"/>
        </w:trPr>
        <w:tc>
          <w:tcPr>
            <w:tcW w:w="2220" w:type="dxa"/>
            <w:vAlign w:val="bottom"/>
          </w:tcPr>
          <w:p>
            <w:pPr>
              <w:jc w:val="center"/>
              <w:ind w:left="9"/>
              <w:spacing w:after="0" w:line="154" w:lineRule="exact"/>
              <w:rPr>
                <w:sz w:val="20"/>
                <w:szCs w:val="20"/>
                <w:color w:val="auto"/>
              </w:rPr>
            </w:pPr>
            <w:r>
              <w:rPr>
                <w:rFonts w:ascii="Arial" w:cs="Arial" w:eastAsia="Arial" w:hAnsi="Arial"/>
                <w:sz w:val="17"/>
                <w:szCs w:val="17"/>
                <w:color w:val="auto"/>
              </w:rPr>
              <w:t>Down 29-</w:t>
            </w:r>
          </w:p>
        </w:tc>
        <w:tc>
          <w:tcPr>
            <w:tcW w:w="2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2220" w:type="dxa"/>
            <w:vAlign w:val="bottom"/>
          </w:tcPr>
          <w:p>
            <w:pPr>
              <w:jc w:val="center"/>
              <w:spacing w:after="0" w:line="313" w:lineRule="exact"/>
              <w:rPr>
                <w:sz w:val="20"/>
                <w:szCs w:val="20"/>
                <w:color w:val="auto"/>
              </w:rPr>
            </w:pPr>
            <w:r>
              <w:rPr>
                <w:rFonts w:ascii="Arial" w:cs="Arial" w:eastAsia="Arial" w:hAnsi="Arial"/>
                <w:sz w:val="32"/>
                <w:szCs w:val="32"/>
                <w:color w:val="auto"/>
                <w:w w:val="99"/>
              </w:rPr>
              <w:t>31%</w:t>
            </w:r>
          </w:p>
        </w:tc>
        <w:tc>
          <w:tcPr>
            <w:tcW w:w="2460" w:type="dxa"/>
            <w:vAlign w:val="bottom"/>
          </w:tcPr>
          <w:p>
            <w:pPr>
              <w:jc w:val="center"/>
              <w:ind w:left="214"/>
              <w:spacing w:after="0" w:line="313" w:lineRule="exact"/>
              <w:rPr>
                <w:sz w:val="20"/>
                <w:szCs w:val="20"/>
                <w:color w:val="auto"/>
              </w:rPr>
            </w:pPr>
            <w:r>
              <w:rPr>
                <w:rFonts w:ascii="Arial" w:cs="Arial" w:eastAsia="Arial" w:hAnsi="Arial"/>
                <w:sz w:val="32"/>
                <w:szCs w:val="32"/>
                <w:color w:val="auto"/>
              </w:rPr>
              <w:t>CC)</w:t>
            </w:r>
          </w:p>
        </w:tc>
        <w:tc>
          <w:tcPr>
            <w:tcW w:w="0" w:type="dxa"/>
            <w:vAlign w:val="bottom"/>
          </w:tcPr>
          <w:p>
            <w:pPr>
              <w:spacing w:after="0"/>
              <w:rPr>
                <w:sz w:val="1"/>
                <w:szCs w:val="1"/>
                <w:color w:val="auto"/>
              </w:rPr>
            </w:pPr>
          </w:p>
        </w:tc>
      </w:tr>
      <w:tr>
        <w:trPr>
          <w:trHeight w:val="386"/>
        </w:trPr>
        <w:tc>
          <w:tcPr>
            <w:tcW w:w="2220" w:type="dxa"/>
            <w:vAlign w:val="bottom"/>
          </w:tcPr>
          <w:p>
            <w:pPr>
              <w:ind w:left="240"/>
              <w:spacing w:after="0"/>
              <w:rPr>
                <w:sz w:val="20"/>
                <w:szCs w:val="20"/>
                <w:color w:val="auto"/>
              </w:rPr>
            </w:pPr>
            <w:r>
              <w:rPr>
                <w:rFonts w:ascii="Arial" w:cs="Arial" w:eastAsia="Arial" w:hAnsi="Arial"/>
                <w:sz w:val="32"/>
                <w:szCs w:val="32"/>
                <w:color w:val="auto"/>
              </w:rPr>
              <w:t>17.5-17.7%</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220" w:type="dxa"/>
            <w:vAlign w:val="bottom"/>
          </w:tcPr>
          <w:p>
            <w:pPr>
              <w:jc w:val="right"/>
              <w:ind w:right="909"/>
              <w:spacing w:after="0"/>
              <w:rPr>
                <w:sz w:val="20"/>
                <w:szCs w:val="20"/>
                <w:color w:val="auto"/>
              </w:rPr>
            </w:pPr>
            <w:r>
              <w:rPr>
                <w:rFonts w:ascii="Arial" w:cs="Arial" w:eastAsia="Arial" w:hAnsi="Arial"/>
                <w:sz w:val="32"/>
                <w:szCs w:val="32"/>
                <w:color w:val="auto"/>
              </w:rPr>
              <w:t>0.7-</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220" w:type="dxa"/>
            <w:vAlign w:val="bottom"/>
          </w:tcPr>
          <w:p>
            <w:pPr>
              <w:jc w:val="right"/>
              <w:ind w:right="829"/>
              <w:spacing w:after="0" w:line="290" w:lineRule="exact"/>
              <w:rPr>
                <w:sz w:val="20"/>
                <w:szCs w:val="20"/>
                <w:color w:val="auto"/>
              </w:rPr>
            </w:pPr>
            <w:r>
              <w:rPr>
                <w:rFonts w:ascii="Arial" w:cs="Arial" w:eastAsia="Arial" w:hAnsi="Arial"/>
                <w:sz w:val="32"/>
                <w:szCs w:val="32"/>
                <w:color w:val="auto"/>
              </w:rPr>
              <w:t>0.9%</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220" w:type="dxa"/>
            <w:vAlign w:val="bottom"/>
          </w:tcPr>
          <w:p>
            <w:pPr>
              <w:ind w:left="240"/>
              <w:spacing w:after="0"/>
              <w:rPr>
                <w:sz w:val="20"/>
                <w:szCs w:val="20"/>
                <w:color w:val="auto"/>
              </w:rPr>
            </w:pPr>
            <w:r>
              <w:rPr>
                <w:rFonts w:ascii="Arial" w:cs="Arial" w:eastAsia="Arial" w:hAnsi="Arial"/>
                <w:sz w:val="32"/>
                <w:szCs w:val="32"/>
                <w:color w:val="auto"/>
              </w:rPr>
              <w:t>37%</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220" w:type="dxa"/>
            <w:vAlign w:val="bottom"/>
          </w:tcPr>
          <w:p>
            <w:pPr>
              <w:ind w:left="220"/>
              <w:spacing w:after="0"/>
              <w:rPr>
                <w:sz w:val="20"/>
                <w:szCs w:val="20"/>
                <w:color w:val="auto"/>
              </w:rPr>
            </w:pPr>
            <w:r>
              <w:rPr>
                <w:rFonts w:ascii="Arial" w:cs="Arial" w:eastAsia="Arial" w:hAnsi="Arial"/>
                <w:sz w:val="32"/>
                <w:szCs w:val="32"/>
                <w:color w:val="auto"/>
              </w:rPr>
              <w:t>$0.07-$0.21</w:t>
            </w:r>
          </w:p>
        </w:tc>
        <w:tc>
          <w:tcPr>
            <w:tcW w:w="2460" w:type="dxa"/>
            <w:vAlign w:val="bottom"/>
          </w:tcPr>
          <w:p>
            <w:pPr>
              <w:ind w:left="520"/>
              <w:spacing w:after="0"/>
              <w:rPr>
                <w:sz w:val="20"/>
                <w:szCs w:val="20"/>
                <w:color w:val="auto"/>
              </w:rPr>
            </w:pPr>
            <w:r>
              <w:rPr>
                <w:rFonts w:ascii="Arial" w:cs="Arial" w:eastAsia="Arial" w:hAnsi="Arial"/>
                <w:sz w:val="32"/>
                <w:szCs w:val="32"/>
                <w:color w:val="auto"/>
              </w:rPr>
              <w:t>(Neg. $.01</w:t>
            </w:r>
          </w:p>
        </w:tc>
        <w:tc>
          <w:tcPr>
            <w:tcW w:w="0" w:type="dxa"/>
            <w:vAlign w:val="bottom"/>
          </w:tcPr>
          <w:p>
            <w:pPr>
              <w:spacing w:after="0"/>
              <w:rPr>
                <w:sz w:val="1"/>
                <w:szCs w:val="1"/>
                <w:color w:val="auto"/>
              </w:rPr>
            </w:pPr>
          </w:p>
        </w:tc>
      </w:tr>
      <w:tr>
        <w:trPr>
          <w:trHeight w:val="386"/>
        </w:trPr>
        <w:tc>
          <w:tcPr>
            <w:tcW w:w="2220" w:type="dxa"/>
            <w:vAlign w:val="bottom"/>
          </w:tcPr>
          <w:p>
            <w:pPr>
              <w:spacing w:after="0"/>
              <w:rPr>
                <w:sz w:val="24"/>
                <w:szCs w:val="24"/>
                <w:color w:val="auto"/>
              </w:rPr>
            </w:pPr>
          </w:p>
        </w:tc>
        <w:tc>
          <w:tcPr>
            <w:tcW w:w="2460" w:type="dxa"/>
            <w:vAlign w:val="bottom"/>
          </w:tcPr>
          <w:p>
            <w:pPr>
              <w:ind w:left="560"/>
              <w:spacing w:after="0"/>
              <w:rPr>
                <w:sz w:val="20"/>
                <w:szCs w:val="20"/>
                <w:color w:val="auto"/>
              </w:rPr>
            </w:pPr>
            <w:r>
              <w:rPr>
                <w:rFonts w:ascii="Arial" w:cs="Arial" w:eastAsia="Arial" w:hAnsi="Arial"/>
                <w:sz w:val="32"/>
                <w:szCs w:val="32"/>
                <w:color w:val="auto"/>
              </w:rPr>
              <w:t>Currency)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-3141345</wp:posOffset>
            </wp:positionH>
            <wp:positionV relativeFrom="paragraph">
              <wp:posOffset>721995</wp:posOffset>
            </wp:positionV>
            <wp:extent cx="726694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4020" w:space="420"/>
            <w:col w:w="6020"/>
          </w:cols>
          <w:pgMar w:left="740" w:top="417" w:right="699" w:bottom="1440" w:gutter="0" w:footer="0" w:header="0"/>
          <w:type w:val="continuous"/>
        </w:sectPr>
      </w:pPr>
    </w:p>
    <w:bookmarkStart w:id="30" w:name="page31"/>
    <w:bookmarkEnd w:id="30"/>
    <w:p>
      <w:pPr>
        <w:ind w:left="20"/>
        <w:spacing w:after="0"/>
        <w:rPr>
          <w:sz w:val="20"/>
          <w:szCs w:val="20"/>
          <w:color w:val="auto"/>
        </w:rPr>
      </w:pPr>
      <w:r>
        <w:rPr>
          <w:rFonts w:ascii="Arial" w:cs="Arial" w:eastAsia="Arial" w:hAnsi="Arial"/>
          <w:sz w:val="29"/>
          <w:szCs w:val="29"/>
          <w:b w:val="1"/>
          <w:bCs w:val="1"/>
          <w:color w:val="6698C2"/>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 Inc.</w:t>
      </w:r>
    </w:p>
    <w:p>
      <w:pPr>
        <w:ind w:left="20"/>
        <w:spacing w:after="0" w:line="223" w:lineRule="auto"/>
        <w:rPr>
          <w:sz w:val="20"/>
          <w:szCs w:val="20"/>
          <w:color w:val="auto"/>
        </w:rPr>
      </w:pPr>
      <w:r>
        <w:rPr>
          <w:rFonts w:ascii="Arial" w:cs="Arial" w:eastAsia="Arial" w:hAnsi="Arial"/>
          <w:sz w:val="29"/>
          <w:szCs w:val="29"/>
          <w:b w:val="1"/>
          <w:bCs w:val="1"/>
          <w:color w:val="6698C2"/>
        </w:rPr>
        <w:t>2009 2</w:t>
      </w:r>
      <w:r>
        <w:rPr>
          <w:rFonts w:ascii="Arial" w:cs="Arial" w:eastAsia="Arial" w:hAnsi="Arial"/>
          <w:sz w:val="40"/>
          <w:szCs w:val="40"/>
          <w:b w:val="1"/>
          <w:bCs w:val="1"/>
          <w:color w:val="6698C2"/>
          <w:vertAlign w:val="superscript"/>
        </w:rPr>
        <w:t>nd</w:t>
      </w:r>
      <w:r>
        <w:rPr>
          <w:rFonts w:ascii="Arial" w:cs="Arial" w:eastAsia="Arial" w:hAnsi="Arial"/>
          <w:sz w:val="29"/>
          <w:szCs w:val="29"/>
          <w:b w:val="1"/>
          <w:bCs w:val="1"/>
          <w:color w:val="6698C2"/>
        </w:rPr>
        <w:t xml:space="preserve"> Quarter Results</w:t>
      </w:r>
    </w:p>
    <w:p>
      <w:pPr>
        <w:spacing w:after="0" w:line="1" w:lineRule="exact"/>
        <w:rPr>
          <w:sz w:val="20"/>
          <w:szCs w:val="20"/>
          <w:color w:val="auto"/>
        </w:rPr>
      </w:pPr>
    </w:p>
    <w:p>
      <w:pPr>
        <w:spacing w:after="0"/>
        <w:rPr>
          <w:sz w:val="20"/>
          <w:szCs w:val="20"/>
          <w:color w:val="auto"/>
        </w:rPr>
      </w:pPr>
      <w:r>
        <w:rPr>
          <w:rFonts w:ascii="Arial" w:cs="Arial" w:eastAsia="Arial" w:hAnsi="Arial"/>
          <w:sz w:val="26"/>
          <w:szCs w:val="26"/>
          <w:color w:val="auto"/>
        </w:rPr>
        <w:t>July 23,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40"/>
        <w:spacing w:after="0"/>
        <w:rPr>
          <w:sz w:val="20"/>
          <w:szCs w:val="20"/>
          <w:color w:val="auto"/>
        </w:rPr>
      </w:pPr>
      <w:r>
        <w:rPr>
          <w:rFonts w:ascii="Arial" w:cs="Arial" w:eastAsia="Arial" w:hAnsi="Arial"/>
          <w:sz w:val="64"/>
          <w:szCs w:val="64"/>
          <w:color w:val="auto"/>
        </w:rPr>
        <w:t>Questions?</w:t>
      </w:r>
    </w:p>
    <w:p>
      <w:pPr>
        <w:jc w:val="right"/>
        <w:ind w:right="619"/>
        <w:spacing w:after="0"/>
        <w:rPr>
          <w:sz w:val="20"/>
          <w:szCs w:val="20"/>
          <w:color w:val="auto"/>
        </w:rPr>
      </w:pPr>
      <w:r>
        <w:rPr>
          <w:rFonts w:ascii="Arial" w:cs="Arial" w:eastAsia="Arial" w:hAnsi="Arial"/>
          <w:sz w:val="96"/>
          <w:szCs w:val="96"/>
          <w:color w:val="auto"/>
        </w:rPr>
        <w:t>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2350770</wp:posOffset>
            </wp:positionV>
            <wp:extent cx="72669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359"/>
          </w:cols>
          <w:pgMar w:left="1100" w:top="816" w:right="1440"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Letter"/>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379"/>
    </w:lvl>
    <w:lvl w:ilvl="1">
      <w:lvlJc w:val="left"/>
      <w:lvlText w:val="(%2)"/>
      <w:numFmt w:val="decimal"/>
      <w:start w:val="17"/>
    </w:lvl>
  </w:abstractNum>
  <w:abstractNum w:abstractNumId="14">
    <w:nsid w:val="4E6AFB66"/>
    <w:multiLevelType w:val="hybridMultilevel"/>
    <w:lvl w:ilvl="0">
      <w:lvlJc w:val="left"/>
      <w:lvlText w:val="%1"/>
      <w:numFmt w:val="decimal"/>
      <w:start w:val="1"/>
    </w:lvl>
    <w:lvl w:ilvl="1">
      <w:lvlJc w:val="left"/>
      <w:lvlText w:val="(%2)"/>
      <w:numFmt w:val="decimal"/>
      <w:start w:val="22"/>
    </w:lvl>
    <w:lvl w:ilvl="2">
      <w:lvlJc w:val="left"/>
      <w:lvlText w:val="(%3)"/>
      <w:numFmt w:val="decimal"/>
      <w:start w:val="1"/>
    </w:lvl>
  </w:abstractNum>
  <w:abstractNum w:abstractNumId="15">
    <w:nsid w:val="25E45D32"/>
    <w:multiLevelType w:val="hybridMultilevel"/>
    <w:lvl w:ilvl="0">
      <w:lvlJc w:val="left"/>
      <w:lvlText w:val="(%1)"/>
      <w:numFmt w:val="decimal"/>
      <w:start w:val="21"/>
    </w:lvl>
    <w:lvl w:ilvl="1">
      <w:lvlJc w:val="left"/>
      <w:lvlText w:val="%2"/>
      <w:numFmt w:val="decimal"/>
      <w:start w:val="1"/>
    </w:lvl>
    <w:lvl w:ilvl="2">
      <w:lvlJc w:val="left"/>
      <w:lvlText w:val="%3"/>
      <w:numFmt w:val="decimal"/>
      <w:start w:val="1"/>
    </w:lvl>
  </w:abstractNum>
  <w:abstractNum w:abstractNumId="16">
    <w:nsid w:val="519B500D"/>
    <w:multiLevelType w:val="hybridMultilevel"/>
    <w:lvl w:ilvl="0">
      <w:lvlJc w:val="left"/>
      <w:lvlText w:val="%1"/>
      <w:numFmt w:val="lowerLetter"/>
      <w:start w:val="1"/>
    </w:lvl>
    <w:lvl w:ilvl="1">
      <w:lvlJc w:val="left"/>
      <w:lvlText w:val="(%2)"/>
      <w:numFmt w:val="lowerLetter"/>
      <w:start w:val="1"/>
    </w:lvl>
  </w:abstractNum>
  <w:abstractNum w:abstractNumId="17">
    <w:nsid w:val="431BD7B7"/>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2019-12-10T09:12:06Z</dcterms:created>
  <dcterms:modified xsi:type="dcterms:W3CDTF">2019-12-10T09:12:06Z</dcterms:modified>
</cp:coreProperties>
</file>