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88"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FORM 8-K</w:t>
      </w:r>
    </w:p>
    <w:p>
      <w:pPr>
        <w:spacing w:after="0" w:line="212"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22" w:lineRule="exact"/>
        <w:rPr>
          <w:sz w:val="24"/>
          <w:szCs w:val="24"/>
          <w:color w:val="auto"/>
        </w:rPr>
      </w:pPr>
    </w:p>
    <w:p>
      <w:pPr>
        <w:ind w:left="1140"/>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00" w:lineRule="exact"/>
        <w:rPr>
          <w:sz w:val="24"/>
          <w:szCs w:val="24"/>
          <w:color w:val="auto"/>
        </w:rPr>
      </w:pPr>
    </w:p>
    <w:p>
      <w:pPr>
        <w:ind w:left="120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November 16, 2007</w:t>
      </w:r>
    </w:p>
    <w:p>
      <w:pPr>
        <w:spacing w:after="0" w:line="200" w:lineRule="exact"/>
        <w:rPr>
          <w:sz w:val="24"/>
          <w:szCs w:val="24"/>
          <w:color w:val="auto"/>
        </w:rPr>
      </w:pPr>
    </w:p>
    <w:p>
      <w:pPr>
        <w:spacing w:after="0" w:line="222"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16"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9"/>
              </w:rPr>
              <w:t>1-10686</w:t>
            </w:r>
          </w:p>
        </w:tc>
        <w:tc>
          <w:tcPr>
            <w:tcW w:w="1180" w:type="dxa"/>
            <w:vAlign w:val="bottom"/>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20" w:type="dxa"/>
            <w:vAlign w:val="bottom"/>
            <w:gridSpan w:val="3"/>
          </w:tcPr>
          <w:p>
            <w:pPr>
              <w:jc w:val="center"/>
              <w:ind w:right="660"/>
              <w:spacing w:after="0"/>
              <w:rPr>
                <w:sz w:val="20"/>
                <w:szCs w:val="20"/>
                <w:color w:val="auto"/>
              </w:rPr>
            </w:pPr>
            <w:r>
              <w:rPr>
                <w:rFonts w:ascii="Arial" w:cs="Arial" w:eastAsia="Arial" w:hAnsi="Arial"/>
                <w:sz w:val="22"/>
                <w:szCs w:val="22"/>
                <w:color w:val="auto"/>
                <w:w w:val="90"/>
              </w:rPr>
              <w:t>(State or other jurisdiction</w:t>
            </w:r>
          </w:p>
        </w:tc>
        <w:tc>
          <w:tcPr>
            <w:tcW w:w="2580" w:type="dxa"/>
            <w:vAlign w:val="bottom"/>
            <w:gridSpan w:val="4"/>
          </w:tcPr>
          <w:p>
            <w:pPr>
              <w:jc w:val="center"/>
              <w:ind w:right="940"/>
              <w:spacing w:after="0"/>
              <w:rPr>
                <w:sz w:val="20"/>
                <w:szCs w:val="20"/>
                <w:color w:val="auto"/>
              </w:rPr>
            </w:pPr>
            <w:r>
              <w:rPr>
                <w:rFonts w:ascii="Arial" w:cs="Arial" w:eastAsia="Arial" w:hAnsi="Arial"/>
                <w:sz w:val="22"/>
                <w:szCs w:val="22"/>
                <w:color w:val="auto"/>
                <w:w w:val="90"/>
              </w:rPr>
              <w:t>(Commission</w:t>
            </w:r>
          </w:p>
        </w:tc>
        <w:tc>
          <w:tcPr>
            <w:tcW w:w="14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gridSpan w:val="2"/>
          </w:tcPr>
          <w:p>
            <w:pPr>
              <w:jc w:val="center"/>
              <w:ind w:right="760"/>
              <w:spacing w:after="0"/>
              <w:rPr>
                <w:sz w:val="20"/>
                <w:szCs w:val="20"/>
                <w:color w:val="auto"/>
              </w:rPr>
            </w:pPr>
            <w:r>
              <w:rPr>
                <w:rFonts w:ascii="Arial" w:cs="Arial" w:eastAsia="Arial" w:hAnsi="Arial"/>
                <w:sz w:val="22"/>
                <w:szCs w:val="22"/>
                <w:color w:val="auto"/>
                <w:w w:val="91"/>
              </w:rPr>
              <w:t>of incorporation)</w:t>
            </w:r>
          </w:p>
        </w:tc>
        <w:tc>
          <w:tcPr>
            <w:tcW w:w="2580" w:type="dxa"/>
            <w:vAlign w:val="bottom"/>
            <w:gridSpan w:val="4"/>
          </w:tcPr>
          <w:p>
            <w:pPr>
              <w:jc w:val="center"/>
              <w:ind w:right="940"/>
              <w:spacing w:after="0"/>
              <w:rPr>
                <w:sz w:val="20"/>
                <w:szCs w:val="20"/>
                <w:color w:val="auto"/>
              </w:rPr>
            </w:pPr>
            <w:r>
              <w:rPr>
                <w:rFonts w:ascii="Arial" w:cs="Arial" w:eastAsia="Arial" w:hAnsi="Arial"/>
                <w:sz w:val="22"/>
                <w:szCs w:val="22"/>
                <w:color w:val="auto"/>
                <w:w w:val="91"/>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2"/>
          </w:tcPr>
          <w:p>
            <w:pPr>
              <w:jc w:val="center"/>
              <w:ind w:left="72"/>
              <w:spacing w:after="0"/>
              <w:rPr>
                <w:sz w:val="20"/>
                <w:szCs w:val="20"/>
                <w:color w:val="auto"/>
              </w:rPr>
            </w:pPr>
            <w:r>
              <w:rPr>
                <w:rFonts w:ascii="Arial" w:cs="Arial" w:eastAsia="Arial" w:hAnsi="Arial"/>
                <w:sz w:val="22"/>
                <w:szCs w:val="22"/>
                <w:color w:val="auto"/>
                <w:w w:val="90"/>
              </w:rPr>
              <w:t>5301 North Ironwood Road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2"/>
          </w:tcPr>
          <w:p>
            <w:pPr>
              <w:jc w:val="center"/>
              <w:ind w:left="52"/>
              <w:spacing w:after="0" w:line="190" w:lineRule="exact"/>
              <w:rPr>
                <w:sz w:val="20"/>
                <w:szCs w:val="20"/>
                <w:color w:val="auto"/>
              </w:rPr>
            </w:pPr>
            <w:r>
              <w:rPr>
                <w:rFonts w:ascii="Arial" w:cs="Arial" w:eastAsia="Arial" w:hAnsi="Arial"/>
                <w:sz w:val="22"/>
                <w:szCs w:val="22"/>
                <w:color w:val="auto"/>
                <w:w w:val="91"/>
              </w:rPr>
              <w:t>Milwaukee, Wisconsin</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gridSpan w:val="5"/>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720" w:type="dxa"/>
            <w:vAlign w:val="bottom"/>
            <w:gridSpan w:val="8"/>
          </w:tcPr>
          <w:p>
            <w:pPr>
              <w:jc w:val="center"/>
              <w:ind w:right="2300"/>
              <w:spacing w:after="0"/>
              <w:rPr>
                <w:sz w:val="20"/>
                <w:szCs w:val="20"/>
                <w:color w:val="auto"/>
              </w:rPr>
            </w:pPr>
            <w:r>
              <w:rPr>
                <w:rFonts w:ascii="Arial" w:cs="Arial" w:eastAsia="Arial" w:hAnsi="Arial"/>
                <w:sz w:val="22"/>
                <w:szCs w:val="22"/>
                <w:color w:val="auto"/>
                <w:w w:val="90"/>
              </w:rPr>
              <w:t>(Address of principal executive offices)</w:t>
            </w:r>
          </w:p>
        </w:tc>
        <w:tc>
          <w:tcPr>
            <w:tcW w:w="1700" w:type="dxa"/>
            <w:vAlign w:val="bottom"/>
            <w:gridSpan w:val="3"/>
          </w:tcPr>
          <w:p>
            <w:pPr>
              <w:jc w:val="center"/>
              <w:ind w:right="580"/>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06" w:lineRule="exact"/>
        <w:rPr>
          <w:sz w:val="24"/>
          <w:szCs w:val="24"/>
          <w:color w:val="auto"/>
        </w:rPr>
      </w:pPr>
    </w:p>
    <w:p>
      <w:pPr>
        <w:ind w:right="187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94" w:lineRule="exact"/>
        <w:rPr>
          <w:rFonts w:ascii="Arial" w:cs="Arial" w:eastAsia="Arial" w:hAnsi="Arial"/>
          <w:sz w:val="19"/>
          <w:szCs w:val="19"/>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94" w:lineRule="exact"/>
        <w:rPr>
          <w:rFonts w:ascii="Arial" w:cs="Arial" w:eastAsia="Arial" w:hAnsi="Arial"/>
          <w:sz w:val="19"/>
          <w:szCs w:val="19"/>
          <w:color w:val="auto"/>
        </w:rPr>
      </w:pPr>
    </w:p>
    <w:p>
      <w:pPr>
        <w:ind w:left="360" w:right="187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27" w:lineRule="exact"/>
        <w:rPr>
          <w:rFonts w:ascii="Arial" w:cs="Arial" w:eastAsia="Arial" w:hAnsi="Arial"/>
          <w:sz w:val="22"/>
          <w:szCs w:val="22"/>
          <w:color w:val="auto"/>
        </w:rPr>
      </w:pPr>
    </w:p>
    <w:p>
      <w:pPr>
        <w:ind w:left="360" w:right="189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0219"/>
          </w:cols>
          <w:pgMar w:left="240" w:top="652" w:right="1440"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u w:val="single" w:color="auto"/>
          <w:color w:val="auto"/>
        </w:rPr>
        <w:t>Other Events</w:t>
      </w:r>
      <w:r>
        <w:rPr>
          <w:rFonts w:ascii="Arial" w:cs="Arial" w:eastAsia="Arial" w:hAnsi="Arial"/>
          <w:sz w:val="19"/>
          <w:szCs w:val="19"/>
          <w:b w:val="1"/>
          <w:bCs w:val="1"/>
          <w:color w:val="auto"/>
        </w:rPr>
        <w:t>.</w:t>
      </w:r>
    </w:p>
    <w:p>
      <w:pPr>
        <w:spacing w:after="0" w:line="212" w:lineRule="exact"/>
        <w:rPr>
          <w:sz w:val="20"/>
          <w:szCs w:val="20"/>
          <w:color w:val="auto"/>
        </w:rPr>
      </w:pPr>
    </w:p>
    <w:p>
      <w:pPr>
        <w:ind w:right="1839" w:firstLine="648"/>
        <w:spacing w:after="0" w:line="275" w:lineRule="auto"/>
        <w:rPr>
          <w:sz w:val="20"/>
          <w:szCs w:val="20"/>
          <w:color w:val="auto"/>
        </w:rPr>
      </w:pPr>
      <w:r>
        <w:rPr>
          <w:rFonts w:ascii="Arial" w:cs="Arial" w:eastAsia="Arial" w:hAnsi="Arial"/>
          <w:sz w:val="19"/>
          <w:szCs w:val="19"/>
          <w:color w:val="auto"/>
        </w:rPr>
        <w:t>On or about November 16, 2007, Manpower Inc. (the “Company”) received a Statement of Objections from French authorities in connection with their investigation of the Company. As announced in November 2004, French authorities commenced an investigation at the Company’s headquarters in France. According to the search warrant, the investigation stems from a complaint submitted during 2003 to the European Commission and subsequently transferred to France’s Direction Generale de la Concurrence, de la Consommation et de la Repression des Fraudes, a body from the French Financial Department that investigates frauds and competition violations. The Statement of Objections alleges information sharing between the Company and its competitors.</w:t>
      </w:r>
    </w:p>
    <w:p>
      <w:pPr>
        <w:spacing w:after="0" w:line="200" w:lineRule="exact"/>
        <w:rPr>
          <w:sz w:val="20"/>
          <w:szCs w:val="20"/>
          <w:color w:val="auto"/>
        </w:rPr>
      </w:pPr>
    </w:p>
    <w:p>
      <w:pPr>
        <w:spacing w:after="0" w:line="201" w:lineRule="exact"/>
        <w:rPr>
          <w:sz w:val="20"/>
          <w:szCs w:val="20"/>
          <w:color w:val="auto"/>
        </w:rPr>
      </w:pPr>
    </w:p>
    <w:p>
      <w:pPr>
        <w:ind w:right="1819" w:firstLine="648"/>
        <w:spacing w:after="0" w:line="287" w:lineRule="auto"/>
        <w:rPr>
          <w:sz w:val="20"/>
          <w:szCs w:val="20"/>
          <w:color w:val="auto"/>
        </w:rPr>
      </w:pPr>
      <w:r>
        <w:rPr>
          <w:rFonts w:ascii="Arial" w:cs="Arial" w:eastAsia="Arial" w:hAnsi="Arial"/>
          <w:sz w:val="19"/>
          <w:szCs w:val="19"/>
          <w:color w:val="auto"/>
        </w:rPr>
        <w:t>A Statement of Objections is a further step in the proceedings under French competition law with respect to the matter. The Company will have the opportunity and intends to respond to the allegations made in the Statement of Objections as the proceedings continue. At this time, the Company is not able to predict the outcome of the matter.</w:t>
      </w:r>
    </w:p>
    <w:p>
      <w:pPr>
        <w:sectPr>
          <w:pgSz w:w="11900" w:h="16838" w:orient="portrait"/>
          <w:cols w:equalWidth="0" w:num="1">
            <w:col w:w="10219"/>
          </w:cols>
          <w:pgMar w:left="240" w:top="544" w:right="1440" w:bottom="1440" w:gutter="0" w:footer="0" w:header="0"/>
        </w:sectPr>
      </w:pPr>
    </w:p>
    <w:bookmarkStart w:id="2" w:name="page3"/>
    <w:bookmarkEnd w:id="2"/>
    <w:p>
      <w:pPr>
        <w:jc w:val="center"/>
        <w:ind w:right="1759"/>
        <w:spacing w:after="0"/>
        <w:rPr>
          <w:sz w:val="20"/>
          <w:szCs w:val="20"/>
          <w:color w:val="auto"/>
        </w:rPr>
      </w:pPr>
      <w:r>
        <w:rPr>
          <w:rFonts w:ascii="Arial" w:cs="Arial" w:eastAsia="Arial" w:hAnsi="Arial"/>
          <w:sz w:val="22"/>
          <w:szCs w:val="22"/>
          <w:u w:val="single" w:color="auto"/>
          <w:color w:val="auto"/>
        </w:rPr>
        <w:t>SIGNATURES</w:t>
      </w:r>
    </w:p>
    <w:p>
      <w:pPr>
        <w:spacing w:after="0" w:line="206" w:lineRule="exact"/>
        <w:rPr>
          <w:sz w:val="20"/>
          <w:szCs w:val="20"/>
          <w:color w:val="auto"/>
        </w:rPr>
      </w:pPr>
    </w:p>
    <w:p>
      <w:pPr>
        <w:ind w:right="1979" w:firstLine="432"/>
        <w:spacing w:after="0" w:line="32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20"/>
        <w:spacing w:after="0"/>
        <w:tabs>
          <w:tab w:leader="none" w:pos="4200" w:val="left"/>
        </w:tabs>
        <w:rPr>
          <w:sz w:val="20"/>
          <w:szCs w:val="20"/>
          <w:color w:val="auto"/>
        </w:rPr>
      </w:pPr>
      <w:r>
        <w:rPr>
          <w:rFonts w:ascii="Arial" w:cs="Arial" w:eastAsia="Arial" w:hAnsi="Arial"/>
          <w:sz w:val="22"/>
          <w:szCs w:val="22"/>
          <w:color w:val="auto"/>
        </w:rPr>
        <w:t>Dated: November 16, 2007</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-17780</wp:posOffset>
            </wp:positionV>
            <wp:extent cx="2408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Michael J. Van Handel</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Executive Vice President, Chief Financial</w:t>
      </w:r>
    </w:p>
    <w:p>
      <w:pPr>
        <w:spacing w:after="0" w:line="2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Officer and Secretary</w:t>
      </w:r>
    </w:p>
    <w:sectPr>
      <w:pgSz w:w="11900" w:h="16838" w:orient="portrait"/>
      <w:cols w:equalWidth="0" w:num="1">
        <w:col w:w="10219"/>
      </w:cols>
      <w:pgMar w:left="240" w:top="5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2019-12-11T21:26:38Z</dcterms:created>
  <dcterms:modified xsi:type="dcterms:W3CDTF">2019-12-11T21:26:38Z</dcterms:modified>
</cp:coreProperties>
</file>